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512EC4C4"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BE5F543" w:rsidR="00927027" w:rsidRPr="009C2208"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 xml:space="preserve">if previously </w:t>
      </w:r>
      <w:r w:rsidRPr="009C2208">
        <w:rPr>
          <w:rFonts w:cstheme="minorHAnsi"/>
          <w:i/>
          <w:noProof/>
        </w:rPr>
        <w:t>endorsed</w:t>
      </w:r>
      <w:r w:rsidRPr="009C2208">
        <w:rPr>
          <w:rFonts w:cstheme="minorHAnsi"/>
          <w:noProof/>
        </w:rPr>
        <w:t>)</w:t>
      </w:r>
      <w:r w:rsidRPr="009C2208">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283FB3" w:rsidRPr="00677A16">
            <w:rPr>
              <w:rStyle w:val="Style1"/>
              <w:color w:val="auto"/>
            </w:rPr>
            <w:t>2888</w:t>
          </w:r>
        </w:sdtContent>
      </w:sdt>
    </w:p>
    <w:p w14:paraId="0CABCF56" w14:textId="6DD7CF3D" w:rsidR="00105D8B" w:rsidRPr="009C2208" w:rsidRDefault="00105D8B" w:rsidP="00105D8B">
      <w:pPr>
        <w:contextualSpacing/>
        <w:rPr>
          <w:rFonts w:cstheme="minorHAnsi"/>
          <w:noProof/>
        </w:rPr>
      </w:pPr>
      <w:r w:rsidRPr="009C2208">
        <w:rPr>
          <w:rFonts w:cstheme="minorHAnsi"/>
          <w:b/>
          <w:noProof/>
        </w:rPr>
        <w:t>Measure Title</w:t>
      </w:r>
      <w:r w:rsidRPr="009C2208">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sdt>
            <w:sdtPr>
              <w:rPr>
                <w:rStyle w:val="Style1"/>
                <w:rFonts w:cstheme="minorHAnsi"/>
                <w:color w:val="auto"/>
              </w:rPr>
              <w:id w:val="1047952487"/>
              <w:placeholder>
                <w:docPart w:val="BAE1590FE14543E4AB4861FCC83106C8"/>
              </w:placeholder>
            </w:sdtPr>
            <w:sdtEndPr>
              <w:rPr>
                <w:rStyle w:val="DefaultParagraphFont"/>
                <w:noProof/>
              </w:rPr>
            </w:sdtEndPr>
            <w:sdtContent>
              <w:r w:rsidR="00FE4642" w:rsidRPr="00677A16">
                <w:rPr>
                  <w:rStyle w:val="Style1"/>
                  <w:rFonts w:cstheme="minorHAnsi"/>
                  <w:color w:val="auto"/>
                </w:rPr>
                <w:t xml:space="preserve">Accountable Care Organization </w:t>
              </w:r>
              <w:r w:rsidR="00283FB3" w:rsidRPr="00677A16">
                <w:rPr>
                  <w:rStyle w:val="Style1"/>
                  <w:rFonts w:cstheme="minorHAnsi"/>
                  <w:color w:val="auto"/>
                </w:rPr>
                <w:t xml:space="preserve">Risk-Standardized </w:t>
              </w:r>
              <w:r w:rsidR="00FE4642" w:rsidRPr="00677A16">
                <w:rPr>
                  <w:rStyle w:val="Style1"/>
                  <w:rFonts w:cstheme="minorHAnsi"/>
                  <w:color w:val="auto"/>
                </w:rPr>
                <w:t xml:space="preserve">Acute </w:t>
              </w:r>
              <w:r w:rsidR="00250A66" w:rsidRPr="00677A16">
                <w:rPr>
                  <w:rStyle w:val="Style1"/>
                  <w:rFonts w:cstheme="minorHAnsi"/>
                  <w:color w:val="auto"/>
                </w:rPr>
                <w:t xml:space="preserve">Hospital </w:t>
              </w:r>
              <w:r w:rsidR="00283FB3" w:rsidRPr="00677A16">
                <w:rPr>
                  <w:rStyle w:val="Style1"/>
                  <w:rFonts w:cstheme="minorHAnsi"/>
                  <w:color w:val="auto"/>
                </w:rPr>
                <w:t>Admission Rate for Patients with Multiple Chronic Conditions</w:t>
              </w:r>
            </w:sdtContent>
          </w:sdt>
        </w:sdtContent>
      </w:sdt>
    </w:p>
    <w:p w14:paraId="0CABCF57" w14:textId="42EE05CD" w:rsidR="005C73CA" w:rsidRPr="00677A16" w:rsidRDefault="00105D8B" w:rsidP="009E1846">
      <w:pPr>
        <w:spacing w:after="0"/>
        <w:rPr>
          <w:rStyle w:val="Style2"/>
          <w:rFonts w:cstheme="minorHAnsi"/>
          <w:color w:val="auto"/>
        </w:rPr>
      </w:pPr>
      <w:r w:rsidRPr="009C2208">
        <w:rPr>
          <w:rFonts w:cstheme="minorHAnsi"/>
          <w:b/>
          <w:noProof/>
        </w:rPr>
        <w:t>Date of Submission</w:t>
      </w:r>
      <w:r w:rsidRPr="009C2208">
        <w:rPr>
          <w:rFonts w:cstheme="minorHAnsi"/>
          <w:noProof/>
        </w:rPr>
        <w:t xml:space="preserve">:  </w:t>
      </w:r>
      <w:sdt>
        <w:sdtPr>
          <w:rPr>
            <w:rStyle w:val="Style2"/>
            <w:rFonts w:cstheme="minorHAnsi"/>
            <w:color w:val="auto"/>
            <w:highlight w:val="yellow"/>
          </w:rPr>
          <w:id w:val="-1689821638"/>
          <w:placeholder>
            <w:docPart w:val="D0A5AE3409394D21BA5FA5F27780E302"/>
          </w:placeholder>
          <w:date w:fullDate="2020-11-06T00:00:00Z">
            <w:dateFormat w:val="M/d/yyyy"/>
            <w:lid w:val="en-US"/>
            <w:storeMappedDataAs w:val="dateTime"/>
            <w:calendar w:val="gregorian"/>
          </w:date>
        </w:sdtPr>
        <w:sdtEndPr>
          <w:rPr>
            <w:rStyle w:val="DefaultParagraphFont"/>
            <w:noProof/>
            <w:u w:val="none"/>
          </w:rPr>
        </w:sdtEndPr>
        <w:sdtContent>
          <w:r w:rsidR="00A55C5F">
            <w:rPr>
              <w:rStyle w:val="Style2"/>
              <w:rFonts w:cstheme="minorHAnsi"/>
              <w:color w:val="auto"/>
              <w:highlight w:val="yellow"/>
            </w:rPr>
            <w:t>11/6/2020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C933012" w:rsidR="000B7D57" w:rsidRPr="00594E8C" w:rsidRDefault="004E3927" w:rsidP="00CD364B">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EndPr/>
              <w:sdtContent>
                <w:r w:rsidR="00D00C03" w:rsidRPr="00677A16">
                  <w:rPr>
                    <w:rFonts w:ascii="MS Gothic" w:eastAsia="MS Gothic" w:hAnsi="MS Gothic" w:cstheme="minorHAnsi"/>
                    <w:bCs/>
                  </w:rPr>
                  <w:t>☒</w:t>
                </w:r>
              </w:sdtContent>
            </w:sdt>
            <w:r w:rsidR="000B7D57" w:rsidRPr="00594E8C">
              <w:rPr>
                <w:rFonts w:cstheme="minorHAnsi"/>
                <w:bCs/>
              </w:rPr>
              <w:t xml:space="preserve"> Outcome (</w:t>
            </w:r>
            <w:r w:rsidR="000B7D57" w:rsidRPr="00594E8C">
              <w:rPr>
                <w:rFonts w:cstheme="minorHAnsi"/>
                <w:bCs/>
                <w:i/>
              </w:rPr>
              <w:t>including PRO-PM</w:t>
            </w:r>
            <w:r w:rsidR="000B7D57" w:rsidRPr="00594E8C">
              <w:rPr>
                <w:rFonts w:cstheme="minorHAnsi"/>
                <w:bCs/>
              </w:rPr>
              <w:t>)</w:t>
            </w:r>
          </w:p>
        </w:tc>
        <w:tc>
          <w:tcPr>
            <w:tcW w:w="2487" w:type="pct"/>
          </w:tcPr>
          <w:p w14:paraId="0CABCF5A" w14:textId="1D7F7F57" w:rsidR="000B7D57" w:rsidRPr="00C775CE" w:rsidRDefault="004E3927"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3EC6D5E9" w:rsidR="000B7D57" w:rsidRPr="00677A16" w:rsidRDefault="004E3927" w:rsidP="00CD364B">
            <w:pPr>
              <w:autoSpaceDE w:val="0"/>
              <w:autoSpaceDN w:val="0"/>
              <w:adjustRightInd w:val="0"/>
              <w:rPr>
                <w:rFonts w:cstheme="minorHAnsi"/>
                <w:bCs/>
              </w:rPr>
            </w:pPr>
            <w:sdt>
              <w:sdtPr>
                <w:rPr>
                  <w:rFonts w:cstheme="minorHAnsi"/>
                  <w:bCs/>
                </w:rPr>
                <w:id w:val="654653068"/>
                <w14:checkbox>
                  <w14:checked w14:val="0"/>
                  <w14:checkedState w14:val="2612" w14:font="MS Gothic"/>
                  <w14:uncheckedState w14:val="2610" w14:font="MS Gothic"/>
                </w14:checkbox>
              </w:sdtPr>
              <w:sdtEndPr/>
              <w:sdtContent>
                <w:r w:rsidR="000B7D57" w:rsidRPr="00677A16">
                  <w:rPr>
                    <w:rFonts w:cstheme="minorHAnsi"/>
                    <w:bCs/>
                  </w:rPr>
                  <w:t>☐</w:t>
                </w:r>
              </w:sdtContent>
            </w:sdt>
            <w:r w:rsidR="000B7D57" w:rsidRPr="00677A16">
              <w:rPr>
                <w:rFonts w:cstheme="minorHAnsi"/>
                <w:bCs/>
              </w:rPr>
              <w:t xml:space="preserve"> </w:t>
            </w:r>
            <w:r w:rsidR="000B7D57" w:rsidRPr="00594E8C">
              <w:rPr>
                <w:rFonts w:cstheme="minorHAnsi"/>
                <w:bCs/>
              </w:rPr>
              <w:t>Intermediate Clinical Outcome</w:t>
            </w:r>
          </w:p>
        </w:tc>
        <w:tc>
          <w:tcPr>
            <w:tcW w:w="2487" w:type="pct"/>
          </w:tcPr>
          <w:p w14:paraId="0CABCF5D" w14:textId="016FE258" w:rsidR="000B7D57" w:rsidRPr="00C775CE" w:rsidRDefault="004E3927"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1BA6AA2" w:rsidR="000B7D57" w:rsidRPr="00594E8C" w:rsidRDefault="004E3927" w:rsidP="00CD364B">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EndPr/>
              <w:sdtContent>
                <w:r w:rsidR="000B7D57" w:rsidRPr="00677A16">
                  <w:rPr>
                    <w:rFonts w:ascii="MS Gothic" w:eastAsia="MS Gothic" w:cstheme="minorHAnsi"/>
                    <w:bCs/>
                  </w:rPr>
                  <w:t>☐</w:t>
                </w:r>
              </w:sdtContent>
            </w:sdt>
            <w:r w:rsidR="000B7D57" w:rsidRPr="00594E8C">
              <w:rPr>
                <w:rFonts w:cstheme="minorHAnsi"/>
                <w:bCs/>
              </w:rPr>
              <w:t xml:space="preserve"> </w:t>
            </w:r>
            <w:r w:rsidR="000B7D57" w:rsidRPr="00594E8C">
              <w:rPr>
                <w:rFonts w:eastAsia="MS Gothic" w:cstheme="minorHAnsi"/>
                <w:bCs/>
              </w:rPr>
              <w:t>Process</w:t>
            </w:r>
            <w:r w:rsidR="00C775CE" w:rsidRPr="00594E8C">
              <w:rPr>
                <w:rFonts w:eastAsia="MS Gothic" w:cstheme="minorHAnsi"/>
                <w:bCs/>
              </w:rPr>
              <w:t xml:space="preserve"> </w:t>
            </w:r>
            <w:r w:rsidR="00C775CE" w:rsidRPr="00594E8C">
              <w:rPr>
                <w:rFonts w:eastAsia="MS Gothic" w:cstheme="minorHAnsi"/>
                <w:bCs/>
                <w:i/>
              </w:rPr>
              <w:t>(including Appropriate Use)</w:t>
            </w:r>
          </w:p>
        </w:tc>
        <w:tc>
          <w:tcPr>
            <w:tcW w:w="2487" w:type="pct"/>
          </w:tcPr>
          <w:p w14:paraId="0CABCF60" w14:textId="1D9DD88B" w:rsidR="000B7D57" w:rsidRPr="00C775CE" w:rsidRDefault="004E3927"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53A4B012" w:rsidR="000B7D57" w:rsidRPr="00594E8C" w:rsidRDefault="004E3927" w:rsidP="00CD364B">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0B7D57" w:rsidRPr="00677A16">
                  <w:rPr>
                    <w:rFonts w:ascii="MS Gothic" w:eastAsia="MS Gothic" w:cstheme="minorHAnsi"/>
                    <w:bCs/>
                  </w:rPr>
                  <w:t>☐</w:t>
                </w:r>
              </w:sdtContent>
            </w:sdt>
            <w:r w:rsidR="000B7D57" w:rsidRPr="00594E8C">
              <w:rPr>
                <w:rFonts w:cstheme="minorHAnsi"/>
                <w:bCs/>
              </w:rPr>
              <w:t xml:space="preserve"> </w:t>
            </w:r>
            <w:r w:rsidR="000B7D57" w:rsidRPr="00594E8C">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6C35A6D2" w:rsidR="00145149" w:rsidRPr="000F034A" w:rsidRDefault="00145149" w:rsidP="00145149">
            <w:pPr>
              <w:rPr>
                <w:rFonts w:cstheme="minorHAnsi"/>
              </w:rPr>
            </w:pPr>
            <w:r w:rsidRPr="000F034A">
              <w:rPr>
                <w:rFonts w:cstheme="minorHAnsi"/>
              </w:rPr>
              <w:t xml:space="preserve">If patient preference (e.g., informed </w:t>
            </w:r>
            <w:r w:rsidR="00CB0FD1" w:rsidRPr="000F034A">
              <w:rPr>
                <w:rFonts w:cstheme="minorHAnsi"/>
              </w:rPr>
              <w:t>decision-making</w:t>
            </w:r>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1426E9A9"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r w:rsidR="00587886" w:rsidRPr="00A831B4">
              <w:rPr>
                <w:rFonts w:cstheme="minorHAnsi"/>
                <w:sz w:val="20"/>
                <w:szCs w:val="20"/>
              </w:rPr>
              <w:t>received smoking</w:t>
            </w:r>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Pr="008F270E" w:rsidRDefault="00A01494" w:rsidP="00DB3627">
            <w:pPr>
              <w:autoSpaceDE w:val="0"/>
              <w:autoSpaceDN w:val="0"/>
              <w:adjustRightInd w:val="0"/>
              <w:rPr>
                <w:rFonts w:cstheme="minorHAnsi"/>
                <w:b/>
                <w:bCs/>
              </w:rPr>
            </w:pPr>
            <w:r w:rsidRPr="008F270E">
              <w:rPr>
                <w:rFonts w:cstheme="minorHAnsi"/>
                <w:b/>
                <w:bCs/>
              </w:rPr>
              <w:t>Measure Specified to Use Data From:</w:t>
            </w:r>
          </w:p>
          <w:p w14:paraId="0CABCF98" w14:textId="66B206CC" w:rsidR="009A6A57" w:rsidRPr="008F270E" w:rsidRDefault="009A6A57" w:rsidP="00DB3627">
            <w:pPr>
              <w:autoSpaceDE w:val="0"/>
              <w:autoSpaceDN w:val="0"/>
              <w:adjustRightInd w:val="0"/>
              <w:rPr>
                <w:rFonts w:cstheme="minorHAnsi"/>
                <w:b/>
                <w:bCs/>
              </w:rPr>
            </w:pPr>
            <w:r w:rsidRPr="008F270E">
              <w:rPr>
                <w:rFonts w:cstheme="minorHAnsi"/>
                <w:b/>
                <w:bCs/>
              </w:rPr>
              <w:t>(</w:t>
            </w:r>
            <w:r w:rsidR="0079538B" w:rsidRPr="008F270E">
              <w:rPr>
                <w:rFonts w:cstheme="minorHAnsi"/>
                <w:b/>
                <w:bCs/>
                <w:i/>
              </w:rPr>
              <w:t xml:space="preserve">must be consistent with </w:t>
            </w:r>
            <w:r w:rsidR="0014773C" w:rsidRPr="008F270E">
              <w:rPr>
                <w:rFonts w:cstheme="minorHAnsi"/>
                <w:b/>
                <w:bCs/>
                <w:i/>
              </w:rPr>
              <w:t xml:space="preserve">data sources entered in </w:t>
            </w:r>
            <w:r w:rsidR="000F1B7A" w:rsidRPr="008F270E">
              <w:rPr>
                <w:rFonts w:cstheme="minorHAnsi"/>
                <w:b/>
                <w:bCs/>
                <w:i/>
              </w:rPr>
              <w:t>S.17</w:t>
            </w:r>
            <w:r w:rsidRPr="008F270E">
              <w:rPr>
                <w:rFonts w:cstheme="minorHAnsi"/>
                <w:b/>
                <w:bCs/>
              </w:rPr>
              <w:t>)</w:t>
            </w:r>
          </w:p>
        </w:tc>
        <w:tc>
          <w:tcPr>
            <w:tcW w:w="4847" w:type="dxa"/>
            <w:shd w:val="clear" w:color="auto" w:fill="D9D9D9" w:themeFill="background1" w:themeFillShade="D9"/>
          </w:tcPr>
          <w:p w14:paraId="0CABCF99" w14:textId="77777777" w:rsidR="00A01494" w:rsidRPr="008F270E" w:rsidRDefault="00A01494" w:rsidP="00DB3627">
            <w:pPr>
              <w:autoSpaceDE w:val="0"/>
              <w:autoSpaceDN w:val="0"/>
              <w:adjustRightInd w:val="0"/>
              <w:rPr>
                <w:rFonts w:cstheme="minorHAnsi"/>
                <w:b/>
                <w:bCs/>
              </w:rPr>
            </w:pPr>
            <w:r w:rsidRPr="008F270E">
              <w:rPr>
                <w:rFonts w:cstheme="minorHAnsi"/>
                <w:b/>
                <w:bCs/>
              </w:rPr>
              <w:t>Measure Tested with Data From:</w:t>
            </w:r>
          </w:p>
        </w:tc>
      </w:tr>
      <w:tr w:rsidR="00A01494" w:rsidRPr="00A01494" w14:paraId="0CABCF9D" w14:textId="77777777" w:rsidTr="0014773C">
        <w:trPr>
          <w:jc w:val="center"/>
        </w:trPr>
        <w:tc>
          <w:tcPr>
            <w:tcW w:w="5208" w:type="dxa"/>
          </w:tcPr>
          <w:p w14:paraId="0CABCF9B" w14:textId="32295EA8" w:rsidR="00A01494" w:rsidRPr="008A0B8E" w:rsidRDefault="004E3927" w:rsidP="00DB3627">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B82A57" w:rsidRPr="008A0B8E">
              <w:rPr>
                <w:rFonts w:cstheme="minorHAnsi"/>
                <w:bCs/>
              </w:rPr>
              <w:t xml:space="preserve"> </w:t>
            </w:r>
            <w:r w:rsidR="00A01494" w:rsidRPr="008A0B8E">
              <w:rPr>
                <w:rFonts w:cstheme="minorHAnsi"/>
                <w:bCs/>
              </w:rPr>
              <w:t>abstracted from paper record</w:t>
            </w:r>
          </w:p>
        </w:tc>
        <w:tc>
          <w:tcPr>
            <w:tcW w:w="4847" w:type="dxa"/>
          </w:tcPr>
          <w:p w14:paraId="0CABCF9C" w14:textId="159F24F4" w:rsidR="00A01494" w:rsidRPr="008A0B8E" w:rsidRDefault="004E3927" w:rsidP="00DB3627">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B82A57" w:rsidRPr="008A0B8E">
              <w:rPr>
                <w:rFonts w:cstheme="minorHAnsi"/>
                <w:bCs/>
              </w:rPr>
              <w:t xml:space="preserve"> </w:t>
            </w:r>
            <w:r w:rsidR="00A01494" w:rsidRPr="008A0B8E">
              <w:rPr>
                <w:rFonts w:cstheme="minorHAnsi"/>
                <w:bCs/>
              </w:rPr>
              <w:t>abstracted from paper record</w:t>
            </w:r>
          </w:p>
        </w:tc>
      </w:tr>
      <w:tr w:rsidR="00A01494" w:rsidRPr="00A01494" w14:paraId="0CABCFA0" w14:textId="77777777" w:rsidTr="0014773C">
        <w:trPr>
          <w:jc w:val="center"/>
        </w:trPr>
        <w:tc>
          <w:tcPr>
            <w:tcW w:w="5208" w:type="dxa"/>
          </w:tcPr>
          <w:p w14:paraId="0CABCF9E" w14:textId="6579B063" w:rsidR="00A01494" w:rsidRPr="008A0B8E" w:rsidRDefault="004E3927" w:rsidP="000F1B7A">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EndPr/>
              <w:sdtContent>
                <w:r w:rsidR="008A2E82" w:rsidRPr="00677A16">
                  <w:rPr>
                    <w:rFonts w:ascii="MS Gothic" w:eastAsia="MS Gothic" w:hAnsi="MS Gothic" w:cstheme="minorHAnsi"/>
                    <w:bCs/>
                  </w:rPr>
                  <w:t>☒</w:t>
                </w:r>
              </w:sdtContent>
            </w:sdt>
            <w:r w:rsidR="00B82A57" w:rsidRPr="008A0B8E">
              <w:rPr>
                <w:rFonts w:cstheme="minorHAnsi"/>
                <w:bCs/>
              </w:rPr>
              <w:t xml:space="preserve"> </w:t>
            </w:r>
            <w:r w:rsidR="00A01494" w:rsidRPr="008A0B8E">
              <w:rPr>
                <w:rFonts w:cstheme="minorHAnsi"/>
                <w:bCs/>
              </w:rPr>
              <w:t>claims</w:t>
            </w:r>
          </w:p>
        </w:tc>
        <w:tc>
          <w:tcPr>
            <w:tcW w:w="4847" w:type="dxa"/>
          </w:tcPr>
          <w:p w14:paraId="0CABCF9F" w14:textId="74CEEB1A" w:rsidR="00A01494" w:rsidRPr="00B23524" w:rsidRDefault="004E3927" w:rsidP="000F1B7A">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EndPr/>
              <w:sdtContent>
                <w:r w:rsidR="008A2E82" w:rsidRPr="00677A16">
                  <w:rPr>
                    <w:rFonts w:ascii="MS Gothic" w:eastAsia="MS Gothic" w:hAnsi="MS Gothic" w:cstheme="minorHAnsi"/>
                    <w:bCs/>
                  </w:rPr>
                  <w:t>☒</w:t>
                </w:r>
              </w:sdtContent>
            </w:sdt>
            <w:r w:rsidR="00B82A57" w:rsidRPr="008A0B8E">
              <w:rPr>
                <w:rFonts w:cstheme="minorHAnsi"/>
                <w:bCs/>
              </w:rPr>
              <w:t xml:space="preserve"> </w:t>
            </w:r>
            <w:r w:rsidR="000F1B7A" w:rsidRPr="008A0B8E">
              <w:rPr>
                <w:rFonts w:cstheme="minorHAnsi"/>
                <w:bCs/>
              </w:rPr>
              <w:t>c</w:t>
            </w:r>
            <w:r w:rsidR="00A01494" w:rsidRPr="008A0B8E">
              <w:rPr>
                <w:rFonts w:cstheme="minorHAnsi"/>
                <w:bCs/>
              </w:rPr>
              <w:t>laims</w:t>
            </w:r>
          </w:p>
        </w:tc>
      </w:tr>
      <w:tr w:rsidR="00A01494" w:rsidRPr="00A01494" w14:paraId="0CABCFA3" w14:textId="77777777" w:rsidTr="0014773C">
        <w:trPr>
          <w:jc w:val="center"/>
        </w:trPr>
        <w:tc>
          <w:tcPr>
            <w:tcW w:w="5208" w:type="dxa"/>
          </w:tcPr>
          <w:p w14:paraId="0CABCFA1" w14:textId="5D3D12BE" w:rsidR="00A01494" w:rsidRPr="008A0B8E" w:rsidRDefault="004E3927" w:rsidP="000F1B7A">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B82A57" w:rsidRPr="008A0B8E">
              <w:rPr>
                <w:rFonts w:cstheme="minorHAnsi"/>
                <w:bCs/>
              </w:rPr>
              <w:t xml:space="preserve"> </w:t>
            </w:r>
            <w:r w:rsidR="00A01494" w:rsidRPr="008A0B8E">
              <w:rPr>
                <w:rFonts w:eastAsia="MS Gothic" w:cstheme="minorHAnsi"/>
                <w:bCs/>
              </w:rPr>
              <w:t>registry</w:t>
            </w:r>
          </w:p>
        </w:tc>
        <w:tc>
          <w:tcPr>
            <w:tcW w:w="4847" w:type="dxa"/>
          </w:tcPr>
          <w:p w14:paraId="0CABCFA2" w14:textId="112C992C" w:rsidR="00A01494" w:rsidRPr="008A0B8E" w:rsidRDefault="004E3927" w:rsidP="000F1B7A">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6574D2" w:rsidRPr="00677A16">
              <w:rPr>
                <w:rFonts w:cstheme="minorHAnsi"/>
                <w:bCs/>
              </w:rPr>
              <w:t xml:space="preserve"> </w:t>
            </w:r>
            <w:r w:rsidR="00A01494" w:rsidRPr="008A0B8E">
              <w:rPr>
                <w:rFonts w:eastAsia="MS Gothic" w:cstheme="minorHAnsi"/>
                <w:bCs/>
              </w:rPr>
              <w:t>registry</w:t>
            </w:r>
          </w:p>
        </w:tc>
      </w:tr>
      <w:tr w:rsidR="00A01494" w:rsidRPr="00A01494" w14:paraId="0CABCFA6" w14:textId="77777777" w:rsidTr="0014773C">
        <w:trPr>
          <w:jc w:val="center"/>
        </w:trPr>
        <w:tc>
          <w:tcPr>
            <w:tcW w:w="5208" w:type="dxa"/>
          </w:tcPr>
          <w:p w14:paraId="0CABCFA4" w14:textId="0AC2917C" w:rsidR="00A01494" w:rsidRPr="008A0B8E" w:rsidRDefault="004E3927"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B82A57" w:rsidRPr="008A0B8E">
              <w:rPr>
                <w:rFonts w:cstheme="minorHAnsi"/>
                <w:bCs/>
              </w:rPr>
              <w:t xml:space="preserve"> </w:t>
            </w:r>
            <w:r w:rsidR="00A01494" w:rsidRPr="008A0B8E">
              <w:rPr>
                <w:rFonts w:cstheme="minorHAnsi"/>
                <w:bCs/>
              </w:rPr>
              <w:t>abstracted from electronic health record</w:t>
            </w:r>
          </w:p>
        </w:tc>
        <w:tc>
          <w:tcPr>
            <w:tcW w:w="4847" w:type="dxa"/>
          </w:tcPr>
          <w:p w14:paraId="0CABCFA5" w14:textId="53F68362" w:rsidR="00A01494" w:rsidRPr="00B23524" w:rsidRDefault="004E3927"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B82A57" w:rsidRPr="008A0B8E">
              <w:rPr>
                <w:rFonts w:cstheme="minorHAnsi"/>
                <w:bCs/>
              </w:rPr>
              <w:t xml:space="preserve"> </w:t>
            </w:r>
            <w:r w:rsidR="00A01494" w:rsidRPr="008A0B8E">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634432C8" w:rsidR="00A01494" w:rsidRPr="00B23524" w:rsidRDefault="004E3927"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B82A57" w:rsidRPr="008A0B8E">
              <w:rPr>
                <w:rFonts w:cstheme="minorHAnsi"/>
                <w:bCs/>
              </w:rPr>
              <w:t xml:space="preserve"> </w:t>
            </w:r>
            <w:proofErr w:type="spellStart"/>
            <w:r w:rsidR="00A01494" w:rsidRPr="008A0B8E">
              <w:rPr>
                <w:rFonts w:cstheme="minorHAnsi"/>
                <w:bCs/>
              </w:rPr>
              <w:t>eMeasure</w:t>
            </w:r>
            <w:proofErr w:type="spellEnd"/>
            <w:r w:rsidR="00A01494" w:rsidRPr="008A0B8E">
              <w:rPr>
                <w:rFonts w:cstheme="minorHAnsi"/>
                <w:bCs/>
              </w:rPr>
              <w:t xml:space="preserve"> </w:t>
            </w:r>
            <w:r w:rsidR="004756E1" w:rsidRPr="008A0B8E">
              <w:rPr>
                <w:rFonts w:cstheme="minorHAnsi"/>
                <w:bCs/>
              </w:rPr>
              <w:t xml:space="preserve">(HQMF) </w:t>
            </w:r>
            <w:r w:rsidR="00A01494" w:rsidRPr="00B23524">
              <w:rPr>
                <w:rFonts w:cstheme="minorHAnsi"/>
                <w:bCs/>
              </w:rPr>
              <w:t xml:space="preserve">implemented in </w:t>
            </w:r>
            <w:r w:rsidR="00B82A57" w:rsidRPr="00B23524">
              <w:rPr>
                <w:rFonts w:cstheme="minorHAnsi"/>
                <w:bCs/>
              </w:rPr>
              <w:t>EHRs</w:t>
            </w:r>
          </w:p>
        </w:tc>
        <w:tc>
          <w:tcPr>
            <w:tcW w:w="4847" w:type="dxa"/>
          </w:tcPr>
          <w:p w14:paraId="0CABCFA8" w14:textId="7F97F0D3" w:rsidR="00A01494" w:rsidRPr="00B23524" w:rsidRDefault="004E3927"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B82A57" w:rsidRPr="008A0B8E">
              <w:rPr>
                <w:rFonts w:cstheme="minorHAnsi"/>
                <w:bCs/>
              </w:rPr>
              <w:t xml:space="preserve"> </w:t>
            </w:r>
            <w:proofErr w:type="spellStart"/>
            <w:r w:rsidR="00A01494" w:rsidRPr="008A0B8E">
              <w:rPr>
                <w:rFonts w:cstheme="minorHAnsi"/>
                <w:bCs/>
              </w:rPr>
              <w:t>eMeasure</w:t>
            </w:r>
            <w:proofErr w:type="spellEnd"/>
            <w:r w:rsidR="00A01494" w:rsidRPr="008A0B8E">
              <w:rPr>
                <w:rFonts w:cstheme="minorHAnsi"/>
                <w:bCs/>
              </w:rPr>
              <w:t xml:space="preserve"> </w:t>
            </w:r>
            <w:r w:rsidR="004756E1" w:rsidRPr="008A0B8E">
              <w:rPr>
                <w:rFonts w:cstheme="minorHAnsi"/>
                <w:bCs/>
              </w:rPr>
              <w:t xml:space="preserve">(HQMF) </w:t>
            </w:r>
            <w:r w:rsidR="00A01494" w:rsidRPr="00B23524">
              <w:rPr>
                <w:rFonts w:cstheme="minorHAnsi"/>
                <w:bCs/>
              </w:rPr>
              <w:t>impleme</w:t>
            </w:r>
            <w:r w:rsidR="00B82A57" w:rsidRPr="00B23524">
              <w:rPr>
                <w:rFonts w:cstheme="minorHAnsi"/>
                <w:bCs/>
              </w:rPr>
              <w:t>nted in EHRs</w:t>
            </w:r>
          </w:p>
        </w:tc>
      </w:tr>
      <w:tr w:rsidR="00A01494" w:rsidRPr="00A01494" w14:paraId="0CABCFAC" w14:textId="77777777" w:rsidTr="0014773C">
        <w:trPr>
          <w:jc w:val="center"/>
        </w:trPr>
        <w:tc>
          <w:tcPr>
            <w:tcW w:w="5208" w:type="dxa"/>
          </w:tcPr>
          <w:p w14:paraId="0CABCFAA" w14:textId="6803B33D" w:rsidR="00A01494" w:rsidRPr="008A0B8E" w:rsidRDefault="004E3927" w:rsidP="00DB3627">
            <w:pPr>
              <w:autoSpaceDE w:val="0"/>
              <w:autoSpaceDN w:val="0"/>
              <w:adjustRightInd w:val="0"/>
              <w:rPr>
                <w:rFonts w:cstheme="minorHAnsi"/>
                <w:bCs/>
              </w:rPr>
            </w:pPr>
            <w:sdt>
              <w:sdtPr>
                <w:rPr>
                  <w:rFonts w:cstheme="minorHAnsi"/>
                  <w:bCs/>
                </w:rPr>
                <w:id w:val="1316375390"/>
                <w14:checkbox>
                  <w14:checked w14:val="1"/>
                  <w14:checkedState w14:val="2612" w14:font="MS Gothic"/>
                  <w14:uncheckedState w14:val="2610" w14:font="MS Gothic"/>
                </w14:checkbox>
              </w:sdtPr>
              <w:sdtEndPr/>
              <w:sdtContent>
                <w:r w:rsidR="009458CA" w:rsidRPr="00677A16">
                  <w:rPr>
                    <w:rFonts w:ascii="MS Gothic" w:eastAsia="MS Gothic" w:hAnsi="MS Gothic" w:cstheme="minorHAnsi"/>
                    <w:bCs/>
                  </w:rPr>
                  <w:t>☒</w:t>
                </w:r>
              </w:sdtContent>
            </w:sdt>
            <w:r w:rsidR="00B82A57" w:rsidRPr="008A0B8E">
              <w:rPr>
                <w:rFonts w:cstheme="minorHAnsi"/>
                <w:bCs/>
              </w:rPr>
              <w:t xml:space="preserve"> </w:t>
            </w:r>
            <w:r w:rsidR="00A01494" w:rsidRPr="008A0B8E">
              <w:rPr>
                <w:rFonts w:cstheme="minorHAnsi"/>
                <w:bCs/>
              </w:rPr>
              <w:t xml:space="preserve">other:  </w:t>
            </w:r>
            <w:sdt>
              <w:sdtPr>
                <w:id w:val="1834251992"/>
                <w:text/>
              </w:sdtPr>
              <w:sdtEndPr/>
              <w:sdtContent>
                <w:r w:rsidR="001C03E5" w:rsidRPr="00BD723E">
                  <w:t>Medicare Enrollment Database (EDB), Medicare Fee-for-Service (FFS) administrative claims data (Parts A and B), Medicare FFS non-institutional carrier claims, Durable Medical Equipment (DME) claims; American Community Survey (ACS); Area Health Resources File (AHRF).</w:t>
                </w:r>
              </w:sdtContent>
            </w:sdt>
          </w:p>
        </w:tc>
        <w:tc>
          <w:tcPr>
            <w:tcW w:w="4847" w:type="dxa"/>
          </w:tcPr>
          <w:p w14:paraId="0CABCFAB" w14:textId="5D0516E6" w:rsidR="00A01494" w:rsidRPr="008A0B8E" w:rsidRDefault="004E3927" w:rsidP="00DB3627">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9458CA" w:rsidRPr="00677A16">
                  <w:rPr>
                    <w:rFonts w:ascii="MS Gothic" w:eastAsia="MS Gothic" w:hAnsi="MS Gothic" w:cstheme="minorHAnsi"/>
                    <w:bCs/>
                  </w:rPr>
                  <w:t>☒</w:t>
                </w:r>
              </w:sdtContent>
            </w:sdt>
            <w:r w:rsidR="00B82A57" w:rsidRPr="008A0B8E">
              <w:rPr>
                <w:rFonts w:cstheme="minorHAnsi"/>
                <w:bCs/>
              </w:rPr>
              <w:t xml:space="preserve"> </w:t>
            </w:r>
            <w:r w:rsidR="00A01494" w:rsidRPr="008A0B8E">
              <w:rPr>
                <w:rFonts w:cstheme="minorHAnsi"/>
                <w:bCs/>
              </w:rPr>
              <w:t xml:space="preserve">other:  </w:t>
            </w:r>
            <w:sdt>
              <w:sdtPr>
                <w:id w:val="1976178076"/>
                <w:text/>
              </w:sdtPr>
              <w:sdtEndPr/>
              <w:sdtContent>
                <w:r w:rsidR="00BD723E" w:rsidRPr="00BD723E">
                  <w:t>Medicare Enrollment Database (EDB), Medicare Fee-for-Service (FFS) administrative claims data (Parts A and B), Medicare FFS non-institutional carrier claims, Durable Medical Equipment (DME) claims; American Community Survey (ACS); Area Health Resources File (AHRF).</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C3968F3" w14:textId="53590C21" w:rsidR="002566FF" w:rsidRDefault="002566FF"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[Note to NQF staff:  Please note that almost </w:t>
      </w:r>
      <w:proofErr w:type="gramStart"/>
      <w:r>
        <w:rPr>
          <w:rFonts w:ascii="Calibri" w:eastAsia="Calibri" w:hAnsi="Calibri" w:cs="Calibri"/>
          <w:color w:val="000000"/>
        </w:rPr>
        <w:t>all of</w:t>
      </w:r>
      <w:proofErr w:type="gramEnd"/>
      <w:r>
        <w:rPr>
          <w:rFonts w:ascii="Calibri" w:eastAsia="Calibri" w:hAnsi="Calibri" w:cs="Calibri"/>
          <w:color w:val="000000"/>
        </w:rPr>
        <w:t xml:space="preserve"> the information in this testing attachment has been updated for endorsement maintenance, therefore we have not used red text to indicate new content.]</w:t>
      </w:r>
    </w:p>
    <w:p w14:paraId="0D595B3A" w14:textId="77777777" w:rsidR="002566FF" w:rsidRDefault="002566FF"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1C239AD9" w14:textId="121A130C"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 xml:space="preserve">The datasets used </w:t>
      </w:r>
      <w:r>
        <w:rPr>
          <w:rFonts w:cstheme="minorHAnsi"/>
          <w:bCs/>
        </w:rPr>
        <w:t xml:space="preserve">for </w:t>
      </w:r>
      <w:r w:rsidR="00386B79">
        <w:rPr>
          <w:rFonts w:cstheme="minorHAnsi"/>
          <w:bCs/>
        </w:rPr>
        <w:t xml:space="preserve">the updates to the </w:t>
      </w:r>
      <w:r>
        <w:rPr>
          <w:rFonts w:cstheme="minorHAnsi"/>
          <w:bCs/>
        </w:rPr>
        <w:t>measure</w:t>
      </w:r>
      <w:r w:rsidR="00386B79">
        <w:rPr>
          <w:rFonts w:cstheme="minorHAnsi"/>
          <w:bCs/>
        </w:rPr>
        <w:t xml:space="preserve"> and</w:t>
      </w:r>
      <w:r>
        <w:rPr>
          <w:rFonts w:cstheme="minorHAnsi"/>
          <w:bCs/>
        </w:rPr>
        <w:t xml:space="preserve"> testing for endorsement maintenance were</w:t>
      </w:r>
      <w:r>
        <w:rPr>
          <w:rFonts w:ascii="Calibri" w:eastAsia="Calibri" w:hAnsi="Calibri" w:cs="Calibri"/>
          <w:color w:val="000000"/>
        </w:rPr>
        <w:t>:</w:t>
      </w:r>
    </w:p>
    <w:p w14:paraId="1CF833FA" w14:textId="77777777"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78EEB9AF" w14:textId="7E1D146D"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5F11F9">
        <w:rPr>
          <w:rFonts w:ascii="Calibri" w:eastAsia="Calibri" w:hAnsi="Calibri" w:cs="Calibri"/>
          <w:color w:val="000000"/>
        </w:rPr>
        <w:t xml:space="preserve">Medicare </w:t>
      </w:r>
      <w:r>
        <w:rPr>
          <w:rFonts w:ascii="Calibri" w:eastAsia="Calibri" w:hAnsi="Calibri" w:cs="Calibri"/>
          <w:color w:val="000000"/>
        </w:rPr>
        <w:t>Fee-for-Service (</w:t>
      </w:r>
      <w:r w:rsidRPr="005F11F9">
        <w:rPr>
          <w:rFonts w:ascii="Calibri" w:eastAsia="Calibri" w:hAnsi="Calibri" w:cs="Calibri"/>
          <w:color w:val="000000"/>
        </w:rPr>
        <w:t>FFS</w:t>
      </w:r>
      <w:r>
        <w:rPr>
          <w:rFonts w:ascii="Calibri" w:eastAsia="Calibri" w:hAnsi="Calibri" w:cs="Calibri"/>
          <w:color w:val="000000"/>
        </w:rPr>
        <w:t>)</w:t>
      </w:r>
      <w:r w:rsidRPr="005F11F9">
        <w:rPr>
          <w:rFonts w:ascii="Calibri" w:eastAsia="Calibri" w:hAnsi="Calibri" w:cs="Calibri"/>
          <w:color w:val="000000"/>
        </w:rPr>
        <w:t xml:space="preserve"> administrative claims </w:t>
      </w:r>
      <w:r>
        <w:rPr>
          <w:rFonts w:ascii="Calibri" w:eastAsia="Calibri" w:hAnsi="Calibri" w:cs="Calibri"/>
          <w:color w:val="000000"/>
        </w:rPr>
        <w:t xml:space="preserve">data (Parts A and B) </w:t>
      </w:r>
      <w:r w:rsidRPr="005F11F9">
        <w:rPr>
          <w:rFonts w:ascii="Calibri" w:eastAsia="Calibri" w:hAnsi="Calibri" w:cs="Calibri"/>
          <w:color w:val="000000"/>
        </w:rPr>
        <w:t xml:space="preserve">and </w:t>
      </w:r>
      <w:r>
        <w:rPr>
          <w:rFonts w:ascii="Calibri" w:eastAsia="Calibri" w:hAnsi="Calibri" w:cs="Calibri"/>
          <w:color w:val="000000"/>
        </w:rPr>
        <w:t>the Medicare Enrollment Database (EDB)</w:t>
      </w:r>
      <w:r w:rsidRPr="005F11F9">
        <w:rPr>
          <w:rFonts w:ascii="Calibri" w:eastAsia="Calibri" w:hAnsi="Calibri" w:cs="Calibri"/>
          <w:color w:val="000000"/>
        </w:rPr>
        <w:t xml:space="preserve"> from calendar year</w:t>
      </w:r>
      <w:r w:rsidR="003C0B61">
        <w:rPr>
          <w:rFonts w:ascii="Calibri" w:eastAsia="Calibri" w:hAnsi="Calibri" w:cs="Calibri"/>
          <w:color w:val="000000"/>
        </w:rPr>
        <w:t xml:space="preserve"> (CY)</w:t>
      </w:r>
      <w:r w:rsidRPr="005F11F9">
        <w:rPr>
          <w:rFonts w:ascii="Calibri" w:eastAsia="Calibri" w:hAnsi="Calibri" w:cs="Calibri"/>
          <w:color w:val="000000"/>
        </w:rPr>
        <w:t xml:space="preserve"> </w:t>
      </w:r>
      <w:r w:rsidR="003C0B61">
        <w:rPr>
          <w:rFonts w:ascii="Calibri" w:eastAsia="Calibri" w:hAnsi="Calibri" w:cs="Calibri"/>
          <w:color w:val="000000"/>
        </w:rPr>
        <w:t>2018</w:t>
      </w:r>
      <w:r>
        <w:rPr>
          <w:rFonts w:ascii="Calibri" w:eastAsia="Calibri" w:hAnsi="Calibri" w:cs="Calibri"/>
          <w:color w:val="000000"/>
        </w:rPr>
        <w:t>, as well as additional datasets specified below</w:t>
      </w:r>
      <w:r w:rsidRPr="005F11F9">
        <w:rPr>
          <w:rFonts w:ascii="Calibri" w:eastAsia="Calibri" w:hAnsi="Calibri" w:cs="Calibri"/>
          <w:color w:val="000000"/>
        </w:rPr>
        <w:t xml:space="preserve">. </w:t>
      </w:r>
    </w:p>
    <w:p w14:paraId="795673CB" w14:textId="77777777"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4A53174" w14:textId="342692EB" w:rsidR="00DC7AF7" w:rsidRDefault="003731CD"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1</w:t>
      </w:r>
      <w:r w:rsidR="00DC7AF7">
        <w:rPr>
          <w:rFonts w:ascii="Calibri" w:eastAsia="Calibri" w:hAnsi="Calibri" w:cs="Calibri"/>
          <w:color w:val="000000"/>
        </w:rPr>
        <w:t>. Datasets used to define the cohort:</w:t>
      </w:r>
    </w:p>
    <w:p w14:paraId="5066E89C" w14:textId="7FA711DF"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A77D36">
        <w:rPr>
          <w:rFonts w:cstheme="minorHAnsi"/>
        </w:rPr>
        <w:t xml:space="preserve">The status of enrollment in Medicare Parts A and B and Medicare’s hospice benefit for </w:t>
      </w:r>
      <w:r w:rsidR="003C0B61">
        <w:rPr>
          <w:rFonts w:cstheme="minorHAnsi"/>
        </w:rPr>
        <w:t>CY 2018</w:t>
      </w:r>
      <w:r w:rsidRPr="00A77D36">
        <w:rPr>
          <w:rFonts w:cstheme="minorHAnsi"/>
        </w:rPr>
        <w:t xml:space="preserve"> were obtained from the CMS</w:t>
      </w:r>
      <w:r>
        <w:rPr>
          <w:rFonts w:cstheme="minorHAnsi"/>
        </w:rPr>
        <w:t xml:space="preserve"> Medicare EDB and used to define cohort eligibility</w:t>
      </w:r>
      <w:r w:rsidRPr="00A77D36">
        <w:rPr>
          <w:rFonts w:cstheme="minorHAnsi"/>
        </w:rPr>
        <w:t>.</w:t>
      </w:r>
      <w:r>
        <w:rPr>
          <w:rFonts w:cstheme="minorHAnsi"/>
        </w:rPr>
        <w:t xml:space="preserve"> </w:t>
      </w:r>
    </w:p>
    <w:p w14:paraId="0BCE382F" w14:textId="77777777"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14E28E9" w14:textId="199A3A35" w:rsidR="00DC7AF7" w:rsidRDefault="003731CD"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2</w:t>
      </w:r>
      <w:r w:rsidR="00DC7AF7">
        <w:rPr>
          <w:rFonts w:ascii="Calibri" w:eastAsia="Calibri" w:hAnsi="Calibri" w:cs="Calibri"/>
          <w:color w:val="000000"/>
        </w:rPr>
        <w:t>. Datasets used to capture the outcome:</w:t>
      </w:r>
    </w:p>
    <w:p w14:paraId="2E843136" w14:textId="1F456B0A" w:rsidR="00DC7AF7" w:rsidRPr="002F15C8"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r>
        <w:rPr>
          <w:rFonts w:cstheme="minorHAnsi"/>
        </w:rPr>
        <w:t xml:space="preserve">We assessed provider performance in </w:t>
      </w:r>
      <w:r w:rsidR="003C0B61">
        <w:rPr>
          <w:rFonts w:cstheme="minorHAnsi"/>
        </w:rPr>
        <w:t>CY 2018</w:t>
      </w:r>
      <w:r>
        <w:rPr>
          <w:rFonts w:cstheme="minorHAnsi"/>
        </w:rPr>
        <w:t xml:space="preserve"> (referred to as the measurement year). </w:t>
      </w:r>
      <w:r w:rsidRPr="00A34292">
        <w:rPr>
          <w:rFonts w:cstheme="minorHAnsi"/>
        </w:rPr>
        <w:t>The outcome of acute, unplanned hospital admi</w:t>
      </w:r>
      <w:r w:rsidR="003C0B61">
        <w:rPr>
          <w:rFonts w:cstheme="minorHAnsi"/>
        </w:rPr>
        <w:t>ssions was identified using 2018</w:t>
      </w:r>
      <w:r w:rsidRPr="00A34292">
        <w:rPr>
          <w:rFonts w:cstheme="minorHAnsi"/>
        </w:rPr>
        <w:t xml:space="preserve"> Medicare FFS i</w:t>
      </w:r>
      <w:r w:rsidRPr="00A77D36">
        <w:rPr>
          <w:rFonts w:cstheme="minorHAnsi"/>
        </w:rPr>
        <w:t>nstitutional inpatient claims. Information on skilled nursing facility (SNF) and acute rehabilitation facility stays</w:t>
      </w:r>
      <w:r>
        <w:rPr>
          <w:rFonts w:cstheme="minorHAnsi"/>
        </w:rPr>
        <w:t xml:space="preserve"> as well as hospice entry</w:t>
      </w:r>
      <w:r w:rsidRPr="00A77D36">
        <w:rPr>
          <w:rFonts w:cstheme="minorHAnsi"/>
        </w:rPr>
        <w:t>, which factor into the outcome definition, was obtained using CMS’</w:t>
      </w:r>
      <w:r>
        <w:rPr>
          <w:rFonts w:cstheme="minorHAnsi"/>
        </w:rPr>
        <w:t>s</w:t>
      </w:r>
      <w:r w:rsidRPr="00A77D36">
        <w:rPr>
          <w:rFonts w:cstheme="minorHAnsi"/>
        </w:rPr>
        <w:t xml:space="preserve"> Integrated Data </w:t>
      </w:r>
      <w:r w:rsidRPr="00A77D36">
        <w:rPr>
          <w:rFonts w:cstheme="minorHAnsi"/>
        </w:rPr>
        <w:lastRenderedPageBreak/>
        <w:t>Repository (IDR)</w:t>
      </w:r>
      <w:r>
        <w:rPr>
          <w:rFonts w:cstheme="minorHAnsi"/>
        </w:rPr>
        <w:t>, and Medicare Enrollment Database (EDB)</w:t>
      </w:r>
      <w:r w:rsidRPr="00A34292">
        <w:rPr>
          <w:rFonts w:cstheme="minorHAnsi"/>
        </w:rPr>
        <w:t>, respectively.</w:t>
      </w:r>
      <w:r>
        <w:rPr>
          <w:rFonts w:cstheme="minorHAnsi"/>
        </w:rPr>
        <w:t xml:space="preserve"> Information on prior year’s visit to</w:t>
      </w:r>
      <w:r w:rsidR="003C0B61">
        <w:rPr>
          <w:rFonts w:cstheme="minorHAnsi"/>
        </w:rPr>
        <w:t xml:space="preserve"> the</w:t>
      </w:r>
      <w:r>
        <w:rPr>
          <w:rFonts w:cstheme="minorHAnsi"/>
        </w:rPr>
        <w:t xml:space="preserve"> attributed </w:t>
      </w:r>
      <w:r w:rsidR="003C0B61">
        <w:rPr>
          <w:rFonts w:cstheme="minorHAnsi"/>
        </w:rPr>
        <w:t>ACO</w:t>
      </w:r>
      <w:r>
        <w:rPr>
          <w:rFonts w:cstheme="minorHAnsi"/>
        </w:rPr>
        <w:t xml:space="preserve">, used in determining whether to exclude some admissions in the measurement year, was obtained from </w:t>
      </w:r>
      <w:r w:rsidR="008A0861">
        <w:rPr>
          <w:rFonts w:cstheme="minorHAnsi"/>
        </w:rPr>
        <w:t xml:space="preserve">2017 </w:t>
      </w:r>
      <w:r w:rsidRPr="00D602E2">
        <w:rPr>
          <w:rFonts w:cstheme="minorHAnsi"/>
        </w:rPr>
        <w:t>Medicare FFS non-institutional carrier claims</w:t>
      </w:r>
      <w:r>
        <w:rPr>
          <w:rFonts w:cstheme="minorHAnsi"/>
        </w:rPr>
        <w:t>.</w:t>
      </w:r>
    </w:p>
    <w:p w14:paraId="2060B1CC" w14:textId="77777777"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3891A189" w14:textId="0D114756" w:rsidR="00DC7AF7" w:rsidRDefault="003731CD"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3</w:t>
      </w:r>
      <w:r w:rsidR="00DC7AF7">
        <w:rPr>
          <w:rFonts w:ascii="Calibri" w:eastAsia="Calibri" w:hAnsi="Calibri" w:cs="Calibri"/>
          <w:color w:val="000000"/>
        </w:rPr>
        <w:t xml:space="preserve">. Datasets used for attribution: </w:t>
      </w:r>
    </w:p>
    <w:p w14:paraId="45EECC5D" w14:textId="45281388"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r w:rsidRPr="00D602E2">
        <w:rPr>
          <w:rFonts w:cstheme="minorHAnsi"/>
        </w:rPr>
        <w:t>Outpatient Evaluation and Management (E&amp;M) visits during the</w:t>
      </w:r>
      <w:r>
        <w:rPr>
          <w:rFonts w:cstheme="minorHAnsi"/>
        </w:rPr>
        <w:t xml:space="preserve"> </w:t>
      </w:r>
      <w:r w:rsidRPr="00D602E2">
        <w:rPr>
          <w:rFonts w:cstheme="minorHAnsi"/>
        </w:rPr>
        <w:t>measurement</w:t>
      </w:r>
      <w:r w:rsidR="003C0B61">
        <w:rPr>
          <w:rFonts w:cstheme="minorHAnsi"/>
        </w:rPr>
        <w:t xml:space="preserve"> year, identified using the 2018</w:t>
      </w:r>
      <w:r w:rsidRPr="00D602E2">
        <w:rPr>
          <w:rFonts w:cstheme="minorHAnsi"/>
        </w:rPr>
        <w:t xml:space="preserve"> Medicare FFS non-institutional carrier claims, were used to attribute patients to providers</w:t>
      </w:r>
      <w:r>
        <w:rPr>
          <w:rFonts w:cstheme="minorHAnsi"/>
        </w:rPr>
        <w:t>.</w:t>
      </w:r>
    </w:p>
    <w:p w14:paraId="7522E7CB" w14:textId="77777777"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723590C" w14:textId="3810FC11" w:rsidR="00DC7AF7" w:rsidRDefault="003731CD" w:rsidP="00DC7AF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alibri" w:eastAsia="Calibri" w:hAnsi="Calibri" w:cs="Calibri"/>
          <w:color w:val="000000"/>
        </w:rPr>
      </w:pPr>
      <w:r>
        <w:rPr>
          <w:rFonts w:ascii="Calibri" w:eastAsia="Calibri" w:hAnsi="Calibri" w:cs="Calibri"/>
          <w:color w:val="000000"/>
        </w:rPr>
        <w:t>4</w:t>
      </w:r>
      <w:r w:rsidR="00DC7AF7">
        <w:rPr>
          <w:rFonts w:ascii="Calibri" w:eastAsia="Calibri" w:hAnsi="Calibri" w:cs="Calibri"/>
          <w:color w:val="000000"/>
        </w:rPr>
        <w:t>. Datasets used to identify risk adjustment factors:</w:t>
      </w:r>
    </w:p>
    <w:p w14:paraId="021BF668" w14:textId="1D52F881"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alibri" w:eastAsia="Times New Roman" w:hAnsi="Calibri" w:cs="Times New Roman"/>
        </w:rPr>
      </w:pPr>
      <w:r>
        <w:rPr>
          <w:rFonts w:ascii="Calibri" w:eastAsia="Calibri" w:hAnsi="Calibri" w:cs="Calibri"/>
          <w:color w:val="000000"/>
        </w:rPr>
        <w:t>-</w:t>
      </w:r>
      <w:r w:rsidRPr="002D6112">
        <w:t xml:space="preserve"> </w:t>
      </w:r>
      <w:r w:rsidRPr="002F15C8">
        <w:rPr>
          <w:u w:val="single"/>
        </w:rPr>
        <w:t>Clinical comorbidities</w:t>
      </w:r>
      <w:r w:rsidR="003C0B61">
        <w:t>: 2017</w:t>
      </w:r>
      <w:r>
        <w:t xml:space="preserve"> </w:t>
      </w:r>
      <w:r w:rsidRPr="00820DA1">
        <w:t>Medicare FFS institutional inpatient and outpatient claims</w:t>
      </w:r>
      <w:r>
        <w:t xml:space="preserve">, and </w:t>
      </w:r>
      <w:r w:rsidRPr="00E032AA">
        <w:t>non-institutional carrier claims</w:t>
      </w:r>
      <w:r>
        <w:t>.</w:t>
      </w:r>
      <w:r w:rsidRPr="002D6112">
        <w:rPr>
          <w:rFonts w:ascii="Calibri" w:eastAsia="Times New Roman" w:hAnsi="Calibri" w:cs="Times New Roman"/>
        </w:rPr>
        <w:t xml:space="preserve"> </w:t>
      </w:r>
    </w:p>
    <w:p w14:paraId="05C8AD7B" w14:textId="56D395A9"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alibri" w:eastAsia="Times New Roman" w:hAnsi="Calibri" w:cs="Times New Roman"/>
        </w:rPr>
      </w:pPr>
      <w:r>
        <w:rPr>
          <w:rFonts w:ascii="Calibri" w:eastAsia="Times New Roman" w:hAnsi="Calibri" w:cs="Times New Roman"/>
        </w:rPr>
        <w:t xml:space="preserve">- </w:t>
      </w:r>
      <w:r w:rsidRPr="002F15C8">
        <w:rPr>
          <w:rFonts w:ascii="Calibri" w:eastAsia="Times New Roman" w:hAnsi="Calibri" w:cs="Times New Roman"/>
          <w:u w:val="single"/>
        </w:rPr>
        <w:t>Frailty indicators</w:t>
      </w:r>
      <w:r>
        <w:rPr>
          <w:rFonts w:ascii="Calibri" w:eastAsia="Times New Roman" w:hAnsi="Calibri" w:cs="Times New Roman"/>
        </w:rPr>
        <w:t xml:space="preserve">: </w:t>
      </w:r>
      <w:r w:rsidR="003C0B61">
        <w:rPr>
          <w:rFonts w:ascii="Calibri" w:eastAsia="Times New Roman" w:hAnsi="Calibri" w:cs="Times New Roman"/>
        </w:rPr>
        <w:t>2017</w:t>
      </w:r>
      <w:r w:rsidRPr="00B82470">
        <w:rPr>
          <w:rFonts w:ascii="Calibri" w:eastAsia="Times New Roman" w:hAnsi="Calibri" w:cs="Times New Roman"/>
        </w:rPr>
        <w:t xml:space="preserve"> durable medical equipment (DME) claims</w:t>
      </w:r>
      <w:r>
        <w:rPr>
          <w:rFonts w:ascii="Calibri" w:eastAsia="Times New Roman" w:hAnsi="Calibri" w:cs="Times New Roman"/>
        </w:rPr>
        <w:t>.</w:t>
      </w:r>
    </w:p>
    <w:p w14:paraId="7EB3F5EA" w14:textId="77777777"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alibri" w:eastAsia="Times New Roman" w:hAnsi="Calibri" w:cs="Times New Roman"/>
        </w:rPr>
      </w:pPr>
      <w:r>
        <w:rPr>
          <w:rFonts w:ascii="Calibri" w:eastAsia="Times New Roman" w:hAnsi="Calibri" w:cs="Times New Roman"/>
        </w:rPr>
        <w:t xml:space="preserve">- </w:t>
      </w:r>
      <w:r w:rsidRPr="002F15C8">
        <w:rPr>
          <w:rFonts w:ascii="Calibri" w:eastAsia="Times New Roman" w:hAnsi="Calibri" w:cs="Times New Roman"/>
          <w:u w:val="single"/>
        </w:rPr>
        <w:t>Original reason for Medicare entitlement</w:t>
      </w:r>
      <w:r>
        <w:rPr>
          <w:rFonts w:ascii="Calibri" w:eastAsia="Times New Roman" w:hAnsi="Calibri" w:cs="Times New Roman"/>
        </w:rPr>
        <w:t>: Medicare EDB.</w:t>
      </w:r>
    </w:p>
    <w:p w14:paraId="58EE059D" w14:textId="77777777"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pPr>
      <w:r>
        <w:rPr>
          <w:rFonts w:ascii="Calibri" w:eastAsia="Times New Roman" w:hAnsi="Calibri" w:cs="Times New Roman"/>
        </w:rPr>
        <w:t xml:space="preserve">- </w:t>
      </w:r>
      <w:r w:rsidRPr="002F15C8">
        <w:rPr>
          <w:rFonts w:ascii="Calibri" w:eastAsia="Times New Roman" w:hAnsi="Calibri" w:cs="Times New Roman"/>
          <w:u w:val="single"/>
        </w:rPr>
        <w:t>Social risk factors</w:t>
      </w:r>
      <w:r>
        <w:rPr>
          <w:rFonts w:ascii="Calibri" w:eastAsia="Times New Roman" w:hAnsi="Calibri" w:cs="Times New Roman"/>
        </w:rPr>
        <w:t xml:space="preserve">: </w:t>
      </w:r>
      <w:r w:rsidRPr="002D6112">
        <w:t xml:space="preserve">The </w:t>
      </w:r>
      <w:r w:rsidRPr="00C77D8D">
        <w:t>social risk factors</w:t>
      </w:r>
      <w:r w:rsidRPr="002D6112">
        <w:t xml:space="preserve"> for analysis and the data sources used to define them were as follows: </w:t>
      </w:r>
    </w:p>
    <w:p w14:paraId="3E5A2D14" w14:textId="53A71C41"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pPr>
      <w:r>
        <w:t xml:space="preserve">1) </w:t>
      </w:r>
      <w:r w:rsidRPr="002D6112">
        <w:t xml:space="preserve">Medicare/Medicaid dual-eligibility status: </w:t>
      </w:r>
      <w:r w:rsidR="008A0861" w:rsidRPr="002D6112">
        <w:t>201</w:t>
      </w:r>
      <w:r w:rsidR="008A0861">
        <w:t>7</w:t>
      </w:r>
      <w:r w:rsidRPr="002D6112">
        <w:t>-</w:t>
      </w:r>
      <w:r w:rsidR="008A0861" w:rsidRPr="002D6112">
        <w:t>201</w:t>
      </w:r>
      <w:r w:rsidR="008A0861">
        <w:t>8</w:t>
      </w:r>
      <w:r w:rsidR="008A0861" w:rsidRPr="002D6112">
        <w:t xml:space="preserve"> </w:t>
      </w:r>
      <w:r w:rsidR="008A0861" w:rsidRPr="008A0861">
        <w:t xml:space="preserve">State Reported Dual Eligible Status Code </w:t>
      </w:r>
      <w:r w:rsidR="008A0861">
        <w:t xml:space="preserve">in the </w:t>
      </w:r>
      <w:r w:rsidR="008A0861">
        <w:rPr>
          <w:rFonts w:ascii="Calibri" w:eastAsia="Times New Roman" w:hAnsi="Calibri" w:cs="Times New Roman"/>
        </w:rPr>
        <w:t>Medicare EDB</w:t>
      </w:r>
      <w:r w:rsidRPr="002D6112">
        <w:t>.</w:t>
      </w:r>
      <w:r>
        <w:t xml:space="preserve"> </w:t>
      </w:r>
    </w:p>
    <w:p w14:paraId="24803853" w14:textId="3D5099D1"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pPr>
      <w:r>
        <w:t xml:space="preserve">2) </w:t>
      </w:r>
      <w:r w:rsidRPr="002D6112">
        <w:t xml:space="preserve">Agency for Healthcare Research Quality (AHRQ) Socioeconomic Status (SES) Index: </w:t>
      </w:r>
      <w:r w:rsidR="008A0861" w:rsidRPr="002D6112">
        <w:t>20</w:t>
      </w:r>
      <w:r w:rsidR="008A0861">
        <w:t>13</w:t>
      </w:r>
      <w:r w:rsidRPr="002D6112">
        <w:t>-</w:t>
      </w:r>
      <w:r w:rsidR="008A0861" w:rsidRPr="002D6112">
        <w:t>201</w:t>
      </w:r>
      <w:r w:rsidR="008A0861">
        <w:t>7</w:t>
      </w:r>
      <w:r w:rsidR="008A0861" w:rsidRPr="002D6112">
        <w:t xml:space="preserve"> </w:t>
      </w:r>
      <w:r w:rsidRPr="002D6112">
        <w:t xml:space="preserve">American Community Survey </w:t>
      </w:r>
      <w:r>
        <w:t>(</w:t>
      </w:r>
      <w:r w:rsidRPr="002D6112">
        <w:t>ACS).</w:t>
      </w:r>
      <w:r>
        <w:t xml:space="preserve"> </w:t>
      </w:r>
    </w:p>
    <w:p w14:paraId="65FD9CBF" w14:textId="760FB17D"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pPr>
      <w:r>
        <w:t xml:space="preserve">3) </w:t>
      </w:r>
      <w:r w:rsidRPr="002D6112">
        <w:t>Rural residence: 2014 United States Department of Agriculture Economic Research Service.</w:t>
      </w:r>
      <w:r>
        <w:t xml:space="preserve"> </w:t>
      </w:r>
    </w:p>
    <w:p w14:paraId="4D7327FF" w14:textId="0E98F59A" w:rsidR="00DC7AF7" w:rsidRDefault="00DC7AF7" w:rsidP="00DC7AF7">
      <w:pPr>
        <w:pBdr>
          <w:top w:val="single" w:sz="4" w:space="1" w:color="auto"/>
          <w:left w:val="single" w:sz="4" w:space="4" w:color="auto"/>
          <w:bottom w:val="single" w:sz="4" w:space="1" w:color="auto"/>
          <w:right w:val="single" w:sz="4" w:space="4" w:color="auto"/>
        </w:pBdr>
        <w:autoSpaceDE w:val="0"/>
        <w:autoSpaceDN w:val="0"/>
        <w:adjustRightInd w:val="0"/>
        <w:spacing w:after="0"/>
      </w:pPr>
      <w:r>
        <w:t>4) Primary care provider (</w:t>
      </w:r>
      <w:r w:rsidRPr="002D6112">
        <w:t>PCP</w:t>
      </w:r>
      <w:r>
        <w:t>)</w:t>
      </w:r>
      <w:r w:rsidRPr="002D6112">
        <w:t xml:space="preserve"> and </w:t>
      </w:r>
      <w:r>
        <w:t>physician-specialist density</w:t>
      </w:r>
      <w:r w:rsidRPr="002D6112">
        <w:t xml:space="preserve"> variables: </w:t>
      </w:r>
      <w:r w:rsidR="008A0861">
        <w:t>2018</w:t>
      </w:r>
      <w:r>
        <w:t>-</w:t>
      </w:r>
      <w:r w:rsidR="008A0861">
        <w:t>2019</w:t>
      </w:r>
      <w:r w:rsidR="008A0861" w:rsidRPr="002D6112">
        <w:t xml:space="preserve"> </w:t>
      </w:r>
      <w:r w:rsidRPr="002D6112">
        <w:t>Area Health Resources File (AHRF).</w:t>
      </w:r>
    </w:p>
    <w:p w14:paraId="343068D1" w14:textId="77777777" w:rsidR="007413CB" w:rsidRPr="005F11F9"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CABCFAF" w14:textId="01F46A8A" w:rsidR="009E1846" w:rsidRDefault="009E1846" w:rsidP="00DB3627">
      <w:pPr>
        <w:autoSpaceDE w:val="0"/>
        <w:autoSpaceDN w:val="0"/>
        <w:adjustRightInd w:val="0"/>
        <w:spacing w:after="0" w:line="240" w:lineRule="auto"/>
        <w:rPr>
          <w:rFonts w:cstheme="minorHAnsi"/>
          <w:b/>
        </w:rPr>
      </w:pPr>
    </w:p>
    <w:p w14:paraId="0CABCFB0" w14:textId="318FCC5B"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20CE2811" w14:textId="1B632019" w:rsidR="007413CB" w:rsidRPr="00CB118B"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bCs/>
          <w:color w:val="000000"/>
        </w:rPr>
      </w:pPr>
      <w:r w:rsidRPr="00BF6266">
        <w:rPr>
          <w:rFonts w:ascii="Calibri" w:eastAsia="Calibri" w:hAnsi="Calibri" w:cs="Calibri"/>
          <w:bCs/>
          <w:color w:val="000000"/>
        </w:rPr>
        <w:t xml:space="preserve">The dates of the data vary by testing type. </w:t>
      </w:r>
      <w:r w:rsidR="00DC7AF7">
        <w:rPr>
          <w:rFonts w:ascii="Calibri" w:eastAsia="Calibri" w:hAnsi="Calibri" w:cs="Calibri"/>
          <w:bCs/>
          <w:color w:val="000000"/>
        </w:rPr>
        <w:t xml:space="preserve">See </w:t>
      </w:r>
      <w:r w:rsidR="007C6BEF">
        <w:rPr>
          <w:rFonts w:ascii="Calibri" w:eastAsia="Calibri" w:hAnsi="Calibri" w:cs="Calibri"/>
          <w:bCs/>
          <w:color w:val="000000"/>
        </w:rPr>
        <w:t>S</w:t>
      </w:r>
      <w:r w:rsidR="00DC7AF7">
        <w:rPr>
          <w:rFonts w:ascii="Calibri" w:eastAsia="Calibri" w:hAnsi="Calibri" w:cs="Calibri"/>
          <w:bCs/>
          <w:color w:val="000000"/>
        </w:rPr>
        <w:t>ection 1.7 for details.</w:t>
      </w: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4F1CFFDF" w:rsidR="000414E8" w:rsidRPr="00276AF5" w:rsidRDefault="004E3927" w:rsidP="00D61410">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DC7AF7" w:rsidRPr="00677A16">
                  <w:rPr>
                    <w:rFonts w:ascii="MS Gothic" w:eastAsia="MS Gothic" w:hAnsi="MS Gothic" w:cstheme="minorHAnsi"/>
                    <w:bCs/>
                  </w:rPr>
                  <w:t>☐</w:t>
                </w:r>
              </w:sdtContent>
            </w:sdt>
            <w:r w:rsidR="000414E8" w:rsidRPr="00276AF5">
              <w:rPr>
                <w:rFonts w:cstheme="minorHAnsi"/>
                <w:bCs/>
              </w:rPr>
              <w:t xml:space="preserve"> individual clinician</w:t>
            </w:r>
          </w:p>
        </w:tc>
        <w:tc>
          <w:tcPr>
            <w:tcW w:w="5028" w:type="dxa"/>
          </w:tcPr>
          <w:p w14:paraId="0CABCFB8" w14:textId="196A7574" w:rsidR="000414E8" w:rsidRPr="00276AF5" w:rsidRDefault="004E3927" w:rsidP="00D61410">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DC7AF7" w:rsidRPr="00677A16">
                  <w:rPr>
                    <w:rFonts w:ascii="MS Gothic" w:eastAsia="MS Gothic" w:hAnsi="MS Gothic" w:cstheme="minorHAnsi"/>
                    <w:bCs/>
                  </w:rPr>
                  <w:t>☐</w:t>
                </w:r>
              </w:sdtContent>
            </w:sdt>
            <w:r w:rsidR="000414E8" w:rsidRPr="00276AF5">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2DD7640C" w:rsidR="000414E8" w:rsidRPr="00276AF5" w:rsidRDefault="004E3927"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DC7AF7" w:rsidRPr="00677A16">
                  <w:rPr>
                    <w:rFonts w:ascii="MS Gothic" w:eastAsia="MS Gothic" w:hAnsi="MS Gothic" w:cstheme="minorHAnsi"/>
                    <w:bCs/>
                  </w:rPr>
                  <w:t>☐</w:t>
                </w:r>
              </w:sdtContent>
            </w:sdt>
            <w:r w:rsidR="000414E8" w:rsidRPr="00276AF5">
              <w:rPr>
                <w:rFonts w:cstheme="minorHAnsi"/>
                <w:bCs/>
              </w:rPr>
              <w:t xml:space="preserve"> </w:t>
            </w:r>
            <w:r w:rsidR="000414E8" w:rsidRPr="00276AF5">
              <w:rPr>
                <w:rFonts w:eastAsia="MS Gothic" w:cstheme="minorHAnsi"/>
                <w:bCs/>
              </w:rPr>
              <w:t>group/practice</w:t>
            </w:r>
          </w:p>
        </w:tc>
        <w:tc>
          <w:tcPr>
            <w:tcW w:w="5028" w:type="dxa"/>
          </w:tcPr>
          <w:p w14:paraId="0CABCFBB" w14:textId="2F9348D9" w:rsidR="000414E8" w:rsidRPr="00276AF5" w:rsidRDefault="004E3927"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DC7AF7" w:rsidRPr="00677A16">
                  <w:rPr>
                    <w:rFonts w:ascii="MS Gothic" w:eastAsia="MS Gothic" w:hAnsi="MS Gothic" w:cstheme="minorHAnsi"/>
                    <w:bCs/>
                  </w:rPr>
                  <w:t>☐</w:t>
                </w:r>
              </w:sdtContent>
            </w:sdt>
            <w:r w:rsidR="000414E8" w:rsidRPr="00276AF5">
              <w:rPr>
                <w:rFonts w:cstheme="minorHAnsi"/>
                <w:bCs/>
              </w:rPr>
              <w:t xml:space="preserve"> </w:t>
            </w:r>
            <w:r w:rsidR="000414E8" w:rsidRPr="00276AF5">
              <w:rPr>
                <w:rFonts w:eastAsia="MS Gothic" w:cstheme="minorHAnsi"/>
                <w:bCs/>
              </w:rPr>
              <w:t>group/practice</w:t>
            </w:r>
          </w:p>
        </w:tc>
      </w:tr>
      <w:tr w:rsidR="000414E8" w:rsidRPr="00A01494" w14:paraId="0CABCFBF" w14:textId="77777777" w:rsidTr="000414E8">
        <w:trPr>
          <w:jc w:val="center"/>
        </w:trPr>
        <w:tc>
          <w:tcPr>
            <w:tcW w:w="5027" w:type="dxa"/>
          </w:tcPr>
          <w:p w14:paraId="0CABCFBD" w14:textId="5F013981" w:rsidR="000414E8" w:rsidRPr="00276AF5" w:rsidRDefault="004E3927" w:rsidP="00D61410">
            <w:pPr>
              <w:autoSpaceDE w:val="0"/>
              <w:autoSpaceDN w:val="0"/>
              <w:adjustRightInd w:val="0"/>
              <w:rPr>
                <w:rFonts w:cstheme="minorHAnsi"/>
                <w:bCs/>
              </w:rPr>
            </w:pPr>
            <w:sdt>
              <w:sdtPr>
                <w:rPr>
                  <w:rFonts w:cstheme="minorHAnsi"/>
                  <w:bCs/>
                </w:rPr>
                <w:id w:val="-1855098074"/>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0414E8" w:rsidRPr="00276AF5">
              <w:rPr>
                <w:rFonts w:cstheme="minorHAnsi"/>
                <w:bCs/>
              </w:rPr>
              <w:t xml:space="preserve"> </w:t>
            </w:r>
            <w:r w:rsidR="000414E8" w:rsidRPr="00276AF5">
              <w:rPr>
                <w:rFonts w:eastAsia="MS Gothic" w:cstheme="minorHAnsi"/>
                <w:bCs/>
              </w:rPr>
              <w:t>hospital/facility/agency</w:t>
            </w:r>
          </w:p>
        </w:tc>
        <w:tc>
          <w:tcPr>
            <w:tcW w:w="5028" w:type="dxa"/>
          </w:tcPr>
          <w:p w14:paraId="0CABCFBE" w14:textId="276F0757" w:rsidR="000414E8" w:rsidRPr="00276AF5" w:rsidRDefault="004E3927" w:rsidP="00D61410">
            <w:pPr>
              <w:autoSpaceDE w:val="0"/>
              <w:autoSpaceDN w:val="0"/>
              <w:adjustRightInd w:val="0"/>
              <w:rPr>
                <w:rFonts w:cstheme="minorHAnsi"/>
                <w:bCs/>
              </w:rPr>
            </w:pPr>
            <w:sdt>
              <w:sdtPr>
                <w:rPr>
                  <w:rFonts w:cstheme="minorHAnsi"/>
                  <w:bCs/>
                </w:rPr>
                <w:id w:val="1857455968"/>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0414E8" w:rsidRPr="00276AF5">
              <w:rPr>
                <w:rFonts w:cstheme="minorHAnsi"/>
                <w:bCs/>
              </w:rPr>
              <w:t xml:space="preserve"> </w:t>
            </w:r>
            <w:r w:rsidR="000414E8" w:rsidRPr="00276AF5">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A2DB506" w:rsidR="000414E8" w:rsidRPr="00276AF5" w:rsidRDefault="004E3927"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6574D2" w:rsidRPr="00677A16">
              <w:rPr>
                <w:rFonts w:cstheme="minorHAnsi"/>
                <w:bCs/>
              </w:rPr>
              <w:t xml:space="preserve"> </w:t>
            </w:r>
            <w:r w:rsidR="000414E8" w:rsidRPr="00276AF5">
              <w:rPr>
                <w:rFonts w:cstheme="minorHAnsi"/>
                <w:bCs/>
              </w:rPr>
              <w:t>health plan</w:t>
            </w:r>
          </w:p>
        </w:tc>
        <w:tc>
          <w:tcPr>
            <w:tcW w:w="5028" w:type="dxa"/>
          </w:tcPr>
          <w:p w14:paraId="0CABCFC1" w14:textId="01B1CC57" w:rsidR="000414E8" w:rsidRPr="00276AF5" w:rsidRDefault="004E3927"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0414E8" w:rsidRPr="00276AF5">
              <w:rPr>
                <w:rFonts w:cstheme="minorHAnsi"/>
                <w:bCs/>
              </w:rPr>
              <w:t xml:space="preserve"> health plan</w:t>
            </w:r>
          </w:p>
        </w:tc>
      </w:tr>
      <w:tr w:rsidR="000414E8" w:rsidRPr="00A01494" w14:paraId="0CABCFC5" w14:textId="77777777" w:rsidTr="000414E8">
        <w:trPr>
          <w:jc w:val="center"/>
        </w:trPr>
        <w:tc>
          <w:tcPr>
            <w:tcW w:w="5027" w:type="dxa"/>
          </w:tcPr>
          <w:p w14:paraId="0CABCFC3" w14:textId="13F14A45" w:rsidR="000414E8" w:rsidRPr="00276AF5" w:rsidRDefault="004E3927" w:rsidP="00D61410">
            <w:pPr>
              <w:autoSpaceDE w:val="0"/>
              <w:autoSpaceDN w:val="0"/>
              <w:adjustRightInd w:val="0"/>
              <w:rPr>
                <w:rFonts w:cstheme="minorHAnsi"/>
                <w:bCs/>
              </w:rPr>
            </w:pPr>
            <w:sdt>
              <w:sdtPr>
                <w:rPr>
                  <w:rFonts w:cstheme="minorHAnsi"/>
                  <w:bCs/>
                </w:rPr>
                <w:id w:val="-1138024150"/>
                <w14:checkbox>
                  <w14:checked w14:val="1"/>
                  <w14:checkedState w14:val="2612" w14:font="MS Gothic"/>
                  <w14:uncheckedState w14:val="2610" w14:font="MS Gothic"/>
                </w14:checkbox>
              </w:sdtPr>
              <w:sdtEndPr/>
              <w:sdtContent>
                <w:r w:rsidR="00DC7AF7" w:rsidRPr="00677A16">
                  <w:rPr>
                    <w:rFonts w:ascii="MS Gothic" w:eastAsia="MS Gothic" w:hAnsi="MS Gothic" w:cstheme="minorHAnsi"/>
                    <w:bCs/>
                  </w:rPr>
                  <w:t>☒</w:t>
                </w:r>
              </w:sdtContent>
            </w:sdt>
            <w:r w:rsidR="000414E8" w:rsidRPr="00276AF5">
              <w:rPr>
                <w:rFonts w:cstheme="minorHAnsi"/>
                <w:bCs/>
              </w:rPr>
              <w:t xml:space="preserve"> other:  </w:t>
            </w:r>
            <w:sdt>
              <w:sdtPr>
                <w:rPr>
                  <w:rStyle w:val="Style1"/>
                  <w:color w:val="auto"/>
                </w:rPr>
                <w:id w:val="1923679898"/>
                <w:text/>
              </w:sdtPr>
              <w:sdtEndPr>
                <w:rPr>
                  <w:rStyle w:val="DefaultParagraphFont"/>
                  <w:rFonts w:cstheme="minorHAnsi"/>
                  <w:bCs/>
                </w:rPr>
              </w:sdtEndPr>
              <w:sdtContent>
                <w:r w:rsidR="00DC7AF7" w:rsidRPr="00276AF5">
                  <w:rPr>
                    <w:rStyle w:val="Style1"/>
                    <w:color w:val="auto"/>
                  </w:rPr>
                  <w:t>Accountable Care Organization</w:t>
                </w:r>
              </w:sdtContent>
            </w:sdt>
          </w:p>
        </w:tc>
        <w:tc>
          <w:tcPr>
            <w:tcW w:w="5028" w:type="dxa"/>
          </w:tcPr>
          <w:p w14:paraId="0CABCFC4" w14:textId="64404546" w:rsidR="000414E8" w:rsidRPr="00276AF5" w:rsidRDefault="004E3927" w:rsidP="00D61410">
            <w:pPr>
              <w:autoSpaceDE w:val="0"/>
              <w:autoSpaceDN w:val="0"/>
              <w:adjustRightInd w:val="0"/>
              <w:rPr>
                <w:rFonts w:cstheme="minorHAnsi"/>
                <w:bCs/>
              </w:rPr>
            </w:pPr>
            <w:sdt>
              <w:sdtPr>
                <w:rPr>
                  <w:rFonts w:cstheme="minorHAnsi"/>
                  <w:bCs/>
                </w:rPr>
                <w:id w:val="-417333514"/>
                <w14:checkbox>
                  <w14:checked w14:val="1"/>
                  <w14:checkedState w14:val="2612" w14:font="MS Gothic"/>
                  <w14:uncheckedState w14:val="2610" w14:font="MS Gothic"/>
                </w14:checkbox>
              </w:sdtPr>
              <w:sdtEndPr/>
              <w:sdtContent>
                <w:r w:rsidR="00DC7AF7" w:rsidRPr="00677A16">
                  <w:rPr>
                    <w:rFonts w:ascii="MS Gothic" w:eastAsia="MS Gothic" w:hAnsi="MS Gothic" w:cstheme="minorHAnsi"/>
                    <w:bCs/>
                  </w:rPr>
                  <w:t>☒</w:t>
                </w:r>
              </w:sdtContent>
            </w:sdt>
            <w:r w:rsidR="000414E8" w:rsidRPr="00276AF5">
              <w:rPr>
                <w:rFonts w:cstheme="minorHAnsi"/>
                <w:bCs/>
              </w:rPr>
              <w:t xml:space="preserve"> other:  </w:t>
            </w:r>
            <w:sdt>
              <w:sdtPr>
                <w:rPr>
                  <w:rStyle w:val="Style1"/>
                  <w:color w:val="auto"/>
                </w:rPr>
                <w:id w:val="2034217519"/>
                <w:text/>
              </w:sdtPr>
              <w:sdtEndPr>
                <w:rPr>
                  <w:rStyle w:val="DefaultParagraphFont"/>
                  <w:rFonts w:cstheme="minorHAnsi"/>
                  <w:bCs/>
                </w:rPr>
              </w:sdtEndPr>
              <w:sdtContent>
                <w:r w:rsidR="00DC7AF7" w:rsidRPr="00276AF5">
                  <w:rPr>
                    <w:rStyle w:val="Style1"/>
                    <w:color w:val="auto"/>
                  </w:rPr>
                  <w:t>Accountable Care Organization</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363D2390" w14:textId="40B9F17A" w:rsidR="00FE4642"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8719B87" w14:textId="77777777" w:rsidR="00FE4642" w:rsidRDefault="00FE4642" w:rsidP="00DB3627">
      <w:pPr>
        <w:autoSpaceDE w:val="0"/>
        <w:autoSpaceDN w:val="0"/>
        <w:adjustRightInd w:val="0"/>
        <w:spacing w:after="0" w:line="240" w:lineRule="auto"/>
        <w:rPr>
          <w:rFonts w:cstheme="minorHAnsi"/>
          <w:bCs/>
        </w:rPr>
      </w:pPr>
    </w:p>
    <w:p w14:paraId="46731D06" w14:textId="5E1F11E8" w:rsidR="00386B79" w:rsidRPr="006A2350" w:rsidRDefault="00FE4642" w:rsidP="006A2350">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FE4642">
        <w:t>Accountable Care Organizations (ACOs) in CMS’</w:t>
      </w:r>
      <w:r w:rsidR="00276AF5">
        <w:t>s</w:t>
      </w:r>
      <w:r w:rsidRPr="00FE4642">
        <w:t xml:space="preserve"> Medicare Shared Savings Program (MSSP) were the measured entities. The number of measured entities was 559 MSSP ACOs.</w:t>
      </w:r>
    </w:p>
    <w:p w14:paraId="57AA8712" w14:textId="05845FB6" w:rsidR="00394224"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394224">
        <w:rPr>
          <w:rFonts w:cstheme="minorHAnsi"/>
          <w:bCs/>
        </w:rPr>
        <w:t xml:space="preserve">) </w:t>
      </w:r>
    </w:p>
    <w:p w14:paraId="0CABCFC9" w14:textId="296302A5" w:rsidR="007422FD" w:rsidRPr="007413CB" w:rsidRDefault="0051072E" w:rsidP="007413CB">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t xml:space="preserve">There were </w:t>
      </w:r>
      <w:r w:rsidRPr="00250A66">
        <w:t>2,515,727</w:t>
      </w:r>
      <w:r>
        <w:t xml:space="preserve"> </w:t>
      </w:r>
      <w:r w:rsidR="007413CB">
        <w:t xml:space="preserve">patients </w:t>
      </w:r>
      <w:r w:rsidR="00250A66" w:rsidRPr="00250A66">
        <w:t>with MCC</w:t>
      </w:r>
      <w:r>
        <w:t>s</w:t>
      </w:r>
      <w:r w:rsidR="00250A66" w:rsidRPr="00250A66">
        <w:t xml:space="preserve"> attributed to </w:t>
      </w:r>
      <w:r>
        <w:t xml:space="preserve">the 559 </w:t>
      </w:r>
      <w:r w:rsidR="00250A66">
        <w:t xml:space="preserve">MSSP </w:t>
      </w:r>
      <w:r w:rsidR="00250A66" w:rsidRPr="00250A66">
        <w:t>ACO</w:t>
      </w:r>
      <w:r w:rsidR="000D3906">
        <w:t>s</w:t>
      </w:r>
      <w:r>
        <w:t>.</w:t>
      </w:r>
      <w:r w:rsidR="00250A66" w:rsidRPr="00250A66">
        <w:t xml:space="preserve"> </w:t>
      </w:r>
      <w:r>
        <w:t>56.2% of the patients were female; the mean age was 78 years.</w:t>
      </w:r>
    </w:p>
    <w:p w14:paraId="0CABCFCA" w14:textId="1482EEAB"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E0AD5CF" w14:textId="7683A9D0" w:rsidR="008B1422" w:rsidRDefault="008B1422" w:rsidP="00E37E1B">
      <w:pPr>
        <w:autoSpaceDE w:val="0"/>
        <w:autoSpaceDN w:val="0"/>
        <w:adjustRightInd w:val="0"/>
        <w:spacing w:after="0" w:line="240" w:lineRule="auto"/>
        <w:rPr>
          <w:rFonts w:cstheme="minorHAnsi"/>
          <w:bCs/>
        </w:rPr>
      </w:pPr>
    </w:p>
    <w:p w14:paraId="33AD695C" w14:textId="5BF78163" w:rsidR="0051072E" w:rsidRPr="007413CB" w:rsidRDefault="0051072E" w:rsidP="0051072E">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t>Not applicable. We used one dataset for endorsement maintenance testing.</w:t>
      </w:r>
    </w:p>
    <w:p w14:paraId="67E5A831" w14:textId="3FE0C0E1" w:rsidR="00555F50" w:rsidRDefault="00555F50" w:rsidP="00E37E1B">
      <w:pPr>
        <w:autoSpaceDE w:val="0"/>
        <w:autoSpaceDN w:val="0"/>
        <w:adjustRightInd w:val="0"/>
        <w:spacing w:after="0" w:line="240" w:lineRule="auto"/>
        <w:rPr>
          <w:rFonts w:cstheme="minorHAnsi"/>
          <w:bCs/>
        </w:rPr>
      </w:pPr>
    </w:p>
    <w:p w14:paraId="7F906FA2" w14:textId="73CFC1F0" w:rsidR="0016327A" w:rsidRDefault="0016327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What were the social risk factors that were available and analyzed</w:t>
      </w:r>
      <w:r>
        <w:rPr>
          <w:rFonts w:cstheme="minorHAnsi"/>
          <w:bCs/>
        </w:rPr>
        <w:t>?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1E30EAA9" w14:textId="2B4FD779" w:rsidR="004E027B" w:rsidRPr="00677A16" w:rsidRDefault="00555F50"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rPr>
      </w:pPr>
      <w:bookmarkStart w:id="11" w:name="_Hlk1602681"/>
      <w:r w:rsidRPr="00677A16">
        <w:rPr>
          <w:rFonts w:ascii="Calibri" w:eastAsia="Calibri" w:hAnsi="Calibri" w:cs="Calibri"/>
        </w:rPr>
        <w:t>The ACO-level measure outlined in this application</w:t>
      </w:r>
      <w:r w:rsidR="004E027B" w:rsidRPr="00677A16">
        <w:rPr>
          <w:rFonts w:ascii="Calibri" w:eastAsia="Calibri" w:hAnsi="Calibri" w:cs="Calibri"/>
        </w:rPr>
        <w:t xml:space="preserve">, Risk-Standardized </w:t>
      </w:r>
      <w:r w:rsidR="0051072E" w:rsidRPr="00677A16">
        <w:rPr>
          <w:rFonts w:ascii="Calibri" w:eastAsia="Calibri" w:hAnsi="Calibri" w:cs="Calibri"/>
        </w:rPr>
        <w:t xml:space="preserve">Acute Hospital </w:t>
      </w:r>
      <w:r w:rsidR="004E027B" w:rsidRPr="00677A16">
        <w:rPr>
          <w:rFonts w:ascii="Calibri" w:eastAsia="Calibri" w:hAnsi="Calibri" w:cs="Calibri"/>
        </w:rPr>
        <w:t>Admission Rate for Patients with Multiple Chronic Conditions (hereafter referred to as the “ACO MCC measure”</w:t>
      </w:r>
      <w:r w:rsidR="00AF7F1D" w:rsidRPr="00677A16">
        <w:rPr>
          <w:rFonts w:ascii="Calibri" w:eastAsia="Calibri" w:hAnsi="Calibri" w:cs="Calibri"/>
        </w:rPr>
        <w:t>)</w:t>
      </w:r>
      <w:r w:rsidR="00EE7D1F">
        <w:rPr>
          <w:rFonts w:ascii="Calibri" w:eastAsia="Calibri" w:hAnsi="Calibri" w:cs="Calibri"/>
        </w:rPr>
        <w:t>,</w:t>
      </w:r>
      <w:r w:rsidR="004E027B" w:rsidRPr="00677A16">
        <w:rPr>
          <w:rFonts w:ascii="Calibri" w:eastAsia="Calibri" w:hAnsi="Calibri" w:cs="Calibri"/>
        </w:rPr>
        <w:t xml:space="preserve"> </w:t>
      </w:r>
      <w:r w:rsidRPr="00677A16">
        <w:rPr>
          <w:rFonts w:ascii="Calibri" w:eastAsia="Calibri" w:hAnsi="Calibri" w:cs="Calibri"/>
        </w:rPr>
        <w:t xml:space="preserve">has been re-specified to align with CMS’s </w:t>
      </w:r>
      <w:r w:rsidR="004E027B" w:rsidRPr="00677A16">
        <w:rPr>
          <w:rFonts w:ascii="Calibri" w:eastAsia="Calibri" w:hAnsi="Calibri" w:cs="Calibri"/>
        </w:rPr>
        <w:t>analogous</w:t>
      </w:r>
      <w:r w:rsidRPr="00677A16">
        <w:rPr>
          <w:rFonts w:ascii="Calibri" w:eastAsia="Calibri" w:hAnsi="Calibri" w:cs="Calibri"/>
        </w:rPr>
        <w:t xml:space="preserve"> measure, </w:t>
      </w:r>
      <w:r w:rsidR="004E027B" w:rsidRPr="00677A16">
        <w:rPr>
          <w:rFonts w:ascii="Calibri" w:eastAsia="Calibri" w:hAnsi="Calibri" w:cs="Calibri"/>
        </w:rPr>
        <w:t>“Clinician Group Risk-</w:t>
      </w:r>
      <w:r w:rsidR="00F40EF9">
        <w:rPr>
          <w:rFonts w:ascii="Calibri" w:eastAsia="Calibri" w:hAnsi="Calibri" w:cs="Calibri"/>
        </w:rPr>
        <w:t>S</w:t>
      </w:r>
      <w:r w:rsidR="004E027B" w:rsidRPr="00677A16">
        <w:rPr>
          <w:rFonts w:ascii="Calibri" w:eastAsia="Calibri" w:hAnsi="Calibri" w:cs="Calibri"/>
        </w:rPr>
        <w:t xml:space="preserve">tandardized </w:t>
      </w:r>
      <w:r w:rsidR="0051072E" w:rsidRPr="00677A16">
        <w:rPr>
          <w:rFonts w:ascii="Calibri" w:eastAsia="Calibri" w:hAnsi="Calibri" w:cs="Calibri"/>
        </w:rPr>
        <w:t>Acute</w:t>
      </w:r>
      <w:r w:rsidR="000D3906" w:rsidRPr="00677A16">
        <w:rPr>
          <w:rFonts w:ascii="Calibri" w:eastAsia="Calibri" w:hAnsi="Calibri" w:cs="Calibri"/>
        </w:rPr>
        <w:t xml:space="preserve"> </w:t>
      </w:r>
      <w:r w:rsidR="004E027B" w:rsidRPr="00677A16">
        <w:rPr>
          <w:rFonts w:ascii="Calibri" w:eastAsia="Calibri" w:hAnsi="Calibri" w:cs="Calibri"/>
        </w:rPr>
        <w:t>Hospital Admission Rate for Patients with Multiple Chronic Conditions under the Merit-based Incentive Payment System” (hereafter referred to as the “MIPS MCC me</w:t>
      </w:r>
      <w:r w:rsidR="00FE15C4" w:rsidRPr="00677A16">
        <w:rPr>
          <w:rFonts w:ascii="Calibri" w:eastAsia="Calibri" w:hAnsi="Calibri" w:cs="Calibri"/>
        </w:rPr>
        <w:t>asure”) developed for CMS’s QPP.</w:t>
      </w:r>
      <w:r w:rsidR="004E027B" w:rsidRPr="00677A16">
        <w:rPr>
          <w:rFonts w:ascii="Calibri" w:eastAsia="Calibri" w:hAnsi="Calibri" w:cs="Calibri"/>
        </w:rPr>
        <w:t xml:space="preserve"> The MIPS MCC measure has been submitted for initial endorsement in the same cycle as this ACO MCC measure. </w:t>
      </w:r>
    </w:p>
    <w:p w14:paraId="3C871F2A" w14:textId="77777777" w:rsidR="004E027B" w:rsidRDefault="004E027B"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1DDE4710" w14:textId="70AD5D65" w:rsidR="00AF7F1D" w:rsidRPr="00677A16" w:rsidRDefault="00AF7F1D"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rPr>
      </w:pPr>
      <w:r w:rsidRPr="00677A16">
        <w:rPr>
          <w:rFonts w:ascii="Calibri" w:eastAsia="Calibri" w:hAnsi="Calibri" w:cs="Calibri"/>
        </w:rPr>
        <w:t>CMS aligned the MIPS and ACO measures in all aspects (except for attribution</w:t>
      </w:r>
      <w:r w:rsidR="00FE15C4" w:rsidRPr="00677A16">
        <w:rPr>
          <w:rFonts w:ascii="Calibri" w:eastAsia="Calibri" w:hAnsi="Calibri" w:cs="Calibri"/>
        </w:rPr>
        <w:t xml:space="preserve"> where the ACO measure attributes patients to ACOs in the MSSP program, and the MIPS measure attributes patients to eligible MIPS clinician groups</w:t>
      </w:r>
      <w:r w:rsidRPr="00677A16">
        <w:rPr>
          <w:rFonts w:ascii="Calibri" w:eastAsia="Calibri" w:hAnsi="Calibri" w:cs="Calibri"/>
        </w:rPr>
        <w:t xml:space="preserve">) and therefore social risk factor adjustment for the ACO measure is based on the conceptual model and testing results of the </w:t>
      </w:r>
      <w:r w:rsidR="003B0F68" w:rsidRPr="00677A16">
        <w:rPr>
          <w:rFonts w:ascii="Calibri" w:eastAsia="Calibri" w:hAnsi="Calibri" w:cs="Calibri"/>
        </w:rPr>
        <w:t xml:space="preserve">MIPS </w:t>
      </w:r>
      <w:r w:rsidRPr="00677A16">
        <w:rPr>
          <w:rFonts w:ascii="Calibri" w:eastAsia="Calibri" w:hAnsi="Calibri" w:cs="Calibri"/>
        </w:rPr>
        <w:t xml:space="preserve">measure. </w:t>
      </w:r>
      <w:r w:rsidR="00250A66" w:rsidRPr="00677A16">
        <w:rPr>
          <w:rFonts w:ascii="Calibri" w:eastAsia="Calibri" w:hAnsi="Calibri" w:cs="Calibri"/>
        </w:rPr>
        <w:t>Accordingly</w:t>
      </w:r>
      <w:r w:rsidRPr="00677A16">
        <w:rPr>
          <w:rFonts w:ascii="Calibri" w:eastAsia="Calibri" w:hAnsi="Calibri" w:cs="Calibri"/>
        </w:rPr>
        <w:t xml:space="preserve">, </w:t>
      </w:r>
      <w:r w:rsidR="00250A66" w:rsidRPr="00677A16">
        <w:rPr>
          <w:rFonts w:ascii="Calibri" w:eastAsia="Calibri" w:hAnsi="Calibri" w:cs="Calibri"/>
        </w:rPr>
        <w:t xml:space="preserve">below </w:t>
      </w:r>
      <w:r w:rsidRPr="00677A16">
        <w:rPr>
          <w:rFonts w:ascii="Calibri" w:eastAsia="Calibri" w:hAnsi="Calibri" w:cs="Calibri"/>
        </w:rPr>
        <w:t xml:space="preserve">we show the risk factors that were used for the MIPS MCC conceptual model and testing. The ACO-level measure was tested with the social risk factors that </w:t>
      </w:r>
      <w:r w:rsidR="000D3906" w:rsidRPr="00677A16">
        <w:rPr>
          <w:rFonts w:ascii="Calibri" w:eastAsia="Calibri" w:hAnsi="Calibri" w:cs="Calibri"/>
        </w:rPr>
        <w:t xml:space="preserve">were retained </w:t>
      </w:r>
      <w:r w:rsidRPr="00677A16">
        <w:rPr>
          <w:rFonts w:ascii="Calibri" w:eastAsia="Calibri" w:hAnsi="Calibri" w:cs="Calibri"/>
        </w:rPr>
        <w:t xml:space="preserve">in the MIPS MCC final measure specifications (AHRQ SES Index and </w:t>
      </w:r>
      <w:r w:rsidR="00882199" w:rsidRPr="00677A16">
        <w:rPr>
          <w:rFonts w:ascii="Calibri" w:eastAsia="Calibri" w:hAnsi="Calibri" w:cs="Calibri"/>
        </w:rPr>
        <w:t>physician-</w:t>
      </w:r>
      <w:r w:rsidRPr="00677A16">
        <w:rPr>
          <w:rFonts w:ascii="Calibri" w:eastAsia="Calibri" w:hAnsi="Calibri" w:cs="Calibri"/>
        </w:rPr>
        <w:t>specialist density)</w:t>
      </w:r>
      <w:r w:rsidR="003B0F68" w:rsidRPr="00677A16">
        <w:rPr>
          <w:rFonts w:ascii="Calibri" w:eastAsia="Calibri" w:hAnsi="Calibri" w:cs="Calibri"/>
        </w:rPr>
        <w:t xml:space="preserve"> consistent with CMS’</w:t>
      </w:r>
      <w:r w:rsidR="00F40EF9">
        <w:rPr>
          <w:rFonts w:ascii="Calibri" w:eastAsia="Calibri" w:hAnsi="Calibri" w:cs="Calibri"/>
        </w:rPr>
        <w:t>s</w:t>
      </w:r>
      <w:r w:rsidR="003B0F68" w:rsidRPr="00677A16">
        <w:rPr>
          <w:rFonts w:ascii="Calibri" w:eastAsia="Calibri" w:hAnsi="Calibri" w:cs="Calibri"/>
        </w:rPr>
        <w:t xml:space="preserve"> decision to harmonize the measures</w:t>
      </w:r>
      <w:r w:rsidRPr="00677A16">
        <w:rPr>
          <w:rFonts w:ascii="Calibri" w:eastAsia="Calibri" w:hAnsi="Calibri" w:cs="Calibri"/>
        </w:rPr>
        <w:t>.</w:t>
      </w:r>
      <w:r w:rsidR="00EE7D1F">
        <w:rPr>
          <w:rFonts w:ascii="Calibri" w:eastAsia="Calibri" w:hAnsi="Calibri" w:cs="Calibri"/>
        </w:rPr>
        <w:t xml:space="preserve"> The five social risk factors were:</w:t>
      </w:r>
    </w:p>
    <w:p w14:paraId="60EF03D1" w14:textId="4C980744" w:rsidR="003041FF"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33EA4DA4" w14:textId="08CCA468" w:rsidR="003041FF"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1. Medicare-Medicaid dual-eligibility status</w:t>
      </w:r>
    </w:p>
    <w:p w14:paraId="1A7B5731" w14:textId="4CC28F25" w:rsidR="003041FF"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Direct measures of Medicare beneficiaries’ socioeconomic status (SES) are not available. W</w:t>
      </w:r>
      <w:r w:rsidRPr="00AB772B">
        <w:rPr>
          <w:rFonts w:ascii="Calibri" w:eastAsia="Calibri" w:hAnsi="Calibri" w:cs="Calibri"/>
          <w:color w:val="000000"/>
        </w:rPr>
        <w:t>e included the readily available and widely used dual-eligibility status variable as it is a marker of low income and assets.</w:t>
      </w:r>
    </w:p>
    <w:p w14:paraId="5EFA6EAF" w14:textId="77777777" w:rsidR="003041FF"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48750D29" w14:textId="0F16E4D0" w:rsidR="003041FF"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2. Agency for Healthcare Research and Quality (AHRQ) SES Index</w:t>
      </w:r>
    </w:p>
    <w:p w14:paraId="6E1641D5" w14:textId="0937AF9F" w:rsidR="003041FF" w:rsidRDefault="003041FF" w:rsidP="003041F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AB772B">
        <w:rPr>
          <w:rFonts w:ascii="Calibri" w:eastAsia="Calibri" w:hAnsi="Calibri" w:cs="Calibri"/>
          <w:color w:val="000000"/>
        </w:rPr>
        <w:t>The AHRQ SES Index is a widely used variable that summarizes area-level measures of employment, income, education, and housing. Each of the index components is available at the census block level, which we then used to link to patient’s residence using</w:t>
      </w:r>
      <w:r w:rsidR="00A7521E">
        <w:rPr>
          <w:rFonts w:ascii="Calibri" w:eastAsia="Calibri" w:hAnsi="Calibri" w:cs="Calibri"/>
          <w:color w:val="000000"/>
        </w:rPr>
        <w:t xml:space="preserve"> a</w:t>
      </w:r>
      <w:r w:rsidRPr="00AB772B">
        <w:rPr>
          <w:rFonts w:ascii="Calibri" w:eastAsia="Calibri" w:hAnsi="Calibri" w:cs="Calibri"/>
          <w:color w:val="000000"/>
        </w:rPr>
        <w:t xml:space="preserve"> 9-digit ZIP code.</w:t>
      </w:r>
      <w:r>
        <w:rPr>
          <w:rFonts w:ascii="Calibri" w:eastAsia="Calibri" w:hAnsi="Calibri" w:cs="Calibri"/>
          <w:color w:val="000000"/>
        </w:rPr>
        <w:t xml:space="preserve"> Census variables were found in </w:t>
      </w:r>
      <w:r w:rsidR="0016327A">
        <w:rPr>
          <w:rFonts w:ascii="Calibri" w:eastAsia="Calibri" w:hAnsi="Calibri" w:cs="Calibri"/>
          <w:color w:val="000000"/>
        </w:rPr>
        <w:t>t</w:t>
      </w:r>
      <w:r>
        <w:rPr>
          <w:rFonts w:ascii="Calibri" w:eastAsia="Calibri" w:hAnsi="Calibri" w:cs="Calibri"/>
          <w:color w:val="000000"/>
        </w:rPr>
        <w:t>he American Community Survey. The AHRQ SES index score summarizes the information from the following variables:</w:t>
      </w:r>
      <w:r>
        <w:t xml:space="preserve"> </w:t>
      </w:r>
    </w:p>
    <w:p w14:paraId="66E87998" w14:textId="77777777" w:rsidR="003041FF" w:rsidRDefault="003041FF" w:rsidP="003041FF">
      <w:pPr>
        <w:pStyle w:val="ListParagraph"/>
        <w:numPr>
          <w:ilvl w:val="0"/>
          <w:numId w:val="26"/>
        </w:numPr>
        <w:pBdr>
          <w:top w:val="single" w:sz="4" w:space="1" w:color="auto"/>
          <w:left w:val="single" w:sz="4" w:space="4" w:color="auto"/>
          <w:bottom w:val="single" w:sz="4" w:space="1" w:color="auto"/>
          <w:right w:val="single" w:sz="4" w:space="4" w:color="auto"/>
        </w:pBdr>
        <w:autoSpaceDE w:val="0"/>
        <w:autoSpaceDN w:val="0"/>
        <w:adjustRightInd w:val="0"/>
      </w:pPr>
      <w:r>
        <w:t xml:space="preserve">percentage of people in the labor force who are unemployed, </w:t>
      </w:r>
    </w:p>
    <w:p w14:paraId="7F8DA7BD" w14:textId="77777777" w:rsidR="003041FF" w:rsidRDefault="003041FF" w:rsidP="003041FF">
      <w:pPr>
        <w:pStyle w:val="ListParagraph"/>
        <w:numPr>
          <w:ilvl w:val="0"/>
          <w:numId w:val="26"/>
        </w:numPr>
        <w:pBdr>
          <w:top w:val="single" w:sz="4" w:space="1" w:color="auto"/>
          <w:left w:val="single" w:sz="4" w:space="4" w:color="auto"/>
          <w:bottom w:val="single" w:sz="4" w:space="1" w:color="auto"/>
          <w:right w:val="single" w:sz="4" w:space="4" w:color="auto"/>
        </w:pBdr>
        <w:autoSpaceDE w:val="0"/>
        <w:autoSpaceDN w:val="0"/>
        <w:adjustRightInd w:val="0"/>
      </w:pPr>
      <w:r>
        <w:t xml:space="preserve">percentage of people living below poverty level, </w:t>
      </w:r>
    </w:p>
    <w:p w14:paraId="7868F099" w14:textId="77777777" w:rsidR="003041FF" w:rsidRDefault="003041FF" w:rsidP="003041FF">
      <w:pPr>
        <w:pStyle w:val="ListParagraph"/>
        <w:numPr>
          <w:ilvl w:val="0"/>
          <w:numId w:val="26"/>
        </w:numPr>
        <w:pBdr>
          <w:top w:val="single" w:sz="4" w:space="1" w:color="auto"/>
          <w:left w:val="single" w:sz="4" w:space="4" w:color="auto"/>
          <w:bottom w:val="single" w:sz="4" w:space="1" w:color="auto"/>
          <w:right w:val="single" w:sz="4" w:space="4" w:color="auto"/>
        </w:pBdr>
        <w:autoSpaceDE w:val="0"/>
        <w:autoSpaceDN w:val="0"/>
        <w:adjustRightInd w:val="0"/>
      </w:pPr>
      <w:r>
        <w:lastRenderedPageBreak/>
        <w:t xml:space="preserve">median household income, </w:t>
      </w:r>
    </w:p>
    <w:p w14:paraId="6CE30FFF" w14:textId="77777777" w:rsidR="003041FF" w:rsidRDefault="003041FF" w:rsidP="003041FF">
      <w:pPr>
        <w:pStyle w:val="ListParagraph"/>
        <w:numPr>
          <w:ilvl w:val="0"/>
          <w:numId w:val="26"/>
        </w:numPr>
        <w:pBdr>
          <w:top w:val="single" w:sz="4" w:space="1" w:color="auto"/>
          <w:left w:val="single" w:sz="4" w:space="4" w:color="auto"/>
          <w:bottom w:val="single" w:sz="4" w:space="1" w:color="auto"/>
          <w:right w:val="single" w:sz="4" w:space="4" w:color="auto"/>
        </w:pBdr>
        <w:autoSpaceDE w:val="0"/>
        <w:autoSpaceDN w:val="0"/>
        <w:adjustRightInd w:val="0"/>
      </w:pPr>
      <w:r>
        <w:t xml:space="preserve">median value of owner-occupied dwellings, </w:t>
      </w:r>
    </w:p>
    <w:p w14:paraId="5DE99190" w14:textId="48E637FD" w:rsidR="003041FF" w:rsidRDefault="003041FF" w:rsidP="003041FF">
      <w:pPr>
        <w:pStyle w:val="ListParagraph"/>
        <w:numPr>
          <w:ilvl w:val="0"/>
          <w:numId w:val="26"/>
        </w:numPr>
        <w:pBdr>
          <w:top w:val="single" w:sz="4" w:space="1" w:color="auto"/>
          <w:left w:val="single" w:sz="4" w:space="4" w:color="auto"/>
          <w:bottom w:val="single" w:sz="4" w:space="1" w:color="auto"/>
          <w:right w:val="single" w:sz="4" w:space="4" w:color="auto"/>
        </w:pBdr>
        <w:autoSpaceDE w:val="0"/>
        <w:autoSpaceDN w:val="0"/>
        <w:adjustRightInd w:val="0"/>
      </w:pPr>
      <w:r>
        <w:t>percentage of people ≥25 years of age with less than a 12</w:t>
      </w:r>
      <w:r w:rsidRPr="00A823CF">
        <w:rPr>
          <w:vertAlign w:val="superscript"/>
        </w:rPr>
        <w:t>th</w:t>
      </w:r>
      <w:r w:rsidR="003932B8">
        <w:t xml:space="preserve"> </w:t>
      </w:r>
      <w:r>
        <w:t xml:space="preserve">grade education, </w:t>
      </w:r>
    </w:p>
    <w:p w14:paraId="648218C0" w14:textId="77777777" w:rsidR="003041FF" w:rsidRDefault="003041FF" w:rsidP="003041FF">
      <w:pPr>
        <w:pStyle w:val="ListParagraph"/>
        <w:numPr>
          <w:ilvl w:val="0"/>
          <w:numId w:val="26"/>
        </w:numPr>
        <w:pBdr>
          <w:top w:val="single" w:sz="4" w:space="1" w:color="auto"/>
          <w:left w:val="single" w:sz="4" w:space="4" w:color="auto"/>
          <w:bottom w:val="single" w:sz="4" w:space="1" w:color="auto"/>
          <w:right w:val="single" w:sz="4" w:space="4" w:color="auto"/>
        </w:pBdr>
        <w:autoSpaceDE w:val="0"/>
        <w:autoSpaceDN w:val="0"/>
        <w:adjustRightInd w:val="0"/>
      </w:pPr>
      <w:r>
        <w:t xml:space="preserve">percentage of people ≥25 years of age completing ≥4 years of college, and </w:t>
      </w:r>
    </w:p>
    <w:p w14:paraId="6DFC7CFA" w14:textId="47535DD8" w:rsidR="003041FF" w:rsidRPr="000D6F33" w:rsidRDefault="003041FF" w:rsidP="003041FF">
      <w:pPr>
        <w:pStyle w:val="ListParagraph"/>
        <w:numPr>
          <w:ilvl w:val="0"/>
          <w:numId w:val="26"/>
        </w:numPr>
        <w:pBdr>
          <w:top w:val="single" w:sz="4" w:space="1" w:color="auto"/>
          <w:left w:val="single" w:sz="4" w:space="4" w:color="auto"/>
          <w:bottom w:val="single" w:sz="4" w:space="1" w:color="auto"/>
          <w:right w:val="single" w:sz="4" w:space="4" w:color="auto"/>
        </w:pBdr>
        <w:autoSpaceDE w:val="0"/>
        <w:autoSpaceDN w:val="0"/>
        <w:adjustRightInd w:val="0"/>
        <w:rPr>
          <w:rFonts w:ascii="Calibri" w:eastAsia="Calibri" w:hAnsi="Calibri" w:cs="Calibri"/>
          <w:color w:val="000000"/>
        </w:rPr>
      </w:pPr>
      <w:r>
        <w:t>percentage of households that average ≥1 people per room.</w:t>
      </w:r>
    </w:p>
    <w:p w14:paraId="41816F42" w14:textId="3281CC23" w:rsidR="003041FF" w:rsidRDefault="007A10F3" w:rsidP="003041F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3. Place of residence (rurality)</w:t>
      </w:r>
    </w:p>
    <w:p w14:paraId="4FA77ECF" w14:textId="172B4034" w:rsidR="007A10F3" w:rsidRDefault="007A10F3" w:rsidP="007A10F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W</w:t>
      </w:r>
      <w:r w:rsidRPr="00AB772B">
        <w:rPr>
          <w:rFonts w:ascii="Calibri" w:eastAsia="Calibri" w:hAnsi="Calibri" w:cs="Calibri"/>
          <w:color w:val="000000"/>
        </w:rPr>
        <w:t>e categorized beneficiaries’ place of residence in terms of rurality, given its implications for timely receipt of care and concerns that individuals in more rural areas may suffer delays due to longer travel distance and time and relative lack of providers.</w:t>
      </w:r>
    </w:p>
    <w:p w14:paraId="714AC196" w14:textId="77777777" w:rsidR="007A10F3" w:rsidRDefault="007A10F3" w:rsidP="007A10F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5BF18842" w14:textId="56D91BB7" w:rsidR="007A10F3" w:rsidRDefault="007A10F3" w:rsidP="007A10F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4-5. Provider density</w:t>
      </w:r>
    </w:p>
    <w:p w14:paraId="53C11E99" w14:textId="6E9618AF" w:rsidR="003041FF" w:rsidRDefault="003041FF" w:rsidP="003041F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AB772B">
        <w:rPr>
          <w:rFonts w:ascii="Calibri" w:eastAsia="Calibri" w:hAnsi="Calibri" w:cs="Calibri"/>
          <w:color w:val="000000"/>
        </w:rPr>
        <w:t xml:space="preserve">To </w:t>
      </w:r>
      <w:proofErr w:type="gramStart"/>
      <w:r w:rsidRPr="00AB772B">
        <w:rPr>
          <w:rFonts w:ascii="Calibri" w:eastAsia="Calibri" w:hAnsi="Calibri" w:cs="Calibri"/>
          <w:color w:val="000000"/>
        </w:rPr>
        <w:t>more fully and directly characterize access</w:t>
      </w:r>
      <w:proofErr w:type="gramEnd"/>
      <w:r w:rsidRPr="00AB772B">
        <w:rPr>
          <w:rFonts w:ascii="Calibri" w:eastAsia="Calibri" w:hAnsi="Calibri" w:cs="Calibri"/>
          <w:color w:val="000000"/>
        </w:rPr>
        <w:t xml:space="preserve"> to care, we additionally included two measures of provider density: </w:t>
      </w:r>
      <w:r>
        <w:rPr>
          <w:rFonts w:ascii="Calibri" w:eastAsia="Calibri" w:hAnsi="Calibri" w:cs="Calibri"/>
          <w:color w:val="000000"/>
        </w:rPr>
        <w:t xml:space="preserve">1) </w:t>
      </w:r>
      <w:r w:rsidRPr="00AB772B">
        <w:rPr>
          <w:rFonts w:ascii="Calibri" w:eastAsia="Calibri" w:hAnsi="Calibri" w:cs="Calibri"/>
          <w:color w:val="000000"/>
        </w:rPr>
        <w:t>PCP density and</w:t>
      </w:r>
      <w:r>
        <w:rPr>
          <w:rFonts w:ascii="Calibri" w:eastAsia="Calibri" w:hAnsi="Calibri" w:cs="Calibri"/>
          <w:color w:val="000000"/>
        </w:rPr>
        <w:t xml:space="preserve"> 2) </w:t>
      </w:r>
      <w:r w:rsidR="00CD0B3C">
        <w:rPr>
          <w:rFonts w:ascii="Calibri" w:eastAsia="Calibri" w:hAnsi="Calibri" w:cs="Calibri"/>
          <w:color w:val="000000"/>
        </w:rPr>
        <w:t>physician-specialist density</w:t>
      </w:r>
      <w:r w:rsidRPr="00AB772B">
        <w:rPr>
          <w:rFonts w:ascii="Calibri" w:eastAsia="Calibri" w:hAnsi="Calibri" w:cs="Calibri"/>
          <w:color w:val="000000"/>
        </w:rPr>
        <w:t>.</w:t>
      </w:r>
    </w:p>
    <w:p w14:paraId="0F3DD2FC" w14:textId="1E53FE82" w:rsidR="000D3906" w:rsidRDefault="000D3906" w:rsidP="003041F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175783B1" w14:textId="4C6F9ABF" w:rsidR="000D3906" w:rsidRPr="00AB772B" w:rsidRDefault="000D3906" w:rsidP="003041F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For the ACO MCC testing, we used AHRQ SES Index and physician-specialist density, i.e., the two social risk factors that were retained in the final model for the MIPS MCC measure.</w:t>
      </w:r>
    </w:p>
    <w:bookmarkEnd w:id="11"/>
    <w:p w14:paraId="61335435" w14:textId="14F36825" w:rsidR="007413CB" w:rsidRPr="00882CA8" w:rsidRDefault="007413CB" w:rsidP="003866F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bookmarkStart w:id="12" w:name="section2a2"/>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bookmarkEnd w:id="12"/>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FDF4A10"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rPr>
          <w:id w:val="423926269"/>
          <w14:checkbox>
            <w14:checked w14:val="0"/>
            <w14:checkedState w14:val="2612" w14:font="MS Gothic"/>
            <w14:uncheckedState w14:val="2610" w14:font="MS Gothic"/>
          </w14:checkbox>
        </w:sdtPr>
        <w:sdtEndPr/>
        <w:sdtContent>
          <w:r w:rsidR="00EE4D35" w:rsidRPr="00677A16">
            <w:rPr>
              <w:rFonts w:ascii="MS Gothic" w:eastAsia="MS Gothic" w:hAnsi="MS Gothic" w:cstheme="minorHAnsi"/>
              <w:bCs/>
            </w:rPr>
            <w:t>☐</w:t>
          </w:r>
        </w:sdtContent>
      </w:sdt>
      <w:r w:rsidR="00A25024" w:rsidRPr="00677A16">
        <w:rPr>
          <w:rFonts w:eastAsia="MS Mincho" w:cstheme="minorHAnsi"/>
          <w:b/>
          <w:bCs/>
        </w:rPr>
        <w:t xml:space="preserve"> </w:t>
      </w:r>
      <w:r w:rsidR="001F7A20" w:rsidRPr="00A245A9">
        <w:rPr>
          <w:rFonts w:cstheme="minorHAnsi"/>
          <w:b/>
          <w:bCs/>
        </w:rPr>
        <w:t>Critical data elements used in the measure</w:t>
      </w:r>
      <w:r w:rsidR="001F7A20" w:rsidRPr="00A245A9">
        <w:rPr>
          <w:rFonts w:cstheme="minorHAnsi"/>
          <w:bCs/>
        </w:rPr>
        <w:t xml:space="preserve"> (</w:t>
      </w:r>
      <w:r w:rsidR="001F7A20" w:rsidRPr="00530AA6">
        <w:rPr>
          <w:rFonts w:cstheme="minorHAnsi"/>
          <w:bCs/>
          <w:i/>
        </w:rPr>
        <w:t>e.g., inter-abstractor reliability; data element reliability must address ALL critical data elements</w:t>
      </w:r>
      <w:r w:rsidR="001F7A20" w:rsidRPr="00A245A9">
        <w:rPr>
          <w:rFonts w:cstheme="minorHAnsi"/>
          <w:bCs/>
        </w:rPr>
        <w:t>)</w:t>
      </w:r>
      <w:r w:rsidR="001F7A20" w:rsidRPr="00A245A9">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AF7533" w:rsidRPr="00677A16">
            <w:rPr>
              <w:rFonts w:ascii="MS Gothic" w:eastAsia="MS Gothic" w:hAnsi="MS Gothic" w:cstheme="minorHAnsi"/>
              <w:bCs/>
            </w:rPr>
            <w:t>☒</w:t>
          </w:r>
        </w:sdtContent>
      </w:sdt>
      <w:r w:rsidR="001F7A20" w:rsidRPr="00677A16">
        <w:rPr>
          <w:rFonts w:eastAsia="MS Mincho" w:cstheme="minorHAnsi"/>
          <w:b/>
          <w:bCs/>
        </w:rPr>
        <w:t xml:space="preserve"> </w:t>
      </w:r>
      <w:r w:rsidR="001F7A20" w:rsidRPr="00A245A9">
        <w:rPr>
          <w:rFonts w:cstheme="minorHAnsi"/>
          <w:b/>
          <w:bCs/>
        </w:rPr>
        <w:t>Performance measure score</w:t>
      </w:r>
      <w:r w:rsidR="001F7A20" w:rsidRPr="00A245A9">
        <w:rPr>
          <w:rFonts w:cstheme="minorHAnsi"/>
          <w:bCs/>
        </w:rPr>
        <w:t xml:space="preserve"> </w:t>
      </w:r>
      <w:r w:rsidR="001F7A20" w:rsidRPr="000558B6">
        <w:rPr>
          <w:rFonts w:cstheme="minorHAnsi"/>
          <w:bCs/>
        </w:rPr>
        <w:t xml:space="preserve">(e.g., </w:t>
      </w:r>
      <w:r w:rsidR="001F7A20" w:rsidRPr="000558B6">
        <w:rPr>
          <w:rFonts w:cstheme="minorHAnsi"/>
          <w:bCs/>
          <w:i/>
        </w:rPr>
        <w:t>signal-to-noise analysis</w:t>
      </w:r>
      <w:r w:rsidR="001F7A20" w:rsidRPr="000558B6">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0B34CDB4" w14:textId="66BF47C1" w:rsidR="007413CB"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bookmarkStart w:id="13" w:name="_Hlk5881211"/>
      <w:r>
        <w:rPr>
          <w:rFonts w:ascii="Calibri" w:eastAsia="Calibri" w:hAnsi="Calibri" w:cs="Calibri"/>
          <w:color w:val="000000"/>
          <w:u w:val="single"/>
        </w:rPr>
        <w:t>Measure Score Reliability</w:t>
      </w:r>
    </w:p>
    <w:p w14:paraId="4F2DC225" w14:textId="2193E010" w:rsidR="00A51C4A" w:rsidRPr="00A51C4A"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A51C4A">
        <w:rPr>
          <w:rFonts w:ascii="Calibri" w:eastAsia="Calibri" w:hAnsi="Calibri" w:cs="Calibri"/>
          <w:color w:val="000000"/>
        </w:rPr>
        <w:t xml:space="preserve">We considered </w:t>
      </w:r>
      <w:bookmarkStart w:id="14" w:name="_Hlk854612"/>
      <w:r w:rsidRPr="00A51C4A">
        <w:rPr>
          <w:rFonts w:ascii="Calibri" w:eastAsia="Calibri" w:hAnsi="Calibri" w:cs="Calibri"/>
          <w:color w:val="000000"/>
        </w:rPr>
        <w:t>signal-to-noise</w:t>
      </w:r>
      <w:bookmarkEnd w:id="14"/>
      <w:r w:rsidRPr="00A51C4A">
        <w:rPr>
          <w:rFonts w:ascii="Calibri" w:eastAsia="Calibri" w:hAnsi="Calibri" w:cs="Calibri"/>
          <w:color w:val="000000"/>
        </w:rPr>
        <w:t xml:space="preserve"> analysis as a measure of reliability when evaluating the </w:t>
      </w:r>
      <w:r w:rsidR="00DB526D">
        <w:rPr>
          <w:rFonts w:ascii="Calibri" w:eastAsia="Calibri" w:hAnsi="Calibri" w:cs="Calibri"/>
          <w:color w:val="000000"/>
        </w:rPr>
        <w:t>ACO</w:t>
      </w:r>
      <w:r w:rsidR="008A4D96">
        <w:rPr>
          <w:rFonts w:ascii="Calibri" w:eastAsia="Calibri" w:hAnsi="Calibri" w:cs="Calibri"/>
          <w:color w:val="000000"/>
        </w:rPr>
        <w:t xml:space="preserve"> </w:t>
      </w:r>
      <w:r w:rsidRPr="00A51C4A">
        <w:rPr>
          <w:rFonts w:ascii="Calibri" w:eastAsia="Calibri" w:hAnsi="Calibri" w:cs="Calibri"/>
          <w:color w:val="000000"/>
        </w:rPr>
        <w:t xml:space="preserve">MCC admission measure. The variation between entities (‘signal’) comprises the total variation (‘noise’ and </w:t>
      </w:r>
      <w:r w:rsidR="003932B8">
        <w:rPr>
          <w:rFonts w:ascii="Calibri" w:eastAsia="Calibri" w:hAnsi="Calibri" w:cs="Calibri"/>
          <w:color w:val="000000"/>
        </w:rPr>
        <w:t>‘</w:t>
      </w:r>
      <w:r w:rsidRPr="00A51C4A">
        <w:rPr>
          <w:rFonts w:ascii="Calibri" w:eastAsia="Calibri" w:hAnsi="Calibri" w:cs="Calibri"/>
          <w:color w:val="000000"/>
        </w:rPr>
        <w:t xml:space="preserve">signal’) in the outcome. This is because the reliability of any one </w:t>
      </w:r>
      <w:r w:rsidR="00DB526D">
        <w:rPr>
          <w:rFonts w:ascii="Calibri" w:eastAsia="Calibri" w:hAnsi="Calibri" w:cs="Calibri"/>
          <w:color w:val="000000"/>
        </w:rPr>
        <w:t>ACO’s</w:t>
      </w:r>
      <w:r w:rsidR="00DB526D" w:rsidRPr="00A51C4A">
        <w:rPr>
          <w:rFonts w:ascii="Calibri" w:eastAsia="Calibri" w:hAnsi="Calibri" w:cs="Calibri"/>
          <w:color w:val="000000"/>
        </w:rPr>
        <w:t xml:space="preserve"> </w:t>
      </w:r>
      <w:r w:rsidRPr="00A51C4A">
        <w:rPr>
          <w:rFonts w:ascii="Calibri" w:eastAsia="Calibri" w:hAnsi="Calibri" w:cs="Calibri"/>
          <w:color w:val="000000"/>
        </w:rPr>
        <w:t xml:space="preserve">measure score will vary depending on the number of patients. </w:t>
      </w:r>
      <w:r w:rsidR="00DB526D">
        <w:rPr>
          <w:rFonts w:ascii="Calibri" w:eastAsia="Calibri" w:hAnsi="Calibri" w:cs="Calibri"/>
          <w:color w:val="000000"/>
        </w:rPr>
        <w:t>ACOs</w:t>
      </w:r>
      <w:r w:rsidR="00DB526D" w:rsidRPr="00A51C4A">
        <w:rPr>
          <w:rFonts w:ascii="Calibri" w:eastAsia="Calibri" w:hAnsi="Calibri" w:cs="Calibri"/>
          <w:color w:val="000000"/>
        </w:rPr>
        <w:t xml:space="preserve"> </w:t>
      </w:r>
      <w:r w:rsidRPr="00A51C4A">
        <w:rPr>
          <w:rFonts w:ascii="Calibri" w:eastAsia="Calibri" w:hAnsi="Calibri" w:cs="Calibri"/>
          <w:color w:val="000000"/>
        </w:rPr>
        <w:t>with higher volume will tend to have more reliable scores, while those with lower volume will tend to have less reliable scores. We used the formula for</w:t>
      </w:r>
      <w:r w:rsidRPr="00A51C4A">
        <w:rPr>
          <w:rFonts w:ascii="Calibri" w:eastAsia="Calibri" w:hAnsi="Calibri" w:cs="Calibri"/>
          <w:iCs/>
          <w:color w:val="000000"/>
        </w:rPr>
        <w:t xml:space="preserve"> signal-to-noise</w:t>
      </w:r>
      <w:r w:rsidRPr="00A51C4A">
        <w:rPr>
          <w:rFonts w:ascii="Calibri" w:eastAsia="Calibri" w:hAnsi="Calibri" w:cs="Calibri"/>
          <w:color w:val="000000"/>
        </w:rPr>
        <w:t xml:space="preserve"> reliability presented by Adams et al. and the formula for intraclass correlation coefficient (ICC) presented by Nakagawa et al. to calculate </w:t>
      </w:r>
      <w:r w:rsidR="00DB526D">
        <w:rPr>
          <w:rFonts w:ascii="Calibri" w:eastAsia="Calibri" w:hAnsi="Calibri" w:cs="Calibri"/>
          <w:color w:val="000000"/>
        </w:rPr>
        <w:t>ACO-level</w:t>
      </w:r>
      <w:r w:rsidRPr="00A51C4A">
        <w:rPr>
          <w:rFonts w:ascii="Calibri" w:eastAsia="Calibri" w:hAnsi="Calibri" w:cs="Calibri"/>
          <w:color w:val="000000"/>
        </w:rPr>
        <w:t xml:space="preserve"> reliability scores.</w:t>
      </w:r>
      <w:r w:rsidR="00530AA6">
        <w:rPr>
          <w:rFonts w:ascii="Calibri" w:eastAsia="Calibri" w:hAnsi="Calibri" w:cs="Calibri"/>
          <w:color w:val="000000"/>
        </w:rPr>
        <w:t xml:space="preserve"> </w:t>
      </w:r>
      <w:r w:rsidR="00B56B76">
        <w:rPr>
          <w:rFonts w:ascii="Calibri" w:eastAsia="Calibri" w:hAnsi="Calibri" w:cs="Calibri"/>
          <w:color w:val="000000"/>
        </w:rPr>
        <w:t xml:space="preserve">[1,2] </w:t>
      </w:r>
      <w:r w:rsidRPr="00A51C4A">
        <w:rPr>
          <w:rFonts w:ascii="Calibri" w:eastAsia="Calibri" w:hAnsi="Calibri" w:cs="Calibri"/>
          <w:color w:val="000000"/>
        </w:rPr>
        <w:t xml:space="preserve">To estimate the overall signal and noise, we first calculated the ICC for </w:t>
      </w:r>
      <w:r w:rsidR="00DB526D">
        <w:rPr>
          <w:rFonts w:ascii="Calibri" w:eastAsia="Calibri" w:hAnsi="Calibri" w:cs="Calibri"/>
          <w:color w:val="000000"/>
        </w:rPr>
        <w:t>ACO</w:t>
      </w:r>
      <w:r w:rsidRPr="00A51C4A">
        <w:rPr>
          <w:rFonts w:ascii="Calibri" w:eastAsia="Calibri" w:hAnsi="Calibri" w:cs="Calibri"/>
          <w:color w:val="000000"/>
        </w:rPr>
        <w:t xml:space="preserve"> j</w:t>
      </w:r>
      <w:r w:rsidRPr="00A51C4A" w:rsidDel="00620361">
        <w:rPr>
          <w:rFonts w:ascii="Calibri" w:eastAsia="Calibri" w:hAnsi="Calibri" w:cs="Calibri"/>
          <w:color w:val="000000"/>
        </w:rPr>
        <w:t xml:space="preserve"> </w:t>
      </w:r>
      <w:r w:rsidRPr="00A51C4A">
        <w:rPr>
          <w:rFonts w:ascii="Calibri" w:eastAsia="Calibri" w:hAnsi="Calibri" w:cs="Calibri"/>
          <w:color w:val="000000"/>
        </w:rPr>
        <w:t xml:space="preserve">using the estimates of between-entity variance </w:t>
      </w:r>
      <w:bookmarkStart w:id="15" w:name="_Hlk536110650"/>
      <w:r w:rsidR="00B56B76">
        <w:rPr>
          <w:rFonts w:ascii="Symbol" w:hAnsi="Symbol"/>
        </w:rPr>
        <w:t></w:t>
      </w:r>
      <w:r w:rsidRPr="00A51C4A">
        <w:rPr>
          <w:rFonts w:ascii="Calibri" w:eastAsia="Calibri" w:hAnsi="Calibri" w:cs="Calibri"/>
          <w:color w:val="000000"/>
          <w:vertAlign w:val="superscript"/>
        </w:rPr>
        <w:t>2</w:t>
      </w:r>
      <w:bookmarkEnd w:id="15"/>
      <w:r w:rsidRPr="00A51C4A">
        <w:rPr>
          <w:rFonts w:ascii="Calibri" w:eastAsia="Calibri" w:hAnsi="Calibri" w:cs="Calibri"/>
          <w:color w:val="000000"/>
        </w:rPr>
        <w:t xml:space="preserve">, dispersion parameter </w:t>
      </w:r>
      <w:r w:rsidR="00B56B76">
        <w:rPr>
          <w:rFonts w:ascii="Symbol" w:hAnsi="Symbol"/>
        </w:rPr>
        <w:t></w:t>
      </w:r>
      <w:r w:rsidRPr="00A51C4A">
        <w:rPr>
          <w:rFonts w:ascii="Calibri" w:eastAsia="Calibri" w:hAnsi="Calibri" w:cs="Calibri"/>
          <w:color w:val="000000"/>
        </w:rPr>
        <w:t xml:space="preserve">, and mean of outcome </w:t>
      </w:r>
      <w:r w:rsidR="00B56B76">
        <w:rPr>
          <w:rFonts w:ascii="Symbol" w:hAnsi="Symbol" w:cstheme="minorHAnsi"/>
        </w:rPr>
        <w:t></w:t>
      </w:r>
      <w:r w:rsidRPr="00A51C4A">
        <w:rPr>
          <w:rFonts w:ascii="Calibri" w:eastAsia="Calibri" w:hAnsi="Calibri" w:cs="Calibri"/>
          <w:color w:val="000000"/>
        </w:rPr>
        <w:t xml:space="preserve">, from a hierarchical generalized linear model (HGLM). The formula appropriate for the NB-1 model is </w:t>
      </w:r>
      <w:proofErr w:type="spellStart"/>
      <w:r w:rsidRPr="00A51C4A">
        <w:rPr>
          <w:rFonts w:ascii="Calibri" w:eastAsia="Calibri" w:hAnsi="Calibri" w:cs="Calibri"/>
          <w:color w:val="000000"/>
        </w:rPr>
        <w:t>ICC</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 xml:space="preserve"> = </w:t>
      </w:r>
      <w:bookmarkStart w:id="16" w:name="OLE_LINK1"/>
      <w:bookmarkStart w:id="17" w:name="OLE_LINK2"/>
      <w:r w:rsidR="00B56B76">
        <w:rPr>
          <w:rFonts w:ascii="Symbol" w:hAnsi="Symbol"/>
        </w:rPr>
        <w:t></w:t>
      </w:r>
      <w:r w:rsidRPr="00A51C4A">
        <w:rPr>
          <w:rFonts w:ascii="Calibri" w:eastAsia="Calibri" w:hAnsi="Calibri" w:cs="Calibri"/>
          <w:color w:val="000000"/>
          <w:vertAlign w:val="superscript"/>
        </w:rPr>
        <w:t>2</w:t>
      </w:r>
      <w:bookmarkEnd w:id="16"/>
      <w:bookmarkEnd w:id="17"/>
      <w:proofErr w:type="gramStart"/>
      <w:r w:rsidRPr="00A51C4A">
        <w:rPr>
          <w:rFonts w:ascii="Calibri" w:eastAsia="Calibri" w:hAnsi="Calibri" w:cs="Calibri"/>
          <w:color w:val="000000"/>
        </w:rPr>
        <w:t>/(</w:t>
      </w:r>
      <w:proofErr w:type="gramEnd"/>
      <w:r w:rsidR="00B56B76">
        <w:rPr>
          <w:rFonts w:ascii="Symbol" w:hAnsi="Symbol"/>
        </w:rPr>
        <w:t></w:t>
      </w:r>
      <w:r w:rsidRPr="00A51C4A">
        <w:rPr>
          <w:rFonts w:ascii="Calibri" w:eastAsia="Calibri" w:hAnsi="Calibri" w:cs="Calibri"/>
          <w:color w:val="000000"/>
          <w:vertAlign w:val="superscript"/>
        </w:rPr>
        <w:t>2</w:t>
      </w:r>
      <w:r w:rsidRPr="00A51C4A">
        <w:rPr>
          <w:rFonts w:ascii="Calibri" w:eastAsia="Calibri" w:hAnsi="Calibri" w:cs="Calibri"/>
          <w:color w:val="000000"/>
        </w:rPr>
        <w:t xml:space="preserve"> + ln(1+</w:t>
      </w:r>
      <w:r w:rsidR="00B56B76">
        <w:rPr>
          <w:rFonts w:ascii="Symbol" w:hAnsi="Symbol"/>
        </w:rPr>
        <w:t></w:t>
      </w:r>
      <w:r w:rsidRPr="00A51C4A">
        <w:rPr>
          <w:rFonts w:ascii="Calibri" w:eastAsia="Calibri" w:hAnsi="Calibri" w:cs="Calibri"/>
          <w:color w:val="000000"/>
        </w:rPr>
        <w:t>/</w:t>
      </w:r>
      <w:r w:rsidR="00B56B76">
        <w:rPr>
          <w:rFonts w:ascii="Symbol" w:hAnsi="Symbol" w:cstheme="minorHAnsi"/>
        </w:rPr>
        <w:t></w:t>
      </w:r>
      <w:r w:rsidRPr="00A51C4A">
        <w:rPr>
          <w:rFonts w:ascii="Calibri" w:eastAsia="Calibri" w:hAnsi="Calibri" w:cs="Calibri"/>
          <w:color w:val="000000"/>
        </w:rPr>
        <w:t>). We then used the equation:</w:t>
      </w:r>
    </w:p>
    <w:p w14:paraId="297DF649" w14:textId="77777777" w:rsidR="00A51C4A" w:rsidRPr="00A51C4A"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A51C4A">
        <w:rPr>
          <w:rFonts w:ascii="Calibri" w:eastAsia="Calibri" w:hAnsi="Calibri" w:cs="Calibri"/>
          <w:color w:val="000000"/>
        </w:rPr>
        <w:tab/>
      </w:r>
      <w:bookmarkStart w:id="18" w:name="_Hlk1391437"/>
      <w:proofErr w:type="spellStart"/>
      <w:r w:rsidRPr="00A51C4A">
        <w:rPr>
          <w:rFonts w:ascii="Calibri" w:eastAsia="Calibri" w:hAnsi="Calibri" w:cs="Calibri"/>
          <w:color w:val="000000"/>
        </w:rPr>
        <w:t>R</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 xml:space="preserve"> = </w:t>
      </w:r>
      <w:bookmarkStart w:id="19" w:name="OLE_LINK3"/>
      <w:bookmarkStart w:id="20" w:name="OLE_LINK4"/>
      <w:proofErr w:type="spellStart"/>
      <w:r w:rsidRPr="00A51C4A">
        <w:rPr>
          <w:rFonts w:ascii="Calibri" w:eastAsia="Calibri" w:hAnsi="Calibri" w:cs="Calibri"/>
          <w:color w:val="000000"/>
        </w:rPr>
        <w:t>n</w:t>
      </w:r>
      <w:r w:rsidRPr="00A51C4A">
        <w:rPr>
          <w:rFonts w:ascii="Calibri" w:eastAsia="Calibri" w:hAnsi="Calibri" w:cs="Calibri"/>
          <w:color w:val="000000"/>
          <w:vertAlign w:val="subscript"/>
        </w:rPr>
        <w:t>j</w:t>
      </w:r>
      <w:bookmarkEnd w:id="19"/>
      <w:bookmarkEnd w:id="20"/>
      <w:r w:rsidRPr="00A51C4A">
        <w:rPr>
          <w:rFonts w:ascii="Calibri" w:eastAsia="Calibri" w:hAnsi="Calibri" w:cs="Calibri"/>
          <w:color w:val="000000"/>
        </w:rPr>
        <w:t>ICC</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/(1+(n</w:t>
      </w:r>
      <w:r w:rsidRPr="00A51C4A">
        <w:rPr>
          <w:rFonts w:ascii="Calibri" w:eastAsia="Calibri" w:hAnsi="Calibri" w:cs="Calibri"/>
          <w:color w:val="000000"/>
          <w:vertAlign w:val="subscript"/>
        </w:rPr>
        <w:t>j</w:t>
      </w:r>
      <w:r w:rsidRPr="00A51C4A">
        <w:rPr>
          <w:rFonts w:ascii="Calibri" w:eastAsia="Calibri" w:hAnsi="Calibri" w:cs="Calibri"/>
          <w:color w:val="000000"/>
        </w:rPr>
        <w:t>-</w:t>
      </w:r>
      <w:proofErr w:type="gramStart"/>
      <w:r w:rsidRPr="00A51C4A">
        <w:rPr>
          <w:rFonts w:ascii="Calibri" w:eastAsia="Calibri" w:hAnsi="Calibri" w:cs="Calibri"/>
          <w:color w:val="000000"/>
        </w:rPr>
        <w:t>1)</w:t>
      </w:r>
      <w:proofErr w:type="spellStart"/>
      <w:r w:rsidRPr="00A51C4A">
        <w:rPr>
          <w:rFonts w:ascii="Calibri" w:eastAsia="Calibri" w:hAnsi="Calibri" w:cs="Calibri"/>
          <w:color w:val="000000"/>
        </w:rPr>
        <w:t>ICC</w:t>
      </w:r>
      <w:r w:rsidRPr="00A51C4A">
        <w:rPr>
          <w:rFonts w:ascii="Calibri" w:eastAsia="Calibri" w:hAnsi="Calibri" w:cs="Calibri"/>
          <w:color w:val="000000"/>
          <w:vertAlign w:val="subscript"/>
        </w:rPr>
        <w:t>j</w:t>
      </w:r>
      <w:proofErr w:type="spellEnd"/>
      <w:proofErr w:type="gramEnd"/>
      <w:r w:rsidRPr="00A51C4A">
        <w:rPr>
          <w:rFonts w:ascii="Calibri" w:eastAsia="Calibri" w:hAnsi="Calibri" w:cs="Calibri"/>
          <w:color w:val="000000"/>
        </w:rPr>
        <w:t>)</w:t>
      </w:r>
      <w:bookmarkEnd w:id="18"/>
    </w:p>
    <w:p w14:paraId="605E1720" w14:textId="77777777" w:rsidR="00A51C4A" w:rsidRPr="00A51C4A"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ascii="Calibri" w:eastAsia="Calibri" w:hAnsi="Calibri" w:cs="Calibri"/>
          <w:color w:val="000000"/>
        </w:rPr>
      </w:pPr>
      <w:r w:rsidRPr="00A51C4A">
        <w:rPr>
          <w:rFonts w:ascii="Calibri" w:eastAsia="Calibri" w:hAnsi="Calibri" w:cs="Calibri"/>
          <w:color w:val="000000"/>
        </w:rPr>
        <w:lastRenderedPageBreak/>
        <w:t xml:space="preserve">where </w:t>
      </w:r>
      <w:proofErr w:type="spellStart"/>
      <w:r w:rsidRPr="00A51C4A">
        <w:rPr>
          <w:rFonts w:ascii="Calibri" w:eastAsia="Calibri" w:hAnsi="Calibri" w:cs="Calibri"/>
          <w:color w:val="000000"/>
        </w:rPr>
        <w:t>n</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vertAlign w:val="subscript"/>
        </w:rPr>
        <w:t xml:space="preserve"> </w:t>
      </w:r>
      <w:r w:rsidRPr="00A51C4A">
        <w:rPr>
          <w:rFonts w:ascii="Calibri" w:eastAsia="Calibri" w:hAnsi="Calibri" w:cs="Calibri"/>
          <w:color w:val="000000"/>
        </w:rPr>
        <w:t>is the number of observations for each entity, to calculate the reliability of each entity measurement</w:t>
      </w:r>
      <w:bookmarkStart w:id="21" w:name="_Hlk854622"/>
      <w:r w:rsidRPr="00A51C4A">
        <w:rPr>
          <w:rFonts w:ascii="Calibri" w:eastAsia="Calibri" w:hAnsi="Calibri" w:cs="Calibri"/>
          <w:color w:val="000000"/>
        </w:rPr>
        <w:t xml:space="preserve">. </w:t>
      </w:r>
      <w:proofErr w:type="spellStart"/>
      <w:r w:rsidRPr="00A51C4A">
        <w:rPr>
          <w:rFonts w:ascii="Calibri" w:eastAsia="Calibri" w:hAnsi="Calibri" w:cs="Calibri"/>
          <w:color w:val="000000"/>
        </w:rPr>
        <w:t>R</w:t>
      </w:r>
      <w:r w:rsidRPr="00A51C4A">
        <w:rPr>
          <w:rFonts w:ascii="Calibri" w:eastAsia="Calibri" w:hAnsi="Calibri" w:cs="Calibri"/>
          <w:color w:val="000000"/>
          <w:vertAlign w:val="subscript"/>
        </w:rPr>
        <w:t>j</w:t>
      </w:r>
      <w:proofErr w:type="spellEnd"/>
      <w:r w:rsidRPr="00A51C4A">
        <w:rPr>
          <w:rFonts w:ascii="Calibri" w:eastAsia="Calibri" w:hAnsi="Calibri" w:cs="Calibri"/>
          <w:color w:val="000000"/>
        </w:rPr>
        <w:t xml:space="preserve"> can range from 0 (less than chance agreement) to 1.0 (perfect agreement).</w:t>
      </w:r>
    </w:p>
    <w:bookmarkEnd w:id="21"/>
    <w:p w14:paraId="6236F1D5" w14:textId="5CC5E870" w:rsidR="00B56B76" w:rsidRPr="00A732F2" w:rsidRDefault="00E528DC" w:rsidP="00A732F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u w:val="single"/>
        </w:rPr>
      </w:pPr>
      <w:r>
        <w:rPr>
          <w:rFonts w:ascii="Calibri" w:eastAsia="Calibri" w:hAnsi="Calibri" w:cs="Calibri"/>
          <w:color w:val="000000"/>
          <w:u w:val="single"/>
        </w:rPr>
        <w:t>Citations</w:t>
      </w:r>
    </w:p>
    <w:p w14:paraId="7CD60283" w14:textId="1FA96BEC" w:rsidR="00B56B76" w:rsidRPr="00B56B76" w:rsidRDefault="00B56B76" w:rsidP="00A732F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ascii="Calibri" w:eastAsia="Calibri" w:hAnsi="Calibri" w:cs="Calibri"/>
          <w:color w:val="000000"/>
        </w:rPr>
        <w:t xml:space="preserve">1. </w:t>
      </w:r>
      <w:r w:rsidRPr="00B56B76">
        <w:rPr>
          <w:rFonts w:ascii="Calibri" w:eastAsia="Calibri" w:hAnsi="Calibri" w:cs="Calibri"/>
          <w:color w:val="000000"/>
        </w:rPr>
        <w:t xml:space="preserve">Adams JL, Mehrotra A, Thomas JW, McGlynn EA. Physician Cost Profiling — Reliability and Risk of Misclassification. </w:t>
      </w:r>
      <w:r w:rsidRPr="00B56B76">
        <w:rPr>
          <w:rFonts w:ascii="Calibri" w:eastAsia="Calibri" w:hAnsi="Calibri" w:cs="Calibri"/>
          <w:i/>
          <w:color w:val="000000"/>
        </w:rPr>
        <w:t xml:space="preserve">New England Journal of Medicine. </w:t>
      </w:r>
      <w:r w:rsidRPr="00B56B76">
        <w:rPr>
          <w:rFonts w:ascii="Calibri" w:eastAsia="Calibri" w:hAnsi="Calibri" w:cs="Calibri"/>
          <w:color w:val="000000"/>
        </w:rPr>
        <w:t>2010;362(11):1014-1021.</w:t>
      </w:r>
    </w:p>
    <w:p w14:paraId="392B5400" w14:textId="6227AA6C" w:rsidR="00B56B76" w:rsidRPr="00B56B76" w:rsidRDefault="00B56B76" w:rsidP="00A732F2">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bookmarkStart w:id="22" w:name="_ENREF_46"/>
      <w:r>
        <w:rPr>
          <w:rFonts w:ascii="Calibri" w:eastAsia="Calibri" w:hAnsi="Calibri" w:cs="Calibri"/>
          <w:color w:val="000000"/>
        </w:rPr>
        <w:t xml:space="preserve">2. </w:t>
      </w:r>
      <w:r w:rsidRPr="00B56B76">
        <w:rPr>
          <w:rFonts w:ascii="Calibri" w:eastAsia="Calibri" w:hAnsi="Calibri" w:cs="Calibri"/>
          <w:color w:val="000000"/>
        </w:rPr>
        <w:t xml:space="preserve">Nakagawa S, Johnson PCD, </w:t>
      </w:r>
      <w:proofErr w:type="spellStart"/>
      <w:r w:rsidRPr="00B56B76">
        <w:rPr>
          <w:rFonts w:ascii="Calibri" w:eastAsia="Calibri" w:hAnsi="Calibri" w:cs="Calibri"/>
          <w:color w:val="000000"/>
        </w:rPr>
        <w:t>Schielzeth</w:t>
      </w:r>
      <w:proofErr w:type="spellEnd"/>
      <w:r w:rsidRPr="00B56B76">
        <w:rPr>
          <w:rFonts w:ascii="Calibri" w:eastAsia="Calibri" w:hAnsi="Calibri" w:cs="Calibri"/>
          <w:color w:val="000000"/>
        </w:rPr>
        <w:t xml:space="preserve"> H. The coefficient of determination </w:t>
      </w:r>
      <w:proofErr w:type="gramStart"/>
      <w:r w:rsidRPr="00B56B76">
        <w:rPr>
          <w:rFonts w:ascii="Calibri" w:eastAsia="Calibri" w:hAnsi="Calibri" w:cs="Calibri"/>
          <w:color w:val="000000"/>
        </w:rPr>
        <w:t>R(</w:t>
      </w:r>
      <w:proofErr w:type="gramEnd"/>
      <w:r w:rsidRPr="00B56B76">
        <w:rPr>
          <w:rFonts w:ascii="Calibri" w:eastAsia="Calibri" w:hAnsi="Calibri" w:cs="Calibri"/>
          <w:color w:val="000000"/>
        </w:rPr>
        <w:t xml:space="preserve">2) and intra-class correlation coefficient from generalized linear mixed-effects models revisited and expanded. </w:t>
      </w:r>
      <w:r w:rsidRPr="00B56B76">
        <w:rPr>
          <w:rFonts w:ascii="Calibri" w:eastAsia="Calibri" w:hAnsi="Calibri" w:cs="Calibri"/>
          <w:i/>
          <w:color w:val="000000"/>
        </w:rPr>
        <w:t xml:space="preserve">J R Soc Interface. </w:t>
      </w:r>
      <w:r w:rsidRPr="00B56B76">
        <w:rPr>
          <w:rFonts w:ascii="Calibri" w:eastAsia="Calibri" w:hAnsi="Calibri" w:cs="Calibri"/>
          <w:color w:val="000000"/>
        </w:rPr>
        <w:t>2017;14(134).</w:t>
      </w:r>
      <w:bookmarkEnd w:id="22"/>
    </w:p>
    <w:bookmarkEnd w:id="13"/>
    <w:p w14:paraId="7DEDE3E6" w14:textId="7D4BB633" w:rsidR="003942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0A32945" w14:textId="055CB532" w:rsidR="007413CB" w:rsidRPr="00CB118B" w:rsidRDefault="00197E53" w:rsidP="00C77D8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Calibri" w:eastAsia="Calibri" w:hAnsi="Calibri" w:cs="Calibri"/>
          <w:color w:val="000000"/>
        </w:rPr>
      </w:pPr>
      <w:r w:rsidRPr="000D6F33">
        <w:rPr>
          <w:rFonts w:ascii="Calibri" w:eastAsia="Calibri" w:hAnsi="Calibri" w:cs="Calibri"/>
          <w:color w:val="000000"/>
        </w:rPr>
        <w:t xml:space="preserve"> </w:t>
      </w:r>
      <w:r w:rsidR="00A51C4A">
        <w:rPr>
          <w:rFonts w:ascii="Calibri" w:eastAsia="Calibri" w:hAnsi="Calibri" w:cs="Calibri"/>
          <w:color w:val="000000"/>
          <w:u w:val="single"/>
        </w:rPr>
        <w:t>Measure Score Reliability</w:t>
      </w:r>
    </w:p>
    <w:p w14:paraId="58BFE507" w14:textId="1D2378A2" w:rsidR="005844D9" w:rsidRDefault="00C91173" w:rsidP="00F16CF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bCs/>
          <w:i/>
        </w:rPr>
      </w:pPr>
      <w:r>
        <w:t xml:space="preserve">The median signal-to-noise reliability score was </w:t>
      </w:r>
      <w:r w:rsidR="00F16CFB">
        <w:t>0.9</w:t>
      </w:r>
      <w:r w:rsidR="00250A66">
        <w:t>6</w:t>
      </w:r>
      <w:r w:rsidR="00F16CFB">
        <w:t xml:space="preserve"> for all </w:t>
      </w:r>
      <w:r w:rsidR="000D3906">
        <w:t xml:space="preserve">MSSP </w:t>
      </w:r>
      <w:r w:rsidR="00F16CFB">
        <w:t xml:space="preserve">ACOs with at least one </w:t>
      </w:r>
      <w:r w:rsidR="00250A66">
        <w:t xml:space="preserve">attributed MCC </w:t>
      </w:r>
      <w:r w:rsidR="00F16CFB">
        <w:t>patient (n=559</w:t>
      </w:r>
      <w:r w:rsidR="00F16CFB" w:rsidRPr="00BC0578">
        <w:t>)</w:t>
      </w:r>
      <w:r w:rsidR="00515F80" w:rsidRPr="00BC0578">
        <w:t xml:space="preserve"> </w:t>
      </w:r>
      <w:r w:rsidRPr="00677A16">
        <w:rPr>
          <w:rFonts w:ascii="Calibri" w:hAnsi="Calibri" w:cs="Calibri"/>
        </w:rPr>
        <w:t>(</w:t>
      </w:r>
      <w:r w:rsidR="00F2411F">
        <w:rPr>
          <w:rFonts w:ascii="Calibri" w:hAnsi="Calibri" w:cs="Calibri"/>
        </w:rPr>
        <w:t>Interquartile Range [</w:t>
      </w:r>
      <w:r w:rsidRPr="00677A16">
        <w:rPr>
          <w:rFonts w:ascii="Calibri" w:hAnsi="Calibri" w:cs="Calibri"/>
        </w:rPr>
        <w:t>IQR</w:t>
      </w:r>
      <w:r w:rsidR="00F2411F">
        <w:rPr>
          <w:rFonts w:ascii="Calibri" w:hAnsi="Calibri" w:cs="Calibri"/>
        </w:rPr>
        <w:t>]</w:t>
      </w:r>
      <w:r w:rsidRPr="00677A16">
        <w:rPr>
          <w:rFonts w:ascii="Calibri" w:hAnsi="Calibri" w:cs="Calibri"/>
        </w:rPr>
        <w:t xml:space="preserve">: </w:t>
      </w:r>
      <w:r w:rsidR="00F16CFB" w:rsidRPr="00677A16">
        <w:rPr>
          <w:rFonts w:ascii="Calibri" w:eastAsia="Times New Roman" w:hAnsi="Calibri" w:cs="Calibri"/>
          <w:color w:val="000000"/>
        </w:rPr>
        <w:t>0.94-0.98</w:t>
      </w:r>
      <w:r w:rsidRPr="00677A16">
        <w:rPr>
          <w:rFonts w:ascii="Calibri" w:hAnsi="Calibri" w:cs="Calibri"/>
        </w:rPr>
        <w:t>).</w:t>
      </w:r>
      <w:r>
        <w:t xml:space="preserve"> </w:t>
      </w:r>
      <w:r w:rsidR="00F16CFB">
        <w:t>Table 1 shows the distribution of the signal-to-noise reliability results.</w:t>
      </w:r>
    </w:p>
    <w:p w14:paraId="75FE5929" w14:textId="77777777" w:rsidR="00EE7D1F" w:rsidRDefault="00EE7D1F" w:rsidP="00C77D8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bCs/>
        </w:rPr>
      </w:pPr>
    </w:p>
    <w:p w14:paraId="1564A438" w14:textId="78147FA8" w:rsidR="006A2350" w:rsidRPr="00EE7D1F" w:rsidRDefault="006A2350" w:rsidP="00C77D8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b/>
          <w:bCs/>
        </w:rPr>
      </w:pPr>
      <w:r w:rsidRPr="00EE7D1F">
        <w:rPr>
          <w:b/>
          <w:bCs/>
        </w:rPr>
        <w:t>Table 1:  Signal to Noise reliability for the ACO-MCC measure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810"/>
        <w:gridCol w:w="981"/>
        <w:gridCol w:w="1056"/>
        <w:gridCol w:w="1143"/>
        <w:gridCol w:w="1056"/>
        <w:gridCol w:w="1056"/>
        <w:gridCol w:w="1093"/>
      </w:tblGrid>
      <w:tr w:rsidR="00EE7D1F" w:rsidRPr="00EE7D1F" w14:paraId="48E320BA" w14:textId="77777777" w:rsidTr="004F4D57">
        <w:trPr>
          <w:trHeight w:val="290"/>
        </w:trPr>
        <w:tc>
          <w:tcPr>
            <w:tcW w:w="2155" w:type="dxa"/>
            <w:shd w:val="clear" w:color="auto" w:fill="auto"/>
            <w:noWrap/>
            <w:hideMark/>
          </w:tcPr>
          <w:p w14:paraId="5F013271"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Providers</w:t>
            </w:r>
          </w:p>
        </w:tc>
        <w:tc>
          <w:tcPr>
            <w:tcW w:w="810" w:type="dxa"/>
            <w:shd w:val="clear" w:color="auto" w:fill="auto"/>
            <w:noWrap/>
            <w:hideMark/>
          </w:tcPr>
          <w:p w14:paraId="4BF9010D"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N</w:t>
            </w:r>
          </w:p>
        </w:tc>
        <w:tc>
          <w:tcPr>
            <w:tcW w:w="981" w:type="dxa"/>
            <w:shd w:val="clear" w:color="auto" w:fill="auto"/>
            <w:noWrap/>
            <w:hideMark/>
          </w:tcPr>
          <w:p w14:paraId="2AAA2E0F"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Mean</w:t>
            </w:r>
          </w:p>
        </w:tc>
        <w:tc>
          <w:tcPr>
            <w:tcW w:w="1056" w:type="dxa"/>
            <w:shd w:val="clear" w:color="auto" w:fill="auto"/>
            <w:noWrap/>
            <w:hideMark/>
          </w:tcPr>
          <w:p w14:paraId="5DB5C339"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Std Dev</w:t>
            </w:r>
          </w:p>
        </w:tc>
        <w:tc>
          <w:tcPr>
            <w:tcW w:w="1143" w:type="dxa"/>
            <w:shd w:val="clear" w:color="auto" w:fill="auto"/>
            <w:noWrap/>
            <w:hideMark/>
          </w:tcPr>
          <w:p w14:paraId="210F5061"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Minimum</w:t>
            </w:r>
          </w:p>
        </w:tc>
        <w:tc>
          <w:tcPr>
            <w:tcW w:w="1056" w:type="dxa"/>
            <w:shd w:val="clear" w:color="auto" w:fill="auto"/>
            <w:noWrap/>
            <w:hideMark/>
          </w:tcPr>
          <w:p w14:paraId="638B5794"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Median</w:t>
            </w:r>
          </w:p>
        </w:tc>
        <w:tc>
          <w:tcPr>
            <w:tcW w:w="1056" w:type="dxa"/>
            <w:shd w:val="clear" w:color="auto" w:fill="auto"/>
            <w:hideMark/>
          </w:tcPr>
          <w:p w14:paraId="73ABA766"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 xml:space="preserve">IQR </w:t>
            </w:r>
          </w:p>
        </w:tc>
        <w:tc>
          <w:tcPr>
            <w:tcW w:w="1093" w:type="dxa"/>
            <w:shd w:val="clear" w:color="auto" w:fill="auto"/>
            <w:noWrap/>
            <w:hideMark/>
          </w:tcPr>
          <w:p w14:paraId="1B41DDB5" w14:textId="77777777" w:rsidR="006A2350" w:rsidRPr="00EE7D1F" w:rsidRDefault="006A2350" w:rsidP="00B269E7">
            <w:pPr>
              <w:spacing w:after="0" w:line="240" w:lineRule="auto"/>
              <w:jc w:val="center"/>
              <w:rPr>
                <w:rFonts w:ascii="Arial" w:eastAsia="Times New Roman" w:hAnsi="Arial" w:cs="Arial"/>
                <w:b/>
                <w:bCs/>
                <w:sz w:val="19"/>
                <w:szCs w:val="19"/>
              </w:rPr>
            </w:pPr>
            <w:r w:rsidRPr="00EE7D1F">
              <w:rPr>
                <w:rFonts w:ascii="Arial" w:eastAsia="Times New Roman" w:hAnsi="Arial" w:cs="Arial"/>
                <w:b/>
                <w:bCs/>
                <w:sz w:val="19"/>
                <w:szCs w:val="19"/>
              </w:rPr>
              <w:t>Maximum</w:t>
            </w:r>
          </w:p>
        </w:tc>
      </w:tr>
      <w:tr w:rsidR="00EE7D1F" w:rsidRPr="00EE7D1F" w14:paraId="11B3E962" w14:textId="77777777" w:rsidTr="004F4D57">
        <w:trPr>
          <w:trHeight w:val="290"/>
        </w:trPr>
        <w:tc>
          <w:tcPr>
            <w:tcW w:w="2155" w:type="dxa"/>
            <w:shd w:val="clear" w:color="auto" w:fill="auto"/>
            <w:noWrap/>
            <w:hideMark/>
          </w:tcPr>
          <w:p w14:paraId="4C6B4D58" w14:textId="77777777" w:rsidR="006A2350" w:rsidRPr="00EE7D1F" w:rsidRDefault="006A2350" w:rsidP="00B269E7">
            <w:pPr>
              <w:spacing w:after="0" w:line="240" w:lineRule="auto"/>
              <w:rPr>
                <w:rFonts w:ascii="Arial" w:eastAsia="Times New Roman" w:hAnsi="Arial" w:cs="Arial"/>
                <w:sz w:val="19"/>
                <w:szCs w:val="19"/>
              </w:rPr>
            </w:pPr>
            <w:r w:rsidRPr="00EE7D1F">
              <w:rPr>
                <w:rFonts w:ascii="Arial" w:eastAsia="Times New Roman" w:hAnsi="Arial" w:cs="Arial"/>
                <w:sz w:val="19"/>
                <w:szCs w:val="19"/>
              </w:rPr>
              <w:t>All ACOs with at least one MCC patient</w:t>
            </w:r>
          </w:p>
        </w:tc>
        <w:tc>
          <w:tcPr>
            <w:tcW w:w="810" w:type="dxa"/>
            <w:shd w:val="clear" w:color="auto" w:fill="auto"/>
            <w:noWrap/>
            <w:hideMark/>
          </w:tcPr>
          <w:p w14:paraId="4B8317A3" w14:textId="77777777" w:rsidR="006A2350" w:rsidRPr="00EE7D1F" w:rsidRDefault="006A2350" w:rsidP="00B269E7">
            <w:pPr>
              <w:spacing w:after="0" w:line="240" w:lineRule="auto"/>
              <w:jc w:val="center"/>
              <w:rPr>
                <w:rFonts w:ascii="Arial" w:eastAsia="Times New Roman" w:hAnsi="Arial" w:cs="Arial"/>
                <w:sz w:val="19"/>
                <w:szCs w:val="19"/>
              </w:rPr>
            </w:pPr>
            <w:r w:rsidRPr="00EE7D1F">
              <w:rPr>
                <w:rFonts w:ascii="Arial" w:eastAsia="Times New Roman" w:hAnsi="Arial" w:cs="Arial"/>
                <w:sz w:val="19"/>
                <w:szCs w:val="19"/>
              </w:rPr>
              <w:t>559</w:t>
            </w:r>
          </w:p>
        </w:tc>
        <w:tc>
          <w:tcPr>
            <w:tcW w:w="981" w:type="dxa"/>
            <w:shd w:val="clear" w:color="auto" w:fill="auto"/>
            <w:noWrap/>
            <w:hideMark/>
          </w:tcPr>
          <w:p w14:paraId="7F2EACEA" w14:textId="77777777" w:rsidR="006A2350" w:rsidRPr="00EE7D1F" w:rsidRDefault="006A2350" w:rsidP="00B269E7">
            <w:pPr>
              <w:spacing w:after="0" w:line="240" w:lineRule="auto"/>
              <w:jc w:val="center"/>
              <w:rPr>
                <w:rFonts w:ascii="Arial" w:eastAsia="Times New Roman" w:hAnsi="Arial" w:cs="Arial"/>
                <w:sz w:val="19"/>
                <w:szCs w:val="19"/>
              </w:rPr>
            </w:pPr>
            <w:r w:rsidRPr="00EE7D1F">
              <w:rPr>
                <w:rFonts w:ascii="Arial" w:eastAsia="Times New Roman" w:hAnsi="Arial" w:cs="Arial"/>
                <w:sz w:val="19"/>
                <w:szCs w:val="19"/>
              </w:rPr>
              <w:t>0.95</w:t>
            </w:r>
          </w:p>
        </w:tc>
        <w:tc>
          <w:tcPr>
            <w:tcW w:w="1056" w:type="dxa"/>
            <w:shd w:val="clear" w:color="auto" w:fill="auto"/>
            <w:noWrap/>
            <w:hideMark/>
          </w:tcPr>
          <w:p w14:paraId="3CAC9202" w14:textId="77777777" w:rsidR="006A2350" w:rsidRPr="00EE7D1F" w:rsidRDefault="006A2350" w:rsidP="00B269E7">
            <w:pPr>
              <w:spacing w:after="0" w:line="240" w:lineRule="auto"/>
              <w:jc w:val="center"/>
              <w:rPr>
                <w:rFonts w:ascii="Arial" w:eastAsia="Times New Roman" w:hAnsi="Arial" w:cs="Arial"/>
                <w:sz w:val="19"/>
                <w:szCs w:val="19"/>
              </w:rPr>
            </w:pPr>
            <w:r w:rsidRPr="00EE7D1F">
              <w:rPr>
                <w:rFonts w:ascii="Arial" w:eastAsia="Times New Roman" w:hAnsi="Arial" w:cs="Arial"/>
                <w:sz w:val="19"/>
                <w:szCs w:val="19"/>
              </w:rPr>
              <w:t>0.05</w:t>
            </w:r>
          </w:p>
        </w:tc>
        <w:tc>
          <w:tcPr>
            <w:tcW w:w="1143" w:type="dxa"/>
            <w:shd w:val="clear" w:color="auto" w:fill="auto"/>
            <w:noWrap/>
            <w:hideMark/>
          </w:tcPr>
          <w:p w14:paraId="436A1A16" w14:textId="77777777" w:rsidR="006A2350" w:rsidRPr="00EE7D1F" w:rsidRDefault="006A2350" w:rsidP="00B269E7">
            <w:pPr>
              <w:spacing w:after="0" w:line="240" w:lineRule="auto"/>
              <w:jc w:val="center"/>
              <w:rPr>
                <w:rFonts w:ascii="Arial" w:eastAsia="Times New Roman" w:hAnsi="Arial" w:cs="Arial"/>
                <w:sz w:val="19"/>
                <w:szCs w:val="19"/>
              </w:rPr>
            </w:pPr>
            <w:r w:rsidRPr="00EE7D1F">
              <w:rPr>
                <w:rFonts w:ascii="Arial" w:eastAsia="Times New Roman" w:hAnsi="Arial" w:cs="Arial"/>
                <w:sz w:val="19"/>
                <w:szCs w:val="19"/>
              </w:rPr>
              <w:t>0.12</w:t>
            </w:r>
          </w:p>
        </w:tc>
        <w:tc>
          <w:tcPr>
            <w:tcW w:w="1056" w:type="dxa"/>
            <w:shd w:val="clear" w:color="auto" w:fill="auto"/>
            <w:noWrap/>
            <w:hideMark/>
          </w:tcPr>
          <w:p w14:paraId="5877A325" w14:textId="77777777" w:rsidR="006A2350" w:rsidRPr="00EE7D1F" w:rsidRDefault="006A2350" w:rsidP="00B269E7">
            <w:pPr>
              <w:spacing w:after="0" w:line="240" w:lineRule="auto"/>
              <w:jc w:val="center"/>
              <w:rPr>
                <w:rFonts w:ascii="Arial" w:eastAsia="Times New Roman" w:hAnsi="Arial" w:cs="Arial"/>
                <w:sz w:val="19"/>
                <w:szCs w:val="19"/>
              </w:rPr>
            </w:pPr>
            <w:r w:rsidRPr="00EE7D1F">
              <w:rPr>
                <w:rFonts w:ascii="Arial" w:eastAsia="Times New Roman" w:hAnsi="Arial" w:cs="Arial"/>
                <w:sz w:val="19"/>
                <w:szCs w:val="19"/>
              </w:rPr>
              <w:t>0.96</w:t>
            </w:r>
          </w:p>
        </w:tc>
        <w:tc>
          <w:tcPr>
            <w:tcW w:w="1056" w:type="dxa"/>
            <w:shd w:val="clear" w:color="auto" w:fill="auto"/>
            <w:noWrap/>
            <w:hideMark/>
          </w:tcPr>
          <w:p w14:paraId="00BAA487" w14:textId="77777777" w:rsidR="006A2350" w:rsidRPr="00EE7D1F" w:rsidRDefault="006A2350" w:rsidP="00B269E7">
            <w:pPr>
              <w:spacing w:after="0" w:line="240" w:lineRule="auto"/>
              <w:jc w:val="center"/>
              <w:rPr>
                <w:rFonts w:ascii="Arial" w:eastAsia="Times New Roman" w:hAnsi="Arial" w:cs="Arial"/>
                <w:sz w:val="19"/>
                <w:szCs w:val="19"/>
              </w:rPr>
            </w:pPr>
            <w:r w:rsidRPr="00EE7D1F">
              <w:rPr>
                <w:rFonts w:ascii="Arial" w:eastAsia="Times New Roman" w:hAnsi="Arial" w:cs="Arial"/>
                <w:sz w:val="19"/>
                <w:szCs w:val="19"/>
              </w:rPr>
              <w:t>0.94-0.98</w:t>
            </w:r>
          </w:p>
        </w:tc>
        <w:tc>
          <w:tcPr>
            <w:tcW w:w="1093" w:type="dxa"/>
            <w:shd w:val="clear" w:color="auto" w:fill="auto"/>
            <w:noWrap/>
            <w:hideMark/>
          </w:tcPr>
          <w:p w14:paraId="1346799B" w14:textId="77777777" w:rsidR="006A2350" w:rsidRPr="00EE7D1F" w:rsidRDefault="006A2350" w:rsidP="00B269E7">
            <w:pPr>
              <w:spacing w:after="0" w:line="240" w:lineRule="auto"/>
              <w:jc w:val="center"/>
              <w:rPr>
                <w:rFonts w:ascii="Arial" w:eastAsia="Times New Roman" w:hAnsi="Arial" w:cs="Arial"/>
                <w:sz w:val="19"/>
                <w:szCs w:val="19"/>
              </w:rPr>
            </w:pPr>
            <w:r w:rsidRPr="00EE7D1F">
              <w:rPr>
                <w:rFonts w:ascii="Arial" w:eastAsia="Times New Roman" w:hAnsi="Arial" w:cs="Arial"/>
                <w:sz w:val="19"/>
                <w:szCs w:val="19"/>
              </w:rPr>
              <w:t>0.99</w:t>
            </w:r>
          </w:p>
        </w:tc>
      </w:tr>
    </w:tbl>
    <w:p w14:paraId="462E639D" w14:textId="77777777" w:rsidR="00F16CFB" w:rsidRPr="00EE7D1F" w:rsidRDefault="00F16CFB" w:rsidP="007413CB">
      <w:pPr>
        <w:autoSpaceDE w:val="0"/>
        <w:autoSpaceDN w:val="0"/>
        <w:adjustRightInd w:val="0"/>
        <w:spacing w:after="0" w:line="240" w:lineRule="auto"/>
        <w:rPr>
          <w:rFonts w:cstheme="minorHAnsi"/>
          <w:bCs/>
          <w:bdr w:val="single" w:sz="4" w:space="0" w:color="auto"/>
        </w:rPr>
      </w:pPr>
    </w:p>
    <w:p w14:paraId="5CACF463" w14:textId="6A7CFF3C" w:rsidR="003942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50BEEF39" w14:textId="7DD276A2" w:rsidR="007413CB" w:rsidRPr="008D3410" w:rsidRDefault="000A5486" w:rsidP="00B33CC5">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Calculated using 1-year of data, t</w:t>
      </w:r>
      <w:r w:rsidR="007413CB" w:rsidRPr="008D3410">
        <w:rPr>
          <w:rFonts w:cstheme="minorHAnsi"/>
          <w:bCs/>
        </w:rPr>
        <w:t xml:space="preserve">he </w:t>
      </w:r>
      <w:r>
        <w:rPr>
          <w:rFonts w:cstheme="minorHAnsi"/>
          <w:bCs/>
        </w:rPr>
        <w:t>median</w:t>
      </w:r>
      <w:r w:rsidR="007413CB" w:rsidRPr="008D3410">
        <w:rPr>
          <w:rFonts w:cstheme="minorHAnsi"/>
          <w:bCs/>
        </w:rPr>
        <w:t xml:space="preserve"> </w:t>
      </w:r>
      <w:r w:rsidR="009176F1">
        <w:rPr>
          <w:rFonts w:cstheme="minorHAnsi"/>
          <w:bCs/>
        </w:rPr>
        <w:t>measure score reliability</w:t>
      </w:r>
      <w:r w:rsidR="007413CB">
        <w:rPr>
          <w:rFonts w:cstheme="minorHAnsi"/>
          <w:bCs/>
        </w:rPr>
        <w:t xml:space="preserve"> was 0.</w:t>
      </w:r>
      <w:r w:rsidR="00F16CFB">
        <w:rPr>
          <w:rFonts w:cstheme="minorHAnsi"/>
          <w:bCs/>
        </w:rPr>
        <w:t xml:space="preserve">96 </w:t>
      </w:r>
      <w:r w:rsidR="007413CB" w:rsidRPr="008D3410">
        <w:rPr>
          <w:rFonts w:cstheme="minorHAnsi"/>
          <w:bCs/>
        </w:rPr>
        <w:t xml:space="preserve">for </w:t>
      </w:r>
      <w:r w:rsidR="00F16CFB">
        <w:rPr>
          <w:rFonts w:cstheme="minorHAnsi"/>
          <w:bCs/>
        </w:rPr>
        <w:t xml:space="preserve">ACOs with at least one </w:t>
      </w:r>
      <w:r w:rsidR="00253680">
        <w:rPr>
          <w:rFonts w:cstheme="minorHAnsi"/>
          <w:bCs/>
        </w:rPr>
        <w:t xml:space="preserve">MCC </w:t>
      </w:r>
      <w:r w:rsidR="00F16CFB">
        <w:rPr>
          <w:rFonts w:cstheme="minorHAnsi"/>
          <w:bCs/>
        </w:rPr>
        <w:t>patient</w:t>
      </w:r>
      <w:r w:rsidR="00473C80">
        <w:rPr>
          <w:rFonts w:cstheme="minorHAnsi"/>
          <w:bCs/>
        </w:rPr>
        <w:t xml:space="preserve">. According to </w:t>
      </w:r>
      <w:r w:rsidR="00F16CFB">
        <w:rPr>
          <w:rFonts w:cstheme="minorHAnsi"/>
          <w:bCs/>
        </w:rPr>
        <w:t xml:space="preserve">established </w:t>
      </w:r>
      <w:r w:rsidR="00473C80">
        <w:rPr>
          <w:rFonts w:cstheme="minorHAnsi"/>
          <w:bCs/>
        </w:rPr>
        <w:t xml:space="preserve">standards </w:t>
      </w:r>
      <w:r w:rsidR="00F16CFB">
        <w:rPr>
          <w:rFonts w:cstheme="minorHAnsi"/>
          <w:bCs/>
        </w:rPr>
        <w:t>for quality measures,</w:t>
      </w:r>
      <w:r w:rsidR="00473C80">
        <w:rPr>
          <w:rFonts w:cstheme="minorHAnsi"/>
          <w:bCs/>
        </w:rPr>
        <w:t xml:space="preserve"> we consider these results to show </w:t>
      </w:r>
      <w:r w:rsidR="00F16CFB">
        <w:rPr>
          <w:rFonts w:cstheme="minorHAnsi"/>
          <w:bCs/>
        </w:rPr>
        <w:t xml:space="preserve">high </w:t>
      </w:r>
      <w:r w:rsidR="00473C80">
        <w:rPr>
          <w:rFonts w:cstheme="minorHAnsi"/>
          <w:bCs/>
        </w:rPr>
        <w:t>reliability.</w:t>
      </w:r>
    </w:p>
    <w:p w14:paraId="47142317" w14:textId="6C9EF5EF" w:rsidR="00FE15C4" w:rsidRDefault="00E528DC" w:rsidP="007413CB">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u w:val="single"/>
        </w:rPr>
      </w:pPr>
      <w:r>
        <w:rPr>
          <w:rFonts w:cstheme="minorHAnsi"/>
          <w:bCs/>
          <w:u w:val="single"/>
        </w:rPr>
        <w:t>Citations</w:t>
      </w:r>
    </w:p>
    <w:p w14:paraId="2EAC4097" w14:textId="48D98C12" w:rsidR="00FE15C4" w:rsidRDefault="00FE15C4" w:rsidP="00FE15C4">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sidRPr="00B56B76">
        <w:rPr>
          <w:rFonts w:ascii="Calibri" w:eastAsia="Calibri" w:hAnsi="Calibri" w:cs="Calibri"/>
          <w:color w:val="000000"/>
        </w:rPr>
        <w:t xml:space="preserve">Adams JL, Mehrotra A, Thomas JW, McGlynn EA. Physician Cost Profiling — Reliability and Risk of Misclassification. </w:t>
      </w:r>
      <w:r w:rsidRPr="00B56B76">
        <w:rPr>
          <w:rFonts w:ascii="Calibri" w:eastAsia="Calibri" w:hAnsi="Calibri" w:cs="Calibri"/>
          <w:i/>
          <w:color w:val="000000"/>
        </w:rPr>
        <w:t xml:space="preserve">New England Journal of Medicine. </w:t>
      </w:r>
      <w:r w:rsidRPr="00B56B76">
        <w:rPr>
          <w:rFonts w:ascii="Calibri" w:eastAsia="Calibri" w:hAnsi="Calibri" w:cs="Calibri"/>
          <w:color w:val="000000"/>
        </w:rPr>
        <w:t>2010;362(11):1014-1021.</w:t>
      </w:r>
    </w:p>
    <w:p w14:paraId="511940EE" w14:textId="6AC41211" w:rsidR="007413CB" w:rsidRPr="00FE15C4" w:rsidRDefault="00FE15C4" w:rsidP="00FE15C4">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Calibri" w:hAnsi="Calibri" w:cs="Calibri"/>
          <w:color w:val="000000"/>
        </w:rPr>
      </w:pPr>
      <w:r>
        <w:rPr>
          <w:rFonts w:eastAsia="Times New Roman"/>
          <w:color w:val="222222"/>
          <w:shd w:val="clear" w:color="auto" w:fill="FFFFFF"/>
        </w:rPr>
        <w:t xml:space="preserve">Adams, John L., </w:t>
      </w:r>
      <w:proofErr w:type="spellStart"/>
      <w:r>
        <w:rPr>
          <w:rFonts w:eastAsia="Times New Roman"/>
          <w:color w:val="222222"/>
          <w:shd w:val="clear" w:color="auto" w:fill="FFFFFF"/>
        </w:rPr>
        <w:t>Ateev</w:t>
      </w:r>
      <w:proofErr w:type="spellEnd"/>
      <w:r>
        <w:rPr>
          <w:rFonts w:eastAsia="Times New Roman"/>
          <w:color w:val="222222"/>
          <w:shd w:val="clear" w:color="auto" w:fill="FFFFFF"/>
        </w:rPr>
        <w:t xml:space="preserve"> Mehrotra, and Elizabeth A. McGlynn, Estimating Reliability and Misclassification in Physician Profiling. Santa Monica, CA: RAND Corporation, 2010. </w:t>
      </w:r>
      <w:hyperlink r:id="rId13" w:history="1">
        <w:r>
          <w:rPr>
            <w:rStyle w:val="Hyperlink"/>
            <w:rFonts w:eastAsia="Times New Roman"/>
            <w:shd w:val="clear" w:color="auto" w:fill="FFFFFF"/>
          </w:rPr>
          <w:t>https://www.rand.org/pubs/technical_reports/TR863.html</w:t>
        </w:r>
      </w:hyperlink>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72A287F9" w:rsidR="00696262" w:rsidRPr="00B7077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rPr>
          <w:id w:val="-297760991"/>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A25024" w:rsidRPr="00677A16">
        <w:rPr>
          <w:rFonts w:eastAsia="MS Mincho" w:cstheme="minorHAnsi"/>
          <w:b/>
          <w:bCs/>
        </w:rPr>
        <w:t xml:space="preserve"> </w:t>
      </w:r>
      <w:r w:rsidR="005232D6" w:rsidRPr="00BC0578">
        <w:rPr>
          <w:rFonts w:cstheme="minorHAnsi"/>
          <w:b/>
          <w:bCs/>
        </w:rPr>
        <w:t>C</w:t>
      </w:r>
      <w:r w:rsidR="00D1754D" w:rsidRPr="00A4107F">
        <w:rPr>
          <w:rFonts w:cstheme="minorHAnsi"/>
          <w:b/>
          <w:bCs/>
        </w:rPr>
        <w:t xml:space="preserve">ritical </w:t>
      </w:r>
      <w:r w:rsidR="00B037BA" w:rsidRPr="00973A08">
        <w:rPr>
          <w:rFonts w:cstheme="minorHAnsi"/>
          <w:b/>
          <w:bCs/>
        </w:rPr>
        <w:t>data</w:t>
      </w:r>
      <w:r w:rsidR="00A41377" w:rsidRPr="00973A08">
        <w:rPr>
          <w:rFonts w:cstheme="minorHAnsi"/>
          <w:b/>
          <w:bCs/>
        </w:rPr>
        <w:t xml:space="preserve"> elements</w:t>
      </w:r>
      <w:r w:rsidR="000414E8" w:rsidRPr="00973A08">
        <w:rPr>
          <w:rFonts w:cstheme="minorHAnsi"/>
          <w:b/>
          <w:bCs/>
        </w:rPr>
        <w:t xml:space="preserve"> </w:t>
      </w:r>
      <w:r w:rsidR="000414E8" w:rsidRPr="00B70775">
        <w:rPr>
          <w:rFonts w:cstheme="minorHAnsi"/>
          <w:bCs/>
        </w:rPr>
        <w:t>(</w:t>
      </w:r>
      <w:r w:rsidR="000414E8" w:rsidRPr="00B70775">
        <w:rPr>
          <w:rFonts w:cstheme="minorHAnsi"/>
          <w:bCs/>
          <w:i/>
        </w:rPr>
        <w:t>data element validity must address ALL critical data elements</w:t>
      </w:r>
      <w:r w:rsidR="000414E8" w:rsidRPr="00B70775">
        <w:rPr>
          <w:rFonts w:cstheme="minorHAnsi"/>
          <w:bCs/>
        </w:rPr>
        <w:t>)</w:t>
      </w:r>
    </w:p>
    <w:p w14:paraId="0CABCFD8" w14:textId="4F6BCC9B" w:rsidR="00696262" w:rsidRPr="00973A08" w:rsidRDefault="004E3927" w:rsidP="00696262">
      <w:pPr>
        <w:autoSpaceDE w:val="0"/>
        <w:autoSpaceDN w:val="0"/>
        <w:adjustRightInd w:val="0"/>
        <w:spacing w:after="0" w:line="240" w:lineRule="auto"/>
        <w:rPr>
          <w:rFonts w:cstheme="minorHAnsi"/>
          <w:b/>
          <w:bCs/>
        </w:rPr>
      </w:pPr>
      <w:sdt>
        <w:sdtPr>
          <w:rPr>
            <w:rFonts w:cstheme="minorHAnsi"/>
            <w:bCs/>
          </w:rPr>
          <w:id w:val="-1767844731"/>
          <w14:checkbox>
            <w14:checked w14:val="1"/>
            <w14:checkedState w14:val="2612" w14:font="MS Gothic"/>
            <w14:uncheckedState w14:val="2610" w14:font="MS Gothic"/>
          </w14:checkbox>
        </w:sdtPr>
        <w:sdtEndPr/>
        <w:sdtContent>
          <w:r w:rsidR="00AF7533" w:rsidRPr="00677A16">
            <w:rPr>
              <w:rFonts w:ascii="MS Gothic" w:eastAsia="MS Gothic" w:hAnsi="MS Gothic" w:cstheme="minorHAnsi"/>
              <w:bCs/>
            </w:rPr>
            <w:t>☒</w:t>
          </w:r>
        </w:sdtContent>
      </w:sdt>
      <w:r w:rsidR="000414E8" w:rsidRPr="00677A16">
        <w:rPr>
          <w:rFonts w:eastAsia="MS Mincho" w:cstheme="minorHAnsi"/>
          <w:b/>
          <w:bCs/>
        </w:rPr>
        <w:t xml:space="preserve"> </w:t>
      </w:r>
      <w:r w:rsidR="005232D6" w:rsidRPr="00BC0578">
        <w:rPr>
          <w:rFonts w:eastAsia="MS Gothic" w:cstheme="minorHAnsi"/>
          <w:b/>
          <w:bCs/>
        </w:rPr>
        <w:t>P</w:t>
      </w:r>
      <w:r w:rsidR="00696262" w:rsidRPr="00A4107F">
        <w:rPr>
          <w:rFonts w:eastAsia="MS Gothic" w:cstheme="minorHAnsi"/>
          <w:b/>
          <w:bCs/>
        </w:rPr>
        <w:t xml:space="preserve">erformance </w:t>
      </w:r>
      <w:r w:rsidR="00696262" w:rsidRPr="00973A08">
        <w:rPr>
          <w:rFonts w:cstheme="minorHAnsi"/>
          <w:b/>
          <w:bCs/>
        </w:rPr>
        <w:t>measure score</w:t>
      </w:r>
    </w:p>
    <w:p w14:paraId="3A001642" w14:textId="42630F7D" w:rsidR="007413CB" w:rsidRPr="00A732F2" w:rsidRDefault="004E3927" w:rsidP="00A732F2">
      <w:pPr>
        <w:autoSpaceDE w:val="0"/>
        <w:autoSpaceDN w:val="0"/>
        <w:adjustRightInd w:val="0"/>
        <w:spacing w:after="0" w:line="240" w:lineRule="auto"/>
        <w:ind w:left="255"/>
        <w:rPr>
          <w:rFonts w:cstheme="minorHAnsi"/>
          <w:bCs/>
        </w:rPr>
      </w:pPr>
      <w:sdt>
        <w:sdtPr>
          <w:rPr>
            <w:rFonts w:cstheme="minorHAnsi"/>
            <w:bCs/>
          </w:rPr>
          <w:id w:val="-114983144"/>
          <w14:checkbox>
            <w14:checked w14:val="1"/>
            <w14:checkedState w14:val="2612" w14:font="MS Gothic"/>
            <w14:uncheckedState w14:val="2610" w14:font="MS Gothic"/>
          </w14:checkbox>
        </w:sdtPr>
        <w:sdtEndPr/>
        <w:sdtContent>
          <w:r w:rsidR="00F16CFB" w:rsidRPr="00677A16">
            <w:rPr>
              <w:rFonts w:ascii="MS Gothic" w:eastAsia="MS Gothic" w:hAnsi="MS Gothic" w:cstheme="minorHAnsi"/>
              <w:bCs/>
            </w:rPr>
            <w:t>☒</w:t>
          </w:r>
        </w:sdtContent>
      </w:sdt>
      <w:r w:rsidR="000414E8" w:rsidRPr="00677A16">
        <w:rPr>
          <w:rFonts w:eastAsia="MS Mincho" w:cstheme="minorHAnsi"/>
          <w:b/>
          <w:bCs/>
        </w:rPr>
        <w:t xml:space="preserve"> </w:t>
      </w:r>
      <w:r w:rsidR="005232D6" w:rsidRPr="00BC0578">
        <w:rPr>
          <w:rFonts w:eastAsia="MS Mincho" w:cstheme="minorHAnsi"/>
          <w:b/>
          <w:bCs/>
        </w:rPr>
        <w:t>E</w:t>
      </w:r>
      <w:r w:rsidR="00696262" w:rsidRPr="00A4107F">
        <w:rPr>
          <w:rFonts w:eastAsia="MS Mincho" w:cstheme="minorHAnsi"/>
          <w:b/>
          <w:bCs/>
        </w:rPr>
        <w:t>mpirical validity testing</w:t>
      </w:r>
      <w:r w:rsidR="004B6CEE" w:rsidRPr="00973A08">
        <w:rPr>
          <w:rFonts w:cstheme="minorHAnsi"/>
          <w:b/>
          <w:bCs/>
        </w:rPr>
        <w:br/>
      </w:r>
      <w:sdt>
        <w:sdtPr>
          <w:rPr>
            <w:rFonts w:cstheme="minorHAnsi"/>
            <w:bCs/>
          </w:rPr>
          <w:id w:val="-1042279617"/>
          <w14:checkbox>
            <w14:checked w14:val="0"/>
            <w14:checkedState w14:val="2612" w14:font="MS Gothic"/>
            <w14:uncheckedState w14:val="2610" w14:font="MS Gothic"/>
          </w14:checkbox>
        </w:sdtPr>
        <w:sdtEndPr/>
        <w:sdtContent>
          <w:r w:rsidR="00EE7D1F">
            <w:rPr>
              <w:rFonts w:ascii="MS Gothic" w:eastAsia="MS Gothic" w:hAnsi="MS Gothic" w:cstheme="minorHAnsi" w:hint="eastAsia"/>
              <w:bCs/>
            </w:rPr>
            <w:t>☐</w:t>
          </w:r>
        </w:sdtContent>
      </w:sdt>
      <w:r w:rsidR="00A25024" w:rsidRPr="00677A16">
        <w:rPr>
          <w:rFonts w:eastAsia="MS Mincho" w:cstheme="minorHAnsi"/>
          <w:b/>
          <w:bCs/>
        </w:rPr>
        <w:t xml:space="preserve"> </w:t>
      </w:r>
      <w:r w:rsidR="005232D6" w:rsidRPr="00BC0578">
        <w:rPr>
          <w:rFonts w:cstheme="minorHAnsi"/>
          <w:b/>
          <w:bCs/>
        </w:rPr>
        <w:t>S</w:t>
      </w:r>
      <w:r w:rsidR="00D50704" w:rsidRPr="00A4107F">
        <w:rPr>
          <w:rFonts w:cstheme="minorHAnsi"/>
          <w:b/>
          <w:bCs/>
        </w:rPr>
        <w:t xml:space="preserve">ystematic assessment of </w:t>
      </w:r>
      <w:r w:rsidR="004B6CEE" w:rsidRPr="00973A08">
        <w:rPr>
          <w:rFonts w:cstheme="minorHAnsi"/>
          <w:b/>
          <w:bCs/>
        </w:rPr>
        <w:t xml:space="preserve">face </w:t>
      </w:r>
      <w:r w:rsidR="004B6CEE" w:rsidRPr="00973A08">
        <w:rPr>
          <w:rFonts w:eastAsia="MS Gothic" w:cstheme="minorHAnsi"/>
          <w:b/>
          <w:bCs/>
        </w:rPr>
        <w:t xml:space="preserve">validity of </w:t>
      </w:r>
      <w:r w:rsidR="00D1754D" w:rsidRPr="00973A08">
        <w:rPr>
          <w:rFonts w:eastAsia="MS Gothic" w:cstheme="minorHAnsi"/>
          <w:b/>
          <w:bCs/>
          <w:u w:val="single"/>
        </w:rPr>
        <w:t xml:space="preserve">performance </w:t>
      </w:r>
      <w:r w:rsidR="004B6CEE" w:rsidRPr="00B70775">
        <w:rPr>
          <w:rFonts w:eastAsia="MS Gothic" w:cstheme="minorHAnsi"/>
          <w:b/>
          <w:bCs/>
          <w:u w:val="single"/>
        </w:rPr>
        <w:t>measure score</w:t>
      </w:r>
      <w:r w:rsidR="00CA06D8" w:rsidRPr="00B70775">
        <w:rPr>
          <w:rFonts w:eastAsia="MS Gothic" w:cstheme="minorHAnsi"/>
          <w:b/>
          <w:bCs/>
        </w:rPr>
        <w:t xml:space="preserve"> </w:t>
      </w:r>
      <w:r w:rsidR="00A41377" w:rsidRPr="00B70775">
        <w:rPr>
          <w:rFonts w:eastAsia="MS Gothic" w:cstheme="minorHAnsi"/>
          <w:b/>
          <w:bCs/>
        </w:rPr>
        <w:t>as a</w:t>
      </w:r>
      <w:r w:rsidR="00241591" w:rsidRPr="00B70775">
        <w:rPr>
          <w:rFonts w:eastAsia="MS Gothic" w:cstheme="minorHAnsi"/>
          <w:b/>
          <w:bCs/>
        </w:rPr>
        <w:t>n</w:t>
      </w:r>
      <w:r w:rsidR="00A41377" w:rsidRPr="00B70775">
        <w:rPr>
          <w:rFonts w:eastAsia="MS Gothic" w:cstheme="minorHAnsi"/>
          <w:b/>
          <w:bCs/>
        </w:rPr>
        <w:t xml:space="preserve"> indicator</w:t>
      </w:r>
      <w:r w:rsidR="00A41377" w:rsidRPr="00630421">
        <w:rPr>
          <w:rFonts w:eastAsia="MS Gothic" w:cstheme="minorHAnsi"/>
          <w:bCs/>
        </w:rPr>
        <w:t xml:space="preserve"> </w:t>
      </w:r>
      <w:r w:rsidR="00241591" w:rsidRPr="00630421">
        <w:rPr>
          <w:rFonts w:eastAsia="MS Gothic" w:cstheme="minorHAnsi"/>
          <w:bCs/>
        </w:rPr>
        <w:t xml:space="preserve">of </w:t>
      </w:r>
      <w:r w:rsidR="007413CB" w:rsidRPr="00630421">
        <w:rPr>
          <w:rFonts w:eastAsia="MS Gothic" w:cstheme="minorHAnsi"/>
          <w:bCs/>
        </w:rPr>
        <w:t xml:space="preserve">quality or </w:t>
      </w:r>
      <w:r w:rsidR="007413CB">
        <w:rPr>
          <w:rFonts w:eastAsia="MS Gothic" w:cstheme="minorHAnsi"/>
          <w:bCs/>
        </w:rPr>
        <w:t xml:space="preserve">resource use </w:t>
      </w:r>
      <w:r w:rsidR="007413CB" w:rsidRPr="00A25024">
        <w:rPr>
          <w:rFonts w:eastAsia="MS Gothic" w:cstheme="minorHAnsi"/>
          <w:bCs/>
        </w:rPr>
        <w:t>(</w:t>
      </w:r>
      <w:r w:rsidR="007413CB" w:rsidRPr="00A25024">
        <w:rPr>
          <w:rFonts w:eastAsia="MS Gothic" w:cstheme="minorHAnsi"/>
          <w:bCs/>
          <w:i/>
        </w:rPr>
        <w:t>i.e., is an accurate reflection of</w:t>
      </w:r>
      <w:r w:rsidR="007413CB">
        <w:rPr>
          <w:rFonts w:eastAsia="MS Gothic" w:cstheme="minorHAnsi"/>
          <w:bCs/>
          <w:i/>
        </w:rPr>
        <w:t xml:space="preserve"> performance</w:t>
      </w:r>
      <w:r w:rsidR="007413CB" w:rsidRPr="00A25024">
        <w:rPr>
          <w:rFonts w:eastAsia="MS Gothic" w:cstheme="minorHAnsi"/>
          <w:bCs/>
          <w:i/>
        </w:rPr>
        <w:t xml:space="preserve"> </w:t>
      </w:r>
      <w:r w:rsidR="007413CB">
        <w:rPr>
          <w:rFonts w:eastAsia="MS Gothic" w:cstheme="minorHAnsi"/>
          <w:bCs/>
          <w:i/>
        </w:rPr>
        <w:t xml:space="preserve">on quality or resource use </w:t>
      </w:r>
      <w:r w:rsidR="007413CB" w:rsidRPr="00A25024">
        <w:rPr>
          <w:rFonts w:eastAsia="MS Gothic" w:cstheme="minorHAnsi"/>
          <w:bCs/>
          <w:i/>
        </w:rPr>
        <w:t xml:space="preserve">and can distinguish </w:t>
      </w:r>
      <w:r w:rsidR="007413CB">
        <w:rPr>
          <w:rFonts w:eastAsia="MS Gothic" w:cstheme="minorHAnsi"/>
          <w:bCs/>
          <w:i/>
        </w:rPr>
        <w:t>good from poor performance</w:t>
      </w:r>
      <w:r w:rsidR="007413CB" w:rsidRPr="00A25024">
        <w:rPr>
          <w:rFonts w:eastAsia="MS Gothic" w:cstheme="minorHAnsi"/>
          <w:bCs/>
        </w:rPr>
        <w:t>)</w:t>
      </w:r>
    </w:p>
    <w:p w14:paraId="39DE2308" w14:textId="77777777" w:rsidR="00A732F2" w:rsidRDefault="00A732F2" w:rsidP="00DB3627">
      <w:pPr>
        <w:autoSpaceDE w:val="0"/>
        <w:autoSpaceDN w:val="0"/>
        <w:adjustRightInd w:val="0"/>
        <w:spacing w:after="0" w:line="240" w:lineRule="auto"/>
        <w:rPr>
          <w:rFonts w:cstheme="minorHAnsi"/>
          <w:b/>
          <w:bCs/>
        </w:rPr>
      </w:pPr>
    </w:p>
    <w:p w14:paraId="106C918E" w14:textId="7C1E84EB" w:rsidR="00394224"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7BEA4EC9" w14:textId="5CB8C505" w:rsidR="000A1D10" w:rsidRDefault="000A1D10" w:rsidP="007413CB">
      <w:pPr>
        <w:autoSpaceDE w:val="0"/>
        <w:autoSpaceDN w:val="0"/>
        <w:adjustRightInd w:val="0"/>
        <w:spacing w:after="0" w:line="240" w:lineRule="auto"/>
        <w:rPr>
          <w:rFonts w:ascii="Calibri" w:eastAsia="Calibri" w:hAnsi="Calibri" w:cs="Calibri"/>
          <w:color w:val="000000"/>
          <w:bdr w:val="single" w:sz="4" w:space="0" w:color="auto"/>
        </w:rPr>
      </w:pPr>
    </w:p>
    <w:p w14:paraId="05565559" w14:textId="36649376" w:rsidR="009B11BB" w:rsidRPr="00C41FE1" w:rsidRDefault="009B11BB" w:rsidP="009B11BB">
      <w:pPr>
        <w:pBdr>
          <w:top w:val="single" w:sz="4" w:space="1" w:color="auto"/>
          <w:left w:val="single" w:sz="4" w:space="4" w:color="auto"/>
          <w:bottom w:val="single" w:sz="4" w:space="1" w:color="auto"/>
          <w:right w:val="single" w:sz="4" w:space="4" w:color="auto"/>
        </w:pBdr>
        <w:spacing w:after="0" w:line="240" w:lineRule="auto"/>
        <w:rPr>
          <w:b/>
          <w:bCs/>
          <w:u w:val="single"/>
        </w:rPr>
      </w:pPr>
      <w:r w:rsidRPr="00C41FE1">
        <w:rPr>
          <w:b/>
          <w:bCs/>
          <w:u w:val="single"/>
        </w:rPr>
        <w:t>Validity as Assessed by External Groups</w:t>
      </w:r>
      <w:r w:rsidR="00EE7D1F">
        <w:rPr>
          <w:b/>
          <w:bCs/>
          <w:u w:val="single"/>
        </w:rPr>
        <w:t xml:space="preserve"> and Technical Expert Panel</w:t>
      </w:r>
    </w:p>
    <w:p w14:paraId="5C14FA64" w14:textId="5463782B" w:rsidR="009B11BB" w:rsidRPr="00677A16" w:rsidRDefault="009B11BB" w:rsidP="009B11BB">
      <w:pPr>
        <w:pBdr>
          <w:top w:val="single" w:sz="4" w:space="1" w:color="auto"/>
          <w:left w:val="single" w:sz="4" w:space="4" w:color="auto"/>
          <w:bottom w:val="single" w:sz="4" w:space="1" w:color="auto"/>
          <w:right w:val="single" w:sz="4" w:space="4" w:color="auto"/>
        </w:pBdr>
        <w:spacing w:line="240" w:lineRule="auto"/>
      </w:pPr>
      <w:r w:rsidRPr="00677A16">
        <w:t xml:space="preserve">Throughout measure development, we obtained expert and stakeholder input through: involving our in-house experts in </w:t>
      </w:r>
      <w:r w:rsidRPr="00677A16">
        <w:rPr>
          <w:bCs/>
        </w:rPr>
        <w:t>clinical management of patients with multiple chronic conditions, statistical modeling, healthcare disparities, and healthcare policy</w:t>
      </w:r>
      <w:r w:rsidRPr="00677A16">
        <w:t>; consulting outside leading experts on care for patients with MCCs</w:t>
      </w:r>
      <w:r w:rsidR="00882199" w:rsidRPr="00677A16">
        <w:t>;</w:t>
      </w:r>
      <w:r w:rsidRPr="00677A16">
        <w:t xml:space="preserve"> consulting our national TEP</w:t>
      </w:r>
      <w:r w:rsidR="00882199" w:rsidRPr="00677A16">
        <w:t>;</w:t>
      </w:r>
      <w:r w:rsidRPr="00677A16">
        <w:t xml:space="preserve"> and holding a 30-day public comment period. </w:t>
      </w:r>
    </w:p>
    <w:p w14:paraId="2BD6BDF9"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line="240" w:lineRule="auto"/>
      </w:pPr>
      <w:r w:rsidRPr="00677A16">
        <w:t>In alignment with the CMS Measure Management System, we formally convened the TEP to advise on this measure and two related ACO measures under development for ambulatory patients with diabetes and heart failure. To convene the TEP, we released a public call for nominations; CMS selected individuals to represent a range of perspectives including clinicians, patients, and individuals with experience in quality improvement, performance measurement, and healthcare disparities. We held four structured TEP conference calls consisting of presentation of key issues, our proposed approach, and relevant data, followed by open discussion among TEP members.</w:t>
      </w:r>
    </w:p>
    <w:p w14:paraId="6842C5A8" w14:textId="3B40B91B" w:rsidR="009B11BB" w:rsidRPr="00677A16" w:rsidRDefault="009B11BB" w:rsidP="009B11BB">
      <w:pPr>
        <w:pBdr>
          <w:top w:val="single" w:sz="4" w:space="1" w:color="auto"/>
          <w:left w:val="single" w:sz="4" w:space="4" w:color="auto"/>
          <w:bottom w:val="single" w:sz="4" w:space="1" w:color="auto"/>
          <w:right w:val="single" w:sz="4" w:space="4" w:color="auto"/>
        </w:pBdr>
        <w:spacing w:line="240" w:lineRule="auto"/>
      </w:pPr>
      <w:r w:rsidRPr="00677A16">
        <w:t xml:space="preserve">We also </w:t>
      </w:r>
      <w:r w:rsidR="00882199" w:rsidRPr="00677A16">
        <w:t xml:space="preserve">obtained </w:t>
      </w:r>
      <w:r w:rsidRPr="00677A16">
        <w:t xml:space="preserve">input </w:t>
      </w:r>
      <w:r w:rsidR="00882199" w:rsidRPr="00677A16">
        <w:t xml:space="preserve">from </w:t>
      </w:r>
      <w:r w:rsidRPr="00677A16">
        <w:t xml:space="preserve">two leading experts in designing the cohort: Dr. Cynthia Boyd, Associate Professor of Medicine at Johns Hopkins Bloomberg School of Public Health; and Dr. Mary Tinetti, Professor of Medicine </w:t>
      </w:r>
      <w:r w:rsidR="00762B92" w:rsidRPr="00677A16">
        <w:t>(Geriatrics)</w:t>
      </w:r>
      <w:r w:rsidRPr="00677A16">
        <w:t xml:space="preserve"> </w:t>
      </w:r>
      <w:r w:rsidRPr="00677A16">
        <w:rPr>
          <w:rFonts w:ascii="Calibri" w:hAnsi="Calibri"/>
        </w:rPr>
        <w:t>at</w:t>
      </w:r>
      <w:r w:rsidRPr="00677A16">
        <w:rPr>
          <w:rFonts w:ascii="Calibri" w:hAnsi="Calibri" w:cs="Arial"/>
          <w:shd w:val="clear" w:color="auto" w:fill="FFFFFF"/>
        </w:rPr>
        <w:t xml:space="preserve"> Y</w:t>
      </w:r>
      <w:r w:rsidRPr="00677A16">
        <w:rPr>
          <w:rFonts w:ascii="Calibri" w:hAnsi="Calibri"/>
        </w:rPr>
        <w:t>ale U</w:t>
      </w:r>
      <w:r w:rsidRPr="00677A16">
        <w:t>niversity School of </w:t>
      </w:r>
      <w:r w:rsidRPr="00677A16">
        <w:rPr>
          <w:bCs/>
        </w:rPr>
        <w:t>Medicine</w:t>
      </w:r>
      <w:r w:rsidRPr="00677A16">
        <w:t>.</w:t>
      </w:r>
    </w:p>
    <w:p w14:paraId="64A5B3D1"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line="240" w:lineRule="auto"/>
      </w:pPr>
      <w:r w:rsidRPr="00677A16">
        <w:t xml:space="preserve">Finally, we held a public comment period. Comments from several national stakeholder groups and several individuals generally supported the cohort definition and the use of admission as an outcome. </w:t>
      </w:r>
    </w:p>
    <w:p w14:paraId="43F04772"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rPr>
          <w:i/>
        </w:rPr>
        <w:t>List of TEP Members</w:t>
      </w:r>
    </w:p>
    <w:p w14:paraId="73F1B72E"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1. Lawrence M. Becker, BS, Xerox Corporation (Director, Strategic Partnerships, Alliances and Analytics); Rochester, NY</w:t>
      </w:r>
    </w:p>
    <w:p w14:paraId="1B0D4697"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2. Alex Blum, MD, MPH, Evergreen Health Cooperative (Chief Medical Officer); Baltimore, MD</w:t>
      </w:r>
    </w:p>
    <w:p w14:paraId="6759D177"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 xml:space="preserve">3. Sanjay </w:t>
      </w:r>
      <w:proofErr w:type="spellStart"/>
      <w:r w:rsidRPr="00677A16">
        <w:t>Doddamani</w:t>
      </w:r>
      <w:proofErr w:type="spellEnd"/>
      <w:r w:rsidRPr="00677A16">
        <w:t>, MD, Geisinger Health System (System-wide Chief of Advanced Cardiac Disease – Heart Failure); Danville, PA</w:t>
      </w:r>
    </w:p>
    <w:p w14:paraId="7BC5AE6C"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 xml:space="preserve">4. Kevin </w:t>
      </w:r>
      <w:proofErr w:type="spellStart"/>
      <w:r w:rsidRPr="00677A16">
        <w:t>Fiscella</w:t>
      </w:r>
      <w:proofErr w:type="spellEnd"/>
      <w:r w:rsidRPr="00677A16">
        <w:t>, MD, MPH, University of Rochester Medical Center (Professor of Family Medicine); Rochester, NY</w:t>
      </w:r>
    </w:p>
    <w:p w14:paraId="69C17086"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5. Elbert Huang, MD, MPH, University of Chicago (Associate Professor of Medicine, Director of the Center for Translational and Policy Research of Chronic Diseases, and Associate Director of the Chicago Center for Diabetes Translation Research); Chicago, IL</w:t>
      </w:r>
    </w:p>
    <w:p w14:paraId="3D06B84B"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 xml:space="preserve">6. Bruce </w:t>
      </w:r>
      <w:proofErr w:type="spellStart"/>
      <w:r w:rsidRPr="00677A16">
        <w:t>Leff</w:t>
      </w:r>
      <w:proofErr w:type="spellEnd"/>
      <w:r w:rsidRPr="00677A16">
        <w:t xml:space="preserve">, MD, Johns Hopkins University School of Medicine (Professor of Medicine, Division of Geriatric Medicine); The Johns Hopkins University Bloomberg School of Public Health (Faculty, Health Services Research Development Center and </w:t>
      </w:r>
      <w:proofErr w:type="spellStart"/>
      <w:r w:rsidRPr="00677A16">
        <w:t>Lipitz</w:t>
      </w:r>
      <w:proofErr w:type="spellEnd"/>
      <w:r w:rsidRPr="00677A16">
        <w:t xml:space="preserve"> Center for Integrated Health Care); Baltimore, MD</w:t>
      </w:r>
    </w:p>
    <w:p w14:paraId="45D8F980"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7. Andy Miller, MD, MPH, Healthcare Quality Strategies, Inc. (Medical Director); East Brunswick, NJ; Colorado Foundation for Medical Care (CMO, Integrating Care for Populations &amp; Communities National Coordinating Center); Englewood, CO</w:t>
      </w:r>
    </w:p>
    <w:p w14:paraId="2FE87EB0"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8. Ami Parekh, MD, JD, University of California, San Francisco (Medical Director for Health System Innovation); San Francisco, CA</w:t>
      </w:r>
    </w:p>
    <w:p w14:paraId="055101F4"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after="0" w:line="240" w:lineRule="auto"/>
      </w:pPr>
      <w:r w:rsidRPr="00677A16">
        <w:t>9. Christine Ritchie, MD, University of California, San Francisco (Professor of Medicine, Division of Geriatrics); San Francisco, CA</w:t>
      </w:r>
    </w:p>
    <w:p w14:paraId="0FC4A338" w14:textId="77777777" w:rsidR="009B11BB" w:rsidRPr="00677A16" w:rsidRDefault="009B11BB" w:rsidP="009B11BB">
      <w:pPr>
        <w:pBdr>
          <w:top w:val="single" w:sz="4" w:space="1" w:color="auto"/>
          <w:left w:val="single" w:sz="4" w:space="4" w:color="auto"/>
          <w:bottom w:val="single" w:sz="4" w:space="1" w:color="auto"/>
          <w:right w:val="single" w:sz="4" w:space="4" w:color="auto"/>
        </w:pBdr>
        <w:spacing w:line="240" w:lineRule="auto"/>
      </w:pPr>
      <w:r w:rsidRPr="00677A16">
        <w:t xml:space="preserve">10. Two patient representatives. </w:t>
      </w:r>
    </w:p>
    <w:p w14:paraId="24E42FFD"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r w:rsidRPr="00677A16">
        <w:rPr>
          <w:b/>
          <w:u w:val="single"/>
        </w:rPr>
        <w:lastRenderedPageBreak/>
        <w:t>Empirical Validity Testing of the Measure Score</w:t>
      </w:r>
    </w:p>
    <w:p w14:paraId="6111C1FE"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 xml:space="preserve">We examined whether performance on the ACO MCC measure was correlated with performance on other ACO measures that at least to some extent assess the same domain(s) of quality (i.e., care coordination and management of chronic conditions).    </w:t>
      </w:r>
    </w:p>
    <w:p w14:paraId="014C1940"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rPr>
      </w:pPr>
    </w:p>
    <w:p w14:paraId="5F7155E9" w14:textId="0A19564A" w:rsidR="001800A5" w:rsidRPr="00EE7D1F"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r w:rsidRPr="00EE7D1F">
        <w:rPr>
          <w:b/>
          <w:u w:val="single"/>
        </w:rPr>
        <w:t xml:space="preserve">Medicare Shared Savings Program </w:t>
      </w:r>
      <w:r w:rsidR="00B70775" w:rsidRPr="00EE7D1F">
        <w:rPr>
          <w:b/>
          <w:u w:val="single"/>
        </w:rPr>
        <w:t>M</w:t>
      </w:r>
      <w:r w:rsidRPr="00EE7D1F">
        <w:rPr>
          <w:b/>
          <w:u w:val="single"/>
        </w:rPr>
        <w:t>easures</w:t>
      </w:r>
    </w:p>
    <w:p w14:paraId="19F9A530"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 xml:space="preserve">To identify measures assessing an overlapping quality domain, we reviewed all measures that are currently in use (for CY2020 Payment Determination) in the Medicare Shared Savings Program (MSSP).  </w:t>
      </w:r>
    </w:p>
    <w:p w14:paraId="1942E3B4"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6262BE2" w14:textId="7FED2F05"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 xml:space="preserve">Of the 23 measures in the MSSP program that are NQF-endorsed, </w:t>
      </w:r>
      <w:r w:rsidR="00EE7D1F">
        <w:t>we</w:t>
      </w:r>
      <w:r w:rsidRPr="00677A16">
        <w:t xml:space="preserve"> identified 5 measures that we hypothesized would be correlated to the ACO MCC measure:</w:t>
      </w:r>
    </w:p>
    <w:p w14:paraId="716E5F7B"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251DE7B"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ACO1 - CAHPS: Getting Timely Care, Appointments, and Information</w:t>
      </w:r>
    </w:p>
    <w:p w14:paraId="09D0E4A3"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ACO4 - CAHPS: Access to Specialists</w:t>
      </w:r>
    </w:p>
    <w:p w14:paraId="2DDFED6D"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ACO8 - Risk Standardized, All Condition Readmission</w:t>
      </w:r>
    </w:p>
    <w:p w14:paraId="02A42885"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ACO27 - Diabetes: Hemoglobin A1c (HbA1c) Poor Control (&gt;9%)</w:t>
      </w:r>
    </w:p>
    <w:p w14:paraId="25E775C2" w14:textId="3D0A0884" w:rsidR="00762B92"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677A16">
        <w:t>ACO28 - Controlling High Blood Pressure</w:t>
      </w:r>
    </w:p>
    <w:p w14:paraId="6CAFE764"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34CC66A" w14:textId="7EB90410" w:rsidR="001800A5" w:rsidRPr="00677A16" w:rsidRDefault="00EE7D1F" w:rsidP="001800A5">
      <w:pPr>
        <w:pBdr>
          <w:top w:val="single" w:sz="4" w:space="1" w:color="auto"/>
          <w:left w:val="single" w:sz="4" w:space="4" w:color="auto"/>
          <w:bottom w:val="single" w:sz="4" w:space="1" w:color="auto"/>
          <w:right w:val="single" w:sz="4" w:space="4" w:color="auto"/>
        </w:pBdr>
        <w:shd w:val="clear" w:color="auto" w:fill="FFFFFF"/>
        <w:spacing w:line="240" w:lineRule="auto"/>
      </w:pPr>
      <w:r>
        <w:t>A 6</w:t>
      </w:r>
      <w:r w:rsidR="001800A5" w:rsidRPr="00677A16">
        <w:rPr>
          <w:vertAlign w:val="superscript"/>
        </w:rPr>
        <w:t>th</w:t>
      </w:r>
      <w:r w:rsidR="001800A5" w:rsidRPr="00677A16">
        <w:t xml:space="preserve"> measure that we hypothesized would also be correlated, Ambulatory Sensitive Condition Acute Composite (AHRQ Prevention Quality Indicator (PQI) #91), does not yet have </w:t>
      </w:r>
      <w:r>
        <w:t xml:space="preserve">publicly </w:t>
      </w:r>
      <w:r w:rsidR="001800A5" w:rsidRPr="00677A16">
        <w:t>available data for comparison, and it is not currently NQF endorsed.</w:t>
      </w:r>
    </w:p>
    <w:p w14:paraId="23649751" w14:textId="0B9AA817" w:rsidR="001800A5" w:rsidRPr="00EE7D1F" w:rsidRDefault="00EE7D1F"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EE7D1F">
        <w:t>Table 2</w:t>
      </w:r>
      <w:r w:rsidR="001800A5" w:rsidRPr="00EE7D1F">
        <w:t xml:space="preserve"> summarizes the hypothesized strength and direction of the relationship between the ACO MCC measure and the comparator me</w:t>
      </w:r>
      <w:r w:rsidR="00B00AC9">
        <w:t>asure; a narrative below Table 2</w:t>
      </w:r>
      <w:r w:rsidR="001800A5" w:rsidRPr="00EE7D1F">
        <w:t xml:space="preserve"> explains our rationale behind each hypothesis.</w:t>
      </w:r>
    </w:p>
    <w:p w14:paraId="650DCADA" w14:textId="7E670599" w:rsidR="001800A5" w:rsidRPr="00EE7D1F" w:rsidRDefault="00EE7D1F" w:rsidP="001800A5">
      <w:pPr>
        <w:pBdr>
          <w:top w:val="single" w:sz="4" w:space="1" w:color="auto"/>
          <w:left w:val="single" w:sz="4" w:space="4" w:color="auto"/>
          <w:bottom w:val="single" w:sz="4" w:space="1" w:color="auto"/>
          <w:right w:val="single" w:sz="4" w:space="4" w:color="auto"/>
        </w:pBdr>
        <w:shd w:val="clear" w:color="auto" w:fill="FFFFFF"/>
        <w:spacing w:line="240" w:lineRule="auto"/>
        <w:rPr>
          <w:b/>
        </w:rPr>
      </w:pPr>
      <w:r w:rsidRPr="00EE7D1F">
        <w:rPr>
          <w:b/>
        </w:rPr>
        <w:t>Table 2</w:t>
      </w:r>
      <w:r w:rsidR="001800A5" w:rsidRPr="00EE7D1F">
        <w:rPr>
          <w:b/>
        </w:rPr>
        <w:t>:  ACO MCC Validation – Comparator measures and hypothesized strength and direction of relationship</w:t>
      </w:r>
    </w:p>
    <w:tbl>
      <w:tblPr>
        <w:tblStyle w:val="TableGrid"/>
        <w:tblW w:w="0" w:type="auto"/>
        <w:tblLook w:val="04A0" w:firstRow="1" w:lastRow="0" w:firstColumn="1" w:lastColumn="0" w:noHBand="0" w:noVBand="1"/>
      </w:tblPr>
      <w:tblGrid>
        <w:gridCol w:w="4135"/>
        <w:gridCol w:w="2880"/>
        <w:gridCol w:w="2335"/>
      </w:tblGrid>
      <w:tr w:rsidR="001800A5" w:rsidRPr="00630421" w14:paraId="1AAEA33E" w14:textId="77777777" w:rsidTr="001B365F">
        <w:tc>
          <w:tcPr>
            <w:tcW w:w="4135" w:type="dxa"/>
          </w:tcPr>
          <w:p w14:paraId="5D2BF186" w14:textId="77777777" w:rsidR="001800A5" w:rsidRPr="00677A16" w:rsidRDefault="001800A5" w:rsidP="001B365F">
            <w:pPr>
              <w:rPr>
                <w:b/>
              </w:rPr>
            </w:pPr>
            <w:r w:rsidRPr="00677A16">
              <w:rPr>
                <w:b/>
              </w:rPr>
              <w:t>MSSP Program Measure</w:t>
            </w:r>
          </w:p>
        </w:tc>
        <w:tc>
          <w:tcPr>
            <w:tcW w:w="2880" w:type="dxa"/>
          </w:tcPr>
          <w:p w14:paraId="79DD83D5" w14:textId="77777777" w:rsidR="001800A5" w:rsidRPr="00677A16" w:rsidRDefault="001800A5" w:rsidP="001B365F">
            <w:pPr>
              <w:rPr>
                <w:b/>
              </w:rPr>
            </w:pPr>
            <w:r w:rsidRPr="00677A16">
              <w:rPr>
                <w:b/>
              </w:rPr>
              <w:t>Hypothesized strength of relationship</w:t>
            </w:r>
          </w:p>
        </w:tc>
        <w:tc>
          <w:tcPr>
            <w:tcW w:w="2335" w:type="dxa"/>
          </w:tcPr>
          <w:p w14:paraId="421780A2" w14:textId="77777777" w:rsidR="001800A5" w:rsidRPr="00677A16" w:rsidRDefault="001800A5" w:rsidP="001B365F">
            <w:pPr>
              <w:rPr>
                <w:b/>
              </w:rPr>
            </w:pPr>
            <w:r w:rsidRPr="00677A16">
              <w:rPr>
                <w:b/>
              </w:rPr>
              <w:t>Direction of relationship</w:t>
            </w:r>
          </w:p>
        </w:tc>
      </w:tr>
      <w:tr w:rsidR="001800A5" w:rsidRPr="00630421" w14:paraId="15EB97C4" w14:textId="77777777" w:rsidTr="001B365F">
        <w:tc>
          <w:tcPr>
            <w:tcW w:w="4135" w:type="dxa"/>
          </w:tcPr>
          <w:p w14:paraId="38B93394" w14:textId="77777777" w:rsidR="001800A5" w:rsidRPr="00677A16" w:rsidRDefault="001800A5" w:rsidP="001B365F">
            <w:r w:rsidRPr="00677A16">
              <w:t>ACO1 - CAHPS: Getting Timely Care, Appointments, and Information</w:t>
            </w:r>
          </w:p>
          <w:p w14:paraId="33FC7521" w14:textId="77777777" w:rsidR="001800A5" w:rsidRPr="00677A16" w:rsidRDefault="001800A5" w:rsidP="001B365F"/>
        </w:tc>
        <w:tc>
          <w:tcPr>
            <w:tcW w:w="2880" w:type="dxa"/>
          </w:tcPr>
          <w:p w14:paraId="77264DF3" w14:textId="77777777" w:rsidR="001800A5" w:rsidRPr="00677A16" w:rsidRDefault="001800A5" w:rsidP="001B365F">
            <w:r w:rsidRPr="00677A16">
              <w:t>Very weak to none</w:t>
            </w:r>
          </w:p>
        </w:tc>
        <w:tc>
          <w:tcPr>
            <w:tcW w:w="2335" w:type="dxa"/>
          </w:tcPr>
          <w:p w14:paraId="138950C0" w14:textId="77777777" w:rsidR="001800A5" w:rsidRPr="00677A16" w:rsidRDefault="001800A5" w:rsidP="001B365F">
            <w:r w:rsidRPr="00677A16">
              <w:t>Negative (i.e., higher score on ACO1 would be correlated with fewer admissions)</w:t>
            </w:r>
          </w:p>
        </w:tc>
      </w:tr>
      <w:tr w:rsidR="001800A5" w:rsidRPr="00630421" w14:paraId="03F8E2A3" w14:textId="77777777" w:rsidTr="001B365F">
        <w:tc>
          <w:tcPr>
            <w:tcW w:w="4135" w:type="dxa"/>
          </w:tcPr>
          <w:p w14:paraId="0A29EEA8" w14:textId="77777777" w:rsidR="001800A5" w:rsidRPr="00677A16" w:rsidRDefault="001800A5" w:rsidP="001B365F">
            <w:r w:rsidRPr="00677A16">
              <w:t>ACO4 - CAHPS: Access to Specialists</w:t>
            </w:r>
          </w:p>
        </w:tc>
        <w:tc>
          <w:tcPr>
            <w:tcW w:w="2880" w:type="dxa"/>
          </w:tcPr>
          <w:p w14:paraId="05B55C35" w14:textId="77777777" w:rsidR="001800A5" w:rsidRPr="00677A16" w:rsidRDefault="001800A5" w:rsidP="001B365F">
            <w:r w:rsidRPr="00677A16">
              <w:t>Very weak to none</w:t>
            </w:r>
          </w:p>
        </w:tc>
        <w:tc>
          <w:tcPr>
            <w:tcW w:w="2335" w:type="dxa"/>
          </w:tcPr>
          <w:p w14:paraId="199F0113" w14:textId="77777777" w:rsidR="001800A5" w:rsidRPr="00677A16" w:rsidRDefault="001800A5" w:rsidP="001B365F">
            <w:r w:rsidRPr="00677A16">
              <w:t>Negative</w:t>
            </w:r>
          </w:p>
        </w:tc>
      </w:tr>
      <w:tr w:rsidR="001800A5" w:rsidRPr="00630421" w14:paraId="248806A1" w14:textId="77777777" w:rsidTr="001B365F">
        <w:tc>
          <w:tcPr>
            <w:tcW w:w="4135" w:type="dxa"/>
          </w:tcPr>
          <w:p w14:paraId="7E1B4B8C" w14:textId="77777777" w:rsidR="001800A5" w:rsidRPr="00677A16" w:rsidRDefault="001800A5" w:rsidP="001B365F">
            <w:r w:rsidRPr="00677A16">
              <w:t>ACO8 - Risk Standardized, All Condition Readmission</w:t>
            </w:r>
          </w:p>
        </w:tc>
        <w:tc>
          <w:tcPr>
            <w:tcW w:w="2880" w:type="dxa"/>
          </w:tcPr>
          <w:p w14:paraId="782E2CDF" w14:textId="77777777" w:rsidR="001800A5" w:rsidRPr="00677A16" w:rsidRDefault="001800A5" w:rsidP="001B365F">
            <w:r w:rsidRPr="00677A16">
              <w:t>Strong correlation</w:t>
            </w:r>
          </w:p>
        </w:tc>
        <w:tc>
          <w:tcPr>
            <w:tcW w:w="2335" w:type="dxa"/>
          </w:tcPr>
          <w:p w14:paraId="1E7C6053" w14:textId="77777777" w:rsidR="001800A5" w:rsidRPr="00677A16" w:rsidRDefault="001800A5" w:rsidP="001B365F">
            <w:r w:rsidRPr="00677A16">
              <w:t>Positive (i.e., lower score on ACO8 would be correlated with fewer admissions)</w:t>
            </w:r>
          </w:p>
        </w:tc>
      </w:tr>
      <w:tr w:rsidR="001800A5" w:rsidRPr="00630421" w14:paraId="1296B2E7" w14:textId="77777777" w:rsidTr="001B365F">
        <w:tc>
          <w:tcPr>
            <w:tcW w:w="4135" w:type="dxa"/>
          </w:tcPr>
          <w:p w14:paraId="117303FE" w14:textId="77777777" w:rsidR="001800A5" w:rsidRPr="00677A16" w:rsidRDefault="001800A5" w:rsidP="001B365F">
            <w:r w:rsidRPr="00677A16">
              <w:t>ACO27 - Diabetes: Hemoglobin A1c (HbA1c) Poor Control (&gt;9%)</w:t>
            </w:r>
          </w:p>
        </w:tc>
        <w:tc>
          <w:tcPr>
            <w:tcW w:w="2880" w:type="dxa"/>
          </w:tcPr>
          <w:p w14:paraId="046CCEEA" w14:textId="77777777" w:rsidR="001800A5" w:rsidRPr="00677A16" w:rsidRDefault="001800A5" w:rsidP="001B365F">
            <w:r w:rsidRPr="00677A16">
              <w:t xml:space="preserve">Weak </w:t>
            </w:r>
          </w:p>
        </w:tc>
        <w:tc>
          <w:tcPr>
            <w:tcW w:w="2335" w:type="dxa"/>
          </w:tcPr>
          <w:p w14:paraId="5D4A9DDB" w14:textId="77777777" w:rsidR="001800A5" w:rsidRPr="00677A16" w:rsidRDefault="001800A5" w:rsidP="001B365F">
            <w:r w:rsidRPr="00677A16">
              <w:t>Positive</w:t>
            </w:r>
          </w:p>
        </w:tc>
      </w:tr>
      <w:tr w:rsidR="001800A5" w:rsidRPr="00630421" w14:paraId="3B21CC98" w14:textId="77777777" w:rsidTr="001B365F">
        <w:tc>
          <w:tcPr>
            <w:tcW w:w="4135" w:type="dxa"/>
          </w:tcPr>
          <w:p w14:paraId="3A5A0150" w14:textId="77777777" w:rsidR="001800A5" w:rsidRPr="00677A16" w:rsidRDefault="001800A5" w:rsidP="001B365F">
            <w:r w:rsidRPr="00677A16">
              <w:t>ACO28 - Controlling High Blood Pressure</w:t>
            </w:r>
          </w:p>
        </w:tc>
        <w:tc>
          <w:tcPr>
            <w:tcW w:w="2880" w:type="dxa"/>
          </w:tcPr>
          <w:p w14:paraId="29F13926" w14:textId="77777777" w:rsidR="001800A5" w:rsidRPr="00677A16" w:rsidRDefault="001800A5" w:rsidP="001B365F">
            <w:r w:rsidRPr="00677A16">
              <w:t>Weak</w:t>
            </w:r>
          </w:p>
        </w:tc>
        <w:tc>
          <w:tcPr>
            <w:tcW w:w="2335" w:type="dxa"/>
          </w:tcPr>
          <w:p w14:paraId="262A2D8A" w14:textId="77777777" w:rsidR="001800A5" w:rsidRPr="00677A16" w:rsidRDefault="001800A5" w:rsidP="001B365F">
            <w:r w:rsidRPr="00677A16">
              <w:t>Negative</w:t>
            </w:r>
          </w:p>
        </w:tc>
      </w:tr>
    </w:tbl>
    <w:p w14:paraId="527C831E" w14:textId="5A46CFB8" w:rsidR="001800A5" w:rsidRPr="00EE7D1F"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rPr>
          <w:b/>
          <w:u w:val="single"/>
        </w:rPr>
      </w:pPr>
      <w:r w:rsidRPr="00EE7D1F">
        <w:rPr>
          <w:b/>
          <w:u w:val="single"/>
        </w:rPr>
        <w:t>ACO MCC vs. CAHPS measures</w:t>
      </w:r>
    </w:p>
    <w:p w14:paraId="0DBEF150"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 xml:space="preserve">We hypothesized that there would be a </w:t>
      </w:r>
      <w:r w:rsidRPr="00677A16">
        <w:rPr>
          <w:b/>
        </w:rPr>
        <w:t>very weak negative correlation or no correlation</w:t>
      </w:r>
      <w:r w:rsidRPr="00677A16">
        <w:t xml:space="preserve"> between the ACO MCC measure and the CAHPS measures (ACO1 and ACO4) because:</w:t>
      </w:r>
    </w:p>
    <w:p w14:paraId="713C549D" w14:textId="37A2D386" w:rsidR="001800A5" w:rsidRPr="00677A16" w:rsidRDefault="00EE7D1F" w:rsidP="001800A5">
      <w:pPr>
        <w:pBdr>
          <w:top w:val="single" w:sz="4" w:space="1" w:color="auto"/>
          <w:left w:val="single" w:sz="4" w:space="4" w:color="auto"/>
          <w:bottom w:val="single" w:sz="4" w:space="1" w:color="auto"/>
          <w:right w:val="single" w:sz="4" w:space="4" w:color="auto"/>
        </w:pBdr>
        <w:shd w:val="clear" w:color="auto" w:fill="FFFFFF"/>
        <w:spacing w:line="240" w:lineRule="auto"/>
      </w:pPr>
      <w:r>
        <w:lastRenderedPageBreak/>
        <w:t>*</w:t>
      </w:r>
      <w:r w:rsidR="001800A5" w:rsidRPr="00677A16">
        <w:t>As outlined in the evidence attachment, better performance on the ACO MCC measure (lower admission rates for patients with MCC</w:t>
      </w:r>
      <w:r w:rsidR="00462847">
        <w:t>s</w:t>
      </w:r>
      <w:r w:rsidR="001800A5" w:rsidRPr="00677A16">
        <w:t xml:space="preserve">) should signal appropriate outpatient care, which would include patients’ access to such care.  </w:t>
      </w:r>
    </w:p>
    <w:p w14:paraId="328700F9" w14:textId="69F454EB"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 xml:space="preserve">*We expect the correlation to be weak because CAHPS measures </w:t>
      </w:r>
      <w:r w:rsidR="00C70609">
        <w:t>often do not correlate, or only weakly</w:t>
      </w:r>
      <w:r w:rsidRPr="00677A16">
        <w:t xml:space="preserve"> correlate with</w:t>
      </w:r>
      <w:r w:rsidR="00C70609">
        <w:t xml:space="preserve"> other quality measures [1</w:t>
      </w:r>
      <w:r w:rsidR="00F71AF9">
        <w:t>,2</w:t>
      </w:r>
      <w:r w:rsidR="00C70609">
        <w:t>].</w:t>
      </w:r>
    </w:p>
    <w:p w14:paraId="003D26B4" w14:textId="77777777" w:rsidR="001800A5" w:rsidRPr="00EE7D1F"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rPr>
          <w:b/>
          <w:u w:val="single"/>
        </w:rPr>
      </w:pPr>
      <w:r w:rsidRPr="00EE7D1F">
        <w:rPr>
          <w:b/>
          <w:u w:val="single"/>
        </w:rPr>
        <w:t>ACO MCC and the ACO All-Cause Readmission Measure</w:t>
      </w:r>
    </w:p>
    <w:p w14:paraId="45027D7D"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 xml:space="preserve">We hypothesized there would be a </w:t>
      </w:r>
      <w:r w:rsidRPr="00677A16">
        <w:rPr>
          <w:b/>
        </w:rPr>
        <w:t>strong positive correlation</w:t>
      </w:r>
      <w:r w:rsidRPr="00677A16">
        <w:t xml:space="preserve"> between the ACO MCC measure and the Risk Standardized, All Condition Readmission measure (ACO 8) because:</w:t>
      </w:r>
    </w:p>
    <w:p w14:paraId="0B9503CD" w14:textId="2843F3AA"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*The two measures address an overlapping (but not identical) patient population (patients with MCCs vs. all ACO patients) and examine a similar quality domain (care coordination).</w:t>
      </w:r>
    </w:p>
    <w:p w14:paraId="6EBF73BC" w14:textId="6CC33862"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*The ACO MCC measures and ACO</w:t>
      </w:r>
      <w:r w:rsidR="00EE7D1F">
        <w:t xml:space="preserve"> </w:t>
      </w:r>
      <w:r w:rsidRPr="00677A16">
        <w:t>8 are measuring an overlapping outcome (admissions and readmissions).</w:t>
      </w:r>
    </w:p>
    <w:p w14:paraId="41C7F034" w14:textId="77777777" w:rsidR="001800A5" w:rsidRPr="00EE7D1F"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rPr>
          <w:b/>
          <w:u w:val="single"/>
        </w:rPr>
      </w:pPr>
      <w:r w:rsidRPr="00EE7D1F">
        <w:rPr>
          <w:b/>
          <w:u w:val="single"/>
        </w:rPr>
        <w:t>ACO MCC and Poor Control of Diabetes Measure</w:t>
      </w:r>
    </w:p>
    <w:p w14:paraId="2E56CCF0" w14:textId="549DB748"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 xml:space="preserve">We hypothesized there would be a </w:t>
      </w:r>
      <w:r w:rsidRPr="00677A16">
        <w:rPr>
          <w:b/>
        </w:rPr>
        <w:t>weak positive</w:t>
      </w:r>
      <w:r w:rsidRPr="00677A16">
        <w:t xml:space="preserve"> </w:t>
      </w:r>
      <w:r w:rsidRPr="00677A16">
        <w:rPr>
          <w:b/>
        </w:rPr>
        <w:t>correlation</w:t>
      </w:r>
      <w:r w:rsidRPr="00677A16">
        <w:t xml:space="preserve"> between ACO MCC and the Diabetes, Poor </w:t>
      </w:r>
      <w:r w:rsidR="00630421">
        <w:t>C</w:t>
      </w:r>
      <w:r w:rsidRPr="00677A16">
        <w:t>ontrol measure (ACO</w:t>
      </w:r>
      <w:r w:rsidR="00EE7D1F">
        <w:t xml:space="preserve"> </w:t>
      </w:r>
      <w:r w:rsidRPr="00677A16">
        <w:t>27) because:</w:t>
      </w:r>
    </w:p>
    <w:p w14:paraId="5300E90E" w14:textId="7A87751A"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*The two measures have overlapping, but not identical, cohorts (the ACO MCC measure has been re-specified to include diabetes patients; some of ACO</w:t>
      </w:r>
      <w:r w:rsidR="00EE7D1F">
        <w:t xml:space="preserve"> </w:t>
      </w:r>
      <w:r w:rsidRPr="00677A16">
        <w:t>27 patients would be expected to also have other chronic conditions)</w:t>
      </w:r>
      <w:r w:rsidR="00630421">
        <w:t>.</w:t>
      </w:r>
    </w:p>
    <w:p w14:paraId="64F99E11" w14:textId="7E79EF4C"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*The two measures are examining a similar quality domain: chronic disease management which would be expected to reduce the risk of a hospital admission. Higher measure scores on ACO</w:t>
      </w:r>
      <w:r w:rsidR="00EE7D1F">
        <w:t xml:space="preserve"> </w:t>
      </w:r>
      <w:r w:rsidRPr="00677A16">
        <w:t>27 indicate that a higher proportion of that ACO’s patients with diabetes have HbA1c values that are &gt;9%, indicating poor control of their diabetes and higher measure scores on the ACO MCC measure indicate higher admission rates.</w:t>
      </w:r>
    </w:p>
    <w:p w14:paraId="5731E62A" w14:textId="77777777" w:rsidR="001800A5" w:rsidRPr="00EE7D1F"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rPr>
          <w:b/>
          <w:u w:val="single"/>
        </w:rPr>
      </w:pPr>
      <w:r w:rsidRPr="00EE7D1F">
        <w:rPr>
          <w:b/>
          <w:u w:val="single"/>
        </w:rPr>
        <w:t>ACO MCC and Control of High Blood Pressure Measure</w:t>
      </w:r>
    </w:p>
    <w:p w14:paraId="3057B9FE" w14:textId="77777777"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 xml:space="preserve">We hypothesized there would be a </w:t>
      </w:r>
      <w:r w:rsidRPr="00677A16">
        <w:rPr>
          <w:b/>
        </w:rPr>
        <w:t>weak negative correlation</w:t>
      </w:r>
      <w:r w:rsidRPr="00677A16">
        <w:t xml:space="preserve"> between ACO MCC and the Controlling High Blood Pressure (ACO28) measure because:</w:t>
      </w:r>
    </w:p>
    <w:p w14:paraId="30870BDB" w14:textId="13E672FF"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*The two measures have overlapping, but not identical, cohorts (it is likely that many patients in the ACO MCC cohort have high blood pressure; some patients in the ACO27 cohort would be expected to also have other chronic conditions)</w:t>
      </w:r>
      <w:r w:rsidR="00EE7D1F">
        <w:t>.</w:t>
      </w:r>
    </w:p>
    <w:p w14:paraId="47DEAE72" w14:textId="46402D0D" w:rsidR="001800A5" w:rsidRPr="00677A16" w:rsidRDefault="001800A5" w:rsidP="001800A5">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*The two measures are examining a similar quality domain: chronic disease management, which would be expected to reduce the risk of a hospital admission. In this case</w:t>
      </w:r>
      <w:r w:rsidR="001675CF">
        <w:t>,</w:t>
      </w:r>
      <w:r w:rsidRPr="00677A16">
        <w:t xml:space="preserve"> the measure scores are in opposite directions: higher measure scores on ACO28 indicate better performance (a higher proportion of that ACO’s patients have their blood pressure controlled); lower measure scores for ACO MCC indicate better performance.</w:t>
      </w:r>
    </w:p>
    <w:p w14:paraId="2F6727C0" w14:textId="57E1171D" w:rsidR="001800A5" w:rsidRDefault="001800A5" w:rsidP="00C41FE1">
      <w:pPr>
        <w:pBdr>
          <w:top w:val="single" w:sz="4" w:space="1" w:color="auto"/>
          <w:left w:val="single" w:sz="4" w:space="4" w:color="auto"/>
          <w:bottom w:val="single" w:sz="4" w:space="1" w:color="auto"/>
          <w:right w:val="single" w:sz="4" w:space="4" w:color="auto"/>
        </w:pBdr>
        <w:shd w:val="clear" w:color="auto" w:fill="FFFFFF"/>
        <w:spacing w:line="240" w:lineRule="auto"/>
      </w:pPr>
      <w:r w:rsidRPr="00677A16">
        <w:t>We analyzed the relationship between the ACO MCC measure and ea</w:t>
      </w:r>
      <w:r w:rsidR="00EE7D1F">
        <w:t>ch comparator measure in Table 3 (see Section 2b1.3)</w:t>
      </w:r>
      <w:r w:rsidRPr="00677A16">
        <w:t xml:space="preserve"> with a weighted Spearman correlation (weighted by the number of MCC patients attributed to the ACO</w:t>
      </w:r>
      <w:r w:rsidR="001675CF" w:rsidRPr="001675CF">
        <w:t>) and</w:t>
      </w:r>
      <w:r w:rsidRPr="00677A16">
        <w:t xml:space="preserve"> adjusted for multiple comparisons using the </w:t>
      </w:r>
      <w:proofErr w:type="spellStart"/>
      <w:r w:rsidRPr="00677A16">
        <w:t>Sidak</w:t>
      </w:r>
      <w:proofErr w:type="spellEnd"/>
      <w:r w:rsidRPr="00677A16">
        <w:t xml:space="preserve"> method. </w:t>
      </w:r>
    </w:p>
    <w:p w14:paraId="749BBB70" w14:textId="4146CCC0" w:rsidR="00C70609" w:rsidRPr="00C70609" w:rsidRDefault="00C70609" w:rsidP="00C41FE1">
      <w:pPr>
        <w:pBdr>
          <w:top w:val="single" w:sz="4" w:space="1" w:color="auto"/>
          <w:left w:val="single" w:sz="4" w:space="4" w:color="auto"/>
          <w:bottom w:val="single" w:sz="4" w:space="1" w:color="auto"/>
          <w:right w:val="single" w:sz="4" w:space="4" w:color="auto"/>
        </w:pBdr>
        <w:shd w:val="clear" w:color="auto" w:fill="FFFFFF"/>
        <w:spacing w:line="240" w:lineRule="auto"/>
        <w:rPr>
          <w:u w:val="single"/>
        </w:rPr>
      </w:pPr>
      <w:r w:rsidRPr="00C70609">
        <w:rPr>
          <w:u w:val="single"/>
        </w:rPr>
        <w:lastRenderedPageBreak/>
        <w:t>Citations:</w:t>
      </w:r>
    </w:p>
    <w:p w14:paraId="26C115F7" w14:textId="77777777" w:rsidR="00F71AF9" w:rsidRDefault="00F71AF9" w:rsidP="00C41FE1">
      <w:pPr>
        <w:pBdr>
          <w:top w:val="single" w:sz="4" w:space="1" w:color="auto"/>
          <w:left w:val="single" w:sz="4" w:space="4" w:color="auto"/>
          <w:bottom w:val="single" w:sz="4" w:space="1" w:color="auto"/>
          <w:right w:val="single" w:sz="4" w:space="4" w:color="auto"/>
        </w:pBdr>
        <w:shd w:val="clear" w:color="auto" w:fill="FFFFFF"/>
        <w:spacing w:line="240" w:lineRule="auto"/>
      </w:pPr>
      <w:r>
        <w:rPr>
          <w:rFonts w:ascii="Segoe UI" w:hAnsi="Segoe UI" w:cs="Segoe UI"/>
          <w:color w:val="212121"/>
          <w:shd w:val="clear" w:color="auto" w:fill="FFFFFF"/>
        </w:rPr>
        <w:t xml:space="preserve">1. </w:t>
      </w:r>
      <w:r w:rsidR="00C70609">
        <w:rPr>
          <w:rFonts w:ascii="Segoe UI" w:hAnsi="Segoe UI" w:cs="Segoe UI"/>
          <w:color w:val="212121"/>
          <w:shd w:val="clear" w:color="auto" w:fill="FFFFFF"/>
        </w:rPr>
        <w:t>K</w:t>
      </w:r>
      <w:r w:rsidR="00C70609" w:rsidRPr="00C70609">
        <w:t xml:space="preserve">ennedy GD, </w:t>
      </w:r>
      <w:proofErr w:type="spellStart"/>
      <w:r w:rsidR="00C70609" w:rsidRPr="00C70609">
        <w:t>Tevis</w:t>
      </w:r>
      <w:proofErr w:type="spellEnd"/>
      <w:r w:rsidR="00C70609" w:rsidRPr="00C70609">
        <w:t xml:space="preserve"> SE, Kent KC. Is there a relationship between patient satis</w:t>
      </w:r>
      <w:r w:rsidR="00C70609">
        <w:t>faction and favorable outcomes?</w:t>
      </w:r>
      <w:r w:rsidR="00C70609" w:rsidRPr="00C70609">
        <w:t> </w:t>
      </w:r>
      <w:r w:rsidR="00C70609" w:rsidRPr="00DB7387">
        <w:rPr>
          <w:i/>
        </w:rPr>
        <w:t>Ann Sur</w:t>
      </w:r>
      <w:r w:rsidR="00C70609" w:rsidRPr="00C70609">
        <w:t>g. 2014;260(4):592-600.</w:t>
      </w:r>
    </w:p>
    <w:p w14:paraId="5429B97D" w14:textId="5ADEBE5C" w:rsidR="00C70609" w:rsidRPr="00C41FE1" w:rsidRDefault="00F71AF9" w:rsidP="00C41FE1">
      <w:pPr>
        <w:pBdr>
          <w:top w:val="single" w:sz="4" w:space="1" w:color="auto"/>
          <w:left w:val="single" w:sz="4" w:space="4" w:color="auto"/>
          <w:bottom w:val="single" w:sz="4" w:space="1" w:color="auto"/>
          <w:right w:val="single" w:sz="4" w:space="4" w:color="auto"/>
        </w:pBdr>
        <w:shd w:val="clear" w:color="auto" w:fill="FFFFFF"/>
        <w:spacing w:line="240" w:lineRule="auto"/>
      </w:pPr>
      <w:r>
        <w:t xml:space="preserve">2. </w:t>
      </w:r>
      <w:proofErr w:type="spellStart"/>
      <w:r w:rsidRPr="00DB7387">
        <w:t>Llanwarne</w:t>
      </w:r>
      <w:proofErr w:type="spellEnd"/>
      <w:r w:rsidRPr="00DB7387">
        <w:t xml:space="preserve"> NR, Abel GA, Elliott MN, et al. Relationship between clinical quality and patient experie</w:t>
      </w:r>
      <w:r w:rsidR="00DB7387" w:rsidRPr="00DB7387">
        <w:t>nce: analysis of data from the E</w:t>
      </w:r>
      <w:r w:rsidRPr="00DB7387">
        <w:t xml:space="preserve">nglish quality and outcomes framework and the National GP Patient Survey. Ann Fam Med. 2013;11(5):467-472. </w:t>
      </w:r>
    </w:p>
    <w:p w14:paraId="0CABCFDD" w14:textId="399B72B0" w:rsidR="00833325" w:rsidRPr="00A25024" w:rsidRDefault="00833325" w:rsidP="00DB3627">
      <w:pPr>
        <w:autoSpaceDE w:val="0"/>
        <w:autoSpaceDN w:val="0"/>
        <w:adjustRightInd w:val="0"/>
        <w:spacing w:after="0" w:line="240" w:lineRule="auto"/>
        <w:rPr>
          <w:rFonts w:cstheme="minorHAnsi"/>
          <w:bCs/>
        </w:rPr>
      </w:pPr>
    </w:p>
    <w:p w14:paraId="7921D37D" w14:textId="6E369D62" w:rsidR="00394224" w:rsidRPr="00092566" w:rsidRDefault="009C7513" w:rsidP="00A823CF">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6FA15EB3" w14:textId="0902F5B6" w:rsidR="007413CB" w:rsidRDefault="007413CB" w:rsidP="008F5EF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sz w:val="20"/>
          <w:szCs w:val="20"/>
        </w:rPr>
      </w:pPr>
    </w:p>
    <w:p w14:paraId="76AE60C7" w14:textId="77777777" w:rsidR="001800A5" w:rsidRPr="00677A16" w:rsidRDefault="001800A5" w:rsidP="001800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677A16">
        <w:rPr>
          <w:u w:val="single"/>
        </w:rPr>
        <w:t>Face Validity</w:t>
      </w:r>
    </w:p>
    <w:p w14:paraId="1AC3AD8D" w14:textId="631AF745" w:rsidR="001800A5" w:rsidRPr="00677A16" w:rsidRDefault="001800A5" w:rsidP="001800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677A16">
        <w:t xml:space="preserve">We did not quantitatively assess the face validity of the measure during development (e.g. through a </w:t>
      </w:r>
      <w:r w:rsidR="00462847">
        <w:t xml:space="preserve">TEP </w:t>
      </w:r>
      <w:r w:rsidRPr="00677A16">
        <w:t>vote). As noted above, however, the TEP and experts we consulted during measure development were supportive of the MCC cohort definition and use of admission as an outcome. During the public comment period, we also received comments on the measure cohort, outcome, and risk model. The feedback on the measure focus and the measure’s use for ACO quality reporting, overall, was positive. There was strong support expressed by the members of the TEP and in public comment for the validity of the measure.</w:t>
      </w:r>
    </w:p>
    <w:p w14:paraId="4C9E4451" w14:textId="3EF5EA46" w:rsidR="00FE15C4" w:rsidRDefault="00FE15C4" w:rsidP="00E33D5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color w:val="7030A0"/>
        </w:rPr>
      </w:pPr>
    </w:p>
    <w:p w14:paraId="3ECB9C04" w14:textId="77777777" w:rsidR="001800A5" w:rsidRPr="00677A16" w:rsidRDefault="001800A5" w:rsidP="001800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677A16">
        <w:rPr>
          <w:u w:val="single"/>
        </w:rPr>
        <w:t>Validity of the Outcome</w:t>
      </w:r>
    </w:p>
    <w:p w14:paraId="242D0897" w14:textId="43E4871E" w:rsidR="001800A5" w:rsidRPr="00677A16" w:rsidRDefault="001800A5" w:rsidP="001800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677A16">
        <w:t>Approximately 75% of Americans over age 65, and two-thirds of Medicare beneficiaries, have MCCs.</w:t>
      </w:r>
      <w:r w:rsidR="001675CF">
        <w:t xml:space="preserve"> </w:t>
      </w:r>
      <w:r w:rsidR="00762B92" w:rsidRPr="00677A16">
        <w:t>[1,2]</w:t>
      </w:r>
      <w:r w:rsidR="00462847">
        <w:t>.</w:t>
      </w:r>
      <w:r w:rsidRPr="00677A16">
        <w:t xml:space="preserve"> People with MCCs have a higher risk of death, higher risk of functional decline, and reduced quality of life.</w:t>
      </w:r>
      <w:r w:rsidR="001675CF">
        <w:t xml:space="preserve"> </w:t>
      </w:r>
      <w:r w:rsidR="000A2B62" w:rsidRPr="00677A16">
        <w:t>[3-5]</w:t>
      </w:r>
      <w:r w:rsidRPr="00677A16">
        <w:t xml:space="preserve"> Studies suggest that the number of chronic conditions is directly related to the risk of death and rates of avoidable hospital admissions.</w:t>
      </w:r>
      <w:r w:rsidR="001675CF">
        <w:t xml:space="preserve"> </w:t>
      </w:r>
      <w:r w:rsidR="00B60678" w:rsidRPr="00677A16">
        <w:t xml:space="preserve">[6-8] </w:t>
      </w:r>
      <w:r w:rsidRPr="00677A16">
        <w:t>Although the conventional approach to care has been focused on addressing each disease separately – and judging the success of care by evaluating disease-specific endpoints – it is increasingly recognized that this approach can be counterproductive. Instead, coordinated, patient-centered care that addresses the full complexity of the needs of MCC patients is needed – with evaluation of its success based on universal, rather than disease-specific, outcomes.</w:t>
      </w:r>
      <w:r w:rsidR="001675CF">
        <w:t xml:space="preserve"> </w:t>
      </w:r>
      <w:r w:rsidR="00B60678" w:rsidRPr="00677A16">
        <w:t>[9,10]</w:t>
      </w:r>
      <w:r w:rsidRPr="00677A16">
        <w:t xml:space="preserve"> Acute, unplanned hospital admissions represent patient-centered, rather than a disease-specific, outcomes.</w:t>
      </w:r>
    </w:p>
    <w:p w14:paraId="03B11B46" w14:textId="26D5B8B7" w:rsidR="001800A5" w:rsidRPr="00677A16" w:rsidRDefault="001800A5" w:rsidP="001800A5">
      <w:pPr>
        <w:pBdr>
          <w:top w:val="single" w:sz="4" w:space="1" w:color="auto"/>
          <w:left w:val="single" w:sz="4" w:space="4" w:color="auto"/>
          <w:bottom w:val="single" w:sz="4" w:space="1" w:color="auto"/>
          <w:right w:val="single" w:sz="4" w:space="4" w:color="auto"/>
        </w:pBdr>
        <w:spacing w:before="240" w:after="240" w:line="240" w:lineRule="auto"/>
      </w:pPr>
      <w:r w:rsidRPr="00677A16">
        <w:t>The rationale for measuring acute unplanned hospital admissions for</w:t>
      </w:r>
      <w:r w:rsidR="00F2411F">
        <w:t xml:space="preserve"> </w:t>
      </w:r>
      <w:r w:rsidRPr="00677A16">
        <w:t xml:space="preserve">ACO chronic disease patients is that ACOs are established precisely to improve patient-centered care and outcomes for these patients. The goal of this measure is to illuminate variation among ACOs in hospital admission rates for people with MCCs and incentivize ACOs to expand efforts to develop and implement efficient and coordinated chronic disease management strategies that anticipate and respond to patients’ needs and preferences. </w:t>
      </w:r>
      <w:proofErr w:type="gramStart"/>
      <w:r w:rsidRPr="00677A16">
        <w:t>A number of</w:t>
      </w:r>
      <w:proofErr w:type="gramEnd"/>
      <w:r w:rsidRPr="00677A16">
        <w:t xml:space="preserve"> studies have shown that improvements in the delivery of health care services for ambulatory patients with MCCs can lower the risk of admission [</w:t>
      </w:r>
      <w:r w:rsidR="002D60BA" w:rsidRPr="00677A16">
        <w:t>11-20</w:t>
      </w:r>
      <w:r w:rsidRPr="00677A16">
        <w:t xml:space="preserve">]. Demonstrated strategies include improving access to and continuity of care, supporting self-care in the home, better coordinating care across providers, and integrating social work, nursing, and medical services. </w:t>
      </w:r>
    </w:p>
    <w:p w14:paraId="61ECDC1D" w14:textId="5C898707" w:rsidR="001800A5" w:rsidRPr="00677A16" w:rsidRDefault="001800A5" w:rsidP="001B365F">
      <w:pPr>
        <w:pBdr>
          <w:top w:val="single" w:sz="4" w:space="1" w:color="auto"/>
          <w:left w:val="single" w:sz="4" w:space="4" w:color="auto"/>
          <w:bottom w:val="single" w:sz="4" w:space="1" w:color="auto"/>
          <w:right w:val="single" w:sz="4" w:space="4" w:color="auto"/>
        </w:pBdr>
        <w:spacing w:before="240" w:after="240" w:line="240" w:lineRule="auto"/>
      </w:pPr>
      <w:r w:rsidRPr="00677A16">
        <w:t>Recent data suggest</w:t>
      </w:r>
      <w:r w:rsidR="0002663C" w:rsidRPr="00677A16">
        <w:t>s</w:t>
      </w:r>
      <w:r w:rsidRPr="00677A16">
        <w:t xml:space="preserve"> that ACOs are indeed focused on strategies to reduce hospital admissions and use hospital admissions to evaluate the success of their interventions. A 2018 Annual ACO Survey showed that across all ACO types, top priorities included reducing avoidable emergency department (ED) visits and inpatient admissions, as well as reducing re</w:t>
      </w:r>
      <w:r w:rsidR="0002663C">
        <w:t>-</w:t>
      </w:r>
      <w:r w:rsidRPr="00677A16">
        <w:t>admissions through better care transitions.</w:t>
      </w:r>
      <w:r w:rsidR="002D60BA" w:rsidRPr="00677A16">
        <w:t>[21]</w:t>
      </w:r>
      <w:r w:rsidRPr="00677A16">
        <w:t xml:space="preserve"> In a series of case studies on ACOs, ACOs with palliative care and serious illness programs often judged the outcomes of their programs by evaluating their effect on ED visits and hospital admissions.</w:t>
      </w:r>
      <w:r w:rsidR="0002663C">
        <w:t xml:space="preserve"> </w:t>
      </w:r>
      <w:r w:rsidR="002D60BA" w:rsidRPr="00677A16">
        <w:t>[21]</w:t>
      </w:r>
      <w:r w:rsidRPr="00677A16">
        <w:t xml:space="preserve"> These </w:t>
      </w:r>
      <w:r w:rsidRPr="00677A16">
        <w:lastRenderedPageBreak/>
        <w:t>findings further support the use of hospital admissions as important outcomes in this setting as they are already widely recognized as signals of quality.</w:t>
      </w:r>
    </w:p>
    <w:p w14:paraId="56C52E42" w14:textId="7CC6A3FB" w:rsidR="001800A5" w:rsidRPr="00677A16" w:rsidRDefault="001800A5" w:rsidP="001B365F">
      <w:pPr>
        <w:pBdr>
          <w:top w:val="single" w:sz="4" w:space="1" w:color="auto"/>
          <w:left w:val="single" w:sz="4" w:space="4" w:color="auto"/>
          <w:bottom w:val="single" w:sz="4" w:space="1" w:color="auto"/>
          <w:right w:val="single" w:sz="4" w:space="4" w:color="auto"/>
        </w:pBdr>
        <w:spacing w:before="240" w:after="240" w:line="240" w:lineRule="auto"/>
      </w:pPr>
      <w:r w:rsidRPr="00677A16">
        <w:t xml:space="preserve">Finally, measurement of hospital admissions as an outcome is aligned with CMC’s Strategic Framework for improving care for patients with MCCs, </w:t>
      </w:r>
      <w:r w:rsidR="000042D9">
        <w:t>along with</w:t>
      </w:r>
      <w:r w:rsidRPr="00677A16">
        <w:t xml:space="preserve"> NQF’s Measurement Fra</w:t>
      </w:r>
      <w:r w:rsidR="00462847">
        <w:t>mework for individuals with MCCs [22,23].</w:t>
      </w:r>
    </w:p>
    <w:p w14:paraId="658C7F21" w14:textId="77777777" w:rsidR="001800A5" w:rsidRPr="00677A16" w:rsidRDefault="001800A5" w:rsidP="001B365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677A16">
        <w:rPr>
          <w:u w:val="single"/>
        </w:rPr>
        <w:t>Empiric Validity</w:t>
      </w:r>
    </w:p>
    <w:p w14:paraId="59F5F711" w14:textId="58D97558" w:rsidR="001800A5" w:rsidRPr="00677A16" w:rsidRDefault="001800A5" w:rsidP="001B365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Times New Roman" w:hAnsi="Calibri" w:cs="Calibri"/>
        </w:rPr>
      </w:pPr>
      <w:r w:rsidRPr="00677A16">
        <w:t xml:space="preserve">The results of the empiric validity (correlation) </w:t>
      </w:r>
      <w:r w:rsidR="00B00AC9">
        <w:t>tests are shown below in Table 3</w:t>
      </w:r>
      <w:r w:rsidRPr="00677A16">
        <w:t xml:space="preserve">.  The results show a significant correlation in ACO measure scores in the expected direction and with the expected strength between the ACO MCC measure and two of the five comparator measures:  </w:t>
      </w:r>
      <w:r w:rsidRPr="00677A16">
        <w:rPr>
          <w:rFonts w:ascii="Calibri" w:eastAsia="Times New Roman" w:hAnsi="Calibri" w:cs="Calibri"/>
        </w:rPr>
        <w:t xml:space="preserve">ACO8 - Risk Standardized, All Condition Readmission and ACO27 - Diabetes: Hemoglobin A1c (HbA1c) Poor Control (&gt;9%). The ACO MCC measure was strongly positively correlated with ACO8, Risk Standardized All-Condition Readmissions, with a correlation coefficient of 0.42 (p&lt;.001). The ACO MCC measure was weakly positively correlated with ACO27, Diabetes Poor Control, with a correlation coefficient of 0.18 (p&lt;.001).  </w:t>
      </w:r>
    </w:p>
    <w:p w14:paraId="4C143E76" w14:textId="77777777" w:rsidR="001800A5" w:rsidRPr="00677A16" w:rsidRDefault="001800A5" w:rsidP="001B365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Times New Roman" w:hAnsi="Calibri" w:cs="Calibri"/>
        </w:rPr>
      </w:pPr>
      <w:r w:rsidRPr="00677A16">
        <w:rPr>
          <w:rFonts w:ascii="Calibri" w:eastAsia="Times New Roman" w:hAnsi="Calibri" w:cs="Calibri"/>
        </w:rPr>
        <w:t xml:space="preserve"> </w:t>
      </w:r>
    </w:p>
    <w:p w14:paraId="3FAD154D" w14:textId="3C5A7817" w:rsidR="001800A5" w:rsidRPr="00677A16" w:rsidRDefault="001800A5" w:rsidP="001B365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Times New Roman" w:hAnsi="Calibri" w:cs="Calibri"/>
        </w:rPr>
      </w:pPr>
      <w:r w:rsidRPr="00677A16">
        <w:rPr>
          <w:rFonts w:ascii="Calibri" w:eastAsia="Times New Roman" w:hAnsi="Calibri" w:cs="Calibri"/>
        </w:rPr>
        <w:t>There was no significant correlation between the ACO MCC measure and the two CAHPS measures, or with ACO28, Controlling High Blood Pressure. While we expected only a weak, or no correlation with the CAHPS measure, we had hypothesized a weak negative correlation with ACO28, Controlling High Blood Pressure; yet we found no significant correlation. ACO28 is not adjusted for case mix; since blood pressure control may be particularly challenging among patients with MCC</w:t>
      </w:r>
      <w:r w:rsidR="00462847">
        <w:rPr>
          <w:rFonts w:ascii="Calibri" w:eastAsia="Times New Roman" w:hAnsi="Calibri" w:cs="Calibri"/>
        </w:rPr>
        <w:t>s</w:t>
      </w:r>
      <w:r w:rsidRPr="00677A16">
        <w:rPr>
          <w:rFonts w:ascii="Calibri" w:eastAsia="Times New Roman" w:hAnsi="Calibri" w:cs="Calibri"/>
        </w:rPr>
        <w:t xml:space="preserve"> and with advanced comorbidities, it is possible that differences in case mix across ACOs may have contributed to this lack of correlation.</w:t>
      </w:r>
    </w:p>
    <w:p w14:paraId="6E16FC0B" w14:textId="77777777" w:rsidR="001800A5" w:rsidRPr="00B00AC9" w:rsidRDefault="001800A5" w:rsidP="001B365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b/>
          <w:color w:val="000000"/>
        </w:rPr>
      </w:pPr>
    </w:p>
    <w:p w14:paraId="02D0205F" w14:textId="35E98F16" w:rsidR="001800A5" w:rsidRPr="00B00AC9" w:rsidRDefault="00B00AC9" w:rsidP="001800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b/>
        </w:rPr>
      </w:pPr>
      <w:r w:rsidRPr="00B00AC9">
        <w:rPr>
          <w:rFonts w:ascii="Calibri" w:eastAsia="Calibri" w:hAnsi="Calibri" w:cs="Calibri"/>
          <w:b/>
          <w:highlight w:val="yellow"/>
        </w:rPr>
        <w:t>Table 3</w:t>
      </w:r>
      <w:r w:rsidR="001800A5" w:rsidRPr="00B00AC9">
        <w:rPr>
          <w:rFonts w:ascii="Calibri" w:eastAsia="Calibri" w:hAnsi="Calibri" w:cs="Calibri"/>
          <w:b/>
        </w:rPr>
        <w:t>:  Empiric Validation Analyses (January 1, 2018-December 31, 2018)</w:t>
      </w:r>
    </w:p>
    <w:tbl>
      <w:tblPr>
        <w:tblStyle w:val="TableGrid"/>
        <w:tblW w:w="9876" w:type="dxa"/>
        <w:tblLook w:val="04A0" w:firstRow="1" w:lastRow="0" w:firstColumn="1" w:lastColumn="0" w:noHBand="0" w:noVBand="1"/>
      </w:tblPr>
      <w:tblGrid>
        <w:gridCol w:w="6482"/>
        <w:gridCol w:w="1148"/>
        <w:gridCol w:w="1224"/>
        <w:gridCol w:w="1022"/>
      </w:tblGrid>
      <w:tr w:rsidR="00857E61" w:rsidRPr="00857E61" w14:paraId="275CF6CD" w14:textId="77777777" w:rsidTr="00FC11F9">
        <w:trPr>
          <w:trHeight w:val="290"/>
        </w:trPr>
        <w:tc>
          <w:tcPr>
            <w:tcW w:w="6482" w:type="dxa"/>
            <w:noWrap/>
            <w:hideMark/>
          </w:tcPr>
          <w:p w14:paraId="5349DB13" w14:textId="6387EAD9" w:rsidR="00FC11F9" w:rsidRPr="00677A16" w:rsidRDefault="00911304" w:rsidP="00FC11F9">
            <w:pPr>
              <w:rPr>
                <w:rFonts w:ascii="Calibri" w:eastAsia="Times New Roman" w:hAnsi="Calibri" w:cs="Calibri"/>
              </w:rPr>
            </w:pPr>
            <w:r w:rsidRPr="00677A16">
              <w:rPr>
                <w:rFonts w:ascii="Calibri" w:eastAsia="Times New Roman" w:hAnsi="Calibri" w:cs="Calibri"/>
              </w:rPr>
              <w:t>M</w:t>
            </w:r>
            <w:r w:rsidR="00FC11F9" w:rsidRPr="00677A16">
              <w:rPr>
                <w:rFonts w:ascii="Calibri" w:eastAsia="Times New Roman" w:hAnsi="Calibri" w:cs="Calibri"/>
              </w:rPr>
              <w:t>SSP Measure</w:t>
            </w:r>
          </w:p>
        </w:tc>
        <w:tc>
          <w:tcPr>
            <w:tcW w:w="1148" w:type="dxa"/>
            <w:noWrap/>
            <w:hideMark/>
          </w:tcPr>
          <w:p w14:paraId="53665466"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No. of ACOs Compared</w:t>
            </w:r>
          </w:p>
        </w:tc>
        <w:tc>
          <w:tcPr>
            <w:tcW w:w="1224" w:type="dxa"/>
            <w:noWrap/>
            <w:hideMark/>
          </w:tcPr>
          <w:p w14:paraId="17C0A77F"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 xml:space="preserve">Spearman Correlation </w:t>
            </w:r>
          </w:p>
        </w:tc>
        <w:tc>
          <w:tcPr>
            <w:tcW w:w="1022" w:type="dxa"/>
            <w:noWrap/>
            <w:hideMark/>
          </w:tcPr>
          <w:p w14:paraId="54E66FD4"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 xml:space="preserve">P-value </w:t>
            </w:r>
          </w:p>
        </w:tc>
      </w:tr>
      <w:tr w:rsidR="00857E61" w:rsidRPr="00857E61" w14:paraId="383BF094" w14:textId="77777777" w:rsidTr="00FC11F9">
        <w:trPr>
          <w:trHeight w:val="290"/>
        </w:trPr>
        <w:tc>
          <w:tcPr>
            <w:tcW w:w="6482" w:type="dxa"/>
            <w:noWrap/>
            <w:hideMark/>
          </w:tcPr>
          <w:p w14:paraId="3474E7B2"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ACO1 - CAHPS: Getting Timely Care, Appointments, and Information</w:t>
            </w:r>
          </w:p>
        </w:tc>
        <w:tc>
          <w:tcPr>
            <w:tcW w:w="1148" w:type="dxa"/>
            <w:noWrap/>
            <w:hideMark/>
          </w:tcPr>
          <w:p w14:paraId="03E96D9C"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548</w:t>
            </w:r>
          </w:p>
        </w:tc>
        <w:tc>
          <w:tcPr>
            <w:tcW w:w="1224" w:type="dxa"/>
            <w:noWrap/>
            <w:hideMark/>
          </w:tcPr>
          <w:p w14:paraId="2D1EBA43"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0.09</w:t>
            </w:r>
          </w:p>
        </w:tc>
        <w:tc>
          <w:tcPr>
            <w:tcW w:w="1022" w:type="dxa"/>
            <w:noWrap/>
            <w:hideMark/>
          </w:tcPr>
          <w:p w14:paraId="0EDC65D9"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0.331</w:t>
            </w:r>
          </w:p>
        </w:tc>
      </w:tr>
      <w:tr w:rsidR="00857E61" w:rsidRPr="00857E61" w14:paraId="5A2724FF" w14:textId="77777777" w:rsidTr="00FC11F9">
        <w:trPr>
          <w:trHeight w:val="290"/>
        </w:trPr>
        <w:tc>
          <w:tcPr>
            <w:tcW w:w="6482" w:type="dxa"/>
            <w:noWrap/>
            <w:hideMark/>
          </w:tcPr>
          <w:p w14:paraId="6E8920D3"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ACO4 - CAHPS: Access to Specialists</w:t>
            </w:r>
          </w:p>
        </w:tc>
        <w:tc>
          <w:tcPr>
            <w:tcW w:w="1148" w:type="dxa"/>
            <w:noWrap/>
            <w:hideMark/>
          </w:tcPr>
          <w:p w14:paraId="1DBD2E4C"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548</w:t>
            </w:r>
          </w:p>
        </w:tc>
        <w:tc>
          <w:tcPr>
            <w:tcW w:w="1224" w:type="dxa"/>
            <w:noWrap/>
            <w:hideMark/>
          </w:tcPr>
          <w:p w14:paraId="7DA5E5F5"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-0.01</w:t>
            </w:r>
          </w:p>
        </w:tc>
        <w:tc>
          <w:tcPr>
            <w:tcW w:w="1022" w:type="dxa"/>
            <w:noWrap/>
            <w:hideMark/>
          </w:tcPr>
          <w:p w14:paraId="6073EBBA"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1.000</w:t>
            </w:r>
          </w:p>
        </w:tc>
      </w:tr>
      <w:tr w:rsidR="00857E61" w:rsidRPr="00857E61" w14:paraId="4CF4927E" w14:textId="77777777" w:rsidTr="00FC11F9">
        <w:trPr>
          <w:trHeight w:val="290"/>
        </w:trPr>
        <w:tc>
          <w:tcPr>
            <w:tcW w:w="6482" w:type="dxa"/>
            <w:noWrap/>
            <w:hideMark/>
          </w:tcPr>
          <w:p w14:paraId="2AC33017"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ACO8 - Risk Standardized, All Condition Readmission</w:t>
            </w:r>
          </w:p>
        </w:tc>
        <w:tc>
          <w:tcPr>
            <w:tcW w:w="1148" w:type="dxa"/>
            <w:noWrap/>
            <w:hideMark/>
          </w:tcPr>
          <w:p w14:paraId="1D18B9F3"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548</w:t>
            </w:r>
          </w:p>
        </w:tc>
        <w:tc>
          <w:tcPr>
            <w:tcW w:w="1224" w:type="dxa"/>
            <w:noWrap/>
            <w:hideMark/>
          </w:tcPr>
          <w:p w14:paraId="58A25FB7"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0.42</w:t>
            </w:r>
          </w:p>
        </w:tc>
        <w:tc>
          <w:tcPr>
            <w:tcW w:w="1022" w:type="dxa"/>
            <w:noWrap/>
            <w:hideMark/>
          </w:tcPr>
          <w:p w14:paraId="683ED169" w14:textId="64AF0714" w:rsidR="00FC11F9" w:rsidRPr="00677A16" w:rsidRDefault="00911304" w:rsidP="00FC11F9">
            <w:pPr>
              <w:rPr>
                <w:rFonts w:ascii="Calibri" w:eastAsia="Times New Roman" w:hAnsi="Calibri" w:cs="Calibri"/>
              </w:rPr>
            </w:pPr>
            <w:r w:rsidRPr="00677A16">
              <w:rPr>
                <w:rFonts w:ascii="Calibri" w:eastAsia="Times New Roman" w:hAnsi="Calibri" w:cs="Calibri"/>
              </w:rPr>
              <w:t xml:space="preserve">     </w:t>
            </w:r>
            <w:r w:rsidR="00857E61" w:rsidRPr="00677A16">
              <w:rPr>
                <w:rFonts w:ascii="Calibri" w:eastAsia="Times New Roman" w:hAnsi="Calibri" w:cs="Calibri"/>
              </w:rPr>
              <w:t xml:space="preserve">  </w:t>
            </w:r>
            <w:r w:rsidRPr="00677A16">
              <w:rPr>
                <w:rFonts w:ascii="Calibri" w:eastAsia="Times New Roman" w:hAnsi="Calibri" w:cs="Calibri"/>
              </w:rPr>
              <w:t xml:space="preserve"> </w:t>
            </w:r>
            <w:r w:rsidR="00FC11F9" w:rsidRPr="00677A16">
              <w:rPr>
                <w:rFonts w:ascii="Calibri" w:eastAsia="Times New Roman" w:hAnsi="Calibri" w:cs="Calibri"/>
              </w:rPr>
              <w:t>&lt;.001</w:t>
            </w:r>
          </w:p>
        </w:tc>
      </w:tr>
      <w:tr w:rsidR="00857E61" w:rsidRPr="00857E61" w14:paraId="39E261EF" w14:textId="77777777" w:rsidTr="00FC11F9">
        <w:trPr>
          <w:trHeight w:val="290"/>
        </w:trPr>
        <w:tc>
          <w:tcPr>
            <w:tcW w:w="6482" w:type="dxa"/>
            <w:noWrap/>
            <w:hideMark/>
          </w:tcPr>
          <w:p w14:paraId="5DA4D472"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ACO27 - Diabetes: Hemoglobin A1c (HbA1c) Poor Control (&gt;9%)</w:t>
            </w:r>
          </w:p>
        </w:tc>
        <w:tc>
          <w:tcPr>
            <w:tcW w:w="1148" w:type="dxa"/>
            <w:noWrap/>
            <w:hideMark/>
          </w:tcPr>
          <w:p w14:paraId="1777101A"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546</w:t>
            </w:r>
          </w:p>
        </w:tc>
        <w:tc>
          <w:tcPr>
            <w:tcW w:w="1224" w:type="dxa"/>
            <w:noWrap/>
            <w:hideMark/>
          </w:tcPr>
          <w:p w14:paraId="4DB1847F"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0.18</w:t>
            </w:r>
          </w:p>
        </w:tc>
        <w:tc>
          <w:tcPr>
            <w:tcW w:w="1022" w:type="dxa"/>
            <w:noWrap/>
            <w:hideMark/>
          </w:tcPr>
          <w:p w14:paraId="2E34C7D1" w14:textId="459A68EB" w:rsidR="00FC11F9" w:rsidRPr="00677A16" w:rsidRDefault="00857E61" w:rsidP="00FC11F9">
            <w:pPr>
              <w:jc w:val="right"/>
              <w:rPr>
                <w:rFonts w:ascii="Calibri" w:eastAsia="Times New Roman" w:hAnsi="Calibri" w:cs="Calibri"/>
              </w:rPr>
            </w:pPr>
            <w:r w:rsidRPr="00677A16">
              <w:rPr>
                <w:rFonts w:ascii="Calibri" w:eastAsia="Times New Roman" w:hAnsi="Calibri" w:cs="Calibri"/>
              </w:rPr>
              <w:t xml:space="preserve">      &lt;.001</w:t>
            </w:r>
          </w:p>
        </w:tc>
      </w:tr>
      <w:tr w:rsidR="00857E61" w:rsidRPr="00857E61" w14:paraId="21673078" w14:textId="77777777" w:rsidTr="00FC11F9">
        <w:trPr>
          <w:trHeight w:val="290"/>
        </w:trPr>
        <w:tc>
          <w:tcPr>
            <w:tcW w:w="6482" w:type="dxa"/>
            <w:noWrap/>
            <w:hideMark/>
          </w:tcPr>
          <w:p w14:paraId="3CD3F2D4" w14:textId="77777777" w:rsidR="00FC11F9" w:rsidRPr="00677A16" w:rsidRDefault="00FC11F9" w:rsidP="00FC11F9">
            <w:pPr>
              <w:rPr>
                <w:rFonts w:ascii="Calibri" w:eastAsia="Times New Roman" w:hAnsi="Calibri" w:cs="Calibri"/>
              </w:rPr>
            </w:pPr>
            <w:r w:rsidRPr="00677A16">
              <w:rPr>
                <w:rFonts w:ascii="Calibri" w:eastAsia="Times New Roman" w:hAnsi="Calibri" w:cs="Calibri"/>
              </w:rPr>
              <w:t>ACO28 - Controlling High Blood Pressure</w:t>
            </w:r>
          </w:p>
        </w:tc>
        <w:tc>
          <w:tcPr>
            <w:tcW w:w="1148" w:type="dxa"/>
            <w:noWrap/>
            <w:hideMark/>
          </w:tcPr>
          <w:p w14:paraId="2A178329"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544</w:t>
            </w:r>
          </w:p>
        </w:tc>
        <w:tc>
          <w:tcPr>
            <w:tcW w:w="1224" w:type="dxa"/>
            <w:noWrap/>
            <w:hideMark/>
          </w:tcPr>
          <w:p w14:paraId="630F950F"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-0.07</w:t>
            </w:r>
          </w:p>
        </w:tc>
        <w:tc>
          <w:tcPr>
            <w:tcW w:w="1022" w:type="dxa"/>
            <w:noWrap/>
            <w:hideMark/>
          </w:tcPr>
          <w:p w14:paraId="67D64021" w14:textId="77777777" w:rsidR="00FC11F9" w:rsidRPr="00677A16" w:rsidRDefault="00FC11F9" w:rsidP="00FC11F9">
            <w:pPr>
              <w:jc w:val="right"/>
              <w:rPr>
                <w:rFonts w:ascii="Calibri" w:eastAsia="Times New Roman" w:hAnsi="Calibri" w:cs="Calibri"/>
              </w:rPr>
            </w:pPr>
            <w:r w:rsidRPr="00677A16">
              <w:rPr>
                <w:rFonts w:ascii="Calibri" w:eastAsia="Times New Roman" w:hAnsi="Calibri" w:cs="Calibri"/>
              </w:rPr>
              <w:t>0.673</w:t>
            </w:r>
          </w:p>
        </w:tc>
      </w:tr>
    </w:tbl>
    <w:p w14:paraId="4CB89E2F" w14:textId="77777777" w:rsidR="00FC7254" w:rsidRPr="00C41FE1" w:rsidRDefault="00FC7254" w:rsidP="00DB3627">
      <w:pPr>
        <w:autoSpaceDE w:val="0"/>
        <w:autoSpaceDN w:val="0"/>
        <w:adjustRightInd w:val="0"/>
        <w:spacing w:after="0" w:line="240" w:lineRule="auto"/>
        <w:rPr>
          <w:rFonts w:cstheme="minorHAnsi"/>
          <w:b/>
          <w:bCs/>
        </w:rPr>
      </w:pPr>
    </w:p>
    <w:p w14:paraId="0C71CDB8" w14:textId="5AA90599"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u w:val="single"/>
        </w:rPr>
      </w:pPr>
      <w:r w:rsidRPr="006E09BF">
        <w:rPr>
          <w:rFonts w:cstheme="minorHAnsi"/>
          <w:bCs/>
          <w:u w:val="single"/>
        </w:rPr>
        <w:t>Citations:</w:t>
      </w:r>
    </w:p>
    <w:p w14:paraId="04EDB908" w14:textId="7EA74885"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 </w:t>
      </w:r>
      <w:r w:rsidRPr="006E09BF">
        <w:rPr>
          <w:rFonts w:cstheme="minorHAnsi"/>
          <w:bCs/>
        </w:rPr>
        <w:t xml:space="preserve">Anderson G. Chronic Care: Making the Case for Ongoing Care. Princeton, NJ: Robert Woods Johnson Foundation, 2010. </w:t>
      </w:r>
    </w:p>
    <w:p w14:paraId="2EE00953" w14:textId="73576728"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2. </w:t>
      </w:r>
      <w:r w:rsidRPr="006E09BF">
        <w:rPr>
          <w:rFonts w:cstheme="minorHAnsi"/>
          <w:bCs/>
        </w:rPr>
        <w:t>Chronic Conditions among Medicare Beneficiaries, Chart Book, Baltimore, MD: Centers for Medicare &amp; Medicaid Services, 2011.</w:t>
      </w:r>
    </w:p>
    <w:p w14:paraId="63D28F70" w14:textId="23D4EFDD"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3. </w:t>
      </w:r>
      <w:r w:rsidRPr="006E09BF">
        <w:rPr>
          <w:rFonts w:cstheme="minorHAnsi"/>
          <w:bCs/>
        </w:rPr>
        <w:t xml:space="preserve">Newman AB, Boudreau RM, </w:t>
      </w:r>
      <w:proofErr w:type="spellStart"/>
      <w:r w:rsidRPr="006E09BF">
        <w:rPr>
          <w:rFonts w:cstheme="minorHAnsi"/>
          <w:bCs/>
        </w:rPr>
        <w:t>Naydeck</w:t>
      </w:r>
      <w:proofErr w:type="spellEnd"/>
      <w:r w:rsidRPr="006E09BF">
        <w:rPr>
          <w:rFonts w:cstheme="minorHAnsi"/>
          <w:bCs/>
        </w:rPr>
        <w:t xml:space="preserve"> BL et al. A physiological index of comorbidity: Relationship to mortality and disability. J </w:t>
      </w:r>
      <w:proofErr w:type="spellStart"/>
      <w:r w:rsidRPr="006E09BF">
        <w:rPr>
          <w:rFonts w:cstheme="minorHAnsi"/>
          <w:bCs/>
        </w:rPr>
        <w:t>Gerontol</w:t>
      </w:r>
      <w:proofErr w:type="spellEnd"/>
      <w:r w:rsidRPr="006E09BF">
        <w:rPr>
          <w:rFonts w:cstheme="minorHAnsi"/>
          <w:bCs/>
        </w:rPr>
        <w:t xml:space="preserve"> </w:t>
      </w:r>
      <w:proofErr w:type="gramStart"/>
      <w:r w:rsidRPr="006E09BF">
        <w:rPr>
          <w:rFonts w:cstheme="minorHAnsi"/>
          <w:bCs/>
        </w:rPr>
        <w:t>A</w:t>
      </w:r>
      <w:proofErr w:type="gramEnd"/>
      <w:r w:rsidRPr="006E09BF">
        <w:rPr>
          <w:rFonts w:cstheme="minorHAnsi"/>
          <w:bCs/>
        </w:rPr>
        <w:t xml:space="preserve"> Biol Sci Med Sci 63A:603–609, 2008.</w:t>
      </w:r>
    </w:p>
    <w:p w14:paraId="37FC1BA6" w14:textId="77777777" w:rsid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hint="eastAsia"/>
          <w:bCs/>
        </w:rPr>
        <w:lastRenderedPageBreak/>
        <w:t xml:space="preserve">4. </w:t>
      </w:r>
      <w:proofErr w:type="spellStart"/>
      <w:r w:rsidRPr="006E09BF">
        <w:rPr>
          <w:rFonts w:cstheme="minorHAnsi" w:hint="eastAsia"/>
          <w:bCs/>
        </w:rPr>
        <w:t>Marengoni</w:t>
      </w:r>
      <w:proofErr w:type="spellEnd"/>
      <w:r w:rsidRPr="006E09BF">
        <w:rPr>
          <w:rFonts w:cstheme="minorHAnsi" w:hint="eastAsia"/>
          <w:bCs/>
        </w:rPr>
        <w:t xml:space="preserve"> A, Von Strauss E, Rizzuto D et al. The impact of chronic multimorbidity and disability on functional decline and survival in elderly persons. A community</w:t>
      </w:r>
      <w:r w:rsidRPr="006E09BF">
        <w:rPr>
          <w:rFonts w:cstheme="minorHAnsi" w:hint="eastAsia"/>
          <w:bCs/>
        </w:rPr>
        <w:t>‐</w:t>
      </w:r>
      <w:r w:rsidRPr="006E09BF">
        <w:rPr>
          <w:rFonts w:cstheme="minorHAnsi" w:hint="eastAsia"/>
          <w:bCs/>
        </w:rPr>
        <w:t>based, l</w:t>
      </w:r>
      <w:r>
        <w:rPr>
          <w:rFonts w:cstheme="minorHAnsi" w:hint="eastAsia"/>
          <w:bCs/>
        </w:rPr>
        <w:t>ongitudinal study. J Intern Med</w:t>
      </w:r>
    </w:p>
    <w:p w14:paraId="1FD5B72C" w14:textId="0F1872E3"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sidRPr="006E09BF">
        <w:rPr>
          <w:rFonts w:cstheme="minorHAnsi" w:hint="eastAsia"/>
          <w:bCs/>
        </w:rPr>
        <w:t>265:288</w:t>
      </w:r>
      <w:r w:rsidRPr="006E09BF">
        <w:rPr>
          <w:rFonts w:cstheme="minorHAnsi" w:hint="eastAsia"/>
          <w:bCs/>
        </w:rPr>
        <w:t>–</w:t>
      </w:r>
      <w:r w:rsidRPr="006E09BF">
        <w:rPr>
          <w:rFonts w:cstheme="minorHAnsi" w:hint="eastAsia"/>
          <w:bCs/>
        </w:rPr>
        <w:t>295, 2008.</w:t>
      </w:r>
    </w:p>
    <w:p w14:paraId="64E0D3A5" w14:textId="2844013A"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5. </w:t>
      </w:r>
      <w:r w:rsidRPr="006E09BF">
        <w:rPr>
          <w:rFonts w:cstheme="minorHAnsi"/>
          <w:bCs/>
        </w:rPr>
        <w:t>Bayliss EA, Ellis JL, Steiner JF. Subjective assessments of comorbidity correlate with quality of life health outcomes: Initial validation of a comorbidity assessment instrument. Health Qual Life Outcomes 3:51, 2005.</w:t>
      </w:r>
    </w:p>
    <w:p w14:paraId="202457C8" w14:textId="5F0E3B38"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6. </w:t>
      </w:r>
      <w:proofErr w:type="spellStart"/>
      <w:r w:rsidRPr="006E09BF">
        <w:rPr>
          <w:rFonts w:cstheme="minorHAnsi"/>
          <w:bCs/>
        </w:rPr>
        <w:t>Vogeli</w:t>
      </w:r>
      <w:proofErr w:type="spellEnd"/>
      <w:r w:rsidRPr="006E09BF">
        <w:rPr>
          <w:rFonts w:cstheme="minorHAnsi"/>
          <w:bCs/>
        </w:rPr>
        <w:t xml:space="preserve"> C, Shields AE, Lee TA et al. Multiple chronic conditions: Prevalence, health consequences, and implications for quality, care management, and costs. J Gen Intern Med 22(Suppl 3):391–395, 2007.</w:t>
      </w:r>
    </w:p>
    <w:p w14:paraId="2D484A48" w14:textId="24D514DE"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hint="eastAsia"/>
          <w:bCs/>
        </w:rPr>
        <w:t xml:space="preserve">7. </w:t>
      </w:r>
      <w:proofErr w:type="spellStart"/>
      <w:r w:rsidRPr="006E09BF">
        <w:rPr>
          <w:rFonts w:cstheme="minorHAnsi" w:hint="eastAsia"/>
          <w:bCs/>
        </w:rPr>
        <w:t>Paez</w:t>
      </w:r>
      <w:proofErr w:type="spellEnd"/>
      <w:r w:rsidRPr="006E09BF">
        <w:rPr>
          <w:rFonts w:cstheme="minorHAnsi" w:hint="eastAsia"/>
          <w:bCs/>
        </w:rPr>
        <w:t xml:space="preserve"> KA, Zhao L, Hwang W. Rising out</w:t>
      </w:r>
      <w:r w:rsidRPr="006E09BF">
        <w:rPr>
          <w:rFonts w:cstheme="minorHAnsi" w:hint="eastAsia"/>
          <w:bCs/>
        </w:rPr>
        <w:t>‐</w:t>
      </w:r>
      <w:r w:rsidRPr="006E09BF">
        <w:rPr>
          <w:rFonts w:cstheme="minorHAnsi" w:hint="eastAsia"/>
          <w:bCs/>
        </w:rPr>
        <w:t>of</w:t>
      </w:r>
      <w:r w:rsidRPr="006E09BF">
        <w:rPr>
          <w:rFonts w:cstheme="minorHAnsi" w:hint="eastAsia"/>
          <w:bCs/>
        </w:rPr>
        <w:t>‐</w:t>
      </w:r>
      <w:r w:rsidRPr="006E09BF">
        <w:rPr>
          <w:rFonts w:cstheme="minorHAnsi" w:hint="eastAsia"/>
          <w:bCs/>
        </w:rPr>
        <w:t>pocket spending for chronic conditions: A ten</w:t>
      </w:r>
      <w:r w:rsidRPr="006E09BF">
        <w:rPr>
          <w:rFonts w:cstheme="minorHAnsi" w:hint="eastAsia"/>
          <w:bCs/>
        </w:rPr>
        <w:t>‐</w:t>
      </w:r>
      <w:r w:rsidRPr="006E09BF">
        <w:rPr>
          <w:rFonts w:cstheme="minorHAnsi" w:hint="eastAsia"/>
          <w:bCs/>
        </w:rPr>
        <w:t xml:space="preserve">year trend. Health </w:t>
      </w:r>
      <w:proofErr w:type="spellStart"/>
      <w:r w:rsidRPr="006E09BF">
        <w:rPr>
          <w:rFonts w:cstheme="minorHAnsi" w:hint="eastAsia"/>
          <w:bCs/>
        </w:rPr>
        <w:t>Aff</w:t>
      </w:r>
      <w:proofErr w:type="spellEnd"/>
      <w:r w:rsidRPr="006E09BF">
        <w:rPr>
          <w:rFonts w:cstheme="minorHAnsi" w:hint="eastAsia"/>
          <w:bCs/>
        </w:rPr>
        <w:t xml:space="preserve"> 28:15</w:t>
      </w:r>
      <w:r w:rsidRPr="006E09BF">
        <w:rPr>
          <w:rFonts w:cstheme="minorHAnsi" w:hint="eastAsia"/>
          <w:bCs/>
        </w:rPr>
        <w:t>–</w:t>
      </w:r>
      <w:r w:rsidRPr="006E09BF">
        <w:rPr>
          <w:rFonts w:cstheme="minorHAnsi" w:hint="eastAsia"/>
          <w:bCs/>
        </w:rPr>
        <w:t>25, 2009.</w:t>
      </w:r>
    </w:p>
    <w:p w14:paraId="49566F97" w14:textId="6F731DF0"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8. </w:t>
      </w:r>
      <w:r w:rsidRPr="006E09BF">
        <w:rPr>
          <w:rFonts w:cstheme="minorHAnsi"/>
          <w:bCs/>
        </w:rPr>
        <w:t xml:space="preserve">Lehnert T, Heider D, </w:t>
      </w:r>
      <w:proofErr w:type="spellStart"/>
      <w:r w:rsidRPr="006E09BF">
        <w:rPr>
          <w:rFonts w:cstheme="minorHAnsi"/>
          <w:bCs/>
        </w:rPr>
        <w:t>Leicht</w:t>
      </w:r>
      <w:proofErr w:type="spellEnd"/>
      <w:r w:rsidRPr="006E09BF">
        <w:rPr>
          <w:rFonts w:cstheme="minorHAnsi"/>
          <w:bCs/>
        </w:rPr>
        <w:t xml:space="preserve"> H et al. Health care utilization and costs of elderly persons with multiple medical conditions. Med Care Res Rev 68:387–420, 2011.</w:t>
      </w:r>
    </w:p>
    <w:p w14:paraId="1403DFFB" w14:textId="6C575E3A"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9. </w:t>
      </w:r>
      <w:r w:rsidRPr="006E09BF">
        <w:rPr>
          <w:rFonts w:cstheme="minorHAnsi"/>
          <w:bCs/>
        </w:rPr>
        <w:t xml:space="preserve">Parekh AK, Barton MB. The challenge of multiple </w:t>
      </w:r>
      <w:proofErr w:type="gramStart"/>
      <w:r w:rsidRPr="006E09BF">
        <w:rPr>
          <w:rFonts w:cstheme="minorHAnsi"/>
          <w:bCs/>
        </w:rPr>
        <w:t>comorbidity</w:t>
      </w:r>
      <w:proofErr w:type="gramEnd"/>
      <w:r w:rsidRPr="006E09BF">
        <w:rPr>
          <w:rFonts w:cstheme="minorHAnsi"/>
          <w:bCs/>
        </w:rPr>
        <w:t xml:space="preserve"> for the US healthcare system. JAMA 303:1303–1304, 2010.</w:t>
      </w:r>
    </w:p>
    <w:p w14:paraId="73B457C7" w14:textId="7D5ED15E"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10. </w:t>
      </w:r>
      <w:r w:rsidRPr="006E09BF">
        <w:rPr>
          <w:rFonts w:cstheme="minorHAnsi"/>
          <w:bCs/>
        </w:rPr>
        <w:t>Tinetti ME, Fried TR, Boyd CM. Designing healthcare for the most common chronic condition—multimorbidity. JAMA 307:2493–2494, 2012.</w:t>
      </w:r>
    </w:p>
    <w:p w14:paraId="689864F4" w14:textId="0D15BCA3"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11. </w:t>
      </w:r>
      <w:r w:rsidRPr="006E09BF">
        <w:rPr>
          <w:rFonts w:cstheme="minorHAnsi"/>
          <w:bCs/>
        </w:rPr>
        <w:t xml:space="preserve">van </w:t>
      </w:r>
      <w:proofErr w:type="spellStart"/>
      <w:r w:rsidRPr="006E09BF">
        <w:rPr>
          <w:rFonts w:cstheme="minorHAnsi"/>
          <w:bCs/>
        </w:rPr>
        <w:t>Loenen</w:t>
      </w:r>
      <w:proofErr w:type="spellEnd"/>
      <w:r w:rsidRPr="006E09BF">
        <w:rPr>
          <w:rFonts w:cstheme="minorHAnsi"/>
          <w:bCs/>
        </w:rPr>
        <w:t xml:space="preserve"> T, van den Berg MJ, </w:t>
      </w:r>
      <w:proofErr w:type="spellStart"/>
      <w:r w:rsidRPr="006E09BF">
        <w:rPr>
          <w:rFonts w:cstheme="minorHAnsi"/>
          <w:bCs/>
        </w:rPr>
        <w:t>Westert</w:t>
      </w:r>
      <w:proofErr w:type="spellEnd"/>
      <w:r w:rsidRPr="006E09BF">
        <w:rPr>
          <w:rFonts w:cstheme="minorHAnsi"/>
          <w:bCs/>
        </w:rPr>
        <w:t xml:space="preserve"> GP, Faber MJ. Organizational aspects of primary care related to avoidable hospitalization: a systematic review. Fam </w:t>
      </w:r>
      <w:proofErr w:type="spellStart"/>
      <w:r w:rsidRPr="006E09BF">
        <w:rPr>
          <w:rFonts w:cstheme="minorHAnsi"/>
          <w:bCs/>
        </w:rPr>
        <w:t>Pract</w:t>
      </w:r>
      <w:proofErr w:type="spellEnd"/>
      <w:r w:rsidRPr="006E09BF">
        <w:rPr>
          <w:rFonts w:cstheme="minorHAnsi"/>
          <w:bCs/>
        </w:rPr>
        <w:t>. 31(5):502-516, 2014.</w:t>
      </w:r>
    </w:p>
    <w:p w14:paraId="3965C1A1" w14:textId="403ED91E"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12. </w:t>
      </w:r>
      <w:r w:rsidRPr="006E09BF">
        <w:rPr>
          <w:rFonts w:cstheme="minorHAnsi"/>
          <w:bCs/>
        </w:rPr>
        <w:t xml:space="preserve">Dale SB, Ghosh A, </w:t>
      </w:r>
      <w:proofErr w:type="spellStart"/>
      <w:r w:rsidRPr="006E09BF">
        <w:rPr>
          <w:rFonts w:cstheme="minorHAnsi"/>
          <w:bCs/>
        </w:rPr>
        <w:t>Peikes</w:t>
      </w:r>
      <w:proofErr w:type="spellEnd"/>
      <w:r w:rsidRPr="006E09BF">
        <w:rPr>
          <w:rFonts w:cstheme="minorHAnsi"/>
          <w:bCs/>
        </w:rPr>
        <w:t xml:space="preserve"> DN, et al. Two-Year Costs and Quality in the Comprehensive Primary Care Initiative. N </w:t>
      </w:r>
      <w:proofErr w:type="spellStart"/>
      <w:r w:rsidRPr="006E09BF">
        <w:rPr>
          <w:rFonts w:cstheme="minorHAnsi"/>
          <w:bCs/>
        </w:rPr>
        <w:t>Engl</w:t>
      </w:r>
      <w:proofErr w:type="spellEnd"/>
      <w:r w:rsidRPr="006E09BF">
        <w:rPr>
          <w:rFonts w:cstheme="minorHAnsi"/>
          <w:bCs/>
        </w:rPr>
        <w:t xml:space="preserve"> J Med. 374(24):2345-2356, 2016.</w:t>
      </w:r>
    </w:p>
    <w:p w14:paraId="0FC200ED" w14:textId="56F50E47"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13. </w:t>
      </w:r>
      <w:proofErr w:type="spellStart"/>
      <w:r w:rsidRPr="006E09BF">
        <w:rPr>
          <w:rFonts w:cstheme="minorHAnsi"/>
          <w:bCs/>
        </w:rPr>
        <w:t>Casalino</w:t>
      </w:r>
      <w:proofErr w:type="spellEnd"/>
      <w:r w:rsidRPr="006E09BF">
        <w:rPr>
          <w:rFonts w:cstheme="minorHAnsi"/>
          <w:bCs/>
        </w:rPr>
        <w:t xml:space="preserve"> LP, </w:t>
      </w:r>
      <w:proofErr w:type="spellStart"/>
      <w:r w:rsidRPr="006E09BF">
        <w:rPr>
          <w:rFonts w:cstheme="minorHAnsi"/>
          <w:bCs/>
        </w:rPr>
        <w:t>Pesko</w:t>
      </w:r>
      <w:proofErr w:type="spellEnd"/>
      <w:r w:rsidRPr="006E09BF">
        <w:rPr>
          <w:rFonts w:cstheme="minorHAnsi"/>
          <w:bCs/>
        </w:rPr>
        <w:t xml:space="preserve"> MF, Ryan AM, et al. Small primary care physician practices have low rates of preventable hospital admissions. Health </w:t>
      </w:r>
      <w:proofErr w:type="spellStart"/>
      <w:r w:rsidRPr="006E09BF">
        <w:rPr>
          <w:rFonts w:cstheme="minorHAnsi"/>
          <w:bCs/>
        </w:rPr>
        <w:t>Aff</w:t>
      </w:r>
      <w:proofErr w:type="spellEnd"/>
      <w:r w:rsidRPr="006E09BF">
        <w:rPr>
          <w:rFonts w:cstheme="minorHAnsi"/>
          <w:bCs/>
        </w:rPr>
        <w:t xml:space="preserve"> (Millwood). 33(9):1680-1688, 2014.</w:t>
      </w:r>
    </w:p>
    <w:p w14:paraId="20AA49DC" w14:textId="70D200F4"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14. </w:t>
      </w:r>
      <w:r w:rsidRPr="006E09BF">
        <w:rPr>
          <w:rFonts w:cstheme="minorHAnsi"/>
          <w:bCs/>
        </w:rPr>
        <w:t xml:space="preserve">Matzke GR, </w:t>
      </w:r>
      <w:proofErr w:type="spellStart"/>
      <w:r w:rsidRPr="006E09BF">
        <w:rPr>
          <w:rFonts w:cstheme="minorHAnsi"/>
          <w:bCs/>
        </w:rPr>
        <w:t>Moczygemba</w:t>
      </w:r>
      <w:proofErr w:type="spellEnd"/>
      <w:r w:rsidRPr="006E09BF">
        <w:rPr>
          <w:rFonts w:cstheme="minorHAnsi"/>
          <w:bCs/>
        </w:rPr>
        <w:t xml:space="preserve"> LR, Williams KJ, Czar MJ, Lee WT. Impact of a pharmacist–physician collaborative care model on patient outcomes and health services utilization. American Journal of Health-System Pharmacy. 75(14):1039-1047, 2018.</w:t>
      </w:r>
    </w:p>
    <w:p w14:paraId="3FE03485" w14:textId="3EBF66C0"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15. </w:t>
      </w:r>
      <w:r w:rsidRPr="006E09BF">
        <w:rPr>
          <w:rFonts w:cstheme="minorHAnsi"/>
          <w:bCs/>
        </w:rPr>
        <w:t xml:space="preserve">Ruiz S, Snyder LP, </w:t>
      </w:r>
      <w:proofErr w:type="spellStart"/>
      <w:r w:rsidRPr="006E09BF">
        <w:rPr>
          <w:rFonts w:cstheme="minorHAnsi"/>
          <w:bCs/>
        </w:rPr>
        <w:t>Rotondo</w:t>
      </w:r>
      <w:proofErr w:type="spellEnd"/>
      <w:r w:rsidRPr="006E09BF">
        <w:rPr>
          <w:rFonts w:cstheme="minorHAnsi"/>
          <w:bCs/>
        </w:rPr>
        <w:t xml:space="preserve"> C, Cross-Barnet C, Colligan EM, </w:t>
      </w:r>
      <w:proofErr w:type="spellStart"/>
      <w:r w:rsidRPr="006E09BF">
        <w:rPr>
          <w:rFonts w:cstheme="minorHAnsi"/>
          <w:bCs/>
        </w:rPr>
        <w:t>Giuriceo</w:t>
      </w:r>
      <w:proofErr w:type="spellEnd"/>
      <w:r w:rsidRPr="006E09BF">
        <w:rPr>
          <w:rFonts w:cstheme="minorHAnsi"/>
          <w:bCs/>
        </w:rPr>
        <w:t xml:space="preserve"> K. Innovative Home Visit Models Associated </w:t>
      </w:r>
      <w:proofErr w:type="gramStart"/>
      <w:r w:rsidRPr="006E09BF">
        <w:rPr>
          <w:rFonts w:cstheme="minorHAnsi"/>
          <w:bCs/>
        </w:rPr>
        <w:t>With</w:t>
      </w:r>
      <w:proofErr w:type="gramEnd"/>
      <w:r w:rsidRPr="006E09BF">
        <w:rPr>
          <w:rFonts w:cstheme="minorHAnsi"/>
          <w:bCs/>
        </w:rPr>
        <w:t xml:space="preserve"> Reductions In Costs, Hospitalizations, And Emergency Department Use. Health Affairs. 36(3):425-432, 2017. </w:t>
      </w:r>
    </w:p>
    <w:p w14:paraId="174BA39E" w14:textId="0E7A00B1"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16. </w:t>
      </w:r>
      <w:r w:rsidRPr="006E09BF">
        <w:rPr>
          <w:rFonts w:cstheme="minorHAnsi"/>
          <w:bCs/>
        </w:rPr>
        <w:t xml:space="preserve">Edwards ST, </w:t>
      </w:r>
      <w:proofErr w:type="spellStart"/>
      <w:r w:rsidRPr="006E09BF">
        <w:rPr>
          <w:rFonts w:cstheme="minorHAnsi"/>
          <w:bCs/>
        </w:rPr>
        <w:t>Saha</w:t>
      </w:r>
      <w:proofErr w:type="spellEnd"/>
      <w:r w:rsidRPr="006E09BF">
        <w:rPr>
          <w:rFonts w:cstheme="minorHAnsi"/>
          <w:bCs/>
        </w:rPr>
        <w:t xml:space="preserve"> S, Prentice JC, Pizer SD. Preventing Hospitalization with Veterans Affairs Home-Based Primary Care: Which Individuals Benefit Most? Journal of the American Geriatrics Society. 65(8):1676-1683, 2017.  </w:t>
      </w:r>
    </w:p>
    <w:p w14:paraId="4BD09AF2" w14:textId="6797A934"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17. </w:t>
      </w:r>
      <w:proofErr w:type="spellStart"/>
      <w:r w:rsidRPr="006E09BF">
        <w:rPr>
          <w:rFonts w:cstheme="minorHAnsi"/>
          <w:bCs/>
        </w:rPr>
        <w:t>Krumme</w:t>
      </w:r>
      <w:proofErr w:type="spellEnd"/>
      <w:r w:rsidRPr="006E09BF">
        <w:rPr>
          <w:rFonts w:cstheme="minorHAnsi"/>
          <w:bCs/>
        </w:rPr>
        <w:t xml:space="preserve"> AA, Glynn RJ, </w:t>
      </w:r>
      <w:proofErr w:type="spellStart"/>
      <w:r w:rsidRPr="006E09BF">
        <w:rPr>
          <w:rFonts w:cstheme="minorHAnsi"/>
          <w:bCs/>
        </w:rPr>
        <w:t>Schneeweiss</w:t>
      </w:r>
      <w:proofErr w:type="spellEnd"/>
      <w:r w:rsidRPr="006E09BF">
        <w:rPr>
          <w:rFonts w:cstheme="minorHAnsi"/>
          <w:bCs/>
        </w:rPr>
        <w:t xml:space="preserve"> S, et al. Medication Synchronization Programs Improve Adherence </w:t>
      </w:r>
      <w:proofErr w:type="gramStart"/>
      <w:r w:rsidRPr="006E09BF">
        <w:rPr>
          <w:rFonts w:cstheme="minorHAnsi"/>
          <w:bCs/>
        </w:rPr>
        <w:t>To</w:t>
      </w:r>
      <w:proofErr w:type="gramEnd"/>
      <w:r w:rsidRPr="006E09BF">
        <w:rPr>
          <w:rFonts w:cstheme="minorHAnsi"/>
          <w:bCs/>
        </w:rPr>
        <w:t xml:space="preserve"> Cardiovascular Medications And Health Care Use. Health </w:t>
      </w:r>
      <w:proofErr w:type="spellStart"/>
      <w:r w:rsidRPr="006E09BF">
        <w:rPr>
          <w:rFonts w:cstheme="minorHAnsi"/>
          <w:bCs/>
        </w:rPr>
        <w:t>Aff</w:t>
      </w:r>
      <w:proofErr w:type="spellEnd"/>
      <w:r w:rsidRPr="006E09BF">
        <w:rPr>
          <w:rFonts w:cstheme="minorHAnsi"/>
          <w:bCs/>
        </w:rPr>
        <w:t xml:space="preserve"> (Millwood). 37(1):125-133, 2018.</w:t>
      </w:r>
    </w:p>
    <w:p w14:paraId="1CD518BF" w14:textId="16B7AC4D"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lastRenderedPageBreak/>
        <w:t xml:space="preserve">18. </w:t>
      </w:r>
      <w:r w:rsidRPr="006E09BF">
        <w:rPr>
          <w:rFonts w:cstheme="minorHAnsi"/>
          <w:bCs/>
        </w:rPr>
        <w:t xml:space="preserve">Gabriel M, Powers C, </w:t>
      </w:r>
      <w:proofErr w:type="spellStart"/>
      <w:r w:rsidRPr="006E09BF">
        <w:rPr>
          <w:rFonts w:cstheme="minorHAnsi"/>
          <w:bCs/>
        </w:rPr>
        <w:t>Encinosa</w:t>
      </w:r>
      <w:proofErr w:type="spellEnd"/>
      <w:r w:rsidRPr="006E09BF">
        <w:rPr>
          <w:rFonts w:cstheme="minorHAnsi"/>
          <w:bCs/>
        </w:rPr>
        <w:t xml:space="preserve"> W, Bynum J. E-Prescribing and Adverse Drug Events: An Observational Study of the Medicare Part D Population </w:t>
      </w:r>
      <w:proofErr w:type="gramStart"/>
      <w:r w:rsidRPr="006E09BF">
        <w:rPr>
          <w:rFonts w:cstheme="minorHAnsi"/>
          <w:bCs/>
        </w:rPr>
        <w:t>With</w:t>
      </w:r>
      <w:proofErr w:type="gramEnd"/>
      <w:r w:rsidRPr="006E09BF">
        <w:rPr>
          <w:rFonts w:cstheme="minorHAnsi"/>
          <w:bCs/>
        </w:rPr>
        <w:t xml:space="preserve"> Diabetes. Medical care. 55(5):456-462, 2017.  </w:t>
      </w:r>
    </w:p>
    <w:p w14:paraId="36232144" w14:textId="2D499144"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19. </w:t>
      </w:r>
      <w:r w:rsidRPr="006E09BF">
        <w:rPr>
          <w:rFonts w:cstheme="minorHAnsi"/>
          <w:bCs/>
        </w:rPr>
        <w:t xml:space="preserve">Bazemore, A., et al. "Higher Primary Care Physician Continuity is Associated </w:t>
      </w:r>
      <w:proofErr w:type="gramStart"/>
      <w:r w:rsidRPr="006E09BF">
        <w:rPr>
          <w:rFonts w:cstheme="minorHAnsi"/>
          <w:bCs/>
        </w:rPr>
        <w:t>With</w:t>
      </w:r>
      <w:proofErr w:type="gramEnd"/>
      <w:r w:rsidRPr="006E09BF">
        <w:rPr>
          <w:rFonts w:cstheme="minorHAnsi"/>
          <w:bCs/>
        </w:rPr>
        <w:t xml:space="preserve"> Lower Costs and Hospitalizations." Ann Fam Med. 16(6): 492-497, 2018.</w:t>
      </w:r>
    </w:p>
    <w:p w14:paraId="7CC00B49" w14:textId="03311210"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20. </w:t>
      </w:r>
      <w:r w:rsidRPr="006E09BF">
        <w:rPr>
          <w:rFonts w:cstheme="minorHAnsi"/>
          <w:bCs/>
        </w:rPr>
        <w:t>O'Malley, A. S., et al. "New approaches to measuring the comprehensiveness of primary care physicians." Health Serv Res. 54(2): 356-366, 2019.</w:t>
      </w:r>
    </w:p>
    <w:p w14:paraId="6E7DEAB3" w14:textId="5ABD7004"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21. </w:t>
      </w:r>
      <w:proofErr w:type="spellStart"/>
      <w:r w:rsidRPr="006E09BF">
        <w:rPr>
          <w:rFonts w:cstheme="minorHAnsi"/>
          <w:bCs/>
        </w:rPr>
        <w:t>Roiland</w:t>
      </w:r>
      <w:proofErr w:type="spellEnd"/>
      <w:r w:rsidRPr="006E09BF">
        <w:rPr>
          <w:rFonts w:cstheme="minorHAnsi"/>
          <w:bCs/>
        </w:rPr>
        <w:t xml:space="preserve"> R, </w:t>
      </w:r>
      <w:proofErr w:type="spellStart"/>
      <w:r w:rsidRPr="006E09BF">
        <w:rPr>
          <w:rFonts w:cstheme="minorHAnsi"/>
          <w:bCs/>
        </w:rPr>
        <w:t>Bleser</w:t>
      </w:r>
      <w:proofErr w:type="spellEnd"/>
      <w:r w:rsidRPr="006E09BF">
        <w:rPr>
          <w:rFonts w:cstheme="minorHAnsi"/>
          <w:bCs/>
        </w:rPr>
        <w:t xml:space="preserve"> WK, </w:t>
      </w:r>
      <w:proofErr w:type="spellStart"/>
      <w:r w:rsidRPr="006E09BF">
        <w:rPr>
          <w:rFonts w:cstheme="minorHAnsi"/>
          <w:bCs/>
        </w:rPr>
        <w:t>Muhlestein</w:t>
      </w:r>
      <w:proofErr w:type="spellEnd"/>
      <w:r w:rsidRPr="006E09BF">
        <w:rPr>
          <w:rFonts w:cstheme="minorHAnsi"/>
          <w:bCs/>
        </w:rPr>
        <w:t xml:space="preserve"> D, Saunders RS. How are ACOs prioritizing palliative care and other serious illness strategies? Health Affairs Blog, January 7, 2020.</w:t>
      </w:r>
    </w:p>
    <w:p w14:paraId="6FA1C68B" w14:textId="7F7D1CB5"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22. </w:t>
      </w:r>
      <w:r w:rsidRPr="006E09BF">
        <w:rPr>
          <w:rFonts w:cstheme="minorHAnsi"/>
          <w:bCs/>
        </w:rPr>
        <w:t>Center for Medicare and Medicaid Services (CMS). Multiple Chronic Conditions: A Strategic Framework, December 2010. Available at: https://www.hhs.gov/sites/default/files/ash/initiatives/mcc/mcc_framework.pdf</w:t>
      </w:r>
    </w:p>
    <w:p w14:paraId="650CFCD8" w14:textId="65339A3C" w:rsidR="006E09BF" w:rsidRPr="006E09BF" w:rsidRDefault="006E09BF" w:rsidP="006E09BF">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rPr>
          <w:rFonts w:cstheme="minorHAnsi"/>
          <w:bCs/>
        </w:rPr>
      </w:pPr>
      <w:r>
        <w:rPr>
          <w:rFonts w:cstheme="minorHAnsi"/>
          <w:bCs/>
        </w:rPr>
        <w:t xml:space="preserve">23. </w:t>
      </w:r>
      <w:r w:rsidRPr="006E09BF">
        <w:rPr>
          <w:rFonts w:cstheme="minorHAnsi"/>
          <w:bCs/>
        </w:rPr>
        <w:t>NQF’s Multiple Chronic Conditions Measurement Framework, May 2012.  Accessed July 28, 2020. Available at: http://www.qualityforum.org/WorkArea/linkit.aspx?LinkIdentifier=id&amp;ItemID=71227</w:t>
      </w:r>
    </w:p>
    <w:p w14:paraId="6000051D" w14:textId="77777777" w:rsidR="006E09BF" w:rsidRDefault="006E09BF" w:rsidP="00DB3627">
      <w:pPr>
        <w:autoSpaceDE w:val="0"/>
        <w:autoSpaceDN w:val="0"/>
        <w:adjustRightInd w:val="0"/>
        <w:spacing w:after="0" w:line="240" w:lineRule="auto"/>
        <w:rPr>
          <w:rFonts w:cstheme="minorHAnsi"/>
          <w:b/>
          <w:bCs/>
        </w:rPr>
      </w:pPr>
    </w:p>
    <w:p w14:paraId="5B3C6B24" w14:textId="45BF2638" w:rsidR="00394224" w:rsidRPr="00A25024" w:rsidRDefault="009C7513" w:rsidP="00A823CF">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70892D2C" w14:textId="7777777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r w:rsidRPr="00677A16">
        <w:rPr>
          <w:rFonts w:ascii="Calibri" w:eastAsia="Calibri" w:hAnsi="Calibri" w:cs="Calibri"/>
        </w:rPr>
        <w:t>The validity of the ACO MCC measure is supported by the following three types of evidence: (1) TEP and public support of the measure, (2) validity of the outcome, and (3) external empiric comparisons with other outcome and clinical quality measures.</w:t>
      </w:r>
    </w:p>
    <w:p w14:paraId="5996DD8E" w14:textId="7777777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p>
    <w:p w14:paraId="0BBE7212" w14:textId="7777777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r w:rsidRPr="00677A16">
        <w:rPr>
          <w:rFonts w:ascii="Calibri" w:eastAsia="Calibri" w:hAnsi="Calibri" w:cs="Calibri"/>
        </w:rPr>
        <w:t xml:space="preserve">The validity of the measure is supported by feedback and comments received from the TEP and the public. There was strong support expressed by the members of the TEP and in public comment for the validity of the measure. Public comment feedback on the focus of the measure and on the use of the measure for ACO quality reporting, overall, was positive. </w:t>
      </w:r>
    </w:p>
    <w:p w14:paraId="242ADC15" w14:textId="7777777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p>
    <w:p w14:paraId="1B49C64E" w14:textId="09D4C62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r w:rsidRPr="00677A16">
        <w:rPr>
          <w:rFonts w:ascii="Calibri" w:eastAsia="Calibri" w:hAnsi="Calibri" w:cs="Calibri"/>
        </w:rPr>
        <w:t>The validity of unplanned acute hospital admissions for patients with MCC</w:t>
      </w:r>
      <w:r w:rsidR="00462847">
        <w:rPr>
          <w:rFonts w:ascii="Calibri" w:eastAsia="Calibri" w:hAnsi="Calibri" w:cs="Calibri"/>
        </w:rPr>
        <w:t>s</w:t>
      </w:r>
      <w:r w:rsidRPr="00677A16">
        <w:rPr>
          <w:rFonts w:ascii="Calibri" w:eastAsia="Calibri" w:hAnsi="Calibri" w:cs="Calibri"/>
        </w:rPr>
        <w:t xml:space="preserve"> as an outcome is supported by the association between select care strategies (e.g., access to and continuity of care, supporting self-care in the home, better coordinating care across providers, and integrating social work, nursing, and medical services) with the outcome of hospital admissions, the use of this outcome by ACOs to measure improvements in their programs, alignment with national strategies</w:t>
      </w:r>
      <w:r w:rsidR="00A33806">
        <w:rPr>
          <w:rFonts w:ascii="Calibri" w:eastAsia="Calibri" w:hAnsi="Calibri" w:cs="Calibri"/>
        </w:rPr>
        <w:t>,</w:t>
      </w:r>
      <w:r w:rsidRPr="00677A16">
        <w:rPr>
          <w:rFonts w:ascii="Calibri" w:eastAsia="Calibri" w:hAnsi="Calibri" w:cs="Calibri"/>
        </w:rPr>
        <w:t xml:space="preserve"> and with an externally published framework for measurement of quality for patients with MCC</w:t>
      </w:r>
      <w:r w:rsidR="00462847">
        <w:rPr>
          <w:rFonts w:ascii="Calibri" w:eastAsia="Calibri" w:hAnsi="Calibri" w:cs="Calibri"/>
        </w:rPr>
        <w:t>s</w:t>
      </w:r>
      <w:r w:rsidRPr="00677A16">
        <w:rPr>
          <w:rFonts w:ascii="Calibri" w:eastAsia="Calibri" w:hAnsi="Calibri" w:cs="Calibri"/>
        </w:rPr>
        <w:t xml:space="preserve">. </w:t>
      </w:r>
    </w:p>
    <w:p w14:paraId="78496C68" w14:textId="7777777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p>
    <w:p w14:paraId="33D0DC53" w14:textId="3DB9BA7A"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r w:rsidRPr="00677A16">
        <w:rPr>
          <w:rFonts w:ascii="Calibri" w:eastAsia="Calibri" w:hAnsi="Calibri" w:cs="Calibri"/>
        </w:rPr>
        <w:t>The validity of the measure is further supported by the empiric validation results which demonstrate the expected correlation of the ACO MCC measure with other outcome and clinical quality measures [</w:t>
      </w:r>
      <w:r w:rsidR="00A33806">
        <w:rPr>
          <w:rFonts w:ascii="Calibri" w:eastAsia="Calibri" w:hAnsi="Calibri" w:cs="Calibri"/>
        </w:rPr>
        <w:t>R</w:t>
      </w:r>
      <w:r w:rsidRPr="00677A16">
        <w:rPr>
          <w:rFonts w:ascii="Calibri" w:eastAsia="Calibri" w:hAnsi="Calibri" w:cs="Calibri"/>
        </w:rPr>
        <w:t>isk-</w:t>
      </w:r>
      <w:r w:rsidR="00A33806">
        <w:rPr>
          <w:rFonts w:ascii="Calibri" w:eastAsia="Calibri" w:hAnsi="Calibri" w:cs="Calibri"/>
        </w:rPr>
        <w:t>S</w:t>
      </w:r>
      <w:r w:rsidRPr="00677A16">
        <w:rPr>
          <w:rFonts w:ascii="Calibri" w:eastAsia="Calibri" w:hAnsi="Calibri" w:cs="Calibri"/>
        </w:rPr>
        <w:t xml:space="preserve">tandardized </w:t>
      </w:r>
      <w:r w:rsidR="00A33806">
        <w:rPr>
          <w:rFonts w:ascii="Calibri" w:eastAsia="Calibri" w:hAnsi="Calibri" w:cs="Calibri"/>
        </w:rPr>
        <w:t>A</w:t>
      </w:r>
      <w:r w:rsidRPr="00677A16">
        <w:rPr>
          <w:rFonts w:ascii="Calibri" w:eastAsia="Calibri" w:hAnsi="Calibri" w:cs="Calibri"/>
        </w:rPr>
        <w:t xml:space="preserve">ll-condition </w:t>
      </w:r>
      <w:r w:rsidR="00A33806">
        <w:rPr>
          <w:rFonts w:ascii="Calibri" w:eastAsia="Calibri" w:hAnsi="Calibri" w:cs="Calibri"/>
        </w:rPr>
        <w:t>R</w:t>
      </w:r>
      <w:r w:rsidRPr="00677A16">
        <w:rPr>
          <w:rFonts w:ascii="Calibri" w:eastAsia="Calibri" w:hAnsi="Calibri" w:cs="Calibri"/>
        </w:rPr>
        <w:t xml:space="preserve">eadmission; Diabetes: Hemoglobin A1c (HbA1c) Poor Control (&gt;9%)] that have overlapping quality domains and overlapping cohorts. </w:t>
      </w:r>
    </w:p>
    <w:p w14:paraId="6EA13072" w14:textId="7777777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p>
    <w:p w14:paraId="38CC6C84" w14:textId="77777777" w:rsidR="001800A5" w:rsidRPr="00677A16" w:rsidRDefault="001800A5" w:rsidP="001800A5">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rPr>
      </w:pPr>
      <w:r w:rsidRPr="00677A16">
        <w:rPr>
          <w:rFonts w:ascii="Calibri" w:eastAsia="Calibri" w:hAnsi="Calibri" w:cs="Calibri"/>
        </w:rPr>
        <w:t>Taken together, the evidence cited above supports the validity of the ACO MCC measure.</w:t>
      </w:r>
    </w:p>
    <w:p w14:paraId="0657AB61" w14:textId="77777777" w:rsidR="00373559" w:rsidRDefault="00373559" w:rsidP="007408CA">
      <w:pPr>
        <w:pBdr>
          <w:top w:val="single" w:sz="4" w:space="1" w:color="auto"/>
          <w:left w:val="single" w:sz="4" w:space="21" w:color="auto"/>
          <w:bottom w:val="single" w:sz="4" w:space="1" w:color="auto"/>
          <w:right w:val="single" w:sz="4" w:space="4" w:color="auto"/>
        </w:pBdr>
        <w:autoSpaceDE w:val="0"/>
        <w:autoSpaceDN w:val="0"/>
        <w:adjustRightInd w:val="0"/>
        <w:spacing w:after="0" w:line="240" w:lineRule="auto"/>
        <w:ind w:left="360"/>
        <w:rPr>
          <w:rFonts w:ascii="Calibri" w:eastAsia="Calibri" w:hAnsi="Calibri" w:cs="Calibri"/>
          <w:color w:val="0070C0"/>
        </w:rPr>
      </w:pPr>
    </w:p>
    <w:p w14:paraId="0CABCFE1" w14:textId="5D7F87B5" w:rsidR="00097012" w:rsidRPr="00A25024" w:rsidRDefault="00021170" w:rsidP="00DB3627">
      <w:pPr>
        <w:autoSpaceDE w:val="0"/>
        <w:autoSpaceDN w:val="0"/>
        <w:adjustRightInd w:val="0"/>
        <w:spacing w:after="0" w:line="240" w:lineRule="auto"/>
        <w:rPr>
          <w:rFonts w:cstheme="minorHAnsi"/>
          <w:b/>
          <w:bCs/>
        </w:rPr>
      </w:pPr>
      <w:bookmarkStart w:id="23" w:name="section2b2"/>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bookmarkEnd w:id="23"/>
    <w:p w14:paraId="0CABCFE2" w14:textId="390DBF55" w:rsidR="00B037BA" w:rsidRPr="00A25024" w:rsidRDefault="001E4DD4" w:rsidP="00DB3627">
      <w:pPr>
        <w:autoSpaceDE w:val="0"/>
        <w:autoSpaceDN w:val="0"/>
        <w:adjustRightInd w:val="0"/>
        <w:spacing w:after="0" w:line="240" w:lineRule="auto"/>
        <w:rPr>
          <w:rFonts w:cstheme="minorHAnsi"/>
          <w:b/>
          <w:bCs/>
        </w:rPr>
      </w:pPr>
      <w:r w:rsidRPr="00275AB7">
        <w:rPr>
          <w:rFonts w:eastAsia="MS Gothic" w:cstheme="minorHAnsi"/>
          <w:b/>
          <w:bCs/>
        </w:rPr>
        <w:t>NA</w:t>
      </w:r>
      <w:r w:rsidRPr="00677A16">
        <w:rPr>
          <w:rFonts w:eastAsia="MS Gothic" w:cstheme="minorHAnsi"/>
          <w:b/>
          <w:bCs/>
        </w:rPr>
        <w:t xml:space="preserve"> </w:t>
      </w:r>
      <w:sdt>
        <w:sdtPr>
          <w:rPr>
            <w:rFonts w:cstheme="minorHAnsi"/>
            <w:bCs/>
          </w:rPr>
          <w:id w:val="854622499"/>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Pr="00677A16">
        <w:rPr>
          <w:rFonts w:eastAsia="MS Gothic" w:cstheme="minorHAnsi"/>
          <w:b/>
          <w:bCs/>
        </w:rPr>
        <w:t xml:space="preserve"> </w:t>
      </w:r>
      <w:r w:rsidR="00484120" w:rsidRPr="00275AB7">
        <w:rPr>
          <w:rFonts w:cstheme="minorHAnsi"/>
          <w:b/>
          <w:bCs/>
        </w:rPr>
        <w:t>no exclusions</w:t>
      </w:r>
      <w:r w:rsidRPr="00275AB7">
        <w:rPr>
          <w:rFonts w:cstheme="minorHAnsi"/>
          <w:b/>
          <w:bCs/>
        </w:rPr>
        <w:t xml:space="preserve"> </w:t>
      </w:r>
      <w:r w:rsidRPr="00677A16">
        <w:rPr>
          <w:rFonts w:eastAsia="MS Gothic" w:cstheme="minorHAnsi"/>
          <w:b/>
          <w:bCs/>
        </w:rPr>
        <w:t>—</w:t>
      </w:r>
      <w:r w:rsidRPr="00275AB7">
        <w:rPr>
          <w:rFonts w:cstheme="minorHAnsi"/>
          <w:b/>
          <w:bCs/>
          <w:i/>
        </w:rPr>
        <w:t xml:space="preserve"> </w:t>
      </w:r>
      <w:r w:rsidR="00B037BA" w:rsidRPr="00796166">
        <w:rPr>
          <w:rFonts w:cstheme="minorHAnsi"/>
          <w:b/>
          <w:bCs/>
          <w:i/>
        </w:rPr>
        <w:t xml:space="preserve">skip </w:t>
      </w:r>
      <w:r w:rsidR="008A4C13" w:rsidRPr="00796166">
        <w:rPr>
          <w:rFonts w:cstheme="minorHAnsi"/>
          <w:b/>
          <w:bCs/>
          <w:i/>
        </w:rPr>
        <w:t xml:space="preserve">to </w:t>
      </w:r>
      <w:r w:rsidR="00BE592D" w:rsidRPr="00796166">
        <w:rPr>
          <w:rFonts w:cstheme="minorHAnsi"/>
          <w:b/>
          <w:bCs/>
          <w:i/>
        </w:rPr>
        <w:t xml:space="preserve">section </w:t>
      </w:r>
      <w:hyperlink w:anchor="section2b4" w:history="1">
        <w:r w:rsidR="00483E94" w:rsidRPr="00677A16">
          <w:rPr>
            <w:rStyle w:val="Hyperlink"/>
            <w:rFonts w:cstheme="minorHAnsi"/>
            <w:b/>
            <w:bCs/>
            <w:i/>
            <w:color w:val="auto"/>
          </w:rPr>
          <w:t>2b</w:t>
        </w:r>
        <w:r w:rsidR="00565946" w:rsidRPr="00677A16">
          <w:rPr>
            <w:rStyle w:val="Hyperlink"/>
            <w:rFonts w:cstheme="minorHAnsi"/>
            <w:b/>
            <w:bCs/>
            <w:i/>
            <w:color w:val="auto"/>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21A4D8CA" w14:textId="77777777" w:rsidR="007413CB" w:rsidRDefault="00092566" w:rsidP="007413CB">
      <w:pPr>
        <w:autoSpaceDE w:val="0"/>
        <w:autoSpaceDN w:val="0"/>
        <w:adjustRightInd w:val="0"/>
        <w:spacing w:after="0" w:line="240" w:lineRule="auto"/>
        <w:rPr>
          <w:rFonts w:cstheme="minorHAnsi"/>
          <w:bCs/>
        </w:rPr>
      </w:pPr>
      <w:r>
        <w:rPr>
          <w:rFonts w:cstheme="minorHAnsi"/>
          <w:b/>
          <w:bCs/>
        </w:rPr>
        <w:lastRenderedPageBreak/>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xml:space="preserve">; what statistical analysis was </w:t>
      </w:r>
      <w:r w:rsidR="007413CB">
        <w:rPr>
          <w:rFonts w:cstheme="minorHAnsi"/>
          <w:bCs/>
          <w:i/>
        </w:rPr>
        <w:t>used</w:t>
      </w:r>
      <w:r w:rsidR="007413CB">
        <w:rPr>
          <w:rFonts w:cstheme="minorHAnsi"/>
          <w:bCs/>
        </w:rPr>
        <w:t>)</w:t>
      </w:r>
    </w:p>
    <w:p w14:paraId="24CF47EF" w14:textId="5C71A33E" w:rsidR="007413CB" w:rsidRDefault="00AA753B"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bdr w:val="single" w:sz="4" w:space="0" w:color="auto"/>
        </w:rPr>
      </w:pPr>
      <w:r w:rsidRPr="00AA753B">
        <w:rPr>
          <w:rFonts w:cstheme="minorHAnsi"/>
          <w:bCs/>
        </w:rPr>
        <w:t xml:space="preserve">All exclusions were determined by careful clinical review and have been made based on clinically relevant decisions and to ensure accurate calculation of the measure. To ascertain the impact of exclusions on the cohort, we examined overall frequencies and proportions of the total cohort excluded for each exclusion criterion. Rationales for the exclusions are detailed </w:t>
      </w:r>
      <w:r>
        <w:rPr>
          <w:rFonts w:cstheme="minorHAnsi"/>
          <w:bCs/>
        </w:rPr>
        <w:t>in data field S.7</w:t>
      </w:r>
      <w:r w:rsidRPr="00AA753B">
        <w:rPr>
          <w:rFonts w:cstheme="minorHAnsi"/>
          <w:bCs/>
        </w:rPr>
        <w:t xml:space="preserve"> </w:t>
      </w:r>
      <w:r>
        <w:rPr>
          <w:rFonts w:cstheme="minorHAnsi"/>
          <w:bCs/>
        </w:rPr>
        <w:t>of the Submission Form.</w:t>
      </w:r>
    </w:p>
    <w:p w14:paraId="686BBF78" w14:textId="79161C0C" w:rsidR="00770FEB" w:rsidRPr="00A25024" w:rsidRDefault="00770FEB" w:rsidP="00DB3627">
      <w:pPr>
        <w:autoSpaceDE w:val="0"/>
        <w:autoSpaceDN w:val="0"/>
        <w:adjustRightInd w:val="0"/>
        <w:spacing w:after="0" w:line="240" w:lineRule="auto"/>
        <w:rPr>
          <w:rFonts w:cstheme="minorHAnsi"/>
          <w:bCs/>
        </w:rPr>
      </w:pPr>
    </w:p>
    <w:p w14:paraId="6B610AB8" w14:textId="77777777" w:rsidR="00395662" w:rsidRDefault="0009256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i/>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 xml:space="preserve">number and percentage of individuals </w:t>
      </w:r>
      <w:r w:rsidR="00473C80" w:rsidRPr="00A25024">
        <w:rPr>
          <w:rFonts w:cstheme="minorHAnsi"/>
          <w:bCs/>
          <w:i/>
        </w:rPr>
        <w:t>excluded</w:t>
      </w:r>
      <w:r w:rsidR="002F15C8">
        <w:rPr>
          <w:rFonts w:cstheme="minorHAnsi"/>
          <w:bCs/>
          <w:i/>
        </w:rPr>
        <w:t xml:space="preserve">) </w:t>
      </w:r>
    </w:p>
    <w:p w14:paraId="55410237" w14:textId="7FEB99EF" w:rsidR="005A5AAC" w:rsidRPr="00395662" w:rsidRDefault="005A5AAC" w:rsidP="0039566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color w:val="0070C0"/>
        </w:rPr>
      </w:pPr>
    </w:p>
    <w:p w14:paraId="0717ECAD" w14:textId="275E2DBA" w:rsidR="00961A97" w:rsidRDefault="001C7734" w:rsidP="00961A97">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r w:rsidRPr="00677A16">
        <w:rPr>
          <w:bCs/>
        </w:rPr>
        <w:t>The number and percent</w:t>
      </w:r>
      <w:r w:rsidR="00FC7254" w:rsidRPr="00677A16">
        <w:rPr>
          <w:bCs/>
        </w:rPr>
        <w:t>age</w:t>
      </w:r>
      <w:r w:rsidRPr="00677A16">
        <w:rPr>
          <w:bCs/>
        </w:rPr>
        <w:t xml:space="preserve"> of </w:t>
      </w:r>
      <w:r w:rsidR="00FC7254" w:rsidRPr="00677A16">
        <w:rPr>
          <w:bCs/>
        </w:rPr>
        <w:t>individuals</w:t>
      </w:r>
      <w:r w:rsidRPr="00677A16">
        <w:rPr>
          <w:bCs/>
        </w:rPr>
        <w:t xml:space="preserve"> excluded from the measure are shown below. Exclusion categories are not mutually exclusive (patients may fall into more than one exclusion category).</w:t>
      </w:r>
    </w:p>
    <w:p w14:paraId="01FC4B35" w14:textId="35692327" w:rsidR="0092306E" w:rsidRDefault="0092306E" w:rsidP="00961A97">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p>
    <w:p w14:paraId="3BDF4B3E" w14:textId="06D6106E" w:rsidR="00961A97" w:rsidRPr="0092306E" w:rsidRDefault="0092306E" w:rsidP="00961A97">
      <w:pPr>
        <w:pBdr>
          <w:top w:val="single" w:sz="4" w:space="1" w:color="auto"/>
          <w:left w:val="single" w:sz="4" w:space="4" w:color="auto"/>
          <w:bottom w:val="single" w:sz="4" w:space="1" w:color="auto"/>
          <w:right w:val="single" w:sz="4" w:space="4" w:color="auto"/>
        </w:pBdr>
        <w:shd w:val="clear" w:color="auto" w:fill="FFFFFF"/>
        <w:contextualSpacing/>
        <w:rPr>
          <w:b/>
          <w:bCs/>
        </w:rPr>
      </w:pPr>
      <w:r w:rsidRPr="0092306E">
        <w:rPr>
          <w:b/>
          <w:bCs/>
        </w:rPr>
        <w:t>Table 4</w:t>
      </w:r>
      <w:r w:rsidR="00961A97" w:rsidRPr="0092306E">
        <w:rPr>
          <w:b/>
          <w:bCs/>
        </w:rPr>
        <w:t xml:space="preserve">:  Measure Exclusions </w:t>
      </w:r>
    </w:p>
    <w:tbl>
      <w:tblPr>
        <w:tblStyle w:val="TableGrid"/>
        <w:tblW w:w="0" w:type="auto"/>
        <w:tblLook w:val="04A0" w:firstRow="1" w:lastRow="0" w:firstColumn="1" w:lastColumn="0" w:noHBand="0" w:noVBand="1"/>
      </w:tblPr>
      <w:tblGrid>
        <w:gridCol w:w="3116"/>
        <w:gridCol w:w="3117"/>
        <w:gridCol w:w="3117"/>
      </w:tblGrid>
      <w:tr w:rsidR="009D1908" w14:paraId="491FED45" w14:textId="77777777" w:rsidTr="001B365F">
        <w:tc>
          <w:tcPr>
            <w:tcW w:w="3116" w:type="dxa"/>
          </w:tcPr>
          <w:p w14:paraId="3C8713F0" w14:textId="77777777" w:rsidR="009D1908" w:rsidRDefault="009D1908" w:rsidP="001B365F">
            <w:r>
              <w:t>Exclusion</w:t>
            </w:r>
          </w:p>
        </w:tc>
        <w:tc>
          <w:tcPr>
            <w:tcW w:w="3117" w:type="dxa"/>
          </w:tcPr>
          <w:p w14:paraId="2514AA64" w14:textId="77777777" w:rsidR="009D1908" w:rsidRDefault="009D1908" w:rsidP="001B365F">
            <w:r>
              <w:t>N</w:t>
            </w:r>
          </w:p>
        </w:tc>
        <w:tc>
          <w:tcPr>
            <w:tcW w:w="3117" w:type="dxa"/>
          </w:tcPr>
          <w:p w14:paraId="24D98DC1" w14:textId="77777777" w:rsidR="009D1908" w:rsidRDefault="009D1908" w:rsidP="001B365F">
            <w:r>
              <w:t>Percent</w:t>
            </w:r>
          </w:p>
        </w:tc>
      </w:tr>
      <w:tr w:rsidR="009D1908" w14:paraId="3CBC099F" w14:textId="77777777" w:rsidTr="001B365F">
        <w:trPr>
          <w:trHeight w:val="1241"/>
        </w:trPr>
        <w:tc>
          <w:tcPr>
            <w:tcW w:w="3116" w:type="dxa"/>
          </w:tcPr>
          <w:p w14:paraId="68DE46D5" w14:textId="7BB6F880" w:rsidR="009D1908" w:rsidRDefault="009D1908" w:rsidP="001B365F">
            <w:r>
              <w:t>Patients without continuous enrollment in Medicare Part A or B during the measurement period.</w:t>
            </w:r>
          </w:p>
          <w:p w14:paraId="32504042" w14:textId="77777777" w:rsidR="009D1908" w:rsidRDefault="009D1908" w:rsidP="001B365F"/>
          <w:p w14:paraId="4BBDE683" w14:textId="77777777" w:rsidR="009D1908" w:rsidRDefault="009D1908" w:rsidP="001B365F"/>
        </w:tc>
        <w:tc>
          <w:tcPr>
            <w:tcW w:w="3117" w:type="dxa"/>
          </w:tcPr>
          <w:p w14:paraId="4F4114D1" w14:textId="77777777" w:rsidR="009D1908" w:rsidRDefault="009D1908" w:rsidP="001B365F">
            <w:r>
              <w:t>616,406</w:t>
            </w:r>
          </w:p>
        </w:tc>
        <w:tc>
          <w:tcPr>
            <w:tcW w:w="3117" w:type="dxa"/>
          </w:tcPr>
          <w:p w14:paraId="0EC87EFB" w14:textId="77777777" w:rsidR="009D1908" w:rsidRDefault="009D1908" w:rsidP="001B365F">
            <w:r w:rsidRPr="002B0B38">
              <w:rPr>
                <w:rFonts w:ascii="Arial" w:eastAsia="Times New Roman" w:hAnsi="Arial" w:cs="Arial"/>
                <w:color w:val="000000"/>
                <w:sz w:val="19"/>
                <w:szCs w:val="19"/>
              </w:rPr>
              <w:t>7.73</w:t>
            </w:r>
            <w:r>
              <w:rPr>
                <w:rFonts w:ascii="Arial" w:eastAsia="Times New Roman" w:hAnsi="Arial" w:cs="Arial"/>
                <w:color w:val="000000"/>
                <w:sz w:val="19"/>
                <w:szCs w:val="19"/>
              </w:rPr>
              <w:t>%</w:t>
            </w:r>
          </w:p>
        </w:tc>
      </w:tr>
      <w:tr w:rsidR="009D1908" w14:paraId="364CF3E0" w14:textId="77777777" w:rsidTr="001B365F">
        <w:tc>
          <w:tcPr>
            <w:tcW w:w="3116" w:type="dxa"/>
          </w:tcPr>
          <w:p w14:paraId="14C9F992" w14:textId="6638B064" w:rsidR="009D1908" w:rsidRDefault="009D1908" w:rsidP="001B365F">
            <w:r>
              <w:t>Patient</w:t>
            </w:r>
            <w:r w:rsidR="00FC7254">
              <w:t>s</w:t>
            </w:r>
            <w:r>
              <w:t xml:space="preserve"> </w:t>
            </w:r>
            <w:r w:rsidR="0092306E">
              <w:t xml:space="preserve">enrolled </w:t>
            </w:r>
            <w:r>
              <w:t>in hospice</w:t>
            </w:r>
            <w:r w:rsidR="0092306E">
              <w:t xml:space="preserve"> at any time</w:t>
            </w:r>
            <w:r>
              <w:t xml:space="preserve"> during the year prior to the measurement year or at the start of the measurement year.</w:t>
            </w:r>
          </w:p>
          <w:p w14:paraId="23782398" w14:textId="77777777" w:rsidR="009D1908" w:rsidRDefault="009D1908" w:rsidP="001B365F"/>
          <w:p w14:paraId="52FA319E" w14:textId="77777777" w:rsidR="009D1908" w:rsidRDefault="009D1908" w:rsidP="001B365F"/>
        </w:tc>
        <w:tc>
          <w:tcPr>
            <w:tcW w:w="3117" w:type="dxa"/>
          </w:tcPr>
          <w:p w14:paraId="634E6B77" w14:textId="77777777" w:rsidR="009D1908" w:rsidRDefault="009D1908" w:rsidP="001B365F">
            <w:r w:rsidRPr="002B0B38">
              <w:t>159,857</w:t>
            </w:r>
            <w:r w:rsidRPr="002B0B38">
              <w:tab/>
            </w:r>
          </w:p>
        </w:tc>
        <w:tc>
          <w:tcPr>
            <w:tcW w:w="3117" w:type="dxa"/>
          </w:tcPr>
          <w:p w14:paraId="527D91BD" w14:textId="77777777" w:rsidR="009D1908" w:rsidRDefault="009D1908" w:rsidP="001B365F">
            <w:r w:rsidRPr="002B0B38">
              <w:t>2.00</w:t>
            </w:r>
            <w:r>
              <w:t>%</w:t>
            </w:r>
          </w:p>
        </w:tc>
      </w:tr>
      <w:tr w:rsidR="009D1908" w14:paraId="7AF009A7" w14:textId="77777777" w:rsidTr="001B365F">
        <w:tc>
          <w:tcPr>
            <w:tcW w:w="3116" w:type="dxa"/>
          </w:tcPr>
          <w:p w14:paraId="4134A7A6" w14:textId="3B1A9E92" w:rsidR="009D1908" w:rsidRDefault="009D1908" w:rsidP="001B365F">
            <w:r>
              <w:t>Patients without any visits with any of the TINs associated with the attributed ACO during the measurement year and the year prior to the measurement year.</w:t>
            </w:r>
          </w:p>
          <w:p w14:paraId="1C106BE4" w14:textId="77777777" w:rsidR="009D1908" w:rsidRDefault="009D1908" w:rsidP="001B365F"/>
          <w:p w14:paraId="3D07C279" w14:textId="77777777" w:rsidR="009D1908" w:rsidRDefault="009D1908" w:rsidP="001B365F"/>
        </w:tc>
        <w:tc>
          <w:tcPr>
            <w:tcW w:w="3117" w:type="dxa"/>
          </w:tcPr>
          <w:p w14:paraId="6DBC8215" w14:textId="2A65F887" w:rsidR="0078414A" w:rsidRDefault="00677A16" w:rsidP="001B365F">
            <w:r>
              <w:t>38,789</w:t>
            </w:r>
          </w:p>
        </w:tc>
        <w:tc>
          <w:tcPr>
            <w:tcW w:w="3117" w:type="dxa"/>
          </w:tcPr>
          <w:p w14:paraId="73D74F92" w14:textId="77777777" w:rsidR="009D1908" w:rsidRDefault="009D1908" w:rsidP="001B365F">
            <w:pPr>
              <w:rPr>
                <w:rFonts w:ascii="Arial" w:hAnsi="Arial" w:cs="Arial"/>
                <w:color w:val="000000"/>
                <w:sz w:val="19"/>
                <w:szCs w:val="19"/>
              </w:rPr>
            </w:pPr>
            <w:r>
              <w:rPr>
                <w:rFonts w:ascii="Arial" w:hAnsi="Arial" w:cs="Arial"/>
                <w:color w:val="000000"/>
                <w:sz w:val="19"/>
                <w:szCs w:val="19"/>
              </w:rPr>
              <w:t>0.5%</w:t>
            </w:r>
          </w:p>
          <w:p w14:paraId="26147C44" w14:textId="77777777" w:rsidR="009D1908" w:rsidRDefault="009D1908" w:rsidP="001B365F"/>
        </w:tc>
      </w:tr>
      <w:tr w:rsidR="009D1908" w14:paraId="315B42EC" w14:textId="77777777" w:rsidTr="001B365F">
        <w:tc>
          <w:tcPr>
            <w:tcW w:w="3116" w:type="dxa"/>
          </w:tcPr>
          <w:p w14:paraId="65AF3A69" w14:textId="11006387" w:rsidR="009D1908" w:rsidRDefault="009D1908" w:rsidP="001B365F">
            <w:r w:rsidRPr="0036563B">
              <w:t>Patients not at risk for hospitalization at any time during the measurement year.</w:t>
            </w:r>
          </w:p>
          <w:p w14:paraId="0E60B9F8" w14:textId="77777777" w:rsidR="009D1908" w:rsidRDefault="009D1908" w:rsidP="001B365F"/>
          <w:p w14:paraId="2FCB212F" w14:textId="77777777" w:rsidR="009D1908" w:rsidRDefault="009D1908" w:rsidP="001B365F"/>
        </w:tc>
        <w:tc>
          <w:tcPr>
            <w:tcW w:w="3117" w:type="dxa"/>
          </w:tcPr>
          <w:p w14:paraId="1EC4C37F" w14:textId="4D9889D1" w:rsidR="0078414A" w:rsidRDefault="00677A16" w:rsidP="001B365F">
            <w:r>
              <w:t>13,640</w:t>
            </w:r>
          </w:p>
        </w:tc>
        <w:tc>
          <w:tcPr>
            <w:tcW w:w="3117" w:type="dxa"/>
          </w:tcPr>
          <w:p w14:paraId="7D8C942F" w14:textId="77777777" w:rsidR="009D1908" w:rsidRDefault="009D1908" w:rsidP="001B365F">
            <w:pPr>
              <w:rPr>
                <w:rFonts w:ascii="Arial" w:hAnsi="Arial" w:cs="Arial"/>
                <w:color w:val="000000"/>
                <w:sz w:val="19"/>
                <w:szCs w:val="19"/>
              </w:rPr>
            </w:pPr>
            <w:r>
              <w:rPr>
                <w:rFonts w:ascii="Arial" w:hAnsi="Arial" w:cs="Arial"/>
                <w:color w:val="000000"/>
                <w:sz w:val="19"/>
                <w:szCs w:val="19"/>
              </w:rPr>
              <w:t>0.2%</w:t>
            </w:r>
          </w:p>
          <w:p w14:paraId="151DBFFE" w14:textId="77777777" w:rsidR="009D1908" w:rsidRDefault="009D1908" w:rsidP="001B365F"/>
        </w:tc>
      </w:tr>
    </w:tbl>
    <w:p w14:paraId="12AE3BDB" w14:textId="77777777" w:rsidR="007413CB" w:rsidRDefault="007413CB" w:rsidP="002F15C8">
      <w:pPr>
        <w:autoSpaceDE w:val="0"/>
        <w:autoSpaceDN w:val="0"/>
        <w:adjustRightInd w:val="0"/>
        <w:spacing w:after="0" w:line="240" w:lineRule="auto"/>
        <w:rPr>
          <w:rFonts w:ascii="Calibri" w:eastAsia="Calibri" w:hAnsi="Calibri" w:cs="Calibri"/>
          <w:color w:val="000000"/>
        </w:rPr>
      </w:pPr>
    </w:p>
    <w:p w14:paraId="0CABCFE7" w14:textId="46E5CDD4" w:rsidR="00092566" w:rsidRPr="009D3882" w:rsidRDefault="00092566" w:rsidP="007413CB">
      <w:pPr>
        <w:autoSpaceDE w:val="0"/>
        <w:autoSpaceDN w:val="0"/>
        <w:adjustRightInd w:val="0"/>
        <w:spacing w:after="0" w:line="240" w:lineRule="auto"/>
        <w:rPr>
          <w:rFonts w:cstheme="minorHAnsi"/>
          <w:bCs/>
          <w:sz w:val="12"/>
        </w:rPr>
      </w:pPr>
    </w:p>
    <w:p w14:paraId="70049FE1" w14:textId="79489366" w:rsidR="00394224"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w:t>
      </w:r>
      <w:r w:rsidR="000B2DF7" w:rsidRPr="00A25024">
        <w:rPr>
          <w:rFonts w:cstheme="minorHAnsi"/>
          <w:bCs/>
          <w:i/>
        </w:rPr>
        <w:lastRenderedPageBreak/>
        <w:t>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64244C2D" w14:textId="77777777" w:rsidR="00C42442" w:rsidRPr="00677A16" w:rsidRDefault="00C42442" w:rsidP="00C424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rPr>
      </w:pPr>
      <w:r w:rsidRPr="00677A16">
        <w:rPr>
          <w:rFonts w:ascii="Calibri" w:eastAsia="Calibri" w:hAnsi="Calibri" w:cs="Calibri"/>
        </w:rPr>
        <w:t xml:space="preserve">The exclusions for this measure are narrowly targeted and the rationale for each exclusion is presented in section S.9 of the ITS/submission form.  </w:t>
      </w:r>
    </w:p>
    <w:p w14:paraId="5F8B55E7" w14:textId="77777777" w:rsidR="00C42442" w:rsidRPr="00677A16" w:rsidRDefault="00C42442" w:rsidP="00C424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rPr>
      </w:pPr>
    </w:p>
    <w:p w14:paraId="5675C207" w14:textId="40E6ADB8" w:rsidR="00C42442" w:rsidRPr="00677A16" w:rsidRDefault="002C125D" w:rsidP="00C424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bCs/>
        </w:rPr>
      </w:pPr>
      <w:r w:rsidRPr="00677A16">
        <w:rPr>
          <w:rFonts w:ascii="Calibri" w:eastAsia="Calibri" w:hAnsi="Calibri" w:cs="Calibri"/>
        </w:rPr>
        <w:t>The largest exclusion (</w:t>
      </w:r>
      <w:r w:rsidR="009D1908" w:rsidRPr="00677A16">
        <w:rPr>
          <w:rFonts w:ascii="Calibri" w:eastAsia="Calibri" w:hAnsi="Calibri" w:cs="Calibri"/>
        </w:rPr>
        <w:t>about 8</w:t>
      </w:r>
      <w:r w:rsidR="00275AB7">
        <w:rPr>
          <w:rFonts w:ascii="Calibri" w:eastAsia="Calibri" w:hAnsi="Calibri" w:cs="Calibri"/>
        </w:rPr>
        <w:t>%</w:t>
      </w:r>
      <w:r w:rsidR="009D1908" w:rsidRPr="00677A16">
        <w:rPr>
          <w:rFonts w:ascii="Calibri" w:eastAsia="Calibri" w:hAnsi="Calibri" w:cs="Calibri"/>
        </w:rPr>
        <w:t xml:space="preserve"> of</w:t>
      </w:r>
      <w:r w:rsidR="00C42442" w:rsidRPr="00677A16">
        <w:rPr>
          <w:rFonts w:ascii="Calibri" w:eastAsia="Calibri" w:hAnsi="Calibri" w:cs="Calibri"/>
        </w:rPr>
        <w:t xml:space="preserve"> attributed patients) removes</w:t>
      </w:r>
      <w:r w:rsidR="00933BD4" w:rsidRPr="00275AB7">
        <w:t xml:space="preserve"> </w:t>
      </w:r>
      <w:r w:rsidR="00933BD4" w:rsidRPr="00677A16">
        <w:rPr>
          <w:rFonts w:ascii="Calibri" w:eastAsia="Calibri" w:hAnsi="Calibri" w:cs="Calibri"/>
        </w:rPr>
        <w:t>patients after attribution</w:t>
      </w:r>
      <w:r w:rsidR="009D1908" w:rsidRPr="00275AB7">
        <w:t xml:space="preserve"> </w:t>
      </w:r>
      <w:r w:rsidR="009D1908" w:rsidRPr="00677A16">
        <w:rPr>
          <w:rFonts w:ascii="Calibri" w:eastAsia="Calibri" w:hAnsi="Calibri" w:cs="Calibri"/>
        </w:rPr>
        <w:t xml:space="preserve">if they did not have continuous enrollment in Medicare Part A or B during the measurement period. </w:t>
      </w:r>
      <w:r w:rsidR="007B2609" w:rsidRPr="00677A16">
        <w:rPr>
          <w:rFonts w:ascii="Calibri" w:eastAsia="Calibri" w:hAnsi="Calibri" w:cs="Calibri"/>
        </w:rPr>
        <w:t>These patients are removed because enrollment is necessary for outcome identification during the measurement period.</w:t>
      </w:r>
      <w:r w:rsidR="00933BD4" w:rsidRPr="00677A16">
        <w:rPr>
          <w:rFonts w:ascii="Calibri" w:eastAsia="Calibri" w:hAnsi="Calibri" w:cs="Calibri"/>
        </w:rPr>
        <w:t xml:space="preserve"> </w:t>
      </w:r>
    </w:p>
    <w:p w14:paraId="04634BF9" w14:textId="77777777" w:rsidR="00C42442" w:rsidRPr="00677A16" w:rsidRDefault="00C42442" w:rsidP="00C424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rPr>
      </w:pPr>
    </w:p>
    <w:p w14:paraId="28568172" w14:textId="0E613DF2" w:rsidR="005A5AAC" w:rsidRPr="00677A16" w:rsidRDefault="00C42442" w:rsidP="00C4244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rPr>
      </w:pPr>
      <w:r w:rsidRPr="00677A16">
        <w:rPr>
          <w:rFonts w:ascii="Calibri" w:eastAsia="Calibri" w:hAnsi="Calibri" w:cs="Calibri"/>
        </w:rPr>
        <w:t>In total, exclusion</w:t>
      </w:r>
      <w:r w:rsidR="009D1908" w:rsidRPr="00677A16">
        <w:rPr>
          <w:rFonts w:ascii="Calibri" w:eastAsia="Calibri" w:hAnsi="Calibri" w:cs="Calibri"/>
        </w:rPr>
        <w:t xml:space="preserve">s remove a modest </w:t>
      </w:r>
      <w:r w:rsidR="002D01E5" w:rsidRPr="00677A16">
        <w:rPr>
          <w:rFonts w:ascii="Calibri" w:eastAsia="Calibri" w:hAnsi="Calibri" w:cs="Calibri"/>
        </w:rPr>
        <w:t>percentage</w:t>
      </w:r>
      <w:r w:rsidR="00FC7254" w:rsidRPr="00677A16">
        <w:rPr>
          <w:rFonts w:ascii="Calibri" w:eastAsia="Calibri" w:hAnsi="Calibri" w:cs="Calibri"/>
        </w:rPr>
        <w:t xml:space="preserve"> </w:t>
      </w:r>
      <w:r w:rsidR="009D1908" w:rsidRPr="00677A16">
        <w:rPr>
          <w:rFonts w:ascii="Calibri" w:eastAsia="Calibri" w:hAnsi="Calibri" w:cs="Calibri"/>
        </w:rPr>
        <w:t>(about 10</w:t>
      </w:r>
      <w:r w:rsidRPr="00677A16">
        <w:rPr>
          <w:rFonts w:ascii="Calibri" w:eastAsia="Calibri" w:hAnsi="Calibri" w:cs="Calibri"/>
        </w:rPr>
        <w:t>%) of a</w:t>
      </w:r>
      <w:r w:rsidR="009D1908" w:rsidRPr="00677A16">
        <w:rPr>
          <w:rFonts w:ascii="Calibri" w:eastAsia="Calibri" w:hAnsi="Calibri" w:cs="Calibri"/>
        </w:rPr>
        <w:t>ttributed patients; about 90</w:t>
      </w:r>
      <w:r w:rsidR="00B67CF3" w:rsidRPr="00677A16">
        <w:rPr>
          <w:rFonts w:ascii="Calibri" w:eastAsia="Calibri" w:hAnsi="Calibri" w:cs="Calibri"/>
        </w:rPr>
        <w:t>% of attributed patients remain in the cohort.</w:t>
      </w:r>
      <w:r w:rsidR="00860A0B">
        <w:rPr>
          <w:rFonts w:ascii="Calibri" w:eastAsia="Calibri" w:hAnsi="Calibri" w:cs="Calibri"/>
        </w:rPr>
        <w:t xml:space="preserve"> All exclusions are required to produce a valid, reliable, and fair measure.</w:t>
      </w:r>
    </w:p>
    <w:p w14:paraId="0CABCFE8" w14:textId="7DBA3AAC" w:rsidR="007422FD" w:rsidRPr="007413CB" w:rsidRDefault="007422FD" w:rsidP="000D6F3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24" w:name="section2b4"/>
      <w:bookmarkStart w:id="25" w:name="section2b3"/>
      <w:bookmarkEnd w:id="2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bookmarkEnd w:id="25"/>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664E7EB4" w:rsidR="00033038" w:rsidRPr="00972610" w:rsidRDefault="004E3927" w:rsidP="00092566">
      <w:pPr>
        <w:autoSpaceDE w:val="0"/>
        <w:autoSpaceDN w:val="0"/>
        <w:adjustRightInd w:val="0"/>
        <w:spacing w:after="0" w:line="240" w:lineRule="auto"/>
        <w:rPr>
          <w:rFonts w:cstheme="minorHAnsi"/>
          <w:b/>
          <w:bCs/>
        </w:rPr>
      </w:pPr>
      <w:sdt>
        <w:sdtPr>
          <w:rPr>
            <w:rFonts w:cstheme="minorHAnsi"/>
            <w:bCs/>
          </w:rPr>
          <w:id w:val="-1450705013"/>
          <w14:checkbox>
            <w14:checked w14:val="0"/>
            <w14:checkedState w14:val="2612" w14:font="MS Gothic"/>
            <w14:uncheckedState w14:val="2610" w14:font="MS Gothic"/>
          </w14:checkbox>
        </w:sdtPr>
        <w:sdtEndPr/>
        <w:sdtContent>
          <w:r w:rsidR="00033038" w:rsidRPr="00677A16">
            <w:rPr>
              <w:rFonts w:ascii="MS Gothic" w:eastAsia="MS Gothic" w:hAnsi="MS Gothic" w:cstheme="minorHAnsi"/>
              <w:bCs/>
            </w:rPr>
            <w:t>☐</w:t>
          </w:r>
        </w:sdtContent>
      </w:sdt>
      <w:r w:rsidR="00033038" w:rsidRPr="00677A16">
        <w:rPr>
          <w:rFonts w:eastAsia="MS Mincho" w:cstheme="minorHAnsi"/>
          <w:b/>
          <w:bCs/>
        </w:rPr>
        <w:t xml:space="preserve"> </w:t>
      </w:r>
      <w:r w:rsidR="00033038" w:rsidRPr="00972610">
        <w:rPr>
          <w:rFonts w:cstheme="minorHAnsi"/>
          <w:b/>
          <w:bCs/>
        </w:rPr>
        <w:t>No risk adjustment or stratification</w:t>
      </w:r>
    </w:p>
    <w:p w14:paraId="0CABCFEE" w14:textId="42FD562A" w:rsidR="00743E46" w:rsidRPr="00972610" w:rsidRDefault="004E3927" w:rsidP="00092566">
      <w:pPr>
        <w:autoSpaceDE w:val="0"/>
        <w:autoSpaceDN w:val="0"/>
        <w:adjustRightInd w:val="0"/>
        <w:spacing w:after="0" w:line="240" w:lineRule="auto"/>
        <w:rPr>
          <w:rFonts w:cstheme="minorHAnsi"/>
          <w:b/>
          <w:bCs/>
        </w:rPr>
      </w:pPr>
      <w:sdt>
        <w:sdtPr>
          <w:rPr>
            <w:rFonts w:cstheme="minorHAnsi"/>
            <w:bCs/>
          </w:rPr>
          <w:id w:val="-912162535"/>
          <w14:checkbox>
            <w14:checked w14:val="1"/>
            <w14:checkedState w14:val="2612" w14:font="MS Gothic"/>
            <w14:uncheckedState w14:val="2610" w14:font="MS Gothic"/>
          </w14:checkbox>
        </w:sdtPr>
        <w:sdtEndPr/>
        <w:sdtContent>
          <w:r w:rsidR="00E25F0D" w:rsidRPr="00677A16">
            <w:rPr>
              <w:rFonts w:ascii="MS Gothic" w:eastAsia="MS Gothic" w:hAnsi="MS Gothic" w:cstheme="minorHAnsi"/>
              <w:bCs/>
            </w:rPr>
            <w:t>☒</w:t>
          </w:r>
        </w:sdtContent>
      </w:sdt>
      <w:r w:rsidR="006574D2" w:rsidRPr="00677A16">
        <w:rPr>
          <w:rFonts w:cstheme="minorHAnsi"/>
          <w:bCs/>
        </w:rPr>
        <w:t xml:space="preserve"> </w:t>
      </w:r>
      <w:r w:rsidR="00743E46" w:rsidRPr="00972610">
        <w:rPr>
          <w:rFonts w:cstheme="minorHAnsi"/>
          <w:b/>
          <w:bCs/>
        </w:rPr>
        <w:t xml:space="preserve">Statistical risk model </w:t>
      </w:r>
      <w:r w:rsidR="0011440E" w:rsidRPr="00972610">
        <w:rPr>
          <w:rFonts w:cstheme="minorHAnsi"/>
          <w:b/>
          <w:bCs/>
        </w:rPr>
        <w:t xml:space="preserve">with </w:t>
      </w:r>
      <w:r w:rsidR="0011440E" w:rsidRPr="00972610">
        <w:rPr>
          <w:rFonts w:cstheme="minorHAnsi"/>
          <w:b/>
          <w:bCs/>
          <w:highlight w:val="yellow"/>
        </w:rPr>
        <w:t>49 risk adjustment variables</w:t>
      </w:r>
      <w:r w:rsidR="0011440E" w:rsidRPr="00972610">
        <w:rPr>
          <w:rFonts w:cstheme="minorHAnsi"/>
          <w:b/>
          <w:bCs/>
        </w:rPr>
        <w:t>.</w:t>
      </w:r>
    </w:p>
    <w:p w14:paraId="0CABCFEF" w14:textId="65B32B1D" w:rsidR="00743E46" w:rsidRPr="00972610" w:rsidRDefault="004E3927" w:rsidP="00092566">
      <w:pPr>
        <w:autoSpaceDE w:val="0"/>
        <w:autoSpaceDN w:val="0"/>
        <w:adjustRightInd w:val="0"/>
        <w:spacing w:after="0" w:line="240" w:lineRule="auto"/>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0414E8" w:rsidRPr="00677A16">
        <w:rPr>
          <w:rFonts w:eastAsia="MS Mincho" w:cstheme="minorHAnsi"/>
          <w:b/>
          <w:bCs/>
        </w:rPr>
        <w:t xml:space="preserve"> </w:t>
      </w:r>
      <w:r w:rsidR="00743E46" w:rsidRPr="00972610">
        <w:rPr>
          <w:rFonts w:cstheme="minorHAnsi"/>
          <w:b/>
          <w:bCs/>
        </w:rPr>
        <w:t xml:space="preserve">Stratification by </w:t>
      </w:r>
      <w:sdt>
        <w:sdtPr>
          <w:rPr>
            <w:rStyle w:val="Style4"/>
            <w:color w:val="auto"/>
            <w:u w:val="none"/>
          </w:rPr>
          <w:id w:val="-52006544"/>
          <w:showingPlcHdr/>
          <w:text/>
        </w:sdtPr>
        <w:sdtEndPr>
          <w:rPr>
            <w:rStyle w:val="DefaultParagraphFont"/>
            <w:rFonts w:asciiTheme="minorHAnsi" w:hAnsiTheme="minorHAnsi" w:cstheme="minorHAnsi"/>
            <w:b w:val="0"/>
            <w:bCs/>
          </w:rPr>
        </w:sdtEndPr>
        <w:sdtContent>
          <w:r w:rsidR="00E562C0" w:rsidRPr="00677A16">
            <w:rPr>
              <w:rStyle w:val="PlaceholderText"/>
              <w:color w:val="auto"/>
            </w:rPr>
            <w:t>Click here to enter number of categories</w:t>
          </w:r>
        </w:sdtContent>
      </w:sdt>
      <w:r w:rsidR="00E562C0" w:rsidRPr="00677A16">
        <w:rPr>
          <w:rStyle w:val="Style4"/>
          <w:color w:val="auto"/>
          <w:u w:val="none"/>
        </w:rPr>
        <w:t xml:space="preserve"> </w:t>
      </w:r>
      <w:r w:rsidR="00C33F2E" w:rsidRPr="00972610">
        <w:rPr>
          <w:rFonts w:cstheme="minorHAnsi"/>
          <w:b/>
          <w:bCs/>
        </w:rPr>
        <w:t xml:space="preserve">risk </w:t>
      </w:r>
      <w:r w:rsidR="00743E46" w:rsidRPr="00972610">
        <w:rPr>
          <w:rFonts w:cstheme="minorHAnsi"/>
          <w:b/>
          <w:bCs/>
        </w:rPr>
        <w:t>categories</w:t>
      </w:r>
    </w:p>
    <w:p w14:paraId="0CABCFF0" w14:textId="796C3203" w:rsidR="00743E46" w:rsidRPr="00972610" w:rsidRDefault="004E3927" w:rsidP="00092566">
      <w:pPr>
        <w:autoSpaceDE w:val="0"/>
        <w:autoSpaceDN w:val="0"/>
        <w:adjustRightInd w:val="0"/>
        <w:spacing w:after="0" w:line="240" w:lineRule="auto"/>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6574D2" w:rsidRPr="00677A16">
            <w:rPr>
              <w:rFonts w:ascii="MS Gothic" w:eastAsia="MS Gothic" w:cstheme="minorHAnsi"/>
              <w:bCs/>
            </w:rPr>
            <w:t>☐</w:t>
          </w:r>
        </w:sdtContent>
      </w:sdt>
      <w:r w:rsidR="000414E8" w:rsidRPr="00677A16">
        <w:rPr>
          <w:rFonts w:eastAsia="MS Mincho" w:cstheme="minorHAnsi"/>
          <w:b/>
          <w:bCs/>
        </w:rPr>
        <w:t xml:space="preserve"> </w:t>
      </w:r>
      <w:r w:rsidR="00743E46" w:rsidRPr="00972610">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677A16">
            <w:rPr>
              <w:rStyle w:val="PlaceholderText"/>
              <w:color w:val="auto"/>
            </w:rPr>
            <w:t>Click here to enter description</w:t>
          </w:r>
        </w:sdtContent>
      </w:sdt>
    </w:p>
    <w:p w14:paraId="0CABCFF1" w14:textId="77777777" w:rsidR="00743E46" w:rsidRPr="00983246" w:rsidRDefault="00743E46" w:rsidP="00092566">
      <w:pPr>
        <w:autoSpaceDE w:val="0"/>
        <w:autoSpaceDN w:val="0"/>
        <w:adjustRightInd w:val="0"/>
        <w:spacing w:after="0" w:line="240" w:lineRule="auto"/>
        <w:rPr>
          <w:rFonts w:cs="Calibri"/>
          <w:bCs/>
        </w:rPr>
      </w:pPr>
    </w:p>
    <w:p w14:paraId="0CABCFF2" w14:textId="593B136F" w:rsidR="00092566" w:rsidRPr="00983246" w:rsidRDefault="000B7D57" w:rsidP="00F34FAB">
      <w:pPr>
        <w:autoSpaceDE w:val="0"/>
        <w:autoSpaceDN w:val="0"/>
        <w:adjustRightInd w:val="0"/>
        <w:spacing w:after="0" w:line="240" w:lineRule="auto"/>
        <w:rPr>
          <w:rFonts w:cs="Calibri"/>
          <w:b/>
          <w:bCs/>
        </w:rPr>
      </w:pPr>
      <w:r w:rsidRPr="00983246">
        <w:rPr>
          <w:rFonts w:cs="Calibri"/>
          <w:b/>
          <w:bCs/>
        </w:rPr>
        <w:t>2b</w:t>
      </w:r>
      <w:r w:rsidR="009C7513" w:rsidRPr="00983246">
        <w:rPr>
          <w:rFonts w:cs="Calibri"/>
          <w:b/>
          <w:bCs/>
        </w:rPr>
        <w:t>3</w:t>
      </w:r>
      <w:r w:rsidRPr="00983246">
        <w:rPr>
          <w:rFonts w:cs="Calibri"/>
          <w:b/>
          <w:bCs/>
        </w:rPr>
        <w:t xml:space="preserve">.1.1 </w:t>
      </w:r>
      <w:r w:rsidR="00F34FAB" w:rsidRPr="00983246">
        <w:rPr>
          <w:rFonts w:cs="Calibri"/>
          <w:b/>
          <w:bCs/>
        </w:rPr>
        <w:t xml:space="preserve">If using a statistical risk model, provide detailed risk model specifications, including the risk model method, risk factors, coefficients, equations, codes with descriptors, and definitions. </w:t>
      </w:r>
    </w:p>
    <w:p w14:paraId="1467C5F9" w14:textId="77777777" w:rsidR="00C166EB" w:rsidRPr="002462F0" w:rsidRDefault="009F1DEC" w:rsidP="00C166EB">
      <w:pPr>
        <w:pBdr>
          <w:top w:val="single" w:sz="4" w:space="1" w:color="auto"/>
          <w:left w:val="single" w:sz="4" w:space="1" w:color="auto"/>
          <w:bottom w:val="single" w:sz="4" w:space="1" w:color="auto"/>
          <w:right w:val="single" w:sz="4" w:space="1" w:color="auto"/>
        </w:pBdr>
        <w:rPr>
          <w:rFonts w:cstheme="minorHAnsi"/>
          <w:bCs/>
        </w:rPr>
      </w:pPr>
      <w:r>
        <w:rPr>
          <w:rFonts w:cs="Calibri"/>
          <w:bCs/>
        </w:rPr>
        <w:t xml:space="preserve">The final patient-level risk-adjustment model included </w:t>
      </w:r>
      <w:r w:rsidR="000D2575">
        <w:rPr>
          <w:rFonts w:cs="Calibri"/>
          <w:bCs/>
        </w:rPr>
        <w:t>49</w:t>
      </w:r>
      <w:r>
        <w:rPr>
          <w:rFonts w:cs="Calibri"/>
          <w:bCs/>
        </w:rPr>
        <w:t xml:space="preserve"> risk-adjustment variables, including 47 demographic and clinical variables and </w:t>
      </w:r>
      <w:r w:rsidR="000D2575">
        <w:rPr>
          <w:rFonts w:cs="Calibri"/>
          <w:bCs/>
        </w:rPr>
        <w:t>2</w:t>
      </w:r>
      <w:r>
        <w:rPr>
          <w:rFonts w:cs="Calibri"/>
          <w:bCs/>
        </w:rPr>
        <w:t xml:space="preserve"> social risk factors. </w:t>
      </w:r>
      <w:r w:rsidR="00CD252E">
        <w:rPr>
          <w:rFonts w:cs="Calibri"/>
          <w:bCs/>
        </w:rPr>
        <w:t>We used a n</w:t>
      </w:r>
      <w:r w:rsidR="00CD252E" w:rsidRPr="004B0E29">
        <w:rPr>
          <w:rFonts w:cs="Calibri"/>
          <w:bCs/>
        </w:rPr>
        <w:t>egative binomial</w:t>
      </w:r>
      <w:r w:rsidR="00CD252E">
        <w:rPr>
          <w:rFonts w:cs="Calibri"/>
          <w:bCs/>
        </w:rPr>
        <w:t xml:space="preserve"> regression</w:t>
      </w:r>
      <w:r w:rsidR="00CD252E" w:rsidRPr="004B0E29">
        <w:rPr>
          <w:rFonts w:cs="Calibri"/>
          <w:bCs/>
        </w:rPr>
        <w:t xml:space="preserve"> model with linear variance</w:t>
      </w:r>
      <w:r w:rsidR="00CD252E">
        <w:rPr>
          <w:rFonts w:cs="Calibri"/>
          <w:bCs/>
        </w:rPr>
        <w:t xml:space="preserve"> (NB-1) to risk adjust the measure.</w:t>
      </w:r>
      <w:r w:rsidR="00075FDD">
        <w:rPr>
          <w:rFonts w:cs="Calibri"/>
          <w:bCs/>
        </w:rPr>
        <w:t xml:space="preserve"> </w:t>
      </w:r>
      <w:r w:rsidR="00075FDD" w:rsidRPr="004A54A7">
        <w:rPr>
          <w:rFonts w:cs="Calibri"/>
          <w:bCs/>
        </w:rPr>
        <w:t xml:space="preserve">See </w:t>
      </w:r>
      <w:r w:rsidR="007637D5" w:rsidRPr="004A54A7">
        <w:rPr>
          <w:rFonts w:cs="Calibri"/>
          <w:bCs/>
        </w:rPr>
        <w:t>the data dictionary</w:t>
      </w:r>
      <w:r w:rsidR="00167077">
        <w:rPr>
          <w:rFonts w:cs="Calibri"/>
          <w:bCs/>
        </w:rPr>
        <w:t>, Tables 3-6,</w:t>
      </w:r>
      <w:r w:rsidR="00075FDD" w:rsidRPr="004A54A7">
        <w:rPr>
          <w:rFonts w:cs="Calibri"/>
          <w:bCs/>
        </w:rPr>
        <w:t xml:space="preserve"> in the accompanying Excel workbook for specific codes and def</w:t>
      </w:r>
      <w:r w:rsidR="004A54A7">
        <w:rPr>
          <w:rFonts w:cs="Calibri"/>
          <w:bCs/>
        </w:rPr>
        <w:t xml:space="preserve">initions for each risk variable; </w:t>
      </w:r>
      <w:r w:rsidR="00C166EB" w:rsidRPr="002462F0">
        <w:rPr>
          <w:rFonts w:cstheme="minorHAnsi"/>
          <w:bCs/>
        </w:rPr>
        <w:t xml:space="preserve">the prevalence of each risk variable and the associated </w:t>
      </w:r>
      <w:r w:rsidR="00C166EB">
        <w:rPr>
          <w:rFonts w:cstheme="minorHAnsi"/>
          <w:bCs/>
        </w:rPr>
        <w:t>rate</w:t>
      </w:r>
      <w:r w:rsidR="00C166EB" w:rsidRPr="002462F0">
        <w:rPr>
          <w:rFonts w:cstheme="minorHAnsi"/>
          <w:bCs/>
        </w:rPr>
        <w:t xml:space="preserve"> ratios are shown in the table at the end of this section.</w:t>
      </w:r>
    </w:p>
    <w:p w14:paraId="052E6CB5" w14:textId="53768E7B" w:rsidR="00C166EB" w:rsidRPr="007A3936" w:rsidRDefault="00C166EB" w:rsidP="00C166EB">
      <w:pPr>
        <w:pBdr>
          <w:top w:val="single" w:sz="4" w:space="1" w:color="auto"/>
          <w:left w:val="single" w:sz="4" w:space="1" w:color="auto"/>
          <w:bottom w:val="single" w:sz="4" w:space="1" w:color="auto"/>
          <w:right w:val="single" w:sz="4" w:space="1" w:color="auto"/>
        </w:pBdr>
        <w:rPr>
          <w:rFonts w:cstheme="minorHAnsi"/>
          <w:bCs/>
        </w:rPr>
      </w:pPr>
      <w:r w:rsidRPr="002462F0">
        <w:rPr>
          <w:rFonts w:cstheme="minorHAnsi"/>
          <w:bCs/>
        </w:rPr>
        <w:t>Details of the risk model, including equations, are shown below in this section, as well as in the technical report</w:t>
      </w:r>
      <w:r>
        <w:rPr>
          <w:rFonts w:cstheme="minorHAnsi"/>
          <w:bCs/>
        </w:rPr>
        <w:t xml:space="preserve"> for the MIPS MCC measure (</w:t>
      </w:r>
      <w:r w:rsidRPr="002462F0">
        <w:rPr>
          <w:rFonts w:cstheme="minorHAnsi"/>
          <w:bCs/>
        </w:rPr>
        <w:t>Appendix E1</w:t>
      </w:r>
      <w:r>
        <w:rPr>
          <w:rFonts w:cstheme="minorHAnsi"/>
          <w:bCs/>
        </w:rPr>
        <w:t>)</w:t>
      </w:r>
      <w:r w:rsidRPr="002462F0">
        <w:rPr>
          <w:rFonts w:cstheme="minorHAnsi"/>
          <w:bCs/>
        </w:rPr>
        <w:t xml:space="preserve"> which is attached</w:t>
      </w:r>
      <w:r w:rsidRPr="007A3936">
        <w:rPr>
          <w:rFonts w:cstheme="minorHAnsi"/>
          <w:bCs/>
        </w:rPr>
        <w:t xml:space="preserve"> to this application.  </w:t>
      </w:r>
    </w:p>
    <w:p w14:paraId="5F36460D" w14:textId="7887FFA8" w:rsidR="00075FDD" w:rsidRPr="00075FDD" w:rsidRDefault="006A5B5A" w:rsidP="00C166EB">
      <w:pPr>
        <w:pBdr>
          <w:top w:val="single" w:sz="4" w:space="1" w:color="auto"/>
          <w:left w:val="single" w:sz="4" w:space="1" w:color="auto"/>
          <w:bottom w:val="single" w:sz="4" w:space="1" w:color="auto"/>
          <w:right w:val="single" w:sz="4" w:space="1" w:color="auto"/>
        </w:pBdr>
        <w:rPr>
          <w:rFonts w:cs="Calibri"/>
          <w:b/>
          <w:bCs/>
        </w:rPr>
      </w:pPr>
      <w:r>
        <w:rPr>
          <w:rFonts w:cs="Calibri"/>
          <w:b/>
          <w:bCs/>
        </w:rPr>
        <w:t>Final</w:t>
      </w:r>
      <w:r w:rsidR="00075FDD" w:rsidRPr="00075FDD">
        <w:rPr>
          <w:rFonts w:cs="Calibri"/>
          <w:b/>
          <w:bCs/>
        </w:rPr>
        <w:t xml:space="preserve"> multivariable risk-adjustment model: demographic, cli</w:t>
      </w:r>
      <w:r w:rsidR="005D3714">
        <w:rPr>
          <w:rFonts w:cs="Calibri"/>
          <w:b/>
          <w:bCs/>
        </w:rPr>
        <w:t xml:space="preserve">nical, and social risk factors </w:t>
      </w:r>
    </w:p>
    <w:p w14:paraId="6CFA1F90" w14:textId="1ED458F9" w:rsidR="00CD252E" w:rsidRDefault="00CD252E" w:rsidP="007413CB">
      <w:pPr>
        <w:pBdr>
          <w:top w:val="single" w:sz="4" w:space="1" w:color="auto"/>
          <w:left w:val="single" w:sz="4" w:space="1" w:color="auto"/>
          <w:bottom w:val="single" w:sz="4" w:space="1" w:color="auto"/>
          <w:right w:val="single" w:sz="4" w:space="1" w:color="auto"/>
        </w:pBdr>
        <w:spacing w:after="0"/>
        <w:rPr>
          <w:rFonts w:cs="Calibri"/>
          <w:bCs/>
        </w:rPr>
      </w:pPr>
    </w:p>
    <w:p w14:paraId="5366145C" w14:textId="4FFB5472" w:rsidR="00075FDD" w:rsidRPr="00C77D8D" w:rsidRDefault="00075FDD" w:rsidP="007413CB">
      <w:pPr>
        <w:pBdr>
          <w:top w:val="single" w:sz="4" w:space="1" w:color="auto"/>
          <w:left w:val="single" w:sz="4" w:space="1" w:color="auto"/>
          <w:bottom w:val="single" w:sz="4" w:space="1" w:color="auto"/>
          <w:right w:val="single" w:sz="4" w:space="1" w:color="auto"/>
        </w:pBdr>
        <w:spacing w:after="0"/>
        <w:rPr>
          <w:rFonts w:cs="Calibri"/>
          <w:b/>
          <w:bCs/>
        </w:rPr>
      </w:pPr>
      <w:r w:rsidRPr="00C77D8D">
        <w:rPr>
          <w:rFonts w:cs="Calibri"/>
          <w:b/>
          <w:bCs/>
        </w:rPr>
        <w:t>Demographic</w:t>
      </w:r>
    </w:p>
    <w:p w14:paraId="77E36FE1" w14:textId="35D3C0CC" w:rsidR="00075FDD" w:rsidRDefault="00075FDD" w:rsidP="007413CB">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006A5B5A">
        <w:rPr>
          <w:rFonts w:cs="Calibri"/>
          <w:bCs/>
        </w:rPr>
        <w:t>A</w:t>
      </w:r>
      <w:r>
        <w:rPr>
          <w:rFonts w:cs="Calibri"/>
          <w:bCs/>
        </w:rPr>
        <w:t>ge</w:t>
      </w:r>
    </w:p>
    <w:p w14:paraId="73A9D8D3" w14:textId="77777777" w:rsid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p>
    <w:p w14:paraId="510B7505" w14:textId="04820F43" w:rsidR="00075FDD" w:rsidRPr="00C77D8D" w:rsidRDefault="00075FDD" w:rsidP="00075FDD">
      <w:pPr>
        <w:pBdr>
          <w:top w:val="single" w:sz="4" w:space="1" w:color="auto"/>
          <w:left w:val="single" w:sz="4" w:space="1" w:color="auto"/>
          <w:bottom w:val="single" w:sz="4" w:space="1" w:color="auto"/>
          <w:right w:val="single" w:sz="4" w:space="1" w:color="auto"/>
        </w:pBdr>
        <w:spacing w:after="0"/>
        <w:rPr>
          <w:rFonts w:cs="Calibri"/>
          <w:b/>
          <w:bCs/>
        </w:rPr>
      </w:pPr>
      <w:r w:rsidRPr="00C77D8D">
        <w:rPr>
          <w:rFonts w:cs="Calibri"/>
          <w:b/>
          <w:bCs/>
        </w:rPr>
        <w:t>Nine chronic disease groups defined using International Classification of Diseases, Ninth Revision, Clinical Modification (ICD-9-CM) codes</w:t>
      </w:r>
    </w:p>
    <w:p w14:paraId="3F952A17" w14:textId="0C901D7D"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Acute myocardial infarction</w:t>
      </w:r>
    </w:p>
    <w:p w14:paraId="3E95B842" w14:textId="707BA35E"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Alzheimer’s disease a</w:t>
      </w:r>
      <w:r>
        <w:rPr>
          <w:rFonts w:cs="Calibri"/>
          <w:bCs/>
        </w:rPr>
        <w:t xml:space="preserve">nd related disorders or senile </w:t>
      </w:r>
      <w:r w:rsidRPr="00075FDD">
        <w:rPr>
          <w:rFonts w:cs="Calibri"/>
          <w:bCs/>
        </w:rPr>
        <w:t>dementia</w:t>
      </w:r>
    </w:p>
    <w:p w14:paraId="10CA8AA8" w14:textId="5237332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Atrial fibrillation</w:t>
      </w:r>
    </w:p>
    <w:p w14:paraId="4535F7DE" w14:textId="2AB134B5"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lastRenderedPageBreak/>
        <w:t>-</w:t>
      </w:r>
      <w:r w:rsidRPr="00075FDD">
        <w:rPr>
          <w:rFonts w:cs="Calibri"/>
          <w:bCs/>
        </w:rPr>
        <w:t>Chronic kidney disease</w:t>
      </w:r>
    </w:p>
    <w:p w14:paraId="4272D943" w14:textId="3B3F884E"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Chronic obstructive pulmonary disease or asthma</w:t>
      </w:r>
    </w:p>
    <w:p w14:paraId="4B05C278" w14:textId="0F5CE75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Depression</w:t>
      </w:r>
    </w:p>
    <w:p w14:paraId="37025B59" w14:textId="7A22ACC5"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Diabetes</w:t>
      </w:r>
    </w:p>
    <w:p w14:paraId="7077326E" w14:textId="1F4AF11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Heart failure</w:t>
      </w:r>
    </w:p>
    <w:p w14:paraId="27D6A2A5" w14:textId="190EB115"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Stroke or transient ischemic attack</w:t>
      </w:r>
    </w:p>
    <w:p w14:paraId="5DEB4F3B" w14:textId="77777777" w:rsid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p>
    <w:p w14:paraId="227294FE" w14:textId="69CBD923" w:rsidR="00075FDD" w:rsidRPr="00C77D8D" w:rsidRDefault="00075FDD" w:rsidP="00075FDD">
      <w:pPr>
        <w:pBdr>
          <w:top w:val="single" w:sz="4" w:space="1" w:color="auto"/>
          <w:left w:val="single" w:sz="4" w:space="1" w:color="auto"/>
          <w:bottom w:val="single" w:sz="4" w:space="1" w:color="auto"/>
          <w:right w:val="single" w:sz="4" w:space="1" w:color="auto"/>
        </w:pBdr>
        <w:spacing w:after="0"/>
        <w:rPr>
          <w:rFonts w:cs="Calibri"/>
          <w:b/>
          <w:bCs/>
        </w:rPr>
      </w:pPr>
      <w:r w:rsidRPr="00C77D8D">
        <w:rPr>
          <w:rFonts w:cs="Calibri"/>
          <w:b/>
          <w:bCs/>
        </w:rPr>
        <w:t>Clinical comorbidities</w:t>
      </w:r>
      <w:r>
        <w:rPr>
          <w:rFonts w:cs="Calibri"/>
          <w:b/>
          <w:bCs/>
        </w:rPr>
        <w:t xml:space="preserve"> d</w:t>
      </w:r>
      <w:r w:rsidRPr="00C77D8D">
        <w:rPr>
          <w:rFonts w:cs="Calibri"/>
          <w:b/>
          <w:bCs/>
        </w:rPr>
        <w:t>efined using Condition Categories (CCs) or ICD-9-CM codes</w:t>
      </w:r>
    </w:p>
    <w:p w14:paraId="20CA910B" w14:textId="277B300E"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Dialysis status</w:t>
      </w:r>
    </w:p>
    <w:p w14:paraId="162B1263" w14:textId="3BEF4AE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Respiratory failure</w:t>
      </w:r>
    </w:p>
    <w:p w14:paraId="0D6D2D12" w14:textId="66183948"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Liver disease</w:t>
      </w:r>
    </w:p>
    <w:p w14:paraId="3066BB7F" w14:textId="4A5A6B0D"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Pneumonia</w:t>
      </w:r>
    </w:p>
    <w:p w14:paraId="7033B433" w14:textId="09C9C125"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Septicemia/shock</w:t>
      </w:r>
    </w:p>
    <w:p w14:paraId="0A950A28" w14:textId="1C035FBE"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Marked disability/frailty</w:t>
      </w:r>
    </w:p>
    <w:p w14:paraId="060F125E" w14:textId="7D412012" w:rsidR="00075FDD" w:rsidRPr="00075FDD" w:rsidRDefault="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Hematologic/al diseases</w:t>
      </w:r>
    </w:p>
    <w:p w14:paraId="0B4046E4" w14:textId="3031A0C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Advanced cancer</w:t>
      </w:r>
    </w:p>
    <w:p w14:paraId="3BEC48C8" w14:textId="21A7749E"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Infectious and immune disorders</w:t>
      </w:r>
    </w:p>
    <w:p w14:paraId="72B10415" w14:textId="723CCD93"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Severe cognitive impairment</w:t>
      </w:r>
    </w:p>
    <w:p w14:paraId="0BF69B42" w14:textId="55106D45"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Major organ transplant status</w:t>
      </w:r>
    </w:p>
    <w:p w14:paraId="683031C6" w14:textId="0D42C1C5" w:rsidR="00075FDD" w:rsidRPr="00075FDD" w:rsidRDefault="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Pulmonary heart disease</w:t>
      </w:r>
    </w:p>
    <w:p w14:paraId="3E353502" w14:textId="1B719612" w:rsidR="00075FDD" w:rsidRPr="00075FDD" w:rsidRDefault="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Cardiomyopathy</w:t>
      </w:r>
    </w:p>
    <w:p w14:paraId="1A3F7129" w14:textId="730FA9A7"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Gastrointestinal disease</w:t>
      </w:r>
    </w:p>
    <w:p w14:paraId="0EE4E6CC" w14:textId="15DA4ED9"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Iron deficiency anemia</w:t>
      </w:r>
    </w:p>
    <w:p w14:paraId="30FEA363" w14:textId="292BF171" w:rsidR="00075FDD" w:rsidRPr="00075FDD" w:rsidRDefault="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Ischemic heart disease except AMI</w:t>
      </w:r>
    </w:p>
    <w:p w14:paraId="33CEE24F" w14:textId="1A135C4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Other lung disorders</w:t>
      </w:r>
    </w:p>
    <w:p w14:paraId="22CCC645" w14:textId="28492B6A"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Vascular or circulatory disease</w:t>
      </w:r>
    </w:p>
    <w:p w14:paraId="24DF092E" w14:textId="443B6F5B"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Other significant endocrine disorders</w:t>
      </w:r>
    </w:p>
    <w:p w14:paraId="1B6FE176" w14:textId="29D3FA7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Other disabilities and paralysis</w:t>
      </w:r>
    </w:p>
    <w:p w14:paraId="2E2924BD" w14:textId="4BBCECC4"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Substance abuse</w:t>
      </w:r>
    </w:p>
    <w:p w14:paraId="7B733B53" w14:textId="6ECD0EC7"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Other neurologic disorders</w:t>
      </w:r>
    </w:p>
    <w:p w14:paraId="407626FE" w14:textId="21386C92" w:rsidR="00075FDD" w:rsidRPr="00075FDD" w:rsidRDefault="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Specified arrhythmias and other heart rhythm disorders</w:t>
      </w:r>
    </w:p>
    <w:p w14:paraId="0FC2BFFC" w14:textId="7D730975"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Hypertension</w:t>
      </w:r>
    </w:p>
    <w:p w14:paraId="3D4BD4A1" w14:textId="10E35CFD"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Hip or vertebral fracture</w:t>
      </w:r>
    </w:p>
    <w:p w14:paraId="2128F32A" w14:textId="540CFA18"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Lower-risk cardiovascular disease</w:t>
      </w:r>
    </w:p>
    <w:p w14:paraId="3B056175" w14:textId="555C6148"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Cerebrovascular disease</w:t>
      </w:r>
    </w:p>
    <w:p w14:paraId="58789F1E" w14:textId="20180AA0"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Morbid obesity</w:t>
      </w:r>
    </w:p>
    <w:p w14:paraId="38A827B6" w14:textId="74F61888" w:rsidR="00075FDD" w:rsidRPr="00075FDD" w:rsidRDefault="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Urinary disorders</w:t>
      </w:r>
    </w:p>
    <w:p w14:paraId="26A950C2" w14:textId="3BCEBF15" w:rsidR="00075FDD" w:rsidRDefault="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Psychiatric disorders other than depression</w:t>
      </w:r>
    </w:p>
    <w:p w14:paraId="2CA53E8A" w14:textId="77777777"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p>
    <w:p w14:paraId="37D260DB" w14:textId="17981480" w:rsidR="00075FDD" w:rsidRPr="00C77D8D" w:rsidRDefault="00075FDD" w:rsidP="00075FDD">
      <w:pPr>
        <w:pBdr>
          <w:top w:val="single" w:sz="4" w:space="1" w:color="auto"/>
          <w:left w:val="single" w:sz="4" w:space="1" w:color="auto"/>
          <w:bottom w:val="single" w:sz="4" w:space="1" w:color="auto"/>
          <w:right w:val="single" w:sz="4" w:space="1" w:color="auto"/>
        </w:pBdr>
        <w:spacing w:after="0"/>
        <w:rPr>
          <w:rFonts w:cs="Calibri"/>
          <w:b/>
          <w:bCs/>
        </w:rPr>
      </w:pPr>
      <w:r w:rsidRPr="00C77D8D">
        <w:rPr>
          <w:rFonts w:cs="Calibri"/>
          <w:b/>
          <w:bCs/>
        </w:rPr>
        <w:t>Measures of frailty/disability defined</w:t>
      </w:r>
      <w:r w:rsidR="00BE5431">
        <w:rPr>
          <w:rFonts w:cs="Calibri"/>
          <w:b/>
          <w:bCs/>
        </w:rPr>
        <w:t xml:space="preserve"> based on 1) use of durable medical equipment (DME)</w:t>
      </w:r>
      <w:r w:rsidRPr="00C77D8D">
        <w:rPr>
          <w:rFonts w:cs="Calibri"/>
          <w:b/>
          <w:bCs/>
        </w:rPr>
        <w:t xml:space="preserve"> using Policy Group Maps maintained by Palmetto GBA under contract to CMS</w:t>
      </w:r>
      <w:r w:rsidR="00BE5431">
        <w:rPr>
          <w:rFonts w:cs="Calibri"/>
          <w:b/>
          <w:bCs/>
        </w:rPr>
        <w:t xml:space="preserve"> and 2)</w:t>
      </w:r>
      <w:r w:rsidRPr="00C77D8D">
        <w:rPr>
          <w:rFonts w:cs="Calibri"/>
          <w:b/>
          <w:bCs/>
        </w:rPr>
        <w:t xml:space="preserve"> original reason for Medicare entitlement</w:t>
      </w:r>
    </w:p>
    <w:p w14:paraId="1CDA8961" w14:textId="21A9C5E4"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lastRenderedPageBreak/>
        <w:t>-</w:t>
      </w:r>
      <w:r w:rsidRPr="00075FDD">
        <w:rPr>
          <w:rFonts w:cs="Calibri"/>
          <w:bCs/>
        </w:rPr>
        <w:t>Walking aids</w:t>
      </w:r>
    </w:p>
    <w:p w14:paraId="06D4FD39" w14:textId="09196DCF"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Wheelchairs</w:t>
      </w:r>
    </w:p>
    <w:p w14:paraId="340322EA" w14:textId="2F965798"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Hospital bed</w:t>
      </w:r>
    </w:p>
    <w:p w14:paraId="775F2F1D" w14:textId="35AB414E"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Lifts</w:t>
      </w:r>
    </w:p>
    <w:p w14:paraId="199F7003" w14:textId="05F51412"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Oxygen</w:t>
      </w:r>
    </w:p>
    <w:p w14:paraId="473AD9D9" w14:textId="30D925EC"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 xml:space="preserve">-Original reason for entitlement: disability </w:t>
      </w:r>
      <w:r w:rsidRPr="00075FDD">
        <w:rPr>
          <w:rFonts w:cs="Calibri"/>
          <w:bCs/>
        </w:rPr>
        <w:t>insurance beneficiary</w:t>
      </w:r>
    </w:p>
    <w:p w14:paraId="30BDE682" w14:textId="51EA933A" w:rsid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 xml:space="preserve">-Original reason for entitlement: end stage </w:t>
      </w:r>
      <w:r w:rsidRPr="00075FDD">
        <w:rPr>
          <w:rFonts w:cs="Calibri"/>
          <w:bCs/>
        </w:rPr>
        <w:t>renal disease</w:t>
      </w:r>
    </w:p>
    <w:p w14:paraId="2F1EECF7" w14:textId="77777777"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p>
    <w:p w14:paraId="0040D7AE" w14:textId="77777777" w:rsidR="00075FDD" w:rsidRPr="00C77D8D" w:rsidRDefault="00075FDD" w:rsidP="00075FDD">
      <w:pPr>
        <w:pBdr>
          <w:top w:val="single" w:sz="4" w:space="1" w:color="auto"/>
          <w:left w:val="single" w:sz="4" w:space="1" w:color="auto"/>
          <w:bottom w:val="single" w:sz="4" w:space="1" w:color="auto"/>
          <w:right w:val="single" w:sz="4" w:space="1" w:color="auto"/>
        </w:pBdr>
        <w:spacing w:after="0"/>
        <w:rPr>
          <w:rFonts w:cs="Calibri"/>
          <w:b/>
          <w:bCs/>
        </w:rPr>
      </w:pPr>
      <w:r w:rsidRPr="00C77D8D">
        <w:rPr>
          <w:rFonts w:cs="Calibri"/>
          <w:b/>
          <w:bCs/>
        </w:rPr>
        <w:t>Social risk factors</w:t>
      </w:r>
    </w:p>
    <w:p w14:paraId="529EE881" w14:textId="60150691" w:rsidR="00075FDD" w:rsidRPr="00075FDD" w:rsidRDefault="00075FDD" w:rsidP="00075FDD">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Low AHRQ SES index</w:t>
      </w:r>
    </w:p>
    <w:p w14:paraId="5B331CED" w14:textId="12258AA5" w:rsidR="00300AF7" w:rsidRDefault="00075FDD" w:rsidP="000D6F33">
      <w:pPr>
        <w:pBdr>
          <w:top w:val="single" w:sz="4" w:space="1" w:color="auto"/>
          <w:left w:val="single" w:sz="4" w:space="1" w:color="auto"/>
          <w:bottom w:val="single" w:sz="4" w:space="1" w:color="auto"/>
          <w:right w:val="single" w:sz="4" w:space="1" w:color="auto"/>
        </w:pBdr>
        <w:spacing w:after="0"/>
        <w:rPr>
          <w:rFonts w:cs="Calibri"/>
          <w:bCs/>
        </w:rPr>
      </w:pPr>
      <w:r>
        <w:rPr>
          <w:rFonts w:cs="Calibri"/>
          <w:bCs/>
        </w:rPr>
        <w:t>-</w:t>
      </w:r>
      <w:r w:rsidRPr="00075FDD">
        <w:rPr>
          <w:rFonts w:cs="Calibri"/>
          <w:bCs/>
        </w:rPr>
        <w:t xml:space="preserve">Low </w:t>
      </w:r>
      <w:r w:rsidR="00CD0B3C">
        <w:rPr>
          <w:rFonts w:cs="Calibri"/>
          <w:bCs/>
        </w:rPr>
        <w:t>physician-specialist density</w:t>
      </w:r>
    </w:p>
    <w:p w14:paraId="4544951D" w14:textId="53AA560C" w:rsidR="006E26A1" w:rsidRDefault="006E26A1" w:rsidP="000D6F33">
      <w:pPr>
        <w:pBdr>
          <w:top w:val="single" w:sz="4" w:space="1" w:color="auto"/>
          <w:left w:val="single" w:sz="4" w:space="1" w:color="auto"/>
          <w:bottom w:val="single" w:sz="4" w:space="1" w:color="auto"/>
          <w:right w:val="single" w:sz="4" w:space="1" w:color="auto"/>
        </w:pBdr>
        <w:spacing w:after="0"/>
        <w:rPr>
          <w:rFonts w:cs="Calibri"/>
          <w:bCs/>
        </w:rPr>
      </w:pPr>
    </w:p>
    <w:p w14:paraId="7DE85F40" w14:textId="77777777" w:rsidR="006E26A1" w:rsidRPr="006E26A1" w:rsidRDefault="006E26A1" w:rsidP="006E26A1">
      <w:pPr>
        <w:pBdr>
          <w:top w:val="single" w:sz="4" w:space="1" w:color="auto"/>
          <w:left w:val="single" w:sz="4" w:space="1" w:color="auto"/>
          <w:bottom w:val="single" w:sz="4" w:space="1" w:color="auto"/>
          <w:right w:val="single" w:sz="4" w:space="1" w:color="auto"/>
        </w:pBdr>
        <w:spacing w:after="0"/>
        <w:rPr>
          <w:rFonts w:cs="Calibri"/>
          <w:b/>
          <w:bCs/>
          <w:iCs/>
        </w:rPr>
      </w:pPr>
      <w:r w:rsidRPr="006E26A1">
        <w:rPr>
          <w:rFonts w:cs="Calibri"/>
          <w:b/>
          <w:bCs/>
          <w:iCs/>
        </w:rPr>
        <w:t xml:space="preserve">Detailed Description of Hierarchical Model </w:t>
      </w:r>
    </w:p>
    <w:p w14:paraId="569B2730" w14:textId="6BB64850" w:rsidR="006E26A1" w:rsidRPr="006E26A1" w:rsidRDefault="006E26A1" w:rsidP="006E26A1">
      <w:pPr>
        <w:pBdr>
          <w:top w:val="single" w:sz="4" w:space="1" w:color="auto"/>
          <w:left w:val="single" w:sz="4" w:space="1" w:color="auto"/>
          <w:bottom w:val="single" w:sz="4" w:space="1" w:color="auto"/>
          <w:right w:val="single" w:sz="4" w:space="1" w:color="auto"/>
        </w:pBdr>
        <w:spacing w:after="0"/>
        <w:rPr>
          <w:rFonts w:cs="Calibri"/>
          <w:bCs/>
        </w:rPr>
      </w:pPr>
      <w:r w:rsidRPr="006E26A1">
        <w:rPr>
          <w:rFonts w:cs="Calibri"/>
          <w:bCs/>
        </w:rPr>
        <w:t xml:space="preserve">The ACO MCC admission measure HGLM assumes the outcome has a known exponential family distribution and relates linearly to the covariates via a known link function, </w:t>
      </w:r>
      <w:r w:rsidRPr="006E26A1">
        <w:rPr>
          <w:rFonts w:cs="Calibri"/>
          <w:bCs/>
          <w:i/>
        </w:rPr>
        <w:t>h</w:t>
      </w:r>
      <w:r w:rsidRPr="006E26A1">
        <w:rPr>
          <w:rFonts w:cs="Calibri"/>
          <w:bCs/>
        </w:rPr>
        <w:t xml:space="preserve">. For the model, we assumed a negative binomial distribution with linear variance (NB-1) and a log link function (Note the NB-1 model was chosen to account for overdispersion in the data). Further, we accounted for the clustering within ACOs by estimating an ACO-specific effect, </w:t>
      </w:r>
      <w:r w:rsidRPr="006E26A1">
        <w:rPr>
          <w:rFonts w:cs="Calibri"/>
          <w:bCs/>
          <w:i/>
          <w:iCs/>
        </w:rPr>
        <w:object w:dxaOrig="260" w:dyaOrig="360" w14:anchorId="5A28E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lpha sub i" style="width:14pt;height:21.5pt" o:ole="">
            <v:imagedata r:id="rId14" o:title=""/>
          </v:shape>
          <o:OLEObject Type="Embed" ProgID="Equation.DSMT4" ShapeID="_x0000_i1025" DrawAspect="Content" ObjectID="_1667741224" r:id="rId15"/>
        </w:object>
      </w:r>
      <w:r w:rsidRPr="006E26A1">
        <w:rPr>
          <w:rFonts w:cs="Calibri"/>
          <w:bCs/>
        </w:rPr>
        <w:t xml:space="preserve">, which we assume follows a normal distribution with mean </w:t>
      </w:r>
      <w:r w:rsidRPr="006E26A1">
        <w:rPr>
          <w:rFonts w:cs="Calibri"/>
          <w:bCs/>
          <w:i/>
          <w:iCs/>
        </w:rPr>
        <w:object w:dxaOrig="240" w:dyaOrig="260" w14:anchorId="6DF8D3F5">
          <v:shape id="_x0000_i1026" type="#_x0000_t75" alt="mu" style="width:14.5pt;height:14pt" o:ole="">
            <v:imagedata r:id="rId16" o:title=""/>
          </v:shape>
          <o:OLEObject Type="Embed" ProgID="Equation.DSMT4" ShapeID="_x0000_i1026" DrawAspect="Content" ObjectID="_1667741225" r:id="rId17"/>
        </w:object>
      </w:r>
      <w:r w:rsidRPr="006E26A1">
        <w:rPr>
          <w:rFonts w:cs="Calibri"/>
          <w:bCs/>
        </w:rPr>
        <w:t xml:space="preserve"> and variance </w:t>
      </w:r>
      <w:r w:rsidR="006517A2" w:rsidRPr="0026733C">
        <w:rPr>
          <w:rFonts w:ascii="Symbol" w:eastAsia="Symbol" w:hAnsi="Symbol" w:cs="Symbol"/>
          <w:i/>
          <w:sz w:val="25"/>
          <w:szCs w:val="25"/>
        </w:rPr>
        <w:t></w:t>
      </w:r>
      <w:r w:rsidR="006517A2" w:rsidRPr="0026733C">
        <w:rPr>
          <w:rFonts w:ascii="Symbol" w:eastAsia="Symbol" w:hAnsi="Symbol" w:cs="Symbol"/>
          <w:i/>
          <w:sz w:val="25"/>
          <w:szCs w:val="25"/>
        </w:rPr>
        <w:t></w:t>
      </w:r>
      <w:r w:rsidR="006517A2" w:rsidRPr="0026733C">
        <w:rPr>
          <w:rFonts w:eastAsia="Calibri"/>
          <w:position w:val="11"/>
          <w:sz w:val="14"/>
          <w:szCs w:val="14"/>
        </w:rPr>
        <w:t>2</w:t>
      </w:r>
      <w:r w:rsidRPr="006E26A1">
        <w:rPr>
          <w:rFonts w:cs="Calibri"/>
          <w:bCs/>
        </w:rPr>
        <w:t>, the between-ACO variance component. The following equations define the HGLM:</w:t>
      </w:r>
    </w:p>
    <w:p w14:paraId="48B3E34D" w14:textId="45DDCE15" w:rsidR="006E26A1" w:rsidRDefault="006E26A1" w:rsidP="000D6F33">
      <w:pPr>
        <w:pBdr>
          <w:top w:val="single" w:sz="4" w:space="1" w:color="auto"/>
          <w:left w:val="single" w:sz="4" w:space="1" w:color="auto"/>
          <w:bottom w:val="single" w:sz="4" w:space="1" w:color="auto"/>
          <w:right w:val="single" w:sz="4" w:space="1" w:color="auto"/>
        </w:pBdr>
        <w:spacing w:after="0"/>
        <w:rPr>
          <w:rFonts w:cs="Calibri"/>
          <w:bCs/>
        </w:rPr>
      </w:pPr>
    </w:p>
    <w:p w14:paraId="6937E7C0" w14:textId="25DB52FC" w:rsidR="006E26A1" w:rsidRPr="006E26A1" w:rsidRDefault="006E26A1" w:rsidP="000D6F33">
      <w:pPr>
        <w:pBdr>
          <w:top w:val="single" w:sz="4" w:space="1" w:color="auto"/>
          <w:left w:val="single" w:sz="4" w:space="1" w:color="auto"/>
          <w:bottom w:val="single" w:sz="4" w:space="1" w:color="auto"/>
          <w:right w:val="single" w:sz="4" w:space="1" w:color="auto"/>
        </w:pBdr>
        <w:spacing w:after="0"/>
        <w:rPr>
          <w:rFonts w:cs="Calibri"/>
        </w:rPr>
      </w:pPr>
      <m:oMathPara>
        <m:oMath>
          <m:r>
            <w:rPr>
              <w:rFonts w:ascii="Cambria Math" w:eastAsia="MS Mincho" w:hAnsi="Cambria Math" w:cs="Calibri"/>
            </w:rPr>
            <m:t>h</m:t>
          </m:r>
          <m:d>
            <m:dPr>
              <m:ctrlPr>
                <w:rPr>
                  <w:rFonts w:ascii="Cambria Math" w:eastAsia="MS Mincho" w:hAnsi="Cambria Math" w:cs="Calibri"/>
                  <w:i/>
                </w:rPr>
              </m:ctrlPr>
            </m:dPr>
            <m:e>
              <m:sSub>
                <m:sSubPr>
                  <m:ctrlPr>
                    <w:rPr>
                      <w:rFonts w:ascii="Cambria Math" w:eastAsia="Calibri" w:hAnsi="Cambria Math" w:cs="Calibri"/>
                      <w:i/>
                    </w:rPr>
                  </m:ctrlPr>
                </m:sSubPr>
                <m:e>
                  <m:r>
                    <w:rPr>
                      <w:rFonts w:ascii="Cambria Math" w:eastAsia="Calibri" w:hAnsi="Cambria Math" w:cs="Calibri"/>
                    </w:rPr>
                    <m:t>E(Y</m:t>
                  </m:r>
                </m:e>
                <m:sub>
                  <m:r>
                    <w:rPr>
                      <w:rFonts w:ascii="Cambria Math" w:eastAsia="Calibri" w:hAnsi="Cambria Math" w:cs="Calibri"/>
                    </w:rPr>
                    <m:t>ij</m:t>
                  </m:r>
                </m:sub>
              </m:sSub>
            </m:e>
            <m:e>
              <m:sSub>
                <m:sSubPr>
                  <m:ctrlPr>
                    <w:rPr>
                      <w:rFonts w:ascii="Cambria Math" w:eastAsia="Calibri" w:hAnsi="Cambria Math" w:cs="Calibri"/>
                      <w:i/>
                    </w:rPr>
                  </m:ctrlPr>
                </m:sSubPr>
                <m:e>
                  <m:r>
                    <m:rPr>
                      <m:sty m:val="bi"/>
                    </m:rPr>
                    <w:rPr>
                      <w:rFonts w:ascii="Cambria Math" w:eastAsia="Calibri" w:hAnsi="Cambria Math" w:cs="Calibri"/>
                    </w:rPr>
                    <m:t>Z</m:t>
                  </m:r>
                </m:e>
                <m:sub>
                  <m:r>
                    <w:rPr>
                      <w:rFonts w:ascii="Cambria Math" w:eastAsia="Calibri" w:hAnsi="Cambria Math" w:cs="Calibri"/>
                    </w:rPr>
                    <m:t>ij</m:t>
                  </m:r>
                </m:sub>
              </m:sSub>
              <m:r>
                <w:rPr>
                  <w:rFonts w:ascii="Cambria Math" w:eastAsia="Calibri" w:hAnsi="Cambria Math" w:cs="Calibri"/>
                </w:rPr>
                <m:t>,</m:t>
              </m:r>
              <m:sSub>
                <m:sSubPr>
                  <m:ctrlPr>
                    <w:rPr>
                      <w:rFonts w:ascii="Cambria Math" w:eastAsia="Calibri" w:hAnsi="Cambria Math" w:cs="Calibri"/>
                      <w:i/>
                    </w:rPr>
                  </m:ctrlPr>
                </m:sSubPr>
                <m:e>
                  <m:r>
                    <w:rPr>
                      <w:rFonts w:ascii="Cambria Math" w:eastAsia="Calibri" w:hAnsi="Cambria Math" w:cs="Calibri"/>
                    </w:rPr>
                    <m:t>ω</m:t>
                  </m:r>
                </m:e>
                <m:sub>
                  <m:r>
                    <w:rPr>
                      <w:rFonts w:ascii="Cambria Math" w:eastAsia="Calibri" w:hAnsi="Cambria Math" w:cs="Calibri"/>
                    </w:rPr>
                    <m:t>i</m:t>
                  </m:r>
                </m:sub>
              </m:sSub>
              <m:r>
                <w:rPr>
                  <w:rFonts w:ascii="Cambria Math" w:eastAsia="Calibri" w:hAnsi="Cambria Math" w:cs="Calibri"/>
                </w:rPr>
                <m:t>)</m:t>
              </m:r>
            </m:e>
          </m:d>
          <m:r>
            <w:rPr>
              <w:rFonts w:ascii="Cambria Math" w:eastAsia="Calibri" w:hAnsi="Cambria Math" w:cs="Calibri"/>
            </w:rPr>
            <m:t>=</m:t>
          </m:r>
          <m:func>
            <m:funcPr>
              <m:ctrlPr>
                <w:rPr>
                  <w:rFonts w:ascii="Cambria Math" w:eastAsia="MS Mincho" w:hAnsi="Cambria Math" w:cs="Calibri"/>
                </w:rPr>
              </m:ctrlPr>
            </m:funcPr>
            <m:fName>
              <m:r>
                <m:rPr>
                  <m:sty m:val="p"/>
                </m:rPr>
                <w:rPr>
                  <w:rFonts w:ascii="Cambria Math" w:eastAsia="MS Mincho" w:hAnsi="Cambria Math" w:cs="Calibri"/>
                </w:rPr>
                <m:t>log</m:t>
              </m:r>
            </m:fName>
            <m:e>
              <m:d>
                <m:dPr>
                  <m:ctrlPr>
                    <w:rPr>
                      <w:rFonts w:ascii="Cambria Math" w:eastAsia="MS Mincho" w:hAnsi="Cambria Math" w:cs="Calibri"/>
                      <w:i/>
                    </w:rPr>
                  </m:ctrlPr>
                </m:dPr>
                <m:e>
                  <m:r>
                    <w:rPr>
                      <w:rFonts w:ascii="Cambria Math" w:eastAsia="MS Mincho" w:hAnsi="Cambria Math" w:cs="Calibri"/>
                    </w:rPr>
                    <m:t>E(</m:t>
                  </m:r>
                  <m:sSub>
                    <m:sSubPr>
                      <m:ctrlPr>
                        <w:rPr>
                          <w:rFonts w:ascii="Cambria Math" w:eastAsia="Calibri" w:hAnsi="Cambria Math" w:cs="Calibri"/>
                          <w:i/>
                        </w:rPr>
                      </m:ctrlPr>
                    </m:sSubPr>
                    <m:e>
                      <m:r>
                        <w:rPr>
                          <w:rFonts w:ascii="Cambria Math" w:eastAsia="Calibri" w:hAnsi="Cambria Math" w:cs="Calibri"/>
                        </w:rPr>
                        <m:t>Y</m:t>
                      </m:r>
                    </m:e>
                    <m:sub>
                      <m:r>
                        <w:rPr>
                          <w:rFonts w:ascii="Cambria Math" w:eastAsia="Calibri" w:hAnsi="Cambria Math" w:cs="Calibri"/>
                        </w:rPr>
                        <m:t>ij</m:t>
                      </m:r>
                    </m:sub>
                  </m:sSub>
                </m:e>
                <m:e>
                  <m:sSub>
                    <m:sSubPr>
                      <m:ctrlPr>
                        <w:rPr>
                          <w:rFonts w:ascii="Cambria Math" w:eastAsia="Calibri" w:hAnsi="Cambria Math" w:cs="Calibri"/>
                          <w:i/>
                        </w:rPr>
                      </m:ctrlPr>
                    </m:sSubPr>
                    <m:e>
                      <m:r>
                        <m:rPr>
                          <m:sty m:val="bi"/>
                        </m:rPr>
                        <w:rPr>
                          <w:rFonts w:ascii="Cambria Math" w:eastAsia="Calibri" w:hAnsi="Cambria Math" w:cs="Calibri"/>
                        </w:rPr>
                        <m:t>Z</m:t>
                      </m:r>
                    </m:e>
                    <m:sub>
                      <m:r>
                        <w:rPr>
                          <w:rFonts w:ascii="Cambria Math" w:eastAsia="Calibri" w:hAnsi="Cambria Math" w:cs="Calibri"/>
                        </w:rPr>
                        <m:t>ij</m:t>
                      </m:r>
                    </m:sub>
                  </m:sSub>
                  <m:r>
                    <w:rPr>
                      <w:rFonts w:ascii="Cambria Math" w:eastAsia="Calibri" w:hAnsi="Cambria Math" w:cs="Calibri"/>
                    </w:rPr>
                    <m:t>,</m:t>
                  </m:r>
                  <m:sSub>
                    <m:sSubPr>
                      <m:ctrlPr>
                        <w:rPr>
                          <w:rFonts w:ascii="Cambria Math" w:eastAsia="Calibri" w:hAnsi="Cambria Math" w:cs="Calibri"/>
                          <w:i/>
                        </w:rPr>
                      </m:ctrlPr>
                    </m:sSubPr>
                    <m:e>
                      <m:r>
                        <w:rPr>
                          <w:rFonts w:ascii="Cambria Math" w:eastAsia="Calibri" w:hAnsi="Cambria Math" w:cs="Calibri"/>
                        </w:rPr>
                        <m:t>ω</m:t>
                      </m:r>
                    </m:e>
                    <m:sub>
                      <m:r>
                        <w:rPr>
                          <w:rFonts w:ascii="Cambria Math" w:eastAsia="Calibri" w:hAnsi="Cambria Math" w:cs="Calibri"/>
                        </w:rPr>
                        <m:t>i</m:t>
                      </m:r>
                    </m:sub>
                  </m:sSub>
                  <m:r>
                    <w:rPr>
                      <w:rFonts w:ascii="Cambria Math" w:eastAsia="Calibri" w:hAnsi="Cambria Math" w:cs="Calibri"/>
                    </w:rPr>
                    <m:t>)</m:t>
                  </m:r>
                </m:e>
              </m:d>
            </m:e>
          </m:func>
          <m:r>
            <w:rPr>
              <w:rFonts w:ascii="Cambria Math" w:eastAsia="MS Mincho" w:hAnsi="Cambria Math" w:cs="Calibri"/>
            </w:rPr>
            <m:t>=</m:t>
          </m:r>
          <m:sSub>
            <m:sSubPr>
              <m:ctrlPr>
                <w:rPr>
                  <w:rFonts w:ascii="Cambria Math" w:eastAsia="Calibri" w:hAnsi="Cambria Math" w:cs="Calibri"/>
                  <w:i/>
                </w:rPr>
              </m:ctrlPr>
            </m:sSubPr>
            <m:e>
              <m:r>
                <w:rPr>
                  <w:rFonts w:ascii="Cambria Math" w:eastAsia="Calibri" w:hAnsi="Cambria Math" w:cs="Calibri"/>
                </w:rPr>
                <m:t>α</m:t>
              </m:r>
            </m:e>
            <m:sub>
              <m:r>
                <w:rPr>
                  <w:rFonts w:ascii="Cambria Math" w:eastAsia="Calibri" w:hAnsi="Cambria Math" w:cs="Calibri"/>
                </w:rPr>
                <m:t>i</m:t>
              </m:r>
            </m:sub>
          </m:sSub>
          <m:r>
            <w:rPr>
              <w:rFonts w:ascii="Cambria Math" w:eastAsia="Calibri" w:hAnsi="Cambria Math" w:cs="Calibri"/>
            </w:rPr>
            <m:t>+</m:t>
          </m:r>
          <m:r>
            <m:rPr>
              <m:sty m:val="bi"/>
            </m:rPr>
            <w:rPr>
              <w:rFonts w:ascii="Cambria Math" w:eastAsia="MS Mincho" w:hAnsi="Cambria Math" w:cs="Calibri"/>
            </w:rPr>
            <m:t>β</m:t>
          </m:r>
          <m:sSub>
            <m:sSubPr>
              <m:ctrlPr>
                <w:rPr>
                  <w:rFonts w:ascii="Cambria Math" w:eastAsia="Calibri" w:hAnsi="Cambria Math" w:cs="Calibri"/>
                  <w:i/>
                </w:rPr>
              </m:ctrlPr>
            </m:sSubPr>
            <m:e>
              <m:r>
                <m:rPr>
                  <m:sty m:val="bi"/>
                </m:rPr>
                <w:rPr>
                  <w:rFonts w:ascii="Cambria Math" w:eastAsia="Calibri" w:hAnsi="Cambria Math" w:cs="Calibri"/>
                </w:rPr>
                <m:t>Z</m:t>
              </m:r>
            </m:e>
            <m:sub>
              <m:r>
                <w:rPr>
                  <w:rFonts w:ascii="Cambria Math" w:eastAsia="Calibri" w:hAnsi="Cambria Math" w:cs="Calibri"/>
                </w:rPr>
                <m:t>ij</m:t>
              </m:r>
            </m:sub>
          </m:sSub>
          <m:r>
            <m:rPr>
              <m:sty m:val="p"/>
            </m:rPr>
            <w:rPr>
              <w:rFonts w:ascii="Cambria Math" w:eastAsia="Calibri" w:hAnsi="Calibri"/>
            </w:rPr>
            <m:t>(1)</m:t>
          </m:r>
        </m:oMath>
      </m:oMathPara>
    </w:p>
    <w:p w14:paraId="4B655C1E" w14:textId="77777777" w:rsidR="006E26A1" w:rsidRDefault="006E26A1" w:rsidP="000D6F33">
      <w:pPr>
        <w:pBdr>
          <w:top w:val="single" w:sz="4" w:space="1" w:color="auto"/>
          <w:left w:val="single" w:sz="4" w:space="1" w:color="auto"/>
          <w:bottom w:val="single" w:sz="4" w:space="1" w:color="auto"/>
          <w:right w:val="single" w:sz="4" w:space="1" w:color="auto"/>
        </w:pBdr>
        <w:spacing w:after="0"/>
        <w:rPr>
          <w:rFonts w:ascii="Cambria" w:eastAsia="Symbol" w:hAnsi="Cambria" w:cs="Symbol"/>
          <w:i/>
        </w:rPr>
      </w:pPr>
    </w:p>
    <w:p w14:paraId="6A0B466A" w14:textId="06D2431D" w:rsidR="006E26A1" w:rsidRDefault="006E26A1" w:rsidP="000D6F33">
      <w:pPr>
        <w:pBdr>
          <w:top w:val="single" w:sz="4" w:space="1" w:color="auto"/>
          <w:left w:val="single" w:sz="4" w:space="1" w:color="auto"/>
          <w:bottom w:val="single" w:sz="4" w:space="1" w:color="auto"/>
          <w:right w:val="single" w:sz="4" w:space="1" w:color="auto"/>
        </w:pBdr>
        <w:spacing w:after="0"/>
        <w:rPr>
          <w:rFonts w:cs="Calibri"/>
          <w:bCs/>
        </w:rPr>
      </w:pPr>
      <w:r w:rsidRPr="0026733C">
        <w:rPr>
          <w:rFonts w:ascii="Cambria" w:eastAsia="Symbol" w:hAnsi="Cambria" w:cs="Symbol"/>
          <w:i/>
        </w:rPr>
        <w:t xml:space="preserve">where </w:t>
      </w:r>
      <w:r w:rsidRPr="0026733C">
        <w:rPr>
          <w:rFonts w:ascii="Symbol" w:eastAsia="Symbol" w:hAnsi="Symbol" w:cs="Symbol"/>
          <w:i/>
          <w:spacing w:val="3"/>
        </w:rPr>
        <w:t></w:t>
      </w:r>
      <w:proofErr w:type="spellStart"/>
      <w:proofErr w:type="gramStart"/>
      <w:r w:rsidRPr="0026733C">
        <w:rPr>
          <w:rFonts w:eastAsia="Calibri"/>
          <w:i/>
          <w:spacing w:val="2"/>
          <w:position w:val="-5"/>
          <w:sz w:val="13"/>
          <w:szCs w:val="13"/>
        </w:rPr>
        <w:t>i</w:t>
      </w:r>
      <w:proofErr w:type="spellEnd"/>
      <w:r w:rsidRPr="0026733C">
        <w:rPr>
          <w:rFonts w:eastAsia="Calibri"/>
          <w:i/>
          <w:position w:val="-5"/>
          <w:sz w:val="13"/>
          <w:szCs w:val="13"/>
        </w:rPr>
        <w:t xml:space="preserve"> </w:t>
      </w:r>
      <w:r w:rsidRPr="0026733C">
        <w:rPr>
          <w:rFonts w:eastAsia="Calibri"/>
          <w:i/>
          <w:spacing w:val="23"/>
          <w:position w:val="-5"/>
          <w:sz w:val="13"/>
          <w:szCs w:val="13"/>
        </w:rPr>
        <w:t xml:space="preserve"> </w:t>
      </w:r>
      <w:r w:rsidRPr="0026733C">
        <w:rPr>
          <w:rFonts w:ascii="Symbol" w:eastAsia="Symbol" w:hAnsi="Symbol" w:cs="Symbol"/>
          <w:sz w:val="23"/>
          <w:szCs w:val="23"/>
        </w:rPr>
        <w:t></w:t>
      </w:r>
      <w:proofErr w:type="gramEnd"/>
      <w:r w:rsidRPr="0026733C">
        <w:rPr>
          <w:rFonts w:ascii="Symbol" w:eastAsia="Symbol" w:hAnsi="Symbol" w:cs="Symbol"/>
          <w:spacing w:val="6"/>
          <w:sz w:val="23"/>
          <w:szCs w:val="23"/>
        </w:rPr>
        <w:t></w:t>
      </w:r>
      <w:r w:rsidRPr="0026733C">
        <w:rPr>
          <w:rFonts w:ascii="Symbol" w:eastAsia="Symbol" w:hAnsi="Symbol" w:cs="Symbol"/>
          <w:i/>
        </w:rPr>
        <w:t></w:t>
      </w:r>
      <w:r w:rsidRPr="0026733C">
        <w:rPr>
          <w:rFonts w:ascii="Symbol" w:eastAsia="Symbol" w:hAnsi="Symbol" w:cs="Symbol"/>
          <w:i/>
          <w:spacing w:val="-1"/>
        </w:rPr>
        <w:t></w:t>
      </w:r>
      <w:r w:rsidRPr="0026733C">
        <w:rPr>
          <w:rFonts w:ascii="Symbol" w:eastAsia="Symbol" w:hAnsi="Symbol" w:cs="Symbol"/>
          <w:sz w:val="23"/>
          <w:szCs w:val="23"/>
        </w:rPr>
        <w:t></w:t>
      </w:r>
      <w:r w:rsidRPr="0026733C">
        <w:rPr>
          <w:rFonts w:ascii="Symbol" w:eastAsia="Symbol" w:hAnsi="Symbol" w:cs="Symbol"/>
          <w:spacing w:val="-26"/>
          <w:sz w:val="23"/>
          <w:szCs w:val="23"/>
        </w:rPr>
        <w:t></w:t>
      </w:r>
      <w:r w:rsidRPr="0026733C">
        <w:rPr>
          <w:rFonts w:ascii="Symbol" w:eastAsia="Symbol" w:hAnsi="Symbol" w:cs="Symbol"/>
          <w:i/>
          <w:spacing w:val="-2"/>
        </w:rPr>
        <w:t></w:t>
      </w:r>
      <w:proofErr w:type="spellStart"/>
      <w:r w:rsidRPr="0026733C">
        <w:rPr>
          <w:rFonts w:eastAsia="Calibri"/>
          <w:i/>
          <w:spacing w:val="-2"/>
          <w:position w:val="-5"/>
          <w:sz w:val="13"/>
          <w:szCs w:val="13"/>
        </w:rPr>
        <w:t>i</w:t>
      </w:r>
      <w:proofErr w:type="spellEnd"/>
      <w:r w:rsidRPr="0026733C">
        <w:rPr>
          <w:rFonts w:eastAsia="Calibri"/>
          <w:i/>
          <w:spacing w:val="-8"/>
          <w:position w:val="-5"/>
          <w:sz w:val="13"/>
          <w:szCs w:val="13"/>
        </w:rPr>
        <w:t xml:space="preserve"> </w:t>
      </w:r>
      <w:r w:rsidRPr="0026733C">
        <w:rPr>
          <w:rFonts w:eastAsia="Calibri"/>
          <w:sz w:val="23"/>
          <w:szCs w:val="23"/>
        </w:rPr>
        <w:t>;</w:t>
      </w:r>
      <w:r w:rsidRPr="0026733C">
        <w:rPr>
          <w:rFonts w:eastAsia="Calibri"/>
          <w:spacing w:val="27"/>
          <w:sz w:val="23"/>
          <w:szCs w:val="23"/>
        </w:rPr>
        <w:t xml:space="preserve"> </w:t>
      </w:r>
      <w:r w:rsidRPr="0026733C">
        <w:rPr>
          <w:rFonts w:ascii="Symbol" w:eastAsia="Symbol" w:hAnsi="Symbol" w:cs="Symbol"/>
          <w:i/>
          <w:spacing w:val="-2"/>
        </w:rPr>
        <w:t></w:t>
      </w:r>
      <w:proofErr w:type="spellStart"/>
      <w:r w:rsidRPr="0026733C">
        <w:rPr>
          <w:rFonts w:eastAsia="Calibri"/>
          <w:i/>
          <w:spacing w:val="-2"/>
          <w:position w:val="-5"/>
          <w:sz w:val="13"/>
          <w:szCs w:val="13"/>
        </w:rPr>
        <w:t>i</w:t>
      </w:r>
      <w:proofErr w:type="spellEnd"/>
      <w:r w:rsidRPr="0026733C">
        <w:rPr>
          <w:rFonts w:eastAsia="Calibri"/>
          <w:i/>
          <w:spacing w:val="-2"/>
          <w:position w:val="-5"/>
          <w:sz w:val="13"/>
          <w:szCs w:val="13"/>
        </w:rPr>
        <w:t xml:space="preserve"> </w:t>
      </w:r>
      <w:r w:rsidRPr="0026733C">
        <w:rPr>
          <w:rFonts w:eastAsia="Calibri"/>
          <w:w w:val="105"/>
          <w:sz w:val="23"/>
          <w:szCs w:val="23"/>
        </w:rPr>
        <w:t>~</w:t>
      </w:r>
      <w:r w:rsidRPr="0026733C">
        <w:rPr>
          <w:rFonts w:eastAsia="Calibri"/>
          <w:spacing w:val="9"/>
          <w:w w:val="105"/>
          <w:sz w:val="23"/>
          <w:szCs w:val="23"/>
        </w:rPr>
        <w:t xml:space="preserve"> </w:t>
      </w:r>
      <w:r w:rsidRPr="0026733C">
        <w:rPr>
          <w:rFonts w:eastAsia="Calibri"/>
          <w:i/>
          <w:w w:val="105"/>
          <w:sz w:val="23"/>
          <w:szCs w:val="23"/>
        </w:rPr>
        <w:t>N</w:t>
      </w:r>
      <w:r w:rsidRPr="0026733C">
        <w:rPr>
          <w:rFonts w:eastAsia="Calibri"/>
          <w:i/>
          <w:spacing w:val="-35"/>
          <w:w w:val="105"/>
          <w:sz w:val="23"/>
          <w:szCs w:val="23"/>
        </w:rPr>
        <w:t xml:space="preserve"> </w:t>
      </w:r>
      <w:r w:rsidRPr="0026733C">
        <w:rPr>
          <w:rFonts w:eastAsia="Calibri"/>
          <w:spacing w:val="-8"/>
          <w:w w:val="105"/>
          <w:sz w:val="23"/>
          <w:szCs w:val="23"/>
        </w:rPr>
        <w:t xml:space="preserve">(0, </w:t>
      </w:r>
      <w:r w:rsidRPr="0026733C">
        <w:rPr>
          <w:rFonts w:ascii="Symbol" w:eastAsia="Symbol" w:hAnsi="Symbol" w:cs="Symbol"/>
          <w:i/>
          <w:spacing w:val="-8"/>
          <w:w w:val="105"/>
        </w:rPr>
        <w:t></w:t>
      </w:r>
      <w:r w:rsidRPr="0026733C">
        <w:rPr>
          <w:rFonts w:ascii="Symbol" w:eastAsia="Symbol" w:hAnsi="Symbol" w:cs="Symbol"/>
          <w:i/>
          <w:spacing w:val="-23"/>
          <w:w w:val="105"/>
        </w:rPr>
        <w:t></w:t>
      </w:r>
      <w:r w:rsidRPr="0026733C">
        <w:rPr>
          <w:rFonts w:eastAsia="Calibri"/>
          <w:w w:val="105"/>
          <w:position w:val="10"/>
          <w:sz w:val="13"/>
          <w:szCs w:val="13"/>
        </w:rPr>
        <w:t>2</w:t>
      </w:r>
      <w:r w:rsidRPr="0026733C">
        <w:rPr>
          <w:rFonts w:eastAsia="Calibri"/>
          <w:spacing w:val="-9"/>
          <w:w w:val="105"/>
          <w:position w:val="10"/>
          <w:sz w:val="13"/>
          <w:szCs w:val="13"/>
        </w:rPr>
        <w:t xml:space="preserve"> </w:t>
      </w:r>
      <w:r w:rsidRPr="0026733C">
        <w:rPr>
          <w:rFonts w:eastAsia="Calibri"/>
          <w:w w:val="105"/>
          <w:sz w:val="23"/>
          <w:szCs w:val="23"/>
        </w:rPr>
        <w:t>)</w:t>
      </w:r>
      <w:r>
        <w:rPr>
          <w:rFonts w:eastAsia="Calibri"/>
          <w:w w:val="105"/>
          <w:sz w:val="23"/>
          <w:szCs w:val="23"/>
        </w:rPr>
        <w:t xml:space="preserve"> </w:t>
      </w:r>
      <w:r>
        <w:rPr>
          <w:rFonts w:cs="Calibri"/>
          <w:bCs/>
        </w:rPr>
        <w:tab/>
      </w:r>
    </w:p>
    <w:p w14:paraId="72EDBA73" w14:textId="77777777" w:rsidR="006E26A1" w:rsidRDefault="006E26A1" w:rsidP="006E26A1">
      <w:pPr>
        <w:pBdr>
          <w:top w:val="single" w:sz="4" w:space="1" w:color="auto"/>
          <w:left w:val="single" w:sz="4" w:space="1" w:color="auto"/>
          <w:bottom w:val="single" w:sz="4" w:space="1" w:color="auto"/>
          <w:right w:val="single" w:sz="4" w:space="1" w:color="auto"/>
        </w:pBdr>
        <w:spacing w:after="0"/>
        <w:ind w:firstLine="720"/>
        <w:rPr>
          <w:rFonts w:ascii="Calibri" w:eastAsia="Calibri" w:hAnsi="Calibri"/>
          <w:noProof/>
        </w:rPr>
      </w:pPr>
    </w:p>
    <w:p w14:paraId="2B479694" w14:textId="2516C358" w:rsidR="006E26A1" w:rsidRDefault="006E26A1" w:rsidP="006E26A1">
      <w:pPr>
        <w:pBdr>
          <w:top w:val="single" w:sz="4" w:space="1" w:color="auto"/>
          <w:left w:val="single" w:sz="4" w:space="1" w:color="auto"/>
          <w:bottom w:val="single" w:sz="4" w:space="1" w:color="auto"/>
          <w:right w:val="single" w:sz="4" w:space="1" w:color="auto"/>
        </w:pBdr>
        <w:spacing w:after="0"/>
        <w:ind w:firstLine="720"/>
        <w:rPr>
          <w:rFonts w:ascii="Calibri" w:eastAsia="Calibri" w:hAnsi="Calibri"/>
          <w:noProof/>
        </w:rPr>
      </w:pPr>
      <w:r w:rsidRPr="0026733C">
        <w:rPr>
          <w:rFonts w:ascii="Calibri" w:eastAsia="Calibri" w:hAnsi="Calibri"/>
          <w:noProof/>
          <w:position w:val="-12"/>
        </w:rPr>
        <w:object w:dxaOrig="1640" w:dyaOrig="360" w14:anchorId="7CCD1067">
          <v:shape id="_x0000_i1027" type="#_x0000_t75" alt="i takes value from one to upper I; j takes value from 1 to n sub i." style="width:78.5pt;height:21.5pt" o:ole="">
            <v:imagedata r:id="rId18" o:title=""/>
          </v:shape>
          <o:OLEObject Type="Embed" ProgID="Equation.DSMT4" ShapeID="_x0000_i1027" DrawAspect="Content" ObjectID="_1667741226" r:id="rId19"/>
        </w:object>
      </w:r>
    </w:p>
    <w:p w14:paraId="7550BA4B" w14:textId="77777777" w:rsidR="006E26A1" w:rsidRDefault="006E26A1" w:rsidP="006E26A1">
      <w:pPr>
        <w:pBdr>
          <w:top w:val="single" w:sz="4" w:space="1" w:color="auto"/>
          <w:left w:val="single" w:sz="4" w:space="1" w:color="auto"/>
          <w:bottom w:val="single" w:sz="4" w:space="1" w:color="auto"/>
          <w:right w:val="single" w:sz="4" w:space="1" w:color="auto"/>
        </w:pBdr>
        <w:spacing w:after="0"/>
        <w:rPr>
          <w:rFonts w:ascii="Calibri" w:eastAsia="Calibri" w:hAnsi="Calibri"/>
          <w:noProof/>
        </w:rPr>
      </w:pPr>
    </w:p>
    <w:p w14:paraId="725A60A0" w14:textId="5A7450D4" w:rsidR="006E26A1" w:rsidRPr="006E26A1" w:rsidRDefault="006E26A1" w:rsidP="006E26A1">
      <w:pPr>
        <w:pBdr>
          <w:top w:val="single" w:sz="4" w:space="1" w:color="auto"/>
          <w:left w:val="single" w:sz="4" w:space="1" w:color="auto"/>
          <w:bottom w:val="single" w:sz="4" w:space="1" w:color="auto"/>
          <w:right w:val="single" w:sz="4" w:space="1" w:color="auto"/>
        </w:pBdr>
        <w:spacing w:after="0"/>
        <w:rPr>
          <w:rFonts w:cs="Calibri"/>
          <w:bCs/>
        </w:rPr>
      </w:pPr>
      <w:r w:rsidRPr="006E26A1">
        <w:rPr>
          <w:rFonts w:cs="Calibri"/>
          <w:bCs/>
        </w:rPr>
        <w:t>Where</w:t>
      </w:r>
      <m:oMath>
        <m:r>
          <w:rPr>
            <w:rFonts w:ascii="Cambria Math" w:hAnsi="Cambria Math" w:cs="Calibri"/>
          </w:rPr>
          <m:t xml:space="preserve"> </m:t>
        </m:r>
        <m:sSub>
          <m:sSubPr>
            <m:ctrlPr>
              <w:rPr>
                <w:rFonts w:ascii="Cambria Math" w:hAnsi="Cambria Math" w:cs="Calibri"/>
                <w:bCs/>
                <w:i/>
              </w:rPr>
            </m:ctrlPr>
          </m:sSubPr>
          <m:e>
            <m:r>
              <w:rPr>
                <w:rFonts w:ascii="Cambria Math" w:hAnsi="Cambria Math" w:cs="Calibri"/>
              </w:rPr>
              <m:t>Y</m:t>
            </m:r>
          </m:e>
          <m:sub>
            <m:r>
              <w:rPr>
                <w:rFonts w:ascii="Cambria Math" w:hAnsi="Cambria Math" w:cs="Calibri"/>
              </w:rPr>
              <m:t>ij</m:t>
            </m:r>
          </m:sub>
        </m:sSub>
      </m:oMath>
      <w:r w:rsidRPr="006E26A1">
        <w:rPr>
          <w:rFonts w:cs="Calibri"/>
          <w:bCs/>
        </w:rPr>
        <w:t xml:space="preserve"> denotes the outcome (number of unplanned admissions per the person-years of risk exposure) for the </w:t>
      </w:r>
      <w:r w:rsidRPr="006E26A1">
        <w:rPr>
          <w:rFonts w:cs="Calibri"/>
          <w:bCs/>
          <w:i/>
        </w:rPr>
        <w:t>j-</w:t>
      </w:r>
      <w:proofErr w:type="spellStart"/>
      <w:r w:rsidRPr="006E26A1">
        <w:rPr>
          <w:rFonts w:cs="Calibri"/>
          <w:bCs/>
          <w:i/>
        </w:rPr>
        <w:t>th</w:t>
      </w:r>
      <w:proofErr w:type="spellEnd"/>
      <w:r w:rsidRPr="006E26A1">
        <w:rPr>
          <w:rFonts w:cs="Calibri"/>
          <w:bCs/>
          <w:i/>
        </w:rPr>
        <w:t xml:space="preserve"> </w:t>
      </w:r>
      <w:r w:rsidRPr="006E26A1">
        <w:rPr>
          <w:rFonts w:cs="Calibri"/>
          <w:bCs/>
        </w:rPr>
        <w:t xml:space="preserve">patient attributed to the </w:t>
      </w:r>
      <w:proofErr w:type="spellStart"/>
      <w:r w:rsidRPr="006E26A1">
        <w:rPr>
          <w:rFonts w:cs="Calibri"/>
          <w:bCs/>
          <w:i/>
        </w:rPr>
        <w:t>i-th</w:t>
      </w:r>
      <w:proofErr w:type="spellEnd"/>
      <w:r w:rsidRPr="006E26A1">
        <w:rPr>
          <w:rFonts w:cs="Calibri"/>
          <w:bCs/>
          <w:i/>
        </w:rPr>
        <w:t xml:space="preserve"> </w:t>
      </w:r>
      <w:r w:rsidRPr="006E26A1">
        <w:rPr>
          <w:rFonts w:cs="Calibri"/>
          <w:bCs/>
        </w:rPr>
        <w:t xml:space="preserve">ACO; </w:t>
      </w:r>
      <m:oMath>
        <m:sSub>
          <m:sSubPr>
            <m:ctrlPr>
              <w:rPr>
                <w:rFonts w:ascii="Cambria Math" w:hAnsi="Cambria Math" w:cs="Calibri"/>
                <w:bCs/>
                <w:i/>
              </w:rPr>
            </m:ctrlPr>
          </m:sSubPr>
          <m:e>
            <m:r>
              <m:rPr>
                <m:sty m:val="bi"/>
              </m:rPr>
              <w:rPr>
                <w:rFonts w:ascii="Cambria Math" w:hAnsi="Cambria Math" w:cs="Calibri"/>
              </w:rPr>
              <m:t>Z</m:t>
            </m:r>
          </m:e>
          <m:sub>
            <m:r>
              <w:rPr>
                <w:rFonts w:ascii="Cambria Math" w:hAnsi="Cambria Math" w:cs="Calibri"/>
              </w:rPr>
              <m:t>ij</m:t>
            </m:r>
          </m:sub>
        </m:sSub>
        <m:r>
          <w:rPr>
            <w:rFonts w:ascii="Cambria Math" w:hAnsi="Cambria Math" w:cs="Calibri"/>
          </w:rPr>
          <m:t>=</m:t>
        </m:r>
        <m:d>
          <m:dPr>
            <m:ctrlPr>
              <w:rPr>
                <w:rFonts w:ascii="Cambria Math" w:hAnsi="Cambria Math" w:cs="Calibri"/>
                <w:bCs/>
                <w:i/>
              </w:rPr>
            </m:ctrlPr>
          </m:dPr>
          <m:e>
            <m:r>
              <m:rPr>
                <m:sty m:val="p"/>
              </m:rPr>
              <w:rPr>
                <w:rFonts w:ascii="Cambria Math" w:hAnsi="Cambria Math" w:cs="Calibri"/>
              </w:rPr>
              <m:t xml:space="preserve"> </m:t>
            </m:r>
            <m:sSub>
              <m:sSubPr>
                <m:ctrlPr>
                  <w:rPr>
                    <w:rFonts w:ascii="Cambria Math" w:hAnsi="Cambria Math" w:cs="Calibri"/>
                    <w:bCs/>
                    <w:i/>
                  </w:rPr>
                </m:ctrlPr>
              </m:sSubPr>
              <m:e>
                <m:r>
                  <w:rPr>
                    <w:rFonts w:ascii="Cambria Math" w:hAnsi="Cambria Math" w:cs="Calibri"/>
                  </w:rPr>
                  <m:t>Z</m:t>
                </m:r>
              </m:e>
              <m:sub>
                <m:r>
                  <w:rPr>
                    <w:rFonts w:ascii="Cambria Math" w:hAnsi="Cambria Math" w:cs="Calibri"/>
                  </w:rPr>
                  <m:t>1ij</m:t>
                </m:r>
              </m:sub>
            </m:sSub>
            <m:r>
              <w:rPr>
                <w:rFonts w:ascii="Cambria Math" w:hAnsi="Cambria Math" w:cs="Calibri"/>
              </w:rPr>
              <m:t xml:space="preserve">, </m:t>
            </m:r>
            <m:sSub>
              <m:sSubPr>
                <m:ctrlPr>
                  <w:rPr>
                    <w:rFonts w:ascii="Cambria Math" w:hAnsi="Cambria Math" w:cs="Calibri"/>
                    <w:bCs/>
                    <w:i/>
                  </w:rPr>
                </m:ctrlPr>
              </m:sSubPr>
              <m:e>
                <m:r>
                  <w:rPr>
                    <w:rFonts w:ascii="Cambria Math" w:hAnsi="Cambria Math" w:cs="Calibri"/>
                  </w:rPr>
                  <m:t>Z</m:t>
                </m:r>
              </m:e>
              <m:sub>
                <m:r>
                  <w:rPr>
                    <w:rFonts w:ascii="Cambria Math" w:hAnsi="Cambria Math" w:cs="Calibri"/>
                  </w:rPr>
                  <m:t xml:space="preserve">2ij, </m:t>
                </m:r>
              </m:sub>
            </m:sSub>
            <m:r>
              <w:rPr>
                <w:rFonts w:ascii="Cambria Math" w:hAnsi="Cambria Math" w:cs="Calibri"/>
              </w:rPr>
              <m:t>…,</m:t>
            </m:r>
            <m:sSub>
              <m:sSubPr>
                <m:ctrlPr>
                  <w:rPr>
                    <w:rFonts w:ascii="Cambria Math" w:hAnsi="Cambria Math" w:cs="Calibri"/>
                    <w:bCs/>
                    <w:i/>
                  </w:rPr>
                </m:ctrlPr>
              </m:sSubPr>
              <m:e>
                <m:r>
                  <w:rPr>
                    <w:rFonts w:ascii="Cambria Math" w:hAnsi="Cambria Math" w:cs="Calibri"/>
                  </w:rPr>
                  <m:t>Z</m:t>
                </m:r>
              </m:e>
              <m:sub>
                <m:r>
                  <w:rPr>
                    <w:rFonts w:ascii="Cambria Math" w:hAnsi="Cambria Math" w:cs="Calibri"/>
                  </w:rPr>
                  <m:t>Pij</m:t>
                </m:r>
              </m:sub>
            </m:sSub>
          </m:e>
        </m:d>
        <m:r>
          <w:rPr>
            <w:rFonts w:ascii="Cambria Math" w:hAnsi="Cambria Math" w:cs="Calibri"/>
          </w:rPr>
          <m:t xml:space="preserve"> </m:t>
        </m:r>
      </m:oMath>
      <w:r w:rsidRPr="006E26A1">
        <w:rPr>
          <w:rFonts w:cs="Calibri"/>
          <w:bCs/>
        </w:rPr>
        <w:t xml:space="preserve">is a set of </w:t>
      </w:r>
      <w:r w:rsidRPr="006E26A1">
        <w:rPr>
          <w:rFonts w:cs="Calibri"/>
          <w:bCs/>
          <w:i/>
        </w:rPr>
        <w:t xml:space="preserve">p </w:t>
      </w:r>
      <w:r w:rsidRPr="006E26A1">
        <w:rPr>
          <w:rFonts w:cs="Calibri"/>
          <w:bCs/>
        </w:rPr>
        <w:t xml:space="preserve">patient-specific covariates derived from the data; </w:t>
      </w:r>
      <w:r w:rsidRPr="006E26A1">
        <w:rPr>
          <w:rFonts w:cs="Calibri"/>
          <w:bCs/>
          <w:i/>
        </w:rPr>
        <w:t xml:space="preserve">I </w:t>
      </w:r>
      <w:r w:rsidRPr="006E26A1">
        <w:rPr>
          <w:rFonts w:cs="Calibri"/>
          <w:bCs/>
        </w:rPr>
        <w:t xml:space="preserve">denotes the total number of ACOs and </w:t>
      </w:r>
      <w:r w:rsidRPr="006E26A1">
        <w:rPr>
          <w:rFonts w:cs="Calibri"/>
          <w:bCs/>
        </w:rPr>
        <w:object w:dxaOrig="240" w:dyaOrig="360" w14:anchorId="565EAD8A">
          <v:shape id="_x0000_i1028" type="#_x0000_t75" alt="n sub i" style="width:14.5pt;height:21.5pt" o:ole="">
            <v:imagedata r:id="rId20" o:title=""/>
          </v:shape>
          <o:OLEObject Type="Embed" ProgID="Equation.DSMT4" ShapeID="_x0000_i1028" DrawAspect="Content" ObjectID="_1667741227" r:id="rId21"/>
        </w:object>
      </w:r>
      <w:r w:rsidRPr="006E26A1">
        <w:rPr>
          <w:rFonts w:cs="Calibri"/>
          <w:bCs/>
        </w:rPr>
        <w:t xml:space="preserve"> the number of patients attributed to ACO </w:t>
      </w:r>
      <w:proofErr w:type="spellStart"/>
      <w:r w:rsidRPr="006E26A1">
        <w:rPr>
          <w:rFonts w:cs="Calibri"/>
          <w:bCs/>
          <w:i/>
        </w:rPr>
        <w:t>i</w:t>
      </w:r>
      <w:proofErr w:type="spellEnd"/>
      <w:r w:rsidRPr="006E26A1">
        <w:rPr>
          <w:rFonts w:cs="Calibri"/>
          <w:bCs/>
        </w:rPr>
        <w:t xml:space="preserve">. The ACO-specific intercept of the </w:t>
      </w:r>
      <w:proofErr w:type="spellStart"/>
      <w:r w:rsidRPr="006E26A1">
        <w:rPr>
          <w:rFonts w:cs="Calibri"/>
          <w:bCs/>
          <w:i/>
        </w:rPr>
        <w:t>i-th</w:t>
      </w:r>
      <w:proofErr w:type="spellEnd"/>
      <w:r w:rsidRPr="006E26A1">
        <w:rPr>
          <w:rFonts w:cs="Calibri"/>
          <w:bCs/>
          <w:i/>
        </w:rPr>
        <w:t xml:space="preserve"> </w:t>
      </w:r>
      <w:r w:rsidRPr="006E26A1">
        <w:rPr>
          <w:rFonts w:cs="Calibri"/>
          <w:bCs/>
        </w:rPr>
        <w:t>ACO</w:t>
      </w:r>
      <w:r w:rsidRPr="006E26A1">
        <w:rPr>
          <w:rFonts w:cs="Calibri"/>
          <w:bCs/>
          <w:i/>
        </w:rPr>
        <w:t xml:space="preserve">, </w:t>
      </w:r>
      <w:r w:rsidRPr="006E26A1">
        <w:rPr>
          <w:rFonts w:cs="Calibri"/>
          <w:bCs/>
          <w:i/>
          <w:iCs/>
        </w:rPr>
        <w:object w:dxaOrig="260" w:dyaOrig="360" w14:anchorId="09345A9B">
          <v:shape id="_x0000_i1029" type="#_x0000_t75" alt="alpha sub i" style="width:14pt;height:21.5pt" o:ole="">
            <v:imagedata r:id="rId14" o:title=""/>
          </v:shape>
          <o:OLEObject Type="Embed" ProgID="Equation.DSMT4" ShapeID="_x0000_i1029" DrawAspect="Content" ObjectID="_1667741228" r:id="rId22"/>
        </w:object>
      </w:r>
      <w:r w:rsidRPr="006E26A1">
        <w:rPr>
          <w:rFonts w:cs="Calibri"/>
          <w:bCs/>
        </w:rPr>
        <w:t xml:space="preserve">, defined above, comprises </w:t>
      </w:r>
      <w:r w:rsidRPr="006E26A1">
        <w:rPr>
          <w:rFonts w:cs="Calibri"/>
          <w:bCs/>
          <w:i/>
          <w:iCs/>
        </w:rPr>
        <w:object w:dxaOrig="240" w:dyaOrig="260" w14:anchorId="3884AD1F">
          <v:shape id="_x0000_i1030" type="#_x0000_t75" alt="mu" style="width:14.5pt;height:14pt" o:ole="">
            <v:imagedata r:id="rId16" o:title=""/>
          </v:shape>
          <o:OLEObject Type="Embed" ProgID="Equation.DSMT4" ShapeID="_x0000_i1030" DrawAspect="Content" ObjectID="_1667741229" r:id="rId23"/>
        </w:object>
      </w:r>
      <w:r w:rsidRPr="006E26A1">
        <w:rPr>
          <w:rFonts w:cs="Calibri"/>
          <w:bCs/>
          <w:i/>
        </w:rPr>
        <w:t xml:space="preserve">, </w:t>
      </w:r>
      <w:r w:rsidRPr="006E26A1">
        <w:rPr>
          <w:rFonts w:cs="Calibri"/>
          <w:bCs/>
        </w:rPr>
        <w:t xml:space="preserve">the adjusted average intercept over all ACOs in the sample, and </w:t>
      </w:r>
      <w:r w:rsidRPr="006E26A1">
        <w:rPr>
          <w:rFonts w:cs="Calibri"/>
          <w:bCs/>
        </w:rPr>
        <w:object w:dxaOrig="260" w:dyaOrig="360" w14:anchorId="54F25CAC">
          <v:shape id="_x0000_i1031" type="#_x0000_t75" alt="omega sub i" style="width:14pt;height:14.5pt" o:ole="">
            <v:imagedata r:id="rId24" o:title=""/>
          </v:shape>
          <o:OLEObject Type="Embed" ProgID="Equation.DSMT4" ShapeID="_x0000_i1031" DrawAspect="Content" ObjectID="_1667741230" r:id="rId25"/>
        </w:object>
      </w:r>
      <w:r w:rsidRPr="006E26A1">
        <w:rPr>
          <w:rFonts w:cs="Calibri"/>
          <w:bCs/>
        </w:rPr>
        <w:t xml:space="preserve"> ,the ACO-specific intercept deviation from </w:t>
      </w:r>
      <w:r w:rsidRPr="006E26A1">
        <w:rPr>
          <w:rFonts w:cs="Calibri"/>
          <w:bCs/>
          <w:i/>
          <w:iCs/>
        </w:rPr>
        <w:object w:dxaOrig="240" w:dyaOrig="260" w14:anchorId="70DA073A">
          <v:shape id="_x0000_i1032" type="#_x0000_t75" alt="mu" style="width:14.5pt;height:14pt" o:ole="">
            <v:imagedata r:id="rId16" o:title=""/>
          </v:shape>
          <o:OLEObject Type="Embed" ProgID="Equation.DSMT4" ShapeID="_x0000_i1032" DrawAspect="Content" ObjectID="_1667741231" r:id="rId26"/>
        </w:object>
      </w:r>
      <w:r w:rsidRPr="006E26A1">
        <w:rPr>
          <w:rFonts w:cs="Calibri"/>
          <w:bCs/>
        </w:rPr>
        <w:t xml:space="preserve">. A point estimate of </w:t>
      </w:r>
      <w:r w:rsidRPr="006E26A1">
        <w:rPr>
          <w:rFonts w:cs="Calibri"/>
          <w:bCs/>
        </w:rPr>
        <w:object w:dxaOrig="260" w:dyaOrig="360" w14:anchorId="7754269E">
          <v:shape id="_x0000_i1033" type="#_x0000_t75" alt="omega sub i" style="width:14pt;height:14.5pt" o:ole="">
            <v:imagedata r:id="rId24" o:title=""/>
          </v:shape>
          <o:OLEObject Type="Embed" ProgID="Equation.DSMT4" ShapeID="_x0000_i1033" DrawAspect="Content" ObjectID="_1667741232" r:id="rId27"/>
        </w:object>
      </w:r>
      <w:r w:rsidRPr="006E26A1">
        <w:rPr>
          <w:rFonts w:cs="Calibri"/>
          <w:bCs/>
        </w:rPr>
        <w:t>, greater or less than 0, determines whether the ACO’s performance is worse or better compared to the adjusted average outcome.</w:t>
      </w:r>
    </w:p>
    <w:p w14:paraId="1039C341" w14:textId="6FC2515F" w:rsidR="006E26A1" w:rsidRPr="006E26A1" w:rsidRDefault="006E26A1" w:rsidP="006E26A1">
      <w:pPr>
        <w:pBdr>
          <w:top w:val="single" w:sz="4" w:space="1" w:color="auto"/>
          <w:left w:val="single" w:sz="4" w:space="1" w:color="auto"/>
          <w:bottom w:val="single" w:sz="4" w:space="1" w:color="auto"/>
          <w:right w:val="single" w:sz="4" w:space="1" w:color="auto"/>
        </w:pBdr>
        <w:spacing w:after="0"/>
        <w:rPr>
          <w:rFonts w:cs="Calibri"/>
          <w:bCs/>
        </w:rPr>
      </w:pPr>
      <w:r w:rsidRPr="006E26A1">
        <w:rPr>
          <w:rFonts w:cs="Calibri"/>
          <w:bCs/>
        </w:rPr>
        <w:t>Further,</w:t>
      </w:r>
      <m:oMath>
        <m:r>
          <w:rPr>
            <w:rFonts w:ascii="Cambria Math" w:hAnsi="Cambria Math" w:cs="Calibri"/>
          </w:rPr>
          <m:t xml:space="preserve"> </m:t>
        </m:r>
        <m:sSub>
          <m:sSubPr>
            <m:ctrlPr>
              <w:rPr>
                <w:rFonts w:ascii="Cambria Math" w:hAnsi="Cambria Math" w:cs="Calibri"/>
                <w:bCs/>
                <w:i/>
              </w:rPr>
            </m:ctrlPr>
          </m:sSubPr>
          <m:e>
            <m:r>
              <w:rPr>
                <w:rFonts w:ascii="Cambria Math" w:hAnsi="Cambria Math" w:cs="Calibri"/>
              </w:rPr>
              <m:t>Y</m:t>
            </m:r>
          </m:e>
          <m:sub>
            <m:r>
              <w:rPr>
                <w:rFonts w:ascii="Cambria Math" w:hAnsi="Cambria Math" w:cs="Calibri"/>
              </w:rPr>
              <m:t>ij</m:t>
            </m:r>
          </m:sub>
        </m:sSub>
      </m:oMath>
      <w:r w:rsidRPr="006E26A1">
        <w:rPr>
          <w:rFonts w:cs="Calibri"/>
          <w:bCs/>
        </w:rPr>
        <w:t xml:space="preserve"> can be expressed as </w:t>
      </w:r>
      <m:oMath>
        <m:sSub>
          <m:sSubPr>
            <m:ctrlPr>
              <w:rPr>
                <w:rFonts w:ascii="Cambria Math" w:hAnsi="Cambria Math" w:cs="Calibri"/>
                <w:bCs/>
                <w:i/>
              </w:rPr>
            </m:ctrlPr>
          </m:sSubPr>
          <m:e>
            <m:r>
              <w:rPr>
                <w:rFonts w:ascii="Cambria Math" w:hAnsi="Cambria Math" w:cs="Calibri"/>
              </w:rPr>
              <m:t>Y</m:t>
            </m:r>
          </m:e>
          <m:sub>
            <m:r>
              <w:rPr>
                <w:rFonts w:ascii="Cambria Math" w:hAnsi="Cambria Math" w:cs="Calibri"/>
              </w:rPr>
              <m:t>ij</m:t>
            </m:r>
          </m:sub>
        </m:sSub>
        <m:r>
          <w:rPr>
            <w:rFonts w:ascii="Cambria Math" w:hAnsi="Cambria Math" w:cs="Calibri"/>
          </w:rPr>
          <m:t xml:space="preserve">= </m:t>
        </m:r>
        <m:sSub>
          <m:sSubPr>
            <m:ctrlPr>
              <w:rPr>
                <w:rFonts w:ascii="Cambria Math" w:hAnsi="Cambria Math" w:cs="Calibri"/>
                <w:bCs/>
                <w:i/>
              </w:rPr>
            </m:ctrlPr>
          </m:sSubPr>
          <m:e>
            <m:r>
              <w:rPr>
                <w:rFonts w:ascii="Cambria Math" w:hAnsi="Cambria Math" w:cs="Calibri"/>
              </w:rPr>
              <m:t>N</m:t>
            </m:r>
          </m:e>
          <m:sub>
            <m:r>
              <w:rPr>
                <w:rFonts w:ascii="Cambria Math" w:hAnsi="Cambria Math" w:cs="Calibri"/>
              </w:rPr>
              <m:t>ij</m:t>
            </m:r>
          </m:sub>
        </m:sSub>
      </m:oMath>
      <w:r w:rsidRPr="006E26A1">
        <w:rPr>
          <w:rFonts w:cs="Calibri"/>
          <w:bCs/>
        </w:rPr>
        <w:t xml:space="preserve"> / </w:t>
      </w:r>
      <m:oMath>
        <m:sSub>
          <m:sSubPr>
            <m:ctrlPr>
              <w:rPr>
                <w:rFonts w:ascii="Cambria Math" w:hAnsi="Cambria Math" w:cs="Calibri"/>
                <w:bCs/>
                <w:i/>
              </w:rPr>
            </m:ctrlPr>
          </m:sSubPr>
          <m:e>
            <m:r>
              <w:rPr>
                <w:rFonts w:ascii="Cambria Math" w:hAnsi="Cambria Math" w:cs="Calibri"/>
              </w:rPr>
              <m:t>M</m:t>
            </m:r>
          </m:e>
          <m:sub>
            <m:r>
              <w:rPr>
                <w:rFonts w:ascii="Cambria Math" w:hAnsi="Cambria Math" w:cs="Calibri"/>
              </w:rPr>
              <m:t>ij</m:t>
            </m:r>
          </m:sub>
        </m:sSub>
        <m:r>
          <w:rPr>
            <w:rFonts w:ascii="Cambria Math" w:hAnsi="Cambria Math" w:cs="Calibri"/>
          </w:rPr>
          <m:t xml:space="preserve"> </m:t>
        </m:r>
      </m:oMath>
      <w:r w:rsidRPr="006E26A1">
        <w:rPr>
          <w:rFonts w:cs="Calibri"/>
          <w:bCs/>
        </w:rPr>
        <w:t xml:space="preserve">where </w:t>
      </w:r>
      <m:oMath>
        <m:sSub>
          <m:sSubPr>
            <m:ctrlPr>
              <w:rPr>
                <w:rFonts w:ascii="Cambria Math" w:hAnsi="Cambria Math" w:cs="Calibri"/>
                <w:bCs/>
                <w:i/>
              </w:rPr>
            </m:ctrlPr>
          </m:sSubPr>
          <m:e>
            <m:r>
              <w:rPr>
                <w:rFonts w:ascii="Cambria Math" w:hAnsi="Cambria Math" w:cs="Calibri"/>
              </w:rPr>
              <m:t>N</m:t>
            </m:r>
          </m:e>
          <m:sub>
            <m:r>
              <w:rPr>
                <w:rFonts w:ascii="Cambria Math" w:hAnsi="Cambria Math" w:cs="Calibri"/>
              </w:rPr>
              <m:t>ij</m:t>
            </m:r>
          </m:sub>
        </m:sSub>
      </m:oMath>
      <w:r w:rsidRPr="006E26A1">
        <w:rPr>
          <w:rFonts w:cs="Calibri"/>
          <w:bCs/>
        </w:rPr>
        <w:t xml:space="preserve"> denotes the total number of admissions during the measurement period and follows the negative binomial distribution with mean,</w:t>
      </w:r>
      <m:oMath>
        <m:r>
          <w:rPr>
            <w:rFonts w:ascii="Cambria Math" w:hAnsi="Cambria Math" w:cs="Calibri"/>
          </w:rPr>
          <m:t xml:space="preserve"> </m:t>
        </m:r>
        <m:sSub>
          <m:sSubPr>
            <m:ctrlPr>
              <w:rPr>
                <w:rFonts w:ascii="Cambria Math" w:hAnsi="Cambria Math" w:cs="Calibri"/>
                <w:bCs/>
                <w:i/>
              </w:rPr>
            </m:ctrlPr>
          </m:sSubPr>
          <m:e>
            <m:r>
              <w:rPr>
                <w:rFonts w:ascii="Cambria Math" w:hAnsi="Cambria Math" w:cs="Calibri"/>
              </w:rPr>
              <m:t>μ</m:t>
            </m:r>
          </m:e>
          <m:sub>
            <m:r>
              <w:rPr>
                <w:rFonts w:ascii="Cambria Math" w:hAnsi="Cambria Math" w:cs="Calibri"/>
              </w:rPr>
              <m:t>ij</m:t>
            </m:r>
          </m:sub>
        </m:sSub>
        <m:r>
          <w:rPr>
            <w:rFonts w:ascii="Cambria Math" w:hAnsi="Cambria Math" w:cs="Calibri"/>
          </w:rPr>
          <m:t>|</m:t>
        </m:r>
        <m:sSub>
          <m:sSubPr>
            <m:ctrlPr>
              <w:rPr>
                <w:rFonts w:ascii="Cambria Math" w:hAnsi="Cambria Math" w:cs="Calibri"/>
                <w:bCs/>
                <w:i/>
              </w:rPr>
            </m:ctrlPr>
          </m:sSubPr>
          <m:e>
            <m:r>
              <m:rPr>
                <m:sty m:val="bi"/>
              </m:rPr>
              <w:rPr>
                <w:rFonts w:ascii="Cambria Math" w:hAnsi="Cambria Math" w:cs="Calibri"/>
              </w:rPr>
              <m:t>Z</m:t>
            </m:r>
          </m:e>
          <m:sub>
            <m:r>
              <w:rPr>
                <w:rFonts w:ascii="Cambria Math" w:hAnsi="Cambria Math" w:cs="Calibri"/>
              </w:rPr>
              <m:t>ij</m:t>
            </m:r>
          </m:sub>
        </m:sSub>
        <m:r>
          <w:rPr>
            <w:rFonts w:ascii="Cambria Math" w:hAnsi="Cambria Math" w:cs="Calibri"/>
          </w:rPr>
          <m:t>,</m:t>
        </m:r>
        <m:sSub>
          <m:sSubPr>
            <m:ctrlPr>
              <w:rPr>
                <w:rFonts w:ascii="Cambria Math" w:hAnsi="Cambria Math" w:cs="Calibri"/>
                <w:bCs/>
                <w:i/>
              </w:rPr>
            </m:ctrlPr>
          </m:sSubPr>
          <m:e>
            <m:r>
              <w:rPr>
                <w:rFonts w:ascii="Cambria Math" w:hAnsi="Cambria Math" w:cs="Calibri"/>
              </w:rPr>
              <m:t>ω</m:t>
            </m:r>
          </m:e>
          <m:sub>
            <m:r>
              <w:rPr>
                <w:rFonts w:ascii="Cambria Math" w:hAnsi="Cambria Math" w:cs="Calibri"/>
              </w:rPr>
              <m:t>i</m:t>
            </m:r>
          </m:sub>
        </m:sSub>
      </m:oMath>
      <w:r w:rsidRPr="006E26A1">
        <w:rPr>
          <w:rFonts w:cs="Calibri"/>
          <w:bCs/>
        </w:rPr>
        <w:t xml:space="preserve">, and variance with dispersion parameter </w:t>
      </w:r>
      <m:oMath>
        <m:r>
          <w:rPr>
            <w:rFonts w:ascii="Cambria Math" w:hAnsi="Cambria Math" w:cs="Calibri"/>
          </w:rPr>
          <m:t>θ</m:t>
        </m:r>
      </m:oMath>
      <w:r w:rsidRPr="006E26A1">
        <w:rPr>
          <w:rFonts w:cs="Calibri"/>
          <w:bCs/>
        </w:rPr>
        <w:t xml:space="preserve">, </w:t>
      </w:r>
      <m:oMath>
        <m:sSub>
          <m:sSubPr>
            <m:ctrlPr>
              <w:rPr>
                <w:rFonts w:ascii="Cambria Math" w:hAnsi="Cambria Math" w:cs="Calibri"/>
                <w:bCs/>
                <w:i/>
              </w:rPr>
            </m:ctrlPr>
          </m:sSubPr>
          <m:e>
            <m:r>
              <w:rPr>
                <w:rFonts w:ascii="Cambria Math" w:hAnsi="Cambria Math" w:cs="Calibri"/>
              </w:rPr>
              <m:t>μ</m:t>
            </m:r>
          </m:e>
          <m:sub>
            <m:r>
              <w:rPr>
                <w:rFonts w:ascii="Cambria Math" w:hAnsi="Cambria Math" w:cs="Calibri"/>
              </w:rPr>
              <m:t>ij</m:t>
            </m:r>
          </m:sub>
        </m:sSub>
        <m:r>
          <w:rPr>
            <w:rFonts w:ascii="Cambria Math" w:hAnsi="Cambria Math" w:cs="Calibri"/>
          </w:rPr>
          <m:t>|</m:t>
        </m:r>
        <m:sSub>
          <m:sSubPr>
            <m:ctrlPr>
              <w:rPr>
                <w:rFonts w:ascii="Cambria Math" w:hAnsi="Cambria Math" w:cs="Calibri"/>
                <w:bCs/>
                <w:i/>
              </w:rPr>
            </m:ctrlPr>
          </m:sSubPr>
          <m:e>
            <m:r>
              <m:rPr>
                <m:sty m:val="bi"/>
              </m:rPr>
              <w:rPr>
                <w:rFonts w:ascii="Cambria Math" w:hAnsi="Cambria Math" w:cs="Calibri"/>
              </w:rPr>
              <m:t>Z</m:t>
            </m:r>
          </m:e>
          <m:sub>
            <m:r>
              <w:rPr>
                <w:rFonts w:ascii="Cambria Math" w:hAnsi="Cambria Math" w:cs="Calibri"/>
              </w:rPr>
              <m:t>ij</m:t>
            </m:r>
          </m:sub>
        </m:sSub>
        <m:r>
          <w:rPr>
            <w:rFonts w:ascii="Cambria Math" w:hAnsi="Cambria Math" w:cs="Calibri"/>
          </w:rPr>
          <m:t>,</m:t>
        </m:r>
        <m:sSub>
          <m:sSubPr>
            <m:ctrlPr>
              <w:rPr>
                <w:rFonts w:ascii="Cambria Math" w:hAnsi="Cambria Math" w:cs="Calibri"/>
                <w:bCs/>
                <w:i/>
              </w:rPr>
            </m:ctrlPr>
          </m:sSubPr>
          <m:e>
            <m:r>
              <w:rPr>
                <w:rFonts w:ascii="Cambria Math" w:hAnsi="Cambria Math" w:cs="Calibri"/>
              </w:rPr>
              <m:t>ω</m:t>
            </m:r>
          </m:e>
          <m:sub>
            <m:r>
              <w:rPr>
                <w:rFonts w:ascii="Cambria Math" w:hAnsi="Cambria Math" w:cs="Calibri"/>
              </w:rPr>
              <m:t>i</m:t>
            </m:r>
          </m:sub>
        </m:sSub>
        <m:r>
          <w:rPr>
            <w:rFonts w:ascii="Cambria Math" w:hAnsi="Cambria Math" w:cs="Calibri"/>
          </w:rPr>
          <m:t xml:space="preserve"> </m:t>
        </m:r>
        <m:d>
          <m:dPr>
            <m:ctrlPr>
              <w:rPr>
                <w:rFonts w:ascii="Cambria Math" w:hAnsi="Cambria Math" w:cs="Calibri"/>
                <w:bCs/>
                <w:i/>
              </w:rPr>
            </m:ctrlPr>
          </m:dPr>
          <m:e>
            <m:r>
              <w:rPr>
                <w:rFonts w:ascii="Cambria Math" w:hAnsi="Cambria Math" w:cs="Calibri"/>
              </w:rPr>
              <m:t>1+ θ</m:t>
            </m:r>
          </m:e>
        </m:d>
      </m:oMath>
      <w:r w:rsidRPr="006E26A1">
        <w:rPr>
          <w:rFonts w:cs="Calibri"/>
          <w:bCs/>
        </w:rPr>
        <w:t xml:space="preserve">. </w:t>
      </w:r>
      <m:oMath>
        <m:sSub>
          <m:sSubPr>
            <m:ctrlPr>
              <w:rPr>
                <w:rFonts w:ascii="Cambria Math" w:hAnsi="Cambria Math" w:cs="Calibri"/>
                <w:bCs/>
                <w:i/>
              </w:rPr>
            </m:ctrlPr>
          </m:sSubPr>
          <m:e>
            <m:r>
              <w:rPr>
                <w:rFonts w:ascii="Cambria Math" w:hAnsi="Cambria Math" w:cs="Calibri"/>
              </w:rPr>
              <m:t>M</m:t>
            </m:r>
          </m:e>
          <m:sub>
            <m:r>
              <w:rPr>
                <w:rFonts w:ascii="Cambria Math" w:hAnsi="Cambria Math" w:cs="Calibri"/>
              </w:rPr>
              <m:t>ij</m:t>
            </m:r>
          </m:sub>
        </m:sSub>
      </m:oMath>
      <w:r w:rsidRPr="006E26A1">
        <w:rPr>
          <w:rFonts w:cs="Calibri"/>
          <w:bCs/>
        </w:rPr>
        <w:t xml:space="preserve"> denotes the person-years of risk exposure for the</w:t>
      </w:r>
      <w:r w:rsidRPr="006E26A1">
        <w:rPr>
          <w:rFonts w:cs="Calibri"/>
          <w:bCs/>
          <w:i/>
        </w:rPr>
        <w:t xml:space="preserve"> j-</w:t>
      </w:r>
      <w:proofErr w:type="spellStart"/>
      <w:r w:rsidRPr="006E26A1">
        <w:rPr>
          <w:rFonts w:cs="Calibri"/>
          <w:bCs/>
          <w:i/>
        </w:rPr>
        <w:t>th</w:t>
      </w:r>
      <w:proofErr w:type="spellEnd"/>
      <w:r w:rsidRPr="006E26A1">
        <w:rPr>
          <w:rFonts w:cs="Calibri"/>
          <w:bCs/>
          <w:i/>
        </w:rPr>
        <w:t xml:space="preserve"> </w:t>
      </w:r>
      <w:r w:rsidRPr="006E26A1">
        <w:rPr>
          <w:rFonts w:cs="Calibri"/>
          <w:bCs/>
        </w:rPr>
        <w:t xml:space="preserve">patient attributed to the </w:t>
      </w:r>
      <w:proofErr w:type="spellStart"/>
      <w:r w:rsidRPr="006E26A1">
        <w:rPr>
          <w:rFonts w:cs="Calibri"/>
          <w:bCs/>
          <w:i/>
        </w:rPr>
        <w:t>i-th</w:t>
      </w:r>
      <w:proofErr w:type="spellEnd"/>
      <w:r w:rsidRPr="006E26A1">
        <w:rPr>
          <w:rFonts w:cs="Calibri"/>
          <w:bCs/>
          <w:i/>
        </w:rPr>
        <w:t xml:space="preserve"> </w:t>
      </w:r>
      <w:r w:rsidRPr="006E26A1">
        <w:rPr>
          <w:rFonts w:cs="Calibri"/>
          <w:bCs/>
        </w:rPr>
        <w:t>ACO. Given this, we re-write Equation (1) as:</w:t>
      </w:r>
    </w:p>
    <w:p w14:paraId="15686541" w14:textId="2EC3499E" w:rsidR="006E26A1" w:rsidRDefault="006E26A1" w:rsidP="006E26A1">
      <w:pPr>
        <w:pBdr>
          <w:top w:val="single" w:sz="4" w:space="1" w:color="auto"/>
          <w:left w:val="single" w:sz="4" w:space="1" w:color="auto"/>
          <w:bottom w:val="single" w:sz="4" w:space="1" w:color="auto"/>
          <w:right w:val="single" w:sz="4" w:space="1" w:color="auto"/>
        </w:pBdr>
        <w:spacing w:after="0"/>
        <w:rPr>
          <w:rFonts w:cs="Calibri"/>
          <w:bCs/>
        </w:rPr>
      </w:pPr>
    </w:p>
    <w:p w14:paraId="14EC0379" w14:textId="37174036" w:rsidR="006E26A1" w:rsidRPr="0076273C" w:rsidRDefault="004E3927" w:rsidP="006E26A1">
      <w:pPr>
        <w:pBdr>
          <w:top w:val="single" w:sz="4" w:space="1" w:color="auto"/>
          <w:left w:val="single" w:sz="4" w:space="1" w:color="auto"/>
          <w:bottom w:val="single" w:sz="4" w:space="1" w:color="auto"/>
          <w:right w:val="single" w:sz="4" w:space="1" w:color="auto"/>
        </w:pBdr>
        <w:spacing w:after="0"/>
        <w:rPr>
          <w:rFonts w:cs="Calibri"/>
        </w:rPr>
      </w:pPr>
      <m:oMathPara>
        <m:oMath>
          <m:func>
            <m:funcPr>
              <m:ctrlPr>
                <w:rPr>
                  <w:rFonts w:ascii="Cambria Math" w:eastAsia="MS Mincho" w:hAnsi="Cambria Math" w:cs="Calibri"/>
                </w:rPr>
              </m:ctrlPr>
            </m:funcPr>
            <m:fName>
              <m:r>
                <m:rPr>
                  <m:sty m:val="p"/>
                </m:rPr>
                <w:rPr>
                  <w:rFonts w:ascii="Cambria Math" w:eastAsia="MS Mincho" w:hAnsi="Cambria Math" w:cs="Calibri"/>
                </w:rPr>
                <m:t>log</m:t>
              </m:r>
            </m:fName>
            <m:e>
              <m:d>
                <m:dPr>
                  <m:ctrlPr>
                    <w:rPr>
                      <w:rFonts w:ascii="Cambria Math" w:eastAsia="MS Mincho" w:hAnsi="Cambria Math" w:cs="Calibri"/>
                      <w:i/>
                    </w:rPr>
                  </m:ctrlPr>
                </m:dPr>
                <m:e>
                  <m:r>
                    <w:rPr>
                      <w:rFonts w:ascii="Cambria Math" w:eastAsia="MS Mincho" w:hAnsi="Cambria Math" w:cs="Calibri"/>
                    </w:rPr>
                    <m:t>E(</m:t>
                  </m:r>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ij</m:t>
                      </m:r>
                    </m:sub>
                  </m:sSub>
                </m:e>
                <m:e>
                  <m:sSub>
                    <m:sSubPr>
                      <m:ctrlPr>
                        <w:rPr>
                          <w:rFonts w:ascii="Cambria Math" w:eastAsia="Calibri" w:hAnsi="Cambria Math" w:cs="Calibri"/>
                          <w:i/>
                        </w:rPr>
                      </m:ctrlPr>
                    </m:sSubPr>
                    <m:e>
                      <m:r>
                        <m:rPr>
                          <m:sty m:val="bi"/>
                        </m:rPr>
                        <w:rPr>
                          <w:rFonts w:ascii="Cambria Math" w:eastAsia="Calibri" w:hAnsi="Cambria Math" w:cs="Calibri"/>
                        </w:rPr>
                        <m:t>Z</m:t>
                      </m:r>
                    </m:e>
                    <m:sub>
                      <m:r>
                        <w:rPr>
                          <w:rFonts w:ascii="Cambria Math" w:eastAsia="Calibri" w:hAnsi="Cambria Math" w:cs="Calibri"/>
                        </w:rPr>
                        <m:t>ij</m:t>
                      </m:r>
                    </m:sub>
                  </m:sSub>
                  <m:r>
                    <w:rPr>
                      <w:rFonts w:ascii="Cambria Math" w:eastAsia="Calibri" w:hAnsi="Cambria Math" w:cs="Calibri"/>
                    </w:rPr>
                    <m:t xml:space="preserve">, </m:t>
                  </m:r>
                  <m:sSub>
                    <m:sSubPr>
                      <m:ctrlPr>
                        <w:rPr>
                          <w:rFonts w:ascii="Cambria Math" w:eastAsia="Calibri" w:hAnsi="Cambria Math" w:cs="Calibri"/>
                          <w:i/>
                        </w:rPr>
                      </m:ctrlPr>
                    </m:sSubPr>
                    <m:e>
                      <m:r>
                        <w:rPr>
                          <w:rFonts w:ascii="Cambria Math" w:eastAsia="Calibri" w:hAnsi="Cambria Math" w:cs="Calibri"/>
                        </w:rPr>
                        <m:t>ω</m:t>
                      </m:r>
                    </m:e>
                    <m:sub>
                      <m:r>
                        <w:rPr>
                          <w:rFonts w:ascii="Cambria Math" w:eastAsia="Calibri" w:hAnsi="Cambria Math" w:cs="Calibri"/>
                        </w:rPr>
                        <m:t>i</m:t>
                      </m:r>
                    </m:sub>
                  </m:sSub>
                  <m:r>
                    <w:rPr>
                      <w:rFonts w:ascii="Cambria Math" w:eastAsia="Calibri" w:hAnsi="Cambria Math" w:cs="Calibri"/>
                    </w:rPr>
                    <m:t>)</m:t>
                  </m:r>
                </m:e>
              </m:d>
            </m:e>
          </m:func>
          <m:r>
            <w:rPr>
              <w:rFonts w:ascii="Cambria Math" w:eastAsia="MS Mincho" w:hAnsi="Cambria Math" w:cs="Calibri"/>
            </w:rPr>
            <m:t>=</m:t>
          </m:r>
          <m:sSub>
            <m:sSubPr>
              <m:ctrlPr>
                <w:rPr>
                  <w:rFonts w:ascii="Cambria Math" w:eastAsia="Calibri" w:hAnsi="Cambria Math" w:cs="Calibri"/>
                  <w:i/>
                </w:rPr>
              </m:ctrlPr>
            </m:sSubPr>
            <m:e>
              <m:r>
                <w:rPr>
                  <w:rFonts w:ascii="Cambria Math" w:eastAsia="Calibri" w:hAnsi="Cambria Math" w:cs="Calibri"/>
                </w:rPr>
                <m:t>α</m:t>
              </m:r>
            </m:e>
            <m:sub>
              <m:r>
                <w:rPr>
                  <w:rFonts w:ascii="Cambria Math" w:eastAsia="Calibri" w:hAnsi="Cambria Math" w:cs="Calibri"/>
                </w:rPr>
                <m:t>i</m:t>
              </m:r>
            </m:sub>
          </m:sSub>
          <m:r>
            <w:rPr>
              <w:rFonts w:ascii="Cambria Math" w:eastAsia="Calibri" w:hAnsi="Cambria Math" w:cs="Calibri"/>
            </w:rPr>
            <m:t>+</m:t>
          </m:r>
          <m:r>
            <m:rPr>
              <m:sty m:val="bi"/>
            </m:rPr>
            <w:rPr>
              <w:rFonts w:ascii="Cambria Math" w:eastAsia="MS Mincho" w:hAnsi="Cambria Math" w:cs="Calibri"/>
            </w:rPr>
            <m:t>β</m:t>
          </m:r>
          <m:sSub>
            <m:sSubPr>
              <m:ctrlPr>
                <w:rPr>
                  <w:rFonts w:ascii="Cambria Math" w:eastAsia="Calibri" w:hAnsi="Cambria Math" w:cs="Calibri"/>
                  <w:i/>
                </w:rPr>
              </m:ctrlPr>
            </m:sSubPr>
            <m:e>
              <m:r>
                <m:rPr>
                  <m:sty m:val="bi"/>
                </m:rPr>
                <w:rPr>
                  <w:rFonts w:ascii="Cambria Math" w:eastAsia="Calibri" w:hAnsi="Cambria Math" w:cs="Calibri"/>
                </w:rPr>
                <m:t>Z</m:t>
              </m:r>
            </m:e>
            <m:sub>
              <m:r>
                <w:rPr>
                  <w:rFonts w:ascii="Cambria Math" w:eastAsia="Calibri" w:hAnsi="Cambria Math" w:cs="Calibri"/>
                </w:rPr>
                <m:t>ij</m:t>
              </m:r>
            </m:sub>
          </m:sSub>
          <m:r>
            <m:rPr>
              <m:sty m:val="p"/>
            </m:rPr>
            <w:rPr>
              <w:rFonts w:ascii="Cambria Math" w:eastAsia="Calibri" w:hAnsi="Cambria Math" w:cs="Calibri"/>
            </w:rPr>
            <m:t>+</m:t>
          </m:r>
          <m:func>
            <m:funcPr>
              <m:ctrlPr>
                <w:rPr>
                  <w:rFonts w:ascii="Cambria Math" w:eastAsia="Calibri" w:hAnsi="Cambria Math" w:cs="Calibri"/>
                  <w:i/>
                </w:rPr>
              </m:ctrlPr>
            </m:funcPr>
            <m:fName>
              <m:r>
                <m:rPr>
                  <m:sty m:val="p"/>
                </m:rPr>
                <w:rPr>
                  <w:rFonts w:ascii="Cambria Math" w:eastAsia="Calibri" w:hAnsi="Cambria Math" w:cs="Calibri"/>
                </w:rPr>
                <m:t>log</m:t>
              </m:r>
            </m:fName>
            <m:e>
              <m:d>
                <m:dPr>
                  <m:ctrlPr>
                    <w:rPr>
                      <w:rFonts w:ascii="Cambria Math" w:eastAsia="Calibri" w:hAnsi="Cambria Math" w:cs="Calibri"/>
                      <w:i/>
                    </w:rPr>
                  </m:ctrlPr>
                </m:dPr>
                <m:e>
                  <m:sSub>
                    <m:sSubPr>
                      <m:ctrlPr>
                        <w:rPr>
                          <w:rFonts w:ascii="Cambria Math" w:eastAsia="Calibri" w:hAnsi="Cambria Math" w:cs="Calibri"/>
                          <w:i/>
                        </w:rPr>
                      </m:ctrlPr>
                    </m:sSubPr>
                    <m:e>
                      <m:r>
                        <w:rPr>
                          <w:rFonts w:ascii="Cambria Math" w:eastAsia="Calibri" w:hAnsi="Cambria Math" w:cs="Calibri"/>
                        </w:rPr>
                        <m:t>M</m:t>
                      </m:r>
                    </m:e>
                    <m:sub>
                      <m:r>
                        <w:rPr>
                          <w:rFonts w:ascii="Cambria Math" w:eastAsia="Calibri" w:hAnsi="Cambria Math" w:cs="Calibri"/>
                        </w:rPr>
                        <m:t>ij</m:t>
                      </m:r>
                    </m:sub>
                  </m:sSub>
                </m:e>
              </m:d>
            </m:e>
          </m:func>
          <m:r>
            <w:rPr>
              <w:rFonts w:ascii="Cambria Math" w:eastAsia="Calibri" w:hAnsi="Cambria Math" w:cs="Calibri"/>
            </w:rPr>
            <m:t xml:space="preserve">          (2)</m:t>
          </m:r>
        </m:oMath>
      </m:oMathPara>
    </w:p>
    <w:p w14:paraId="1207361B" w14:textId="39B35F29" w:rsidR="0076273C" w:rsidRDefault="0076273C" w:rsidP="006E26A1">
      <w:pPr>
        <w:pBdr>
          <w:top w:val="single" w:sz="4" w:space="1" w:color="auto"/>
          <w:left w:val="single" w:sz="4" w:space="1" w:color="auto"/>
          <w:bottom w:val="single" w:sz="4" w:space="1" w:color="auto"/>
          <w:right w:val="single" w:sz="4" w:space="1" w:color="auto"/>
        </w:pBdr>
        <w:spacing w:after="0"/>
        <w:rPr>
          <w:rFonts w:cs="Calibri"/>
        </w:rPr>
      </w:pPr>
    </w:p>
    <w:p w14:paraId="2F1C89EF" w14:textId="3CA6869D" w:rsidR="0076273C" w:rsidRPr="0076273C" w:rsidRDefault="0076273C" w:rsidP="0076273C">
      <w:pPr>
        <w:pBdr>
          <w:top w:val="single" w:sz="4" w:space="1" w:color="auto"/>
          <w:left w:val="single" w:sz="4" w:space="1" w:color="auto"/>
          <w:bottom w:val="single" w:sz="4" w:space="1" w:color="auto"/>
          <w:right w:val="single" w:sz="4" w:space="1" w:color="auto"/>
        </w:pBdr>
        <w:spacing w:after="0"/>
        <w:rPr>
          <w:rFonts w:cs="Calibri"/>
          <w:bCs/>
        </w:rPr>
      </w:pPr>
      <w:r w:rsidRPr="0076273C">
        <w:rPr>
          <w:rFonts w:cs="Calibri"/>
          <w:bCs/>
          <w:i/>
        </w:rPr>
        <w:t>where</w:t>
      </w:r>
      <w:r w:rsidRPr="0076273C">
        <w:rPr>
          <w:rFonts w:cs="Calibri"/>
          <w:bCs/>
        </w:rPr>
        <w:t xml:space="preserve"> </w:t>
      </w:r>
      <m:oMath>
        <m:r>
          <m:rPr>
            <m:sty m:val="p"/>
          </m:rPr>
          <w:rPr>
            <w:rFonts w:ascii="Cambria Math" w:hAnsi="Cambria Math" w:cs="Calibri"/>
          </w:rPr>
          <m:t>log⁡</m:t>
        </m:r>
        <m:r>
          <w:rPr>
            <w:rFonts w:ascii="Cambria Math" w:hAnsi="Cambria Math" w:cs="Calibri"/>
          </w:rPr>
          <m:t>(</m:t>
        </m:r>
        <m:sSub>
          <m:sSubPr>
            <m:ctrlPr>
              <w:rPr>
                <w:rFonts w:ascii="Cambria Math" w:hAnsi="Cambria Math" w:cs="Calibri"/>
                <w:bCs/>
                <w:i/>
              </w:rPr>
            </m:ctrlPr>
          </m:sSubPr>
          <m:e>
            <m:r>
              <w:rPr>
                <w:rFonts w:ascii="Cambria Math" w:hAnsi="Cambria Math" w:cs="Calibri"/>
              </w:rPr>
              <m:t>M</m:t>
            </m:r>
          </m:e>
          <m:sub>
            <m:r>
              <w:rPr>
                <w:rFonts w:ascii="Cambria Math" w:hAnsi="Cambria Math" w:cs="Calibri"/>
              </w:rPr>
              <m:t>ij</m:t>
            </m:r>
          </m:sub>
        </m:sSub>
        <m:r>
          <w:rPr>
            <w:rFonts w:ascii="Cambria Math" w:hAnsi="Cambria Math" w:cs="Calibri"/>
          </w:rPr>
          <m:t>)</m:t>
        </m:r>
      </m:oMath>
      <w:r w:rsidRPr="0076273C">
        <w:rPr>
          <w:rFonts w:cs="Calibri"/>
          <w:bCs/>
        </w:rPr>
        <w:t xml:space="preserve"> becomes the offset used to correct for the time at risk.</w:t>
      </w:r>
    </w:p>
    <w:p w14:paraId="4DE41D67" w14:textId="77777777" w:rsidR="0076273C" w:rsidRDefault="0076273C" w:rsidP="006E26A1">
      <w:pPr>
        <w:pBdr>
          <w:top w:val="single" w:sz="4" w:space="1" w:color="auto"/>
          <w:left w:val="single" w:sz="4" w:space="1" w:color="auto"/>
          <w:bottom w:val="single" w:sz="4" w:space="1" w:color="auto"/>
          <w:right w:val="single" w:sz="4" w:space="1" w:color="auto"/>
        </w:pBdr>
        <w:spacing w:after="0"/>
        <w:rPr>
          <w:rFonts w:cs="Calibri"/>
          <w:bCs/>
        </w:rPr>
      </w:pPr>
    </w:p>
    <w:p w14:paraId="554C6AA5" w14:textId="5D1E4F7B" w:rsidR="0076273C" w:rsidRDefault="0076273C" w:rsidP="006E26A1">
      <w:pPr>
        <w:pBdr>
          <w:top w:val="single" w:sz="4" w:space="1" w:color="auto"/>
          <w:left w:val="single" w:sz="4" w:space="1" w:color="auto"/>
          <w:bottom w:val="single" w:sz="4" w:space="1" w:color="auto"/>
          <w:right w:val="single" w:sz="4" w:space="1" w:color="auto"/>
        </w:pBdr>
        <w:spacing w:after="0"/>
        <w:rPr>
          <w:rFonts w:cs="Calibri"/>
          <w:bCs/>
        </w:rPr>
      </w:pPr>
      <w:r w:rsidRPr="0076273C">
        <w:rPr>
          <w:rFonts w:cs="Calibri"/>
          <w:bCs/>
        </w:rPr>
        <w:t>We estimate the HGLM using Stata version 15 (</w:t>
      </w:r>
      <w:proofErr w:type="spellStart"/>
      <w:r w:rsidRPr="0076273C">
        <w:rPr>
          <w:rFonts w:cs="Calibri"/>
          <w:bCs/>
        </w:rPr>
        <w:t>StataCorp</w:t>
      </w:r>
      <w:proofErr w:type="spellEnd"/>
      <w:r w:rsidRPr="0076273C">
        <w:rPr>
          <w:rFonts w:cs="Calibri"/>
          <w:bCs/>
        </w:rPr>
        <w:t>, College Station, TX) (MENBREG function).</w:t>
      </w:r>
    </w:p>
    <w:p w14:paraId="37A4B8B2" w14:textId="2E3ED3A8" w:rsidR="008A2319" w:rsidRDefault="00E954A6" w:rsidP="006A1AC2">
      <w:pPr>
        <w:rPr>
          <w:rFonts w:ascii="Calibri" w:eastAsia="Calibri" w:hAnsi="Calibri"/>
        </w:rPr>
      </w:pPr>
      <w:r>
        <w:rPr>
          <w:rFonts w:ascii="Calibri" w:eastAsia="MS Gothic" w:hAnsi="Calibri"/>
          <w:b/>
          <w:bCs/>
          <w:iCs/>
          <w:szCs w:val="26"/>
        </w:rPr>
        <w:br w:type="column"/>
      </w:r>
      <w:r w:rsidR="008A2319" w:rsidRPr="002462F0">
        <w:rPr>
          <w:rFonts w:cstheme="minorHAnsi"/>
          <w:b/>
          <w:bCs/>
        </w:rPr>
        <w:lastRenderedPageBreak/>
        <w:t xml:space="preserve">Prevalence of each risk variable and the associated rate ratios for variables in the final risk model for the </w:t>
      </w:r>
      <w:r w:rsidR="008A2319">
        <w:rPr>
          <w:rFonts w:cstheme="minorHAnsi"/>
          <w:b/>
          <w:bCs/>
        </w:rPr>
        <w:t>ACO</w:t>
      </w:r>
      <w:r w:rsidR="008A2319" w:rsidRPr="002462F0">
        <w:rPr>
          <w:rFonts w:cstheme="minorHAnsi"/>
          <w:b/>
          <w:bCs/>
        </w:rPr>
        <w:t xml:space="preserve"> MCC measure.</w:t>
      </w:r>
    </w:p>
    <w:tbl>
      <w:tblPr>
        <w:tblW w:w="5000" w:type="pct"/>
        <w:tblLook w:val="04A0" w:firstRow="1" w:lastRow="0" w:firstColumn="1" w:lastColumn="0" w:noHBand="0" w:noVBand="1"/>
      </w:tblPr>
      <w:tblGrid>
        <w:gridCol w:w="5438"/>
        <w:gridCol w:w="1956"/>
        <w:gridCol w:w="1956"/>
      </w:tblGrid>
      <w:tr w:rsidR="008A2319" w:rsidRPr="008A2319" w14:paraId="6A5D58BD" w14:textId="77777777" w:rsidTr="008A2319">
        <w:trPr>
          <w:trHeight w:val="583"/>
        </w:trPr>
        <w:tc>
          <w:tcPr>
            <w:tcW w:w="2908" w:type="pct"/>
            <w:vMerge w:val="restart"/>
            <w:tcBorders>
              <w:top w:val="single" w:sz="4" w:space="0" w:color="B0B7BB"/>
              <w:left w:val="single" w:sz="4" w:space="0" w:color="B0B7BB"/>
              <w:bottom w:val="single" w:sz="4" w:space="0" w:color="B0B7BB"/>
              <w:right w:val="single" w:sz="4" w:space="0" w:color="B0B7BB"/>
            </w:tcBorders>
            <w:shd w:val="clear" w:color="000000" w:fill="EDF2F9"/>
            <w:vAlign w:val="center"/>
            <w:hideMark/>
          </w:tcPr>
          <w:p w14:paraId="28FA849B" w14:textId="77777777" w:rsidR="008A2319" w:rsidRPr="008A2319" w:rsidRDefault="008A2319" w:rsidP="008A2319">
            <w:pPr>
              <w:spacing w:after="0" w:line="240" w:lineRule="auto"/>
              <w:jc w:val="center"/>
              <w:rPr>
                <w:rFonts w:ascii="Arial" w:eastAsia="Times New Roman" w:hAnsi="Arial" w:cs="Arial"/>
                <w:b/>
                <w:bCs/>
                <w:color w:val="112277"/>
                <w:sz w:val="19"/>
                <w:szCs w:val="19"/>
              </w:rPr>
            </w:pPr>
            <w:r w:rsidRPr="008A2319">
              <w:rPr>
                <w:rFonts w:ascii="Arial" w:eastAsia="Times New Roman" w:hAnsi="Arial" w:cs="Arial"/>
                <w:b/>
                <w:bCs/>
                <w:color w:val="112277"/>
                <w:sz w:val="19"/>
                <w:szCs w:val="19"/>
              </w:rPr>
              <w:t>Variable</w:t>
            </w:r>
          </w:p>
        </w:tc>
        <w:tc>
          <w:tcPr>
            <w:tcW w:w="2092" w:type="pct"/>
            <w:gridSpan w:val="2"/>
            <w:tcBorders>
              <w:top w:val="single" w:sz="4" w:space="0" w:color="B0B7BB"/>
              <w:left w:val="nil"/>
              <w:bottom w:val="single" w:sz="4" w:space="0" w:color="B0B7BB"/>
              <w:right w:val="single" w:sz="4" w:space="0" w:color="B0B7BB"/>
            </w:tcBorders>
            <w:shd w:val="clear" w:color="000000" w:fill="EDF2F9"/>
            <w:vAlign w:val="bottom"/>
            <w:hideMark/>
          </w:tcPr>
          <w:p w14:paraId="2DBDEDED" w14:textId="77777777" w:rsidR="008A2319" w:rsidRPr="008A2319" w:rsidRDefault="008A2319" w:rsidP="008A2319">
            <w:pPr>
              <w:spacing w:after="0" w:line="240" w:lineRule="auto"/>
              <w:jc w:val="center"/>
              <w:rPr>
                <w:rFonts w:ascii="Arial" w:eastAsia="Times New Roman" w:hAnsi="Arial" w:cs="Arial"/>
                <w:b/>
                <w:bCs/>
                <w:color w:val="112277"/>
                <w:sz w:val="19"/>
                <w:szCs w:val="19"/>
              </w:rPr>
            </w:pPr>
            <w:r w:rsidRPr="008A2319">
              <w:rPr>
                <w:rFonts w:ascii="Arial" w:eastAsia="Times New Roman" w:hAnsi="Arial" w:cs="Arial"/>
                <w:b/>
                <w:bCs/>
                <w:color w:val="112277"/>
                <w:sz w:val="19"/>
                <w:szCs w:val="19"/>
              </w:rPr>
              <w:t>ACO MCC Cohort</w:t>
            </w:r>
            <w:r w:rsidRPr="008A2319">
              <w:rPr>
                <w:rFonts w:ascii="Arial" w:eastAsia="Times New Roman" w:hAnsi="Arial" w:cs="Arial"/>
                <w:b/>
                <w:bCs/>
                <w:color w:val="112277"/>
                <w:sz w:val="19"/>
                <w:szCs w:val="19"/>
              </w:rPr>
              <w:br/>
              <w:t>n = 2,515,727</w:t>
            </w:r>
          </w:p>
        </w:tc>
      </w:tr>
      <w:tr w:rsidR="008A2319" w:rsidRPr="008A2319" w14:paraId="7849EEED" w14:textId="77777777" w:rsidTr="008A2319">
        <w:trPr>
          <w:trHeight w:val="720"/>
        </w:trPr>
        <w:tc>
          <w:tcPr>
            <w:tcW w:w="2908" w:type="pct"/>
            <w:vMerge/>
            <w:tcBorders>
              <w:top w:val="single" w:sz="4" w:space="0" w:color="B0B7BB"/>
              <w:left w:val="single" w:sz="4" w:space="0" w:color="B0B7BB"/>
              <w:bottom w:val="single" w:sz="4" w:space="0" w:color="B0B7BB"/>
              <w:right w:val="single" w:sz="4" w:space="0" w:color="B0B7BB"/>
            </w:tcBorders>
            <w:vAlign w:val="center"/>
            <w:hideMark/>
          </w:tcPr>
          <w:p w14:paraId="1A223AFB" w14:textId="77777777" w:rsidR="008A2319" w:rsidRPr="008A2319" w:rsidRDefault="008A2319" w:rsidP="008A2319">
            <w:pPr>
              <w:spacing w:after="0" w:line="240" w:lineRule="auto"/>
              <w:rPr>
                <w:rFonts w:ascii="Arial" w:eastAsia="Times New Roman" w:hAnsi="Arial" w:cs="Arial"/>
                <w:b/>
                <w:bCs/>
                <w:color w:val="112277"/>
                <w:sz w:val="19"/>
                <w:szCs w:val="19"/>
              </w:rPr>
            </w:pPr>
          </w:p>
        </w:tc>
        <w:tc>
          <w:tcPr>
            <w:tcW w:w="1046" w:type="pct"/>
            <w:tcBorders>
              <w:top w:val="nil"/>
              <w:left w:val="nil"/>
              <w:bottom w:val="single" w:sz="4" w:space="0" w:color="B0B7BB"/>
              <w:right w:val="single" w:sz="4" w:space="0" w:color="B0B7BB"/>
            </w:tcBorders>
            <w:shd w:val="clear" w:color="000000" w:fill="EDF2F9"/>
            <w:vAlign w:val="bottom"/>
            <w:hideMark/>
          </w:tcPr>
          <w:p w14:paraId="2E3D6D60" w14:textId="77777777" w:rsidR="008A2319" w:rsidRPr="008A2319" w:rsidRDefault="008A2319" w:rsidP="008A2319">
            <w:pPr>
              <w:spacing w:after="0" w:line="240" w:lineRule="auto"/>
              <w:jc w:val="center"/>
              <w:rPr>
                <w:rFonts w:ascii="Arial" w:eastAsia="Times New Roman" w:hAnsi="Arial" w:cs="Arial"/>
                <w:b/>
                <w:bCs/>
                <w:color w:val="112277"/>
                <w:sz w:val="19"/>
                <w:szCs w:val="19"/>
              </w:rPr>
            </w:pPr>
            <w:r w:rsidRPr="008A2319">
              <w:rPr>
                <w:rFonts w:ascii="Arial" w:eastAsia="Times New Roman" w:hAnsi="Arial" w:cs="Arial"/>
                <w:b/>
                <w:bCs/>
                <w:color w:val="112277"/>
                <w:sz w:val="19"/>
                <w:szCs w:val="19"/>
              </w:rPr>
              <w:t>Prevalence of risk factors</w:t>
            </w:r>
            <w:r w:rsidRPr="008A2319">
              <w:rPr>
                <w:rFonts w:ascii="Arial" w:eastAsia="Times New Roman" w:hAnsi="Arial" w:cs="Arial"/>
                <w:b/>
                <w:bCs/>
                <w:color w:val="112277"/>
                <w:sz w:val="19"/>
                <w:szCs w:val="19"/>
              </w:rPr>
              <w:br/>
              <w:t>n (%)</w:t>
            </w:r>
          </w:p>
        </w:tc>
        <w:tc>
          <w:tcPr>
            <w:tcW w:w="1046" w:type="pct"/>
            <w:tcBorders>
              <w:top w:val="nil"/>
              <w:left w:val="nil"/>
              <w:bottom w:val="single" w:sz="4" w:space="0" w:color="B0B7BB"/>
              <w:right w:val="single" w:sz="4" w:space="0" w:color="B0B7BB"/>
            </w:tcBorders>
            <w:shd w:val="clear" w:color="000000" w:fill="EDF2F9"/>
            <w:vAlign w:val="bottom"/>
            <w:hideMark/>
          </w:tcPr>
          <w:p w14:paraId="0599CC94" w14:textId="77777777" w:rsidR="008A2319" w:rsidRPr="008A2319" w:rsidRDefault="008A2319" w:rsidP="008A2319">
            <w:pPr>
              <w:spacing w:after="0" w:line="240" w:lineRule="auto"/>
              <w:jc w:val="center"/>
              <w:rPr>
                <w:rFonts w:ascii="Arial" w:eastAsia="Times New Roman" w:hAnsi="Arial" w:cs="Arial"/>
                <w:b/>
                <w:bCs/>
                <w:color w:val="112277"/>
                <w:sz w:val="19"/>
                <w:szCs w:val="19"/>
              </w:rPr>
            </w:pPr>
            <w:r w:rsidRPr="008A2319">
              <w:rPr>
                <w:rFonts w:ascii="Arial" w:eastAsia="Times New Roman" w:hAnsi="Arial" w:cs="Arial"/>
                <w:b/>
                <w:bCs/>
                <w:color w:val="112277"/>
                <w:sz w:val="19"/>
                <w:szCs w:val="19"/>
              </w:rPr>
              <w:t>Adjusted rate ratio</w:t>
            </w:r>
            <w:r w:rsidRPr="008A2319">
              <w:rPr>
                <w:rFonts w:ascii="Arial" w:eastAsia="Times New Roman" w:hAnsi="Arial" w:cs="Arial"/>
                <w:b/>
                <w:bCs/>
                <w:color w:val="112277"/>
                <w:sz w:val="19"/>
                <w:szCs w:val="19"/>
              </w:rPr>
              <w:br/>
              <w:t>(95% CI)</w:t>
            </w:r>
          </w:p>
        </w:tc>
      </w:tr>
      <w:tr w:rsidR="008A2319" w:rsidRPr="008A2319" w14:paraId="2CA5BABB" w14:textId="77777777" w:rsidTr="008A2319">
        <w:trPr>
          <w:trHeight w:val="240"/>
        </w:trPr>
        <w:tc>
          <w:tcPr>
            <w:tcW w:w="2908" w:type="pct"/>
            <w:tcBorders>
              <w:top w:val="single" w:sz="4" w:space="0" w:color="C1C1C1"/>
              <w:left w:val="single" w:sz="4" w:space="0" w:color="C1C1C1"/>
              <w:bottom w:val="single" w:sz="4" w:space="0" w:color="C1C1C1"/>
              <w:right w:val="single" w:sz="4" w:space="0" w:color="C1C1C1"/>
            </w:tcBorders>
            <w:shd w:val="clear" w:color="000000" w:fill="FFFFFF"/>
            <w:vAlign w:val="bottom"/>
            <w:hideMark/>
          </w:tcPr>
          <w:p w14:paraId="475FFDE5" w14:textId="77777777" w:rsidR="008A2319" w:rsidRPr="008A2319" w:rsidRDefault="008A2319" w:rsidP="008A2319">
            <w:pPr>
              <w:spacing w:after="0" w:line="240" w:lineRule="auto"/>
              <w:rPr>
                <w:rFonts w:ascii="Arial" w:eastAsia="Times New Roman" w:hAnsi="Arial" w:cs="Arial"/>
                <w:color w:val="000000"/>
                <w:sz w:val="19"/>
                <w:szCs w:val="19"/>
              </w:rPr>
            </w:pPr>
            <w:r w:rsidRPr="008A2319">
              <w:rPr>
                <w:rFonts w:ascii="Arial" w:eastAsia="Times New Roman" w:hAnsi="Arial" w:cs="Arial"/>
                <w:color w:val="000000"/>
                <w:sz w:val="19"/>
                <w:szCs w:val="19"/>
              </w:rPr>
              <w:t>Crude rate (per 100 person-years)</w:t>
            </w:r>
          </w:p>
        </w:tc>
        <w:tc>
          <w:tcPr>
            <w:tcW w:w="1046" w:type="pct"/>
            <w:tcBorders>
              <w:top w:val="single" w:sz="4" w:space="0" w:color="C1C1C1"/>
              <w:left w:val="nil"/>
              <w:bottom w:val="single" w:sz="4" w:space="0" w:color="C1C1C1"/>
              <w:right w:val="single" w:sz="4" w:space="0" w:color="C1C1C1"/>
            </w:tcBorders>
            <w:shd w:val="clear" w:color="auto" w:fill="auto"/>
            <w:vAlign w:val="bottom"/>
            <w:hideMark/>
          </w:tcPr>
          <w:p w14:paraId="489C278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38.6</w:t>
            </w:r>
          </w:p>
        </w:tc>
        <w:tc>
          <w:tcPr>
            <w:tcW w:w="1046" w:type="pct"/>
            <w:tcBorders>
              <w:top w:val="single" w:sz="4" w:space="0" w:color="C1C1C1"/>
              <w:left w:val="nil"/>
              <w:bottom w:val="single" w:sz="4" w:space="0" w:color="C1C1C1"/>
              <w:right w:val="single" w:sz="4" w:space="0" w:color="C1C1C1"/>
            </w:tcBorders>
            <w:shd w:val="clear" w:color="auto" w:fill="auto"/>
            <w:vAlign w:val="bottom"/>
            <w:hideMark/>
          </w:tcPr>
          <w:p w14:paraId="29A4A6F4"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5C95850E"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CF95479" w14:textId="77777777" w:rsidR="008A2319" w:rsidRPr="008A2319" w:rsidRDefault="008A2319" w:rsidP="008A2319">
            <w:pPr>
              <w:spacing w:after="0" w:line="240" w:lineRule="auto"/>
              <w:rPr>
                <w:rFonts w:ascii="Arial" w:eastAsia="Times New Roman" w:hAnsi="Arial" w:cs="Arial"/>
                <w:color w:val="000000"/>
                <w:sz w:val="19"/>
                <w:szCs w:val="19"/>
              </w:rPr>
            </w:pPr>
            <w:r w:rsidRPr="008A2319">
              <w:rPr>
                <w:rFonts w:ascii="Arial" w:eastAsia="Times New Roman" w:hAnsi="Arial" w:cs="Arial"/>
                <w:color w:val="000000"/>
                <w:sz w:val="19"/>
                <w:szCs w:val="19"/>
              </w:rPr>
              <w:t>Total number of admissions</w:t>
            </w:r>
          </w:p>
        </w:tc>
        <w:tc>
          <w:tcPr>
            <w:tcW w:w="1046" w:type="pct"/>
            <w:tcBorders>
              <w:top w:val="nil"/>
              <w:left w:val="nil"/>
              <w:bottom w:val="single" w:sz="4" w:space="0" w:color="C1C1C1"/>
              <w:right w:val="single" w:sz="4" w:space="0" w:color="C1C1C1"/>
            </w:tcBorders>
            <w:shd w:val="clear" w:color="auto" w:fill="auto"/>
            <w:vAlign w:val="bottom"/>
            <w:hideMark/>
          </w:tcPr>
          <w:p w14:paraId="342A9D2B"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xml:space="preserve">  888,384</w:t>
            </w:r>
          </w:p>
        </w:tc>
        <w:tc>
          <w:tcPr>
            <w:tcW w:w="1046" w:type="pct"/>
            <w:tcBorders>
              <w:top w:val="nil"/>
              <w:left w:val="nil"/>
              <w:bottom w:val="single" w:sz="4" w:space="0" w:color="C1C1C1"/>
              <w:right w:val="single" w:sz="4" w:space="0" w:color="C1C1C1"/>
            </w:tcBorders>
            <w:shd w:val="clear" w:color="auto" w:fill="auto"/>
            <w:vAlign w:val="bottom"/>
            <w:hideMark/>
          </w:tcPr>
          <w:p w14:paraId="61DC542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00F7C2B3"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F1E53F5" w14:textId="23AF2DEF" w:rsidR="008A2319" w:rsidRPr="008A2319" w:rsidRDefault="008A2319" w:rsidP="008A2319">
            <w:pPr>
              <w:spacing w:after="0" w:line="240" w:lineRule="auto"/>
              <w:rPr>
                <w:rFonts w:ascii="Arial" w:eastAsia="Times New Roman" w:hAnsi="Arial" w:cs="Arial"/>
                <w:color w:val="000000"/>
                <w:sz w:val="19"/>
                <w:szCs w:val="19"/>
              </w:rPr>
            </w:pPr>
            <w:r w:rsidRPr="008A2319">
              <w:rPr>
                <w:rFonts w:ascii="Arial" w:eastAsia="Times New Roman" w:hAnsi="Arial" w:cs="Arial"/>
                <w:color w:val="000000"/>
                <w:sz w:val="19"/>
                <w:szCs w:val="19"/>
              </w:rPr>
              <w:t>Total person time at risk (in years)</w:t>
            </w:r>
          </w:p>
        </w:tc>
        <w:tc>
          <w:tcPr>
            <w:tcW w:w="1046" w:type="pct"/>
            <w:tcBorders>
              <w:top w:val="nil"/>
              <w:left w:val="nil"/>
              <w:bottom w:val="single" w:sz="4" w:space="0" w:color="C1C1C1"/>
              <w:right w:val="single" w:sz="4" w:space="0" w:color="C1C1C1"/>
            </w:tcBorders>
            <w:shd w:val="clear" w:color="auto" w:fill="auto"/>
            <w:vAlign w:val="bottom"/>
            <w:hideMark/>
          </w:tcPr>
          <w:p w14:paraId="7987D117"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2,299,296</w:t>
            </w:r>
          </w:p>
        </w:tc>
        <w:tc>
          <w:tcPr>
            <w:tcW w:w="1046" w:type="pct"/>
            <w:tcBorders>
              <w:top w:val="nil"/>
              <w:left w:val="nil"/>
              <w:bottom w:val="single" w:sz="4" w:space="0" w:color="C1C1C1"/>
              <w:right w:val="single" w:sz="4" w:space="0" w:color="C1C1C1"/>
            </w:tcBorders>
            <w:shd w:val="clear" w:color="auto" w:fill="auto"/>
            <w:vAlign w:val="bottom"/>
            <w:hideMark/>
          </w:tcPr>
          <w:p w14:paraId="6A6D5F8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015513FA"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BF50706" w14:textId="77777777" w:rsidR="008A2319" w:rsidRPr="008A2319" w:rsidRDefault="008A2319" w:rsidP="008A2319">
            <w:pPr>
              <w:spacing w:after="0" w:line="240" w:lineRule="auto"/>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c>
          <w:tcPr>
            <w:tcW w:w="1046" w:type="pct"/>
            <w:tcBorders>
              <w:top w:val="nil"/>
              <w:left w:val="nil"/>
              <w:bottom w:val="single" w:sz="4" w:space="0" w:color="C1C1C1"/>
              <w:right w:val="single" w:sz="4" w:space="0" w:color="C1C1C1"/>
            </w:tcBorders>
            <w:shd w:val="clear" w:color="auto" w:fill="auto"/>
            <w:vAlign w:val="bottom"/>
            <w:hideMark/>
          </w:tcPr>
          <w:p w14:paraId="421B3B4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c>
          <w:tcPr>
            <w:tcW w:w="1046" w:type="pct"/>
            <w:tcBorders>
              <w:top w:val="nil"/>
              <w:left w:val="nil"/>
              <w:bottom w:val="single" w:sz="4" w:space="0" w:color="C1C1C1"/>
              <w:right w:val="single" w:sz="4" w:space="0" w:color="C1C1C1"/>
            </w:tcBorders>
            <w:shd w:val="clear" w:color="auto" w:fill="auto"/>
            <w:vAlign w:val="bottom"/>
            <w:hideMark/>
          </w:tcPr>
          <w:p w14:paraId="29BE371D"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12DA9459"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7EC1964" w14:textId="77777777" w:rsidR="008A2319" w:rsidRPr="008A2319" w:rsidRDefault="008A2319" w:rsidP="008A2319">
            <w:pPr>
              <w:spacing w:after="0" w:line="240" w:lineRule="auto"/>
              <w:rPr>
                <w:rFonts w:ascii="Arial" w:eastAsia="Times New Roman" w:hAnsi="Arial" w:cs="Arial"/>
                <w:b/>
                <w:bCs/>
                <w:color w:val="000000"/>
                <w:sz w:val="19"/>
                <w:szCs w:val="19"/>
              </w:rPr>
            </w:pPr>
            <w:r w:rsidRPr="008A2319">
              <w:rPr>
                <w:rFonts w:ascii="Arial" w:eastAsia="Times New Roman" w:hAnsi="Arial" w:cs="Arial"/>
                <w:b/>
                <w:bCs/>
                <w:color w:val="000000"/>
                <w:sz w:val="19"/>
                <w:szCs w:val="19"/>
              </w:rPr>
              <w:t>Demographic</w:t>
            </w:r>
          </w:p>
        </w:tc>
        <w:tc>
          <w:tcPr>
            <w:tcW w:w="1046" w:type="pct"/>
            <w:tcBorders>
              <w:top w:val="nil"/>
              <w:left w:val="nil"/>
              <w:bottom w:val="single" w:sz="4" w:space="0" w:color="C1C1C1"/>
              <w:right w:val="single" w:sz="4" w:space="0" w:color="C1C1C1"/>
            </w:tcBorders>
            <w:shd w:val="clear" w:color="auto" w:fill="auto"/>
            <w:vAlign w:val="bottom"/>
            <w:hideMark/>
          </w:tcPr>
          <w:p w14:paraId="7796D45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c>
          <w:tcPr>
            <w:tcW w:w="1046" w:type="pct"/>
            <w:tcBorders>
              <w:top w:val="nil"/>
              <w:left w:val="nil"/>
              <w:bottom w:val="single" w:sz="4" w:space="0" w:color="C1C1C1"/>
              <w:right w:val="single" w:sz="4" w:space="0" w:color="C1C1C1"/>
            </w:tcBorders>
            <w:shd w:val="clear" w:color="auto" w:fill="auto"/>
            <w:vAlign w:val="bottom"/>
            <w:hideMark/>
          </w:tcPr>
          <w:p w14:paraId="705BF53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1BECFC0A"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679E6AF"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Age &lt;70 y/o</w:t>
            </w:r>
          </w:p>
        </w:tc>
        <w:tc>
          <w:tcPr>
            <w:tcW w:w="1046" w:type="pct"/>
            <w:tcBorders>
              <w:top w:val="nil"/>
              <w:left w:val="nil"/>
              <w:bottom w:val="single" w:sz="4" w:space="0" w:color="C1C1C1"/>
              <w:right w:val="single" w:sz="4" w:space="0" w:color="C1C1C1"/>
            </w:tcBorders>
            <w:shd w:val="clear" w:color="auto" w:fill="auto"/>
            <w:vAlign w:val="bottom"/>
            <w:hideMark/>
          </w:tcPr>
          <w:p w14:paraId="6D93A4E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402,597 (16.0%)</w:t>
            </w:r>
          </w:p>
        </w:tc>
        <w:tc>
          <w:tcPr>
            <w:tcW w:w="1046" w:type="pct"/>
            <w:tcBorders>
              <w:top w:val="nil"/>
              <w:left w:val="nil"/>
              <w:bottom w:val="single" w:sz="4" w:space="0" w:color="C1C1C1"/>
              <w:right w:val="single" w:sz="4" w:space="0" w:color="C1C1C1"/>
            </w:tcBorders>
            <w:shd w:val="clear" w:color="auto" w:fill="auto"/>
            <w:vAlign w:val="bottom"/>
            <w:hideMark/>
          </w:tcPr>
          <w:p w14:paraId="542B4B1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45E8EA2C"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D8DCC12"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Age 70 to &lt;75 y/o</w:t>
            </w:r>
          </w:p>
        </w:tc>
        <w:tc>
          <w:tcPr>
            <w:tcW w:w="1046" w:type="pct"/>
            <w:tcBorders>
              <w:top w:val="nil"/>
              <w:left w:val="nil"/>
              <w:bottom w:val="single" w:sz="4" w:space="0" w:color="C1C1C1"/>
              <w:right w:val="single" w:sz="4" w:space="0" w:color="C1C1C1"/>
            </w:tcBorders>
            <w:shd w:val="clear" w:color="auto" w:fill="auto"/>
            <w:vAlign w:val="bottom"/>
            <w:hideMark/>
          </w:tcPr>
          <w:p w14:paraId="73DAB078"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576,570 (22.9%)</w:t>
            </w:r>
          </w:p>
        </w:tc>
        <w:tc>
          <w:tcPr>
            <w:tcW w:w="1046" w:type="pct"/>
            <w:tcBorders>
              <w:top w:val="nil"/>
              <w:left w:val="nil"/>
              <w:bottom w:val="single" w:sz="4" w:space="0" w:color="C1C1C1"/>
              <w:right w:val="single" w:sz="4" w:space="0" w:color="C1C1C1"/>
            </w:tcBorders>
            <w:shd w:val="clear" w:color="auto" w:fill="auto"/>
            <w:vAlign w:val="bottom"/>
            <w:hideMark/>
          </w:tcPr>
          <w:p w14:paraId="27B0D505"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1.10 (1.09, 1.11)</w:t>
            </w:r>
          </w:p>
        </w:tc>
      </w:tr>
      <w:tr w:rsidR="008A2319" w:rsidRPr="008A2319" w14:paraId="272974AD"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36C6D28"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Age 75 to &lt;80 y/o</w:t>
            </w:r>
          </w:p>
        </w:tc>
        <w:tc>
          <w:tcPr>
            <w:tcW w:w="1046" w:type="pct"/>
            <w:tcBorders>
              <w:top w:val="nil"/>
              <w:left w:val="nil"/>
              <w:bottom w:val="single" w:sz="4" w:space="0" w:color="C1C1C1"/>
              <w:right w:val="single" w:sz="4" w:space="0" w:color="C1C1C1"/>
            </w:tcBorders>
            <w:shd w:val="clear" w:color="auto" w:fill="auto"/>
            <w:vAlign w:val="bottom"/>
            <w:hideMark/>
          </w:tcPr>
          <w:p w14:paraId="41A462D6"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536,358 (21.3%)</w:t>
            </w:r>
          </w:p>
        </w:tc>
        <w:tc>
          <w:tcPr>
            <w:tcW w:w="1046" w:type="pct"/>
            <w:tcBorders>
              <w:top w:val="nil"/>
              <w:left w:val="nil"/>
              <w:bottom w:val="single" w:sz="4" w:space="0" w:color="C1C1C1"/>
              <w:right w:val="single" w:sz="4" w:space="0" w:color="C1C1C1"/>
            </w:tcBorders>
            <w:shd w:val="clear" w:color="auto" w:fill="auto"/>
            <w:vAlign w:val="bottom"/>
            <w:hideMark/>
          </w:tcPr>
          <w:p w14:paraId="5A707446"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1.25 (1.24, 1.26)</w:t>
            </w:r>
          </w:p>
        </w:tc>
      </w:tr>
      <w:tr w:rsidR="008A2319" w:rsidRPr="008A2319" w14:paraId="05A38C6F"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C6DE31E"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Age 80 to &lt;85 y/o</w:t>
            </w:r>
          </w:p>
        </w:tc>
        <w:tc>
          <w:tcPr>
            <w:tcW w:w="1046" w:type="pct"/>
            <w:tcBorders>
              <w:top w:val="nil"/>
              <w:left w:val="nil"/>
              <w:bottom w:val="single" w:sz="4" w:space="0" w:color="C1C1C1"/>
              <w:right w:val="single" w:sz="4" w:space="0" w:color="C1C1C1"/>
            </w:tcBorders>
            <w:shd w:val="clear" w:color="auto" w:fill="auto"/>
            <w:vAlign w:val="bottom"/>
            <w:hideMark/>
          </w:tcPr>
          <w:p w14:paraId="1EAEE0A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444,974 (17.7%)</w:t>
            </w:r>
          </w:p>
        </w:tc>
        <w:tc>
          <w:tcPr>
            <w:tcW w:w="1046" w:type="pct"/>
            <w:tcBorders>
              <w:top w:val="nil"/>
              <w:left w:val="nil"/>
              <w:bottom w:val="single" w:sz="4" w:space="0" w:color="C1C1C1"/>
              <w:right w:val="single" w:sz="4" w:space="0" w:color="C1C1C1"/>
            </w:tcBorders>
            <w:shd w:val="clear" w:color="auto" w:fill="auto"/>
            <w:vAlign w:val="bottom"/>
            <w:hideMark/>
          </w:tcPr>
          <w:p w14:paraId="35EDFA2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1.46 (1.44, 1.47)</w:t>
            </w:r>
          </w:p>
        </w:tc>
      </w:tr>
      <w:tr w:rsidR="008A2319" w:rsidRPr="008A2319" w14:paraId="2D9D8756"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E4F2A01"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Age &gt;=85 y/o</w:t>
            </w:r>
          </w:p>
        </w:tc>
        <w:tc>
          <w:tcPr>
            <w:tcW w:w="1046" w:type="pct"/>
            <w:tcBorders>
              <w:top w:val="nil"/>
              <w:left w:val="nil"/>
              <w:bottom w:val="single" w:sz="4" w:space="0" w:color="C1C1C1"/>
              <w:right w:val="single" w:sz="4" w:space="0" w:color="C1C1C1"/>
            </w:tcBorders>
            <w:shd w:val="clear" w:color="auto" w:fill="auto"/>
            <w:vAlign w:val="bottom"/>
            <w:hideMark/>
          </w:tcPr>
          <w:p w14:paraId="6E0B6498"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555,228 (22.1%)</w:t>
            </w:r>
          </w:p>
        </w:tc>
        <w:tc>
          <w:tcPr>
            <w:tcW w:w="1046" w:type="pct"/>
            <w:tcBorders>
              <w:top w:val="nil"/>
              <w:left w:val="nil"/>
              <w:bottom w:val="single" w:sz="4" w:space="0" w:color="C1C1C1"/>
              <w:right w:val="single" w:sz="4" w:space="0" w:color="C1C1C1"/>
            </w:tcBorders>
            <w:shd w:val="clear" w:color="auto" w:fill="auto"/>
            <w:vAlign w:val="bottom"/>
            <w:hideMark/>
          </w:tcPr>
          <w:p w14:paraId="461EFB5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1.84 (1.82, 1.86)</w:t>
            </w:r>
          </w:p>
        </w:tc>
      </w:tr>
      <w:tr w:rsidR="008A2319" w:rsidRPr="008A2319" w14:paraId="2B5CA367"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0F5DA757" w14:textId="77777777" w:rsidR="008A2319" w:rsidRPr="008A2319" w:rsidRDefault="008A2319" w:rsidP="008A2319">
            <w:pPr>
              <w:spacing w:after="0" w:line="240" w:lineRule="auto"/>
              <w:rPr>
                <w:rFonts w:ascii="Arial" w:eastAsia="Times New Roman" w:hAnsi="Arial" w:cs="Arial"/>
                <w:b/>
                <w:bCs/>
                <w:color w:val="000000"/>
                <w:sz w:val="19"/>
                <w:szCs w:val="19"/>
              </w:rPr>
            </w:pPr>
            <w:r w:rsidRPr="008A2319">
              <w:rPr>
                <w:rFonts w:ascii="Arial" w:eastAsia="Times New Roman" w:hAnsi="Arial" w:cs="Arial"/>
                <w:b/>
                <w:bCs/>
                <w:color w:val="000000"/>
                <w:sz w:val="19"/>
                <w:szCs w:val="19"/>
              </w:rPr>
              <w:t>Nine chronic disease groups</w:t>
            </w:r>
          </w:p>
        </w:tc>
        <w:tc>
          <w:tcPr>
            <w:tcW w:w="1046" w:type="pct"/>
            <w:tcBorders>
              <w:top w:val="nil"/>
              <w:left w:val="nil"/>
              <w:bottom w:val="single" w:sz="4" w:space="0" w:color="C1C1C1"/>
              <w:right w:val="single" w:sz="4" w:space="0" w:color="C1C1C1"/>
            </w:tcBorders>
            <w:shd w:val="clear" w:color="auto" w:fill="auto"/>
            <w:vAlign w:val="bottom"/>
            <w:hideMark/>
          </w:tcPr>
          <w:p w14:paraId="16E977D2"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c>
          <w:tcPr>
            <w:tcW w:w="1046" w:type="pct"/>
            <w:tcBorders>
              <w:top w:val="nil"/>
              <w:left w:val="nil"/>
              <w:bottom w:val="single" w:sz="4" w:space="0" w:color="C1C1C1"/>
              <w:right w:val="single" w:sz="4" w:space="0" w:color="C1C1C1"/>
            </w:tcBorders>
            <w:shd w:val="clear" w:color="auto" w:fill="auto"/>
            <w:vAlign w:val="bottom"/>
            <w:hideMark/>
          </w:tcPr>
          <w:p w14:paraId="15A66425"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531DE2BB"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BF57698"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AMI</w:t>
            </w:r>
          </w:p>
        </w:tc>
        <w:tc>
          <w:tcPr>
            <w:tcW w:w="1046" w:type="pct"/>
            <w:tcBorders>
              <w:top w:val="nil"/>
              <w:left w:val="nil"/>
              <w:bottom w:val="single" w:sz="4" w:space="0" w:color="C1C1C1"/>
              <w:right w:val="single" w:sz="4" w:space="0" w:color="C1C1C1"/>
            </w:tcBorders>
            <w:shd w:val="clear" w:color="auto" w:fill="auto"/>
            <w:vAlign w:val="bottom"/>
            <w:hideMark/>
          </w:tcPr>
          <w:p w14:paraId="32D36655"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54,792 (2.2%)</w:t>
            </w:r>
          </w:p>
        </w:tc>
        <w:tc>
          <w:tcPr>
            <w:tcW w:w="1046" w:type="pct"/>
            <w:tcBorders>
              <w:top w:val="nil"/>
              <w:left w:val="nil"/>
              <w:bottom w:val="single" w:sz="4" w:space="0" w:color="C1C1C1"/>
              <w:right w:val="single" w:sz="4" w:space="0" w:color="C1C1C1"/>
            </w:tcBorders>
            <w:shd w:val="clear" w:color="auto" w:fill="auto"/>
            <w:vAlign w:val="bottom"/>
            <w:hideMark/>
          </w:tcPr>
          <w:p w14:paraId="73099EC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1.07 (1.06, 1.09)</w:t>
            </w:r>
          </w:p>
        </w:tc>
      </w:tr>
      <w:tr w:rsidR="008A2319" w:rsidRPr="008A2319" w14:paraId="4B0E3E0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C900C0E"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ALZHEIMERS AND RELATED DISORDERS</w:t>
            </w:r>
          </w:p>
        </w:tc>
        <w:tc>
          <w:tcPr>
            <w:tcW w:w="1046" w:type="pct"/>
            <w:tcBorders>
              <w:top w:val="nil"/>
              <w:left w:val="nil"/>
              <w:bottom w:val="single" w:sz="4" w:space="0" w:color="C1C1C1"/>
              <w:right w:val="single" w:sz="4" w:space="0" w:color="C1C1C1"/>
            </w:tcBorders>
            <w:shd w:val="clear" w:color="auto" w:fill="auto"/>
            <w:vAlign w:val="bottom"/>
            <w:hideMark/>
          </w:tcPr>
          <w:p w14:paraId="7D2B530B"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574,520 (22.8%)</w:t>
            </w:r>
          </w:p>
        </w:tc>
        <w:tc>
          <w:tcPr>
            <w:tcW w:w="1046" w:type="pct"/>
            <w:tcBorders>
              <w:top w:val="nil"/>
              <w:left w:val="nil"/>
              <w:bottom w:val="single" w:sz="4" w:space="0" w:color="C1C1C1"/>
              <w:right w:val="single" w:sz="4" w:space="0" w:color="C1C1C1"/>
            </w:tcBorders>
            <w:shd w:val="clear" w:color="auto" w:fill="auto"/>
            <w:vAlign w:val="bottom"/>
            <w:hideMark/>
          </w:tcPr>
          <w:p w14:paraId="021DC4A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1.27 (1.26, 1.28)</w:t>
            </w:r>
          </w:p>
        </w:tc>
      </w:tr>
      <w:tr w:rsidR="008A2319" w:rsidRPr="008A2319" w14:paraId="28DC296E"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C6E0940"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ATRIAL FIBRILLATION</w:t>
            </w:r>
          </w:p>
        </w:tc>
        <w:tc>
          <w:tcPr>
            <w:tcW w:w="1046" w:type="pct"/>
            <w:tcBorders>
              <w:top w:val="nil"/>
              <w:left w:val="nil"/>
              <w:bottom w:val="single" w:sz="4" w:space="0" w:color="C1C1C1"/>
              <w:right w:val="single" w:sz="4" w:space="0" w:color="C1C1C1"/>
            </w:tcBorders>
            <w:shd w:val="clear" w:color="auto" w:fill="auto"/>
            <w:vAlign w:val="bottom"/>
            <w:hideMark/>
          </w:tcPr>
          <w:p w14:paraId="2465DF6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666,657 (26.5%)</w:t>
            </w:r>
          </w:p>
        </w:tc>
        <w:tc>
          <w:tcPr>
            <w:tcW w:w="1046" w:type="pct"/>
            <w:tcBorders>
              <w:top w:val="nil"/>
              <w:left w:val="nil"/>
              <w:bottom w:val="single" w:sz="4" w:space="0" w:color="C1C1C1"/>
              <w:right w:val="single" w:sz="4" w:space="0" w:color="C1C1C1"/>
            </w:tcBorders>
            <w:shd w:val="clear" w:color="auto" w:fill="auto"/>
            <w:vAlign w:val="bottom"/>
            <w:hideMark/>
          </w:tcPr>
          <w:p w14:paraId="73373AE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1.16 (1.16, 1.17)</w:t>
            </w:r>
          </w:p>
        </w:tc>
      </w:tr>
      <w:tr w:rsidR="008A2319" w:rsidRPr="008A2319" w14:paraId="4CB63BD1"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212E35B5"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CHRONIC KIDNEY DISEASE</w:t>
            </w:r>
          </w:p>
        </w:tc>
        <w:tc>
          <w:tcPr>
            <w:tcW w:w="1046" w:type="pct"/>
            <w:tcBorders>
              <w:top w:val="nil"/>
              <w:left w:val="nil"/>
              <w:bottom w:val="single" w:sz="4" w:space="0" w:color="C1C1C1"/>
              <w:right w:val="single" w:sz="4" w:space="0" w:color="C1C1C1"/>
            </w:tcBorders>
            <w:shd w:val="clear" w:color="auto" w:fill="auto"/>
            <w:vAlign w:val="bottom"/>
            <w:hideMark/>
          </w:tcPr>
          <w:p w14:paraId="04CF24F1"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1,326,617 (52.7%)</w:t>
            </w:r>
          </w:p>
        </w:tc>
        <w:tc>
          <w:tcPr>
            <w:tcW w:w="1046" w:type="pct"/>
            <w:tcBorders>
              <w:top w:val="nil"/>
              <w:left w:val="nil"/>
              <w:bottom w:val="single" w:sz="4" w:space="0" w:color="C1C1C1"/>
              <w:right w:val="single" w:sz="4" w:space="0" w:color="C1C1C1"/>
            </w:tcBorders>
            <w:shd w:val="clear" w:color="auto" w:fill="auto"/>
            <w:vAlign w:val="bottom"/>
            <w:hideMark/>
          </w:tcPr>
          <w:p w14:paraId="19C8F045"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1.20 (1.20, 1.21)</w:t>
            </w:r>
          </w:p>
        </w:tc>
      </w:tr>
      <w:tr w:rsidR="008A2319" w:rsidRPr="008A2319" w14:paraId="2236547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062195F9"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COPD/ASTHMA</w:t>
            </w:r>
          </w:p>
        </w:tc>
        <w:tc>
          <w:tcPr>
            <w:tcW w:w="1046" w:type="pct"/>
            <w:tcBorders>
              <w:top w:val="nil"/>
              <w:left w:val="nil"/>
              <w:bottom w:val="single" w:sz="4" w:space="0" w:color="C1C1C1"/>
              <w:right w:val="single" w:sz="4" w:space="0" w:color="C1C1C1"/>
            </w:tcBorders>
            <w:shd w:val="clear" w:color="auto" w:fill="auto"/>
            <w:vAlign w:val="bottom"/>
            <w:hideMark/>
          </w:tcPr>
          <w:p w14:paraId="51832B27"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870,845 (34.6%)</w:t>
            </w:r>
          </w:p>
        </w:tc>
        <w:tc>
          <w:tcPr>
            <w:tcW w:w="1046" w:type="pct"/>
            <w:tcBorders>
              <w:top w:val="nil"/>
              <w:left w:val="nil"/>
              <w:bottom w:val="single" w:sz="4" w:space="0" w:color="C1C1C1"/>
              <w:right w:val="single" w:sz="4" w:space="0" w:color="C1C1C1"/>
            </w:tcBorders>
            <w:shd w:val="clear" w:color="auto" w:fill="auto"/>
            <w:vAlign w:val="bottom"/>
            <w:hideMark/>
          </w:tcPr>
          <w:p w14:paraId="301B4BC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1.22 (1.21, 1.23)</w:t>
            </w:r>
          </w:p>
        </w:tc>
      </w:tr>
      <w:tr w:rsidR="008A2319" w:rsidRPr="008A2319" w14:paraId="3B892068"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952AD1A"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DEPRESSION</w:t>
            </w:r>
          </w:p>
        </w:tc>
        <w:tc>
          <w:tcPr>
            <w:tcW w:w="1046" w:type="pct"/>
            <w:tcBorders>
              <w:top w:val="nil"/>
              <w:left w:val="nil"/>
              <w:bottom w:val="single" w:sz="4" w:space="0" w:color="C1C1C1"/>
              <w:right w:val="single" w:sz="4" w:space="0" w:color="C1C1C1"/>
            </w:tcBorders>
            <w:shd w:val="clear" w:color="auto" w:fill="auto"/>
            <w:vAlign w:val="bottom"/>
            <w:hideMark/>
          </w:tcPr>
          <w:p w14:paraId="13C7727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880,578 (35.0%)</w:t>
            </w:r>
          </w:p>
        </w:tc>
        <w:tc>
          <w:tcPr>
            <w:tcW w:w="1046" w:type="pct"/>
            <w:tcBorders>
              <w:top w:val="nil"/>
              <w:left w:val="nil"/>
              <w:bottom w:val="single" w:sz="4" w:space="0" w:color="C1C1C1"/>
              <w:right w:val="single" w:sz="4" w:space="0" w:color="C1C1C1"/>
            </w:tcBorders>
            <w:shd w:val="clear" w:color="auto" w:fill="auto"/>
            <w:vAlign w:val="bottom"/>
            <w:hideMark/>
          </w:tcPr>
          <w:p w14:paraId="657E5B8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1.08 (1.07, 1.08)</w:t>
            </w:r>
          </w:p>
        </w:tc>
      </w:tr>
      <w:tr w:rsidR="008A2319" w:rsidRPr="008A2319" w14:paraId="440A2960"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6AD06A2"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HEART FAILURE</w:t>
            </w:r>
          </w:p>
        </w:tc>
        <w:tc>
          <w:tcPr>
            <w:tcW w:w="1046" w:type="pct"/>
            <w:tcBorders>
              <w:top w:val="nil"/>
              <w:left w:val="nil"/>
              <w:bottom w:val="single" w:sz="4" w:space="0" w:color="C1C1C1"/>
              <w:right w:val="single" w:sz="4" w:space="0" w:color="C1C1C1"/>
            </w:tcBorders>
            <w:shd w:val="clear" w:color="auto" w:fill="auto"/>
            <w:vAlign w:val="bottom"/>
            <w:hideMark/>
          </w:tcPr>
          <w:p w14:paraId="06E427F5"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949,703 (37.8%)</w:t>
            </w:r>
          </w:p>
        </w:tc>
        <w:tc>
          <w:tcPr>
            <w:tcW w:w="1046" w:type="pct"/>
            <w:tcBorders>
              <w:top w:val="nil"/>
              <w:left w:val="nil"/>
              <w:bottom w:val="single" w:sz="4" w:space="0" w:color="C1C1C1"/>
              <w:right w:val="single" w:sz="4" w:space="0" w:color="C1C1C1"/>
            </w:tcBorders>
            <w:shd w:val="clear" w:color="auto" w:fill="auto"/>
            <w:vAlign w:val="bottom"/>
            <w:hideMark/>
          </w:tcPr>
          <w:p w14:paraId="79DD90D5"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1.38 (1.37, 1.38)</w:t>
            </w:r>
          </w:p>
        </w:tc>
      </w:tr>
      <w:tr w:rsidR="008A2319" w:rsidRPr="008A2319" w14:paraId="351B77AE"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4E2143A"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STROKE/TRANSIENT ISCHEMIC ATTACK</w:t>
            </w:r>
          </w:p>
        </w:tc>
        <w:tc>
          <w:tcPr>
            <w:tcW w:w="1046" w:type="pct"/>
            <w:tcBorders>
              <w:top w:val="nil"/>
              <w:left w:val="nil"/>
              <w:bottom w:val="single" w:sz="4" w:space="0" w:color="C1C1C1"/>
              <w:right w:val="single" w:sz="4" w:space="0" w:color="C1C1C1"/>
            </w:tcBorders>
            <w:shd w:val="clear" w:color="auto" w:fill="auto"/>
            <w:vAlign w:val="bottom"/>
            <w:hideMark/>
          </w:tcPr>
          <w:p w14:paraId="002ED26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328,625 (13.1%)</w:t>
            </w:r>
          </w:p>
        </w:tc>
        <w:tc>
          <w:tcPr>
            <w:tcW w:w="1046" w:type="pct"/>
            <w:tcBorders>
              <w:top w:val="nil"/>
              <w:left w:val="nil"/>
              <w:bottom w:val="single" w:sz="4" w:space="0" w:color="C1C1C1"/>
              <w:right w:val="single" w:sz="4" w:space="0" w:color="C1C1C1"/>
            </w:tcBorders>
            <w:shd w:val="clear" w:color="auto" w:fill="auto"/>
            <w:vAlign w:val="bottom"/>
            <w:hideMark/>
          </w:tcPr>
          <w:p w14:paraId="1F4BAC3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1.08 (1.08, 1.09)</w:t>
            </w:r>
          </w:p>
        </w:tc>
      </w:tr>
      <w:tr w:rsidR="008A2319" w:rsidRPr="008A2319" w14:paraId="75A0BB01"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9CB1610"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DIABETES</w:t>
            </w:r>
          </w:p>
        </w:tc>
        <w:tc>
          <w:tcPr>
            <w:tcW w:w="1046" w:type="pct"/>
            <w:tcBorders>
              <w:top w:val="nil"/>
              <w:left w:val="nil"/>
              <w:bottom w:val="single" w:sz="4" w:space="0" w:color="C1C1C1"/>
              <w:right w:val="single" w:sz="4" w:space="0" w:color="C1C1C1"/>
            </w:tcBorders>
            <w:shd w:val="clear" w:color="auto" w:fill="auto"/>
            <w:vAlign w:val="bottom"/>
            <w:hideMark/>
          </w:tcPr>
          <w:p w14:paraId="7F1A6B6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1,443,060 (57.4%)</w:t>
            </w:r>
          </w:p>
        </w:tc>
        <w:tc>
          <w:tcPr>
            <w:tcW w:w="1046" w:type="pct"/>
            <w:tcBorders>
              <w:top w:val="nil"/>
              <w:left w:val="nil"/>
              <w:bottom w:val="single" w:sz="4" w:space="0" w:color="C1C1C1"/>
              <w:right w:val="single" w:sz="4" w:space="0" w:color="C1C1C1"/>
            </w:tcBorders>
            <w:shd w:val="clear" w:color="auto" w:fill="auto"/>
            <w:vAlign w:val="bottom"/>
            <w:hideMark/>
          </w:tcPr>
          <w:p w14:paraId="3398527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1.12 (1.11, 1.12)</w:t>
            </w:r>
          </w:p>
        </w:tc>
      </w:tr>
      <w:tr w:rsidR="008A2319" w:rsidRPr="008A2319" w14:paraId="39BE8CE4" w14:textId="77777777" w:rsidTr="008A2319">
        <w:trPr>
          <w:trHeight w:val="72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2330768" w14:textId="77777777" w:rsidR="008A2319" w:rsidRPr="008A2319" w:rsidRDefault="008A2319" w:rsidP="008A2319">
            <w:pPr>
              <w:spacing w:after="0" w:line="240" w:lineRule="auto"/>
              <w:rPr>
                <w:rFonts w:ascii="Arial" w:eastAsia="Times New Roman" w:hAnsi="Arial" w:cs="Arial"/>
                <w:b/>
                <w:bCs/>
                <w:color w:val="000000"/>
                <w:sz w:val="19"/>
                <w:szCs w:val="19"/>
              </w:rPr>
            </w:pPr>
            <w:r w:rsidRPr="008A2319">
              <w:rPr>
                <w:rFonts w:ascii="Arial" w:eastAsia="Times New Roman" w:hAnsi="Arial" w:cs="Arial"/>
                <w:b/>
                <w:bCs/>
                <w:color w:val="000000"/>
                <w:sz w:val="19"/>
                <w:szCs w:val="19"/>
              </w:rPr>
              <w:t xml:space="preserve">Clinical comorbidities </w:t>
            </w:r>
            <w:r w:rsidRPr="008A2319">
              <w:rPr>
                <w:rFonts w:ascii="Arial" w:eastAsia="Times New Roman" w:hAnsi="Arial" w:cs="Arial"/>
                <w:b/>
                <w:bCs/>
                <w:color w:val="000000"/>
                <w:sz w:val="19"/>
                <w:szCs w:val="19"/>
              </w:rPr>
              <w:br/>
            </w:r>
            <w:r w:rsidRPr="008A2319">
              <w:rPr>
                <w:rFonts w:ascii="Arial" w:eastAsia="Times New Roman" w:hAnsi="Arial" w:cs="Arial"/>
                <w:color w:val="000000"/>
                <w:sz w:val="19"/>
                <w:szCs w:val="19"/>
              </w:rPr>
              <w:t>Defined using Condition Categories (CCs) or International Classification of Diseases, Ninth Revision, Clinical Modification (ICD-9-CM) codes</w:t>
            </w:r>
          </w:p>
        </w:tc>
        <w:tc>
          <w:tcPr>
            <w:tcW w:w="1046" w:type="pct"/>
            <w:tcBorders>
              <w:top w:val="nil"/>
              <w:left w:val="nil"/>
              <w:bottom w:val="single" w:sz="4" w:space="0" w:color="C1C1C1"/>
              <w:right w:val="single" w:sz="4" w:space="0" w:color="C1C1C1"/>
            </w:tcBorders>
            <w:shd w:val="clear" w:color="auto" w:fill="auto"/>
            <w:vAlign w:val="bottom"/>
            <w:hideMark/>
          </w:tcPr>
          <w:p w14:paraId="6AAFE5F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c>
          <w:tcPr>
            <w:tcW w:w="1046" w:type="pct"/>
            <w:tcBorders>
              <w:top w:val="nil"/>
              <w:left w:val="nil"/>
              <w:bottom w:val="single" w:sz="4" w:space="0" w:color="C1C1C1"/>
              <w:right w:val="single" w:sz="4" w:space="0" w:color="C1C1C1"/>
            </w:tcBorders>
            <w:shd w:val="clear" w:color="auto" w:fill="auto"/>
            <w:vAlign w:val="bottom"/>
            <w:hideMark/>
          </w:tcPr>
          <w:p w14:paraId="79151B2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4C2BD76C"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E2FE0D1"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Dialysis status (CC 134)</w:t>
            </w:r>
          </w:p>
        </w:tc>
        <w:tc>
          <w:tcPr>
            <w:tcW w:w="1046" w:type="pct"/>
            <w:tcBorders>
              <w:top w:val="nil"/>
              <w:left w:val="nil"/>
              <w:bottom w:val="single" w:sz="4" w:space="0" w:color="C1C1C1"/>
              <w:right w:val="single" w:sz="4" w:space="0" w:color="C1C1C1"/>
            </w:tcBorders>
            <w:shd w:val="clear" w:color="auto" w:fill="auto"/>
            <w:vAlign w:val="bottom"/>
            <w:hideMark/>
          </w:tcPr>
          <w:p w14:paraId="6DD09188"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39,411 (1.6%)</w:t>
            </w:r>
          </w:p>
        </w:tc>
        <w:tc>
          <w:tcPr>
            <w:tcW w:w="1046" w:type="pct"/>
            <w:tcBorders>
              <w:top w:val="nil"/>
              <w:left w:val="nil"/>
              <w:bottom w:val="single" w:sz="4" w:space="0" w:color="C1C1C1"/>
              <w:right w:val="single" w:sz="4" w:space="0" w:color="C1C1C1"/>
            </w:tcBorders>
            <w:shd w:val="clear" w:color="auto" w:fill="auto"/>
            <w:vAlign w:val="bottom"/>
            <w:hideMark/>
          </w:tcPr>
          <w:p w14:paraId="756C05E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1.48 (1.46, 1.50)</w:t>
            </w:r>
          </w:p>
        </w:tc>
      </w:tr>
      <w:tr w:rsidR="008A2319" w:rsidRPr="008A2319" w14:paraId="32BEE1DA"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48F415FD"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Respiratory failure (CC 82, 83, 84)</w:t>
            </w:r>
          </w:p>
        </w:tc>
        <w:tc>
          <w:tcPr>
            <w:tcW w:w="1046" w:type="pct"/>
            <w:tcBorders>
              <w:top w:val="nil"/>
              <w:left w:val="nil"/>
              <w:bottom w:val="single" w:sz="4" w:space="0" w:color="C1C1C1"/>
              <w:right w:val="single" w:sz="4" w:space="0" w:color="C1C1C1"/>
            </w:tcBorders>
            <w:shd w:val="clear" w:color="auto" w:fill="auto"/>
            <w:vAlign w:val="bottom"/>
            <w:hideMark/>
          </w:tcPr>
          <w:p w14:paraId="56FC56E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248,238 (9.9%)</w:t>
            </w:r>
          </w:p>
        </w:tc>
        <w:tc>
          <w:tcPr>
            <w:tcW w:w="1046" w:type="pct"/>
            <w:tcBorders>
              <w:top w:val="nil"/>
              <w:left w:val="nil"/>
              <w:bottom w:val="single" w:sz="4" w:space="0" w:color="C1C1C1"/>
              <w:right w:val="single" w:sz="4" w:space="0" w:color="C1C1C1"/>
            </w:tcBorders>
            <w:shd w:val="clear" w:color="auto" w:fill="auto"/>
            <w:vAlign w:val="bottom"/>
            <w:hideMark/>
          </w:tcPr>
          <w:p w14:paraId="299E235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1.12 (1.11, 1.13)</w:t>
            </w:r>
          </w:p>
        </w:tc>
      </w:tr>
      <w:tr w:rsidR="008A2319" w:rsidRPr="008A2319" w14:paraId="2216026C"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FEB3DD6"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Liver disease (CC 27 [remove K767], 28, 29, 30)</w:t>
            </w:r>
          </w:p>
        </w:tc>
        <w:tc>
          <w:tcPr>
            <w:tcW w:w="1046" w:type="pct"/>
            <w:tcBorders>
              <w:top w:val="nil"/>
              <w:left w:val="nil"/>
              <w:bottom w:val="single" w:sz="4" w:space="0" w:color="C1C1C1"/>
              <w:right w:val="single" w:sz="4" w:space="0" w:color="C1C1C1"/>
            </w:tcBorders>
            <w:shd w:val="clear" w:color="auto" w:fill="auto"/>
            <w:vAlign w:val="bottom"/>
            <w:hideMark/>
          </w:tcPr>
          <w:p w14:paraId="5EB02C2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58,222 (2.3%)</w:t>
            </w:r>
          </w:p>
        </w:tc>
        <w:tc>
          <w:tcPr>
            <w:tcW w:w="1046" w:type="pct"/>
            <w:tcBorders>
              <w:top w:val="nil"/>
              <w:left w:val="nil"/>
              <w:bottom w:val="single" w:sz="4" w:space="0" w:color="C1C1C1"/>
              <w:right w:val="single" w:sz="4" w:space="0" w:color="C1C1C1"/>
            </w:tcBorders>
            <w:shd w:val="clear" w:color="auto" w:fill="auto"/>
            <w:vAlign w:val="bottom"/>
            <w:hideMark/>
          </w:tcPr>
          <w:p w14:paraId="279BE111"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1.24 (1.22, 1.26)</w:t>
            </w:r>
          </w:p>
        </w:tc>
      </w:tr>
      <w:tr w:rsidR="008A2319" w:rsidRPr="008A2319" w14:paraId="5BAF8B73"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4167BA62"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 xml:space="preserve">Pneumonia (CC 114, 115, </w:t>
            </w:r>
            <w:proofErr w:type="gramStart"/>
            <w:r w:rsidRPr="008A2319">
              <w:rPr>
                <w:rFonts w:ascii="Arial" w:eastAsia="Times New Roman" w:hAnsi="Arial" w:cs="Arial"/>
                <w:color w:val="000000"/>
                <w:sz w:val="19"/>
                <w:szCs w:val="19"/>
              </w:rPr>
              <w:t>116 )</w:t>
            </w:r>
            <w:proofErr w:type="gramEnd"/>
          </w:p>
        </w:tc>
        <w:tc>
          <w:tcPr>
            <w:tcW w:w="1046" w:type="pct"/>
            <w:tcBorders>
              <w:top w:val="nil"/>
              <w:left w:val="nil"/>
              <w:bottom w:val="single" w:sz="4" w:space="0" w:color="C1C1C1"/>
              <w:right w:val="single" w:sz="4" w:space="0" w:color="C1C1C1"/>
            </w:tcBorders>
            <w:shd w:val="clear" w:color="auto" w:fill="auto"/>
            <w:vAlign w:val="bottom"/>
            <w:hideMark/>
          </w:tcPr>
          <w:p w14:paraId="4366109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365,887 (14.5%)</w:t>
            </w:r>
          </w:p>
        </w:tc>
        <w:tc>
          <w:tcPr>
            <w:tcW w:w="1046" w:type="pct"/>
            <w:tcBorders>
              <w:top w:val="nil"/>
              <w:left w:val="nil"/>
              <w:bottom w:val="single" w:sz="4" w:space="0" w:color="C1C1C1"/>
              <w:right w:val="single" w:sz="4" w:space="0" w:color="C1C1C1"/>
            </w:tcBorders>
            <w:shd w:val="clear" w:color="auto" w:fill="auto"/>
            <w:vAlign w:val="bottom"/>
            <w:hideMark/>
          </w:tcPr>
          <w:p w14:paraId="3D96C27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1.19 (1.18, 1.19)</w:t>
            </w:r>
          </w:p>
        </w:tc>
      </w:tr>
      <w:tr w:rsidR="008A2319" w:rsidRPr="008A2319" w14:paraId="4E116FA0"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8859F67"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Septicemia/shock (CC 2)</w:t>
            </w:r>
          </w:p>
        </w:tc>
        <w:tc>
          <w:tcPr>
            <w:tcW w:w="1046" w:type="pct"/>
            <w:tcBorders>
              <w:top w:val="nil"/>
              <w:left w:val="nil"/>
              <w:bottom w:val="single" w:sz="4" w:space="0" w:color="C1C1C1"/>
              <w:right w:val="single" w:sz="4" w:space="0" w:color="C1C1C1"/>
            </w:tcBorders>
            <w:shd w:val="clear" w:color="auto" w:fill="auto"/>
            <w:vAlign w:val="bottom"/>
            <w:hideMark/>
          </w:tcPr>
          <w:p w14:paraId="3941307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157,048 (6.2%)</w:t>
            </w:r>
          </w:p>
        </w:tc>
        <w:tc>
          <w:tcPr>
            <w:tcW w:w="1046" w:type="pct"/>
            <w:tcBorders>
              <w:top w:val="nil"/>
              <w:left w:val="nil"/>
              <w:bottom w:val="single" w:sz="4" w:space="0" w:color="C1C1C1"/>
              <w:right w:val="single" w:sz="4" w:space="0" w:color="C1C1C1"/>
            </w:tcBorders>
            <w:shd w:val="clear" w:color="auto" w:fill="auto"/>
            <w:vAlign w:val="bottom"/>
            <w:hideMark/>
          </w:tcPr>
          <w:p w14:paraId="14EC7356"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1.05 (1.04, 1.06)</w:t>
            </w:r>
          </w:p>
        </w:tc>
      </w:tr>
      <w:tr w:rsidR="008A2319" w:rsidRPr="008A2319" w14:paraId="5C5FEB2E"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0DF42E9C"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Marked disability/frailty (CC 21, 70, 71, 73, 157, 158, 159, 160, 161, 189, 190)</w:t>
            </w:r>
          </w:p>
        </w:tc>
        <w:tc>
          <w:tcPr>
            <w:tcW w:w="1046" w:type="pct"/>
            <w:tcBorders>
              <w:top w:val="nil"/>
              <w:left w:val="nil"/>
              <w:bottom w:val="single" w:sz="4" w:space="0" w:color="C1C1C1"/>
              <w:right w:val="single" w:sz="4" w:space="0" w:color="C1C1C1"/>
            </w:tcBorders>
            <w:shd w:val="clear" w:color="auto" w:fill="auto"/>
            <w:vAlign w:val="bottom"/>
            <w:hideMark/>
          </w:tcPr>
          <w:p w14:paraId="6BACD635"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278,580 (11.1%)</w:t>
            </w:r>
          </w:p>
        </w:tc>
        <w:tc>
          <w:tcPr>
            <w:tcW w:w="1046" w:type="pct"/>
            <w:tcBorders>
              <w:top w:val="nil"/>
              <w:left w:val="nil"/>
              <w:bottom w:val="single" w:sz="4" w:space="0" w:color="C1C1C1"/>
              <w:right w:val="single" w:sz="4" w:space="0" w:color="C1C1C1"/>
            </w:tcBorders>
            <w:shd w:val="clear" w:color="auto" w:fill="auto"/>
            <w:vAlign w:val="bottom"/>
            <w:hideMark/>
          </w:tcPr>
          <w:p w14:paraId="60A2B0A7"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1.23 (1.22, 1.24)</w:t>
            </w:r>
          </w:p>
        </w:tc>
      </w:tr>
      <w:tr w:rsidR="008A2319" w:rsidRPr="008A2319" w14:paraId="505D5631"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6CE2EDB"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Hematologic/al diseases (CC 46 [remove D593], 48)</w:t>
            </w:r>
          </w:p>
        </w:tc>
        <w:tc>
          <w:tcPr>
            <w:tcW w:w="1046" w:type="pct"/>
            <w:tcBorders>
              <w:top w:val="nil"/>
              <w:left w:val="nil"/>
              <w:bottom w:val="single" w:sz="4" w:space="0" w:color="C1C1C1"/>
              <w:right w:val="single" w:sz="4" w:space="0" w:color="C1C1C1"/>
            </w:tcBorders>
            <w:shd w:val="clear" w:color="auto" w:fill="auto"/>
            <w:vAlign w:val="bottom"/>
            <w:hideMark/>
          </w:tcPr>
          <w:p w14:paraId="0EE87E06"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288,297 (11.5%)</w:t>
            </w:r>
          </w:p>
        </w:tc>
        <w:tc>
          <w:tcPr>
            <w:tcW w:w="1046" w:type="pct"/>
            <w:tcBorders>
              <w:top w:val="nil"/>
              <w:left w:val="nil"/>
              <w:bottom w:val="single" w:sz="4" w:space="0" w:color="C1C1C1"/>
              <w:right w:val="single" w:sz="4" w:space="0" w:color="C1C1C1"/>
            </w:tcBorders>
            <w:shd w:val="clear" w:color="auto" w:fill="auto"/>
            <w:vAlign w:val="bottom"/>
            <w:hideMark/>
          </w:tcPr>
          <w:p w14:paraId="08376654"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1.04 (1.04, 1.05)</w:t>
            </w:r>
          </w:p>
        </w:tc>
      </w:tr>
      <w:tr w:rsidR="008A2319" w:rsidRPr="008A2319" w14:paraId="7A9C2635"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27C0800D"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Advanced cancer (CC 8, 9, 10, 13)</w:t>
            </w:r>
          </w:p>
        </w:tc>
        <w:tc>
          <w:tcPr>
            <w:tcW w:w="1046" w:type="pct"/>
            <w:tcBorders>
              <w:top w:val="nil"/>
              <w:left w:val="nil"/>
              <w:bottom w:val="single" w:sz="4" w:space="0" w:color="C1C1C1"/>
              <w:right w:val="single" w:sz="4" w:space="0" w:color="C1C1C1"/>
            </w:tcBorders>
            <w:shd w:val="clear" w:color="auto" w:fill="auto"/>
            <w:vAlign w:val="bottom"/>
            <w:hideMark/>
          </w:tcPr>
          <w:p w14:paraId="1EFD3BE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181,729 (7.2%)</w:t>
            </w:r>
          </w:p>
        </w:tc>
        <w:tc>
          <w:tcPr>
            <w:tcW w:w="1046" w:type="pct"/>
            <w:tcBorders>
              <w:top w:val="nil"/>
              <w:left w:val="nil"/>
              <w:bottom w:val="single" w:sz="4" w:space="0" w:color="C1C1C1"/>
              <w:right w:val="single" w:sz="4" w:space="0" w:color="C1C1C1"/>
            </w:tcBorders>
            <w:shd w:val="clear" w:color="auto" w:fill="auto"/>
            <w:vAlign w:val="bottom"/>
            <w:hideMark/>
          </w:tcPr>
          <w:p w14:paraId="73F0DEB1"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1.30 (1.29, 1.31)</w:t>
            </w:r>
          </w:p>
        </w:tc>
      </w:tr>
      <w:tr w:rsidR="008A2319" w:rsidRPr="008A2319" w14:paraId="3D289A43"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372AD79"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 xml:space="preserve">Infectious and immune disorders (CC 1, 3, 4, 5 [remove A1811], 6, 47, </w:t>
            </w:r>
            <w:proofErr w:type="gramStart"/>
            <w:r w:rsidRPr="008A2319">
              <w:rPr>
                <w:rFonts w:ascii="Arial" w:eastAsia="Times New Roman" w:hAnsi="Arial" w:cs="Arial"/>
                <w:color w:val="000000"/>
                <w:sz w:val="19"/>
                <w:szCs w:val="19"/>
              </w:rPr>
              <w:t>90 )</w:t>
            </w:r>
            <w:proofErr w:type="gramEnd"/>
          </w:p>
        </w:tc>
        <w:tc>
          <w:tcPr>
            <w:tcW w:w="1046" w:type="pct"/>
            <w:tcBorders>
              <w:top w:val="nil"/>
              <w:left w:val="nil"/>
              <w:bottom w:val="single" w:sz="4" w:space="0" w:color="C1C1C1"/>
              <w:right w:val="single" w:sz="4" w:space="0" w:color="C1C1C1"/>
            </w:tcBorders>
            <w:shd w:val="clear" w:color="auto" w:fill="auto"/>
            <w:vAlign w:val="bottom"/>
            <w:hideMark/>
          </w:tcPr>
          <w:p w14:paraId="7175DC4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154,635 (6.1%)</w:t>
            </w:r>
          </w:p>
        </w:tc>
        <w:tc>
          <w:tcPr>
            <w:tcW w:w="1046" w:type="pct"/>
            <w:tcBorders>
              <w:top w:val="nil"/>
              <w:left w:val="nil"/>
              <w:bottom w:val="single" w:sz="4" w:space="0" w:color="C1C1C1"/>
              <w:right w:val="single" w:sz="4" w:space="0" w:color="C1C1C1"/>
            </w:tcBorders>
            <w:shd w:val="clear" w:color="auto" w:fill="auto"/>
            <w:vAlign w:val="bottom"/>
            <w:hideMark/>
          </w:tcPr>
          <w:p w14:paraId="5190DAD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1.09 (1.08, 1.10)</w:t>
            </w:r>
          </w:p>
        </w:tc>
      </w:tr>
      <w:tr w:rsidR="008A2319" w:rsidRPr="008A2319" w14:paraId="3C934E5A"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9B2D79A"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Severe cognitive impairment (CC 50 [remove F05, F061, F068], 64, 65, 80)</w:t>
            </w:r>
          </w:p>
        </w:tc>
        <w:tc>
          <w:tcPr>
            <w:tcW w:w="1046" w:type="pct"/>
            <w:tcBorders>
              <w:top w:val="nil"/>
              <w:left w:val="nil"/>
              <w:bottom w:val="single" w:sz="4" w:space="0" w:color="C1C1C1"/>
              <w:right w:val="single" w:sz="4" w:space="0" w:color="C1C1C1"/>
            </w:tcBorders>
            <w:shd w:val="clear" w:color="auto" w:fill="auto"/>
            <w:vAlign w:val="bottom"/>
            <w:hideMark/>
          </w:tcPr>
          <w:p w14:paraId="3D0611ED"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170,681 (6.8%)</w:t>
            </w:r>
          </w:p>
        </w:tc>
        <w:tc>
          <w:tcPr>
            <w:tcW w:w="1046" w:type="pct"/>
            <w:tcBorders>
              <w:top w:val="nil"/>
              <w:left w:val="nil"/>
              <w:bottom w:val="single" w:sz="4" w:space="0" w:color="C1C1C1"/>
              <w:right w:val="single" w:sz="4" w:space="0" w:color="C1C1C1"/>
            </w:tcBorders>
            <w:shd w:val="clear" w:color="auto" w:fill="auto"/>
            <w:vAlign w:val="bottom"/>
            <w:hideMark/>
          </w:tcPr>
          <w:p w14:paraId="2CEA88E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1.10 (1.09, 1.11)</w:t>
            </w:r>
          </w:p>
        </w:tc>
      </w:tr>
      <w:tr w:rsidR="008A2319" w:rsidRPr="008A2319" w14:paraId="6CE0A696"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A31A843"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Major organ transplant status (CC 132, 186)</w:t>
            </w:r>
          </w:p>
        </w:tc>
        <w:tc>
          <w:tcPr>
            <w:tcW w:w="1046" w:type="pct"/>
            <w:tcBorders>
              <w:top w:val="nil"/>
              <w:left w:val="nil"/>
              <w:bottom w:val="single" w:sz="4" w:space="0" w:color="C1C1C1"/>
              <w:right w:val="single" w:sz="4" w:space="0" w:color="C1C1C1"/>
            </w:tcBorders>
            <w:shd w:val="clear" w:color="auto" w:fill="auto"/>
            <w:vAlign w:val="bottom"/>
            <w:hideMark/>
          </w:tcPr>
          <w:p w14:paraId="5E10FCD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23,946 (1.0%)</w:t>
            </w:r>
          </w:p>
        </w:tc>
        <w:tc>
          <w:tcPr>
            <w:tcW w:w="1046" w:type="pct"/>
            <w:tcBorders>
              <w:top w:val="nil"/>
              <w:left w:val="nil"/>
              <w:bottom w:val="single" w:sz="4" w:space="0" w:color="C1C1C1"/>
              <w:right w:val="single" w:sz="4" w:space="0" w:color="C1C1C1"/>
            </w:tcBorders>
            <w:shd w:val="clear" w:color="auto" w:fill="auto"/>
            <w:vAlign w:val="bottom"/>
            <w:hideMark/>
          </w:tcPr>
          <w:p w14:paraId="4CBF95B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1.08 (1.06, 1.11)</w:t>
            </w:r>
          </w:p>
        </w:tc>
      </w:tr>
      <w:tr w:rsidR="008A2319" w:rsidRPr="008A2319" w14:paraId="69F0D349"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0163BF68"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Pulmonary heart disease (ICD-10-CM I2601, I2602, I2609, I270, I271, I272, I2789, I2781, I279, I280, I281, I288, I289)</w:t>
            </w:r>
          </w:p>
        </w:tc>
        <w:tc>
          <w:tcPr>
            <w:tcW w:w="1046" w:type="pct"/>
            <w:tcBorders>
              <w:top w:val="nil"/>
              <w:left w:val="nil"/>
              <w:bottom w:val="single" w:sz="4" w:space="0" w:color="C1C1C1"/>
              <w:right w:val="single" w:sz="4" w:space="0" w:color="C1C1C1"/>
            </w:tcBorders>
            <w:shd w:val="clear" w:color="auto" w:fill="auto"/>
            <w:vAlign w:val="bottom"/>
            <w:hideMark/>
          </w:tcPr>
          <w:p w14:paraId="6AB2B672"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113,325 (4.5%)</w:t>
            </w:r>
          </w:p>
        </w:tc>
        <w:tc>
          <w:tcPr>
            <w:tcW w:w="1046" w:type="pct"/>
            <w:tcBorders>
              <w:top w:val="nil"/>
              <w:left w:val="nil"/>
              <w:bottom w:val="single" w:sz="4" w:space="0" w:color="C1C1C1"/>
              <w:right w:val="single" w:sz="4" w:space="0" w:color="C1C1C1"/>
            </w:tcBorders>
            <w:shd w:val="clear" w:color="auto" w:fill="auto"/>
            <w:vAlign w:val="bottom"/>
            <w:hideMark/>
          </w:tcPr>
          <w:p w14:paraId="650E200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1.15 (1.14, 1.16)</w:t>
            </w:r>
          </w:p>
        </w:tc>
      </w:tr>
      <w:tr w:rsidR="008A2319" w:rsidRPr="008A2319" w14:paraId="32AC4728"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6E690AD"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Cardiomyopathy (ICD-10-CM I420, I421, I422, I425, I426, I427, I428, I429, I43, I514, I515)</w:t>
            </w:r>
          </w:p>
        </w:tc>
        <w:tc>
          <w:tcPr>
            <w:tcW w:w="1046" w:type="pct"/>
            <w:tcBorders>
              <w:top w:val="nil"/>
              <w:left w:val="nil"/>
              <w:bottom w:val="single" w:sz="4" w:space="0" w:color="C1C1C1"/>
              <w:right w:val="single" w:sz="4" w:space="0" w:color="C1C1C1"/>
            </w:tcBorders>
            <w:shd w:val="clear" w:color="auto" w:fill="auto"/>
            <w:vAlign w:val="bottom"/>
            <w:hideMark/>
          </w:tcPr>
          <w:p w14:paraId="6649320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228,362 (9.1%)</w:t>
            </w:r>
          </w:p>
        </w:tc>
        <w:tc>
          <w:tcPr>
            <w:tcW w:w="1046" w:type="pct"/>
            <w:tcBorders>
              <w:top w:val="nil"/>
              <w:left w:val="nil"/>
              <w:bottom w:val="single" w:sz="4" w:space="0" w:color="C1C1C1"/>
              <w:right w:val="single" w:sz="4" w:space="0" w:color="C1C1C1"/>
            </w:tcBorders>
            <w:shd w:val="clear" w:color="auto" w:fill="auto"/>
            <w:vAlign w:val="bottom"/>
            <w:hideMark/>
          </w:tcPr>
          <w:p w14:paraId="21116068"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1.06 (1.05, 1.07)</w:t>
            </w:r>
          </w:p>
        </w:tc>
      </w:tr>
      <w:tr w:rsidR="008A2319" w:rsidRPr="008A2319" w14:paraId="116B37D0"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632870D"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Gastrointestinal disease (CC 31, 32, 33, 35, 36)</w:t>
            </w:r>
          </w:p>
        </w:tc>
        <w:tc>
          <w:tcPr>
            <w:tcW w:w="1046" w:type="pct"/>
            <w:tcBorders>
              <w:top w:val="nil"/>
              <w:left w:val="nil"/>
              <w:bottom w:val="single" w:sz="4" w:space="0" w:color="C1C1C1"/>
              <w:right w:val="single" w:sz="4" w:space="0" w:color="C1C1C1"/>
            </w:tcBorders>
            <w:shd w:val="clear" w:color="auto" w:fill="auto"/>
            <w:vAlign w:val="bottom"/>
            <w:hideMark/>
          </w:tcPr>
          <w:p w14:paraId="2B73B612"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535,909 (21.3%)</w:t>
            </w:r>
          </w:p>
        </w:tc>
        <w:tc>
          <w:tcPr>
            <w:tcW w:w="1046" w:type="pct"/>
            <w:tcBorders>
              <w:top w:val="nil"/>
              <w:left w:val="nil"/>
              <w:bottom w:val="single" w:sz="4" w:space="0" w:color="C1C1C1"/>
              <w:right w:val="single" w:sz="4" w:space="0" w:color="C1C1C1"/>
            </w:tcBorders>
            <w:shd w:val="clear" w:color="auto" w:fill="auto"/>
            <w:vAlign w:val="bottom"/>
            <w:hideMark/>
          </w:tcPr>
          <w:p w14:paraId="111C9AC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1.07 (1.07, 1.08)</w:t>
            </w:r>
          </w:p>
        </w:tc>
      </w:tr>
      <w:tr w:rsidR="008A2319" w:rsidRPr="008A2319" w14:paraId="5DDC904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948E6C6"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lastRenderedPageBreak/>
              <w:t>Iron deficiency anemia (CC 49)</w:t>
            </w:r>
          </w:p>
        </w:tc>
        <w:tc>
          <w:tcPr>
            <w:tcW w:w="1046" w:type="pct"/>
            <w:tcBorders>
              <w:top w:val="nil"/>
              <w:left w:val="nil"/>
              <w:bottom w:val="single" w:sz="4" w:space="0" w:color="C1C1C1"/>
              <w:right w:val="single" w:sz="4" w:space="0" w:color="C1C1C1"/>
            </w:tcBorders>
            <w:shd w:val="clear" w:color="auto" w:fill="auto"/>
            <w:vAlign w:val="bottom"/>
            <w:hideMark/>
          </w:tcPr>
          <w:p w14:paraId="5CCA2D51"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1,059,188 (42.1%)</w:t>
            </w:r>
          </w:p>
        </w:tc>
        <w:tc>
          <w:tcPr>
            <w:tcW w:w="1046" w:type="pct"/>
            <w:tcBorders>
              <w:top w:val="nil"/>
              <w:left w:val="nil"/>
              <w:bottom w:val="single" w:sz="4" w:space="0" w:color="C1C1C1"/>
              <w:right w:val="single" w:sz="4" w:space="0" w:color="C1C1C1"/>
            </w:tcBorders>
            <w:shd w:val="clear" w:color="auto" w:fill="auto"/>
            <w:vAlign w:val="bottom"/>
            <w:hideMark/>
          </w:tcPr>
          <w:p w14:paraId="5339722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1.16 (1.16, 1.17)</w:t>
            </w:r>
          </w:p>
        </w:tc>
      </w:tr>
      <w:tr w:rsidR="008A2319" w:rsidRPr="008A2319" w14:paraId="1F9BFB28"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1975B97"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Ischemic heart disease except AMI (CC 87, 88, 89, 98; add ICD-10 I511, I512)</w:t>
            </w:r>
          </w:p>
        </w:tc>
        <w:tc>
          <w:tcPr>
            <w:tcW w:w="1046" w:type="pct"/>
            <w:tcBorders>
              <w:top w:val="nil"/>
              <w:left w:val="nil"/>
              <w:bottom w:val="single" w:sz="4" w:space="0" w:color="C1C1C1"/>
              <w:right w:val="single" w:sz="4" w:space="0" w:color="C1C1C1"/>
            </w:tcBorders>
            <w:shd w:val="clear" w:color="auto" w:fill="auto"/>
            <w:vAlign w:val="bottom"/>
            <w:hideMark/>
          </w:tcPr>
          <w:p w14:paraId="56A1965B"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1,310,396 (52.1%)</w:t>
            </w:r>
          </w:p>
        </w:tc>
        <w:tc>
          <w:tcPr>
            <w:tcW w:w="1046" w:type="pct"/>
            <w:tcBorders>
              <w:top w:val="nil"/>
              <w:left w:val="nil"/>
              <w:bottom w:val="single" w:sz="4" w:space="0" w:color="C1C1C1"/>
              <w:right w:val="single" w:sz="4" w:space="0" w:color="C1C1C1"/>
            </w:tcBorders>
            <w:shd w:val="clear" w:color="auto" w:fill="auto"/>
            <w:vAlign w:val="bottom"/>
            <w:hideMark/>
          </w:tcPr>
          <w:p w14:paraId="10120D7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1.15 (1.14, 1.15)</w:t>
            </w:r>
          </w:p>
        </w:tc>
      </w:tr>
      <w:tr w:rsidR="008A2319" w:rsidRPr="008A2319" w14:paraId="03A6F4D0"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DFEEE58"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Other lung disorders (CC 112 [remove J470, J471, J479], 118)</w:t>
            </w:r>
          </w:p>
        </w:tc>
        <w:tc>
          <w:tcPr>
            <w:tcW w:w="1046" w:type="pct"/>
            <w:tcBorders>
              <w:top w:val="nil"/>
              <w:left w:val="nil"/>
              <w:bottom w:val="single" w:sz="4" w:space="0" w:color="C1C1C1"/>
              <w:right w:val="single" w:sz="4" w:space="0" w:color="C1C1C1"/>
            </w:tcBorders>
            <w:shd w:val="clear" w:color="auto" w:fill="auto"/>
            <w:vAlign w:val="bottom"/>
            <w:hideMark/>
          </w:tcPr>
          <w:p w14:paraId="780A846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1,065,521 (42.4%)</w:t>
            </w:r>
          </w:p>
        </w:tc>
        <w:tc>
          <w:tcPr>
            <w:tcW w:w="1046" w:type="pct"/>
            <w:tcBorders>
              <w:top w:val="nil"/>
              <w:left w:val="nil"/>
              <w:bottom w:val="single" w:sz="4" w:space="0" w:color="C1C1C1"/>
              <w:right w:val="single" w:sz="4" w:space="0" w:color="C1C1C1"/>
            </w:tcBorders>
            <w:shd w:val="clear" w:color="auto" w:fill="auto"/>
            <w:vAlign w:val="bottom"/>
            <w:hideMark/>
          </w:tcPr>
          <w:p w14:paraId="468551FB"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1.01 (1.01, 1.02)</w:t>
            </w:r>
          </w:p>
        </w:tc>
      </w:tr>
      <w:tr w:rsidR="008A2319" w:rsidRPr="008A2319" w14:paraId="21CF5441"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70A6EE2"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 xml:space="preserve">Vascular or circulatory disease (CC 106, 107, 108, </w:t>
            </w:r>
            <w:proofErr w:type="gramStart"/>
            <w:r w:rsidRPr="008A2319">
              <w:rPr>
                <w:rFonts w:ascii="Arial" w:eastAsia="Times New Roman" w:hAnsi="Arial" w:cs="Arial"/>
                <w:color w:val="000000"/>
                <w:sz w:val="19"/>
                <w:szCs w:val="19"/>
              </w:rPr>
              <w:t>109  [</w:t>
            </w:r>
            <w:proofErr w:type="gramEnd"/>
            <w:r w:rsidRPr="008A2319">
              <w:rPr>
                <w:rFonts w:ascii="Arial" w:eastAsia="Times New Roman" w:hAnsi="Arial" w:cs="Arial"/>
                <w:color w:val="000000"/>
                <w:sz w:val="19"/>
                <w:szCs w:val="19"/>
              </w:rPr>
              <w:t>remove I701, I722])</w:t>
            </w:r>
          </w:p>
        </w:tc>
        <w:tc>
          <w:tcPr>
            <w:tcW w:w="1046" w:type="pct"/>
            <w:tcBorders>
              <w:top w:val="nil"/>
              <w:left w:val="nil"/>
              <w:bottom w:val="single" w:sz="4" w:space="0" w:color="C1C1C1"/>
              <w:right w:val="single" w:sz="4" w:space="0" w:color="C1C1C1"/>
            </w:tcBorders>
            <w:shd w:val="clear" w:color="auto" w:fill="auto"/>
            <w:vAlign w:val="bottom"/>
            <w:hideMark/>
          </w:tcPr>
          <w:p w14:paraId="264CAB18"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1,171,861 (46.6%)</w:t>
            </w:r>
          </w:p>
        </w:tc>
        <w:tc>
          <w:tcPr>
            <w:tcW w:w="1046" w:type="pct"/>
            <w:tcBorders>
              <w:top w:val="nil"/>
              <w:left w:val="nil"/>
              <w:bottom w:val="single" w:sz="4" w:space="0" w:color="C1C1C1"/>
              <w:right w:val="single" w:sz="4" w:space="0" w:color="C1C1C1"/>
            </w:tcBorders>
            <w:shd w:val="clear" w:color="auto" w:fill="auto"/>
            <w:vAlign w:val="bottom"/>
            <w:hideMark/>
          </w:tcPr>
          <w:p w14:paraId="664C8D23"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1.15 (1.14, 1.15)</w:t>
            </w:r>
          </w:p>
        </w:tc>
      </w:tr>
      <w:tr w:rsidR="008A2319" w:rsidRPr="008A2319" w14:paraId="5BC44EE9"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29E0019B"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Other significant endocrine disorders (CC 23 [remove E748, N251, N2581])</w:t>
            </w:r>
          </w:p>
        </w:tc>
        <w:tc>
          <w:tcPr>
            <w:tcW w:w="1046" w:type="pct"/>
            <w:tcBorders>
              <w:top w:val="nil"/>
              <w:left w:val="nil"/>
              <w:bottom w:val="single" w:sz="4" w:space="0" w:color="C1C1C1"/>
              <w:right w:val="single" w:sz="4" w:space="0" w:color="C1C1C1"/>
            </w:tcBorders>
            <w:shd w:val="clear" w:color="auto" w:fill="auto"/>
            <w:vAlign w:val="bottom"/>
            <w:hideMark/>
          </w:tcPr>
          <w:p w14:paraId="11AA4F6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152,020 (6.0%)</w:t>
            </w:r>
          </w:p>
        </w:tc>
        <w:tc>
          <w:tcPr>
            <w:tcW w:w="1046" w:type="pct"/>
            <w:tcBorders>
              <w:top w:val="nil"/>
              <w:left w:val="nil"/>
              <w:bottom w:val="single" w:sz="4" w:space="0" w:color="C1C1C1"/>
              <w:right w:val="single" w:sz="4" w:space="0" w:color="C1C1C1"/>
            </w:tcBorders>
            <w:shd w:val="clear" w:color="auto" w:fill="auto"/>
            <w:vAlign w:val="bottom"/>
            <w:hideMark/>
          </w:tcPr>
          <w:p w14:paraId="4DB60AA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1.05 (1.04, 1.06)</w:t>
            </w:r>
          </w:p>
        </w:tc>
      </w:tr>
      <w:tr w:rsidR="008A2319" w:rsidRPr="008A2319" w14:paraId="17AB2F7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514261A"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Other disabilities and paralysis (CC 72, 74, 103, 104, 119)</w:t>
            </w:r>
          </w:p>
        </w:tc>
        <w:tc>
          <w:tcPr>
            <w:tcW w:w="1046" w:type="pct"/>
            <w:tcBorders>
              <w:top w:val="nil"/>
              <w:left w:val="nil"/>
              <w:bottom w:val="single" w:sz="4" w:space="0" w:color="C1C1C1"/>
              <w:right w:val="single" w:sz="4" w:space="0" w:color="C1C1C1"/>
            </w:tcBorders>
            <w:shd w:val="clear" w:color="auto" w:fill="auto"/>
            <w:vAlign w:val="bottom"/>
            <w:hideMark/>
          </w:tcPr>
          <w:p w14:paraId="410664A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141,113 (5.6%)</w:t>
            </w:r>
          </w:p>
        </w:tc>
        <w:tc>
          <w:tcPr>
            <w:tcW w:w="1046" w:type="pct"/>
            <w:tcBorders>
              <w:top w:val="nil"/>
              <w:left w:val="nil"/>
              <w:bottom w:val="single" w:sz="4" w:space="0" w:color="C1C1C1"/>
              <w:right w:val="single" w:sz="4" w:space="0" w:color="C1C1C1"/>
            </w:tcBorders>
            <w:shd w:val="clear" w:color="auto" w:fill="auto"/>
            <w:vAlign w:val="bottom"/>
            <w:hideMark/>
          </w:tcPr>
          <w:p w14:paraId="2D51014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1.09 (1.08, 1.10)</w:t>
            </w:r>
          </w:p>
        </w:tc>
      </w:tr>
      <w:tr w:rsidR="008A2319" w:rsidRPr="008A2319" w14:paraId="554050A8"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D483821"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Substance abuse (CC 54, 55, 56)</w:t>
            </w:r>
          </w:p>
        </w:tc>
        <w:tc>
          <w:tcPr>
            <w:tcW w:w="1046" w:type="pct"/>
            <w:tcBorders>
              <w:top w:val="nil"/>
              <w:left w:val="nil"/>
              <w:bottom w:val="single" w:sz="4" w:space="0" w:color="C1C1C1"/>
              <w:right w:val="single" w:sz="4" w:space="0" w:color="C1C1C1"/>
            </w:tcBorders>
            <w:shd w:val="clear" w:color="auto" w:fill="auto"/>
            <w:vAlign w:val="bottom"/>
            <w:hideMark/>
          </w:tcPr>
          <w:p w14:paraId="769E0C4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305,556 (12.1%)</w:t>
            </w:r>
          </w:p>
        </w:tc>
        <w:tc>
          <w:tcPr>
            <w:tcW w:w="1046" w:type="pct"/>
            <w:tcBorders>
              <w:top w:val="nil"/>
              <w:left w:val="nil"/>
              <w:bottom w:val="single" w:sz="4" w:space="0" w:color="C1C1C1"/>
              <w:right w:val="single" w:sz="4" w:space="0" w:color="C1C1C1"/>
            </w:tcBorders>
            <w:shd w:val="clear" w:color="auto" w:fill="auto"/>
            <w:vAlign w:val="bottom"/>
            <w:hideMark/>
          </w:tcPr>
          <w:p w14:paraId="284AB64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1.20 (1.20, 1.21)</w:t>
            </w:r>
          </w:p>
        </w:tc>
      </w:tr>
      <w:tr w:rsidR="008A2319" w:rsidRPr="008A2319" w14:paraId="54111773"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F632F13"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Other neurologic disorders (75, 77, 78, 79, 81, 105)</w:t>
            </w:r>
          </w:p>
        </w:tc>
        <w:tc>
          <w:tcPr>
            <w:tcW w:w="1046" w:type="pct"/>
            <w:tcBorders>
              <w:top w:val="nil"/>
              <w:left w:val="nil"/>
              <w:bottom w:val="single" w:sz="4" w:space="0" w:color="C1C1C1"/>
              <w:right w:val="single" w:sz="4" w:space="0" w:color="C1C1C1"/>
            </w:tcBorders>
            <w:shd w:val="clear" w:color="auto" w:fill="auto"/>
            <w:vAlign w:val="bottom"/>
            <w:hideMark/>
          </w:tcPr>
          <w:p w14:paraId="3B11B0E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824,144 (32.8%)</w:t>
            </w:r>
          </w:p>
        </w:tc>
        <w:tc>
          <w:tcPr>
            <w:tcW w:w="1046" w:type="pct"/>
            <w:tcBorders>
              <w:top w:val="nil"/>
              <w:left w:val="nil"/>
              <w:bottom w:val="single" w:sz="4" w:space="0" w:color="C1C1C1"/>
              <w:right w:val="single" w:sz="4" w:space="0" w:color="C1C1C1"/>
            </w:tcBorders>
            <w:shd w:val="clear" w:color="auto" w:fill="auto"/>
            <w:vAlign w:val="bottom"/>
            <w:hideMark/>
          </w:tcPr>
          <w:p w14:paraId="30BCBFA6"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1.09 (1.09, 1.10)</w:t>
            </w:r>
          </w:p>
        </w:tc>
      </w:tr>
      <w:tr w:rsidR="008A2319" w:rsidRPr="008A2319" w14:paraId="5C670CDC"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2EBD6FF2"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 xml:space="preserve">Specified arrhythmias and other heart rhythm disorders (CC 96 [remove I480, I481, I482, I4891] and </w:t>
            </w:r>
            <w:proofErr w:type="gramStart"/>
            <w:r w:rsidRPr="008A2319">
              <w:rPr>
                <w:rFonts w:ascii="Arial" w:eastAsia="Times New Roman" w:hAnsi="Arial" w:cs="Arial"/>
                <w:color w:val="000000"/>
                <w:sz w:val="19"/>
                <w:szCs w:val="19"/>
              </w:rPr>
              <w:t>97 )</w:t>
            </w:r>
            <w:proofErr w:type="gramEnd"/>
          </w:p>
        </w:tc>
        <w:tc>
          <w:tcPr>
            <w:tcW w:w="1046" w:type="pct"/>
            <w:tcBorders>
              <w:top w:val="nil"/>
              <w:left w:val="nil"/>
              <w:bottom w:val="single" w:sz="4" w:space="0" w:color="C1C1C1"/>
              <w:right w:val="single" w:sz="4" w:space="0" w:color="C1C1C1"/>
            </w:tcBorders>
            <w:shd w:val="clear" w:color="auto" w:fill="auto"/>
            <w:vAlign w:val="bottom"/>
            <w:hideMark/>
          </w:tcPr>
          <w:p w14:paraId="347C503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783,696 (31.2%)</w:t>
            </w:r>
          </w:p>
        </w:tc>
        <w:tc>
          <w:tcPr>
            <w:tcW w:w="1046" w:type="pct"/>
            <w:tcBorders>
              <w:top w:val="nil"/>
              <w:left w:val="nil"/>
              <w:bottom w:val="single" w:sz="4" w:space="0" w:color="C1C1C1"/>
              <w:right w:val="single" w:sz="4" w:space="0" w:color="C1C1C1"/>
            </w:tcBorders>
            <w:shd w:val="clear" w:color="auto" w:fill="auto"/>
            <w:vAlign w:val="bottom"/>
            <w:hideMark/>
          </w:tcPr>
          <w:p w14:paraId="201EE5E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1.05 (1.04, 1.05)</w:t>
            </w:r>
          </w:p>
        </w:tc>
      </w:tr>
      <w:tr w:rsidR="008A2319" w:rsidRPr="008A2319" w14:paraId="1EB0F7EF"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8653F5E"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Hypertension (CC 95)</w:t>
            </w:r>
          </w:p>
        </w:tc>
        <w:tc>
          <w:tcPr>
            <w:tcW w:w="1046" w:type="pct"/>
            <w:tcBorders>
              <w:top w:val="nil"/>
              <w:left w:val="nil"/>
              <w:bottom w:val="single" w:sz="4" w:space="0" w:color="C1C1C1"/>
              <w:right w:val="single" w:sz="4" w:space="0" w:color="C1C1C1"/>
            </w:tcBorders>
            <w:shd w:val="clear" w:color="auto" w:fill="auto"/>
            <w:vAlign w:val="bottom"/>
            <w:hideMark/>
          </w:tcPr>
          <w:p w14:paraId="5F3CE51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2,263,526 (90.0%)</w:t>
            </w:r>
          </w:p>
        </w:tc>
        <w:tc>
          <w:tcPr>
            <w:tcW w:w="1046" w:type="pct"/>
            <w:tcBorders>
              <w:top w:val="nil"/>
              <w:left w:val="nil"/>
              <w:bottom w:val="single" w:sz="4" w:space="0" w:color="C1C1C1"/>
              <w:right w:val="single" w:sz="4" w:space="0" w:color="C1C1C1"/>
            </w:tcBorders>
            <w:shd w:val="clear" w:color="auto" w:fill="auto"/>
            <w:vAlign w:val="bottom"/>
            <w:hideMark/>
          </w:tcPr>
          <w:p w14:paraId="3E2EA65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1.06 (1.05, 1.07)</w:t>
            </w:r>
          </w:p>
        </w:tc>
      </w:tr>
      <w:tr w:rsidR="008A2319" w:rsidRPr="008A2319" w14:paraId="3FA61B3D"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06243D81"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Hip or vertebral fracture (CC 169, 170)</w:t>
            </w:r>
          </w:p>
        </w:tc>
        <w:tc>
          <w:tcPr>
            <w:tcW w:w="1046" w:type="pct"/>
            <w:tcBorders>
              <w:top w:val="nil"/>
              <w:left w:val="nil"/>
              <w:bottom w:val="single" w:sz="4" w:space="0" w:color="C1C1C1"/>
              <w:right w:val="single" w:sz="4" w:space="0" w:color="C1C1C1"/>
            </w:tcBorders>
            <w:shd w:val="clear" w:color="auto" w:fill="auto"/>
            <w:vAlign w:val="bottom"/>
            <w:hideMark/>
          </w:tcPr>
          <w:p w14:paraId="375841C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121,661 (4.8%)</w:t>
            </w:r>
          </w:p>
        </w:tc>
        <w:tc>
          <w:tcPr>
            <w:tcW w:w="1046" w:type="pct"/>
            <w:tcBorders>
              <w:top w:val="nil"/>
              <w:left w:val="nil"/>
              <w:bottom w:val="single" w:sz="4" w:space="0" w:color="C1C1C1"/>
              <w:right w:val="single" w:sz="4" w:space="0" w:color="C1C1C1"/>
            </w:tcBorders>
            <w:shd w:val="clear" w:color="auto" w:fill="auto"/>
            <w:vAlign w:val="bottom"/>
            <w:hideMark/>
          </w:tcPr>
          <w:p w14:paraId="4FDF2BF4"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1.07 (1.06, 1.08)</w:t>
            </w:r>
          </w:p>
        </w:tc>
      </w:tr>
      <w:tr w:rsidR="008A2319" w:rsidRPr="008A2319" w14:paraId="7C79EBA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26FC6B4"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Lower-risk cardiovascular disease (CC 91, 92, 93)</w:t>
            </w:r>
          </w:p>
        </w:tc>
        <w:tc>
          <w:tcPr>
            <w:tcW w:w="1046" w:type="pct"/>
            <w:tcBorders>
              <w:top w:val="nil"/>
              <w:left w:val="nil"/>
              <w:bottom w:val="single" w:sz="4" w:space="0" w:color="C1C1C1"/>
              <w:right w:val="single" w:sz="4" w:space="0" w:color="C1C1C1"/>
            </w:tcBorders>
            <w:shd w:val="clear" w:color="auto" w:fill="auto"/>
            <w:vAlign w:val="bottom"/>
            <w:hideMark/>
          </w:tcPr>
          <w:p w14:paraId="7526D588"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705,239 (28.0%)</w:t>
            </w:r>
          </w:p>
        </w:tc>
        <w:tc>
          <w:tcPr>
            <w:tcW w:w="1046" w:type="pct"/>
            <w:tcBorders>
              <w:top w:val="nil"/>
              <w:left w:val="nil"/>
              <w:bottom w:val="single" w:sz="4" w:space="0" w:color="C1C1C1"/>
              <w:right w:val="single" w:sz="4" w:space="0" w:color="C1C1C1"/>
            </w:tcBorders>
            <w:shd w:val="clear" w:color="auto" w:fill="auto"/>
            <w:vAlign w:val="bottom"/>
            <w:hideMark/>
          </w:tcPr>
          <w:p w14:paraId="6DDAC30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1.03 (1.02, 1.03)</w:t>
            </w:r>
          </w:p>
        </w:tc>
      </w:tr>
      <w:tr w:rsidR="008A2319" w:rsidRPr="008A2319" w14:paraId="4470B233"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C51E0A5"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Cerebrovascular disease (CC 102 [remove I6789])</w:t>
            </w:r>
          </w:p>
        </w:tc>
        <w:tc>
          <w:tcPr>
            <w:tcW w:w="1046" w:type="pct"/>
            <w:tcBorders>
              <w:top w:val="nil"/>
              <w:left w:val="nil"/>
              <w:bottom w:val="single" w:sz="4" w:space="0" w:color="C1C1C1"/>
              <w:right w:val="single" w:sz="4" w:space="0" w:color="C1C1C1"/>
            </w:tcBorders>
            <w:shd w:val="clear" w:color="auto" w:fill="auto"/>
            <w:vAlign w:val="bottom"/>
            <w:hideMark/>
          </w:tcPr>
          <w:p w14:paraId="1C2413B4"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136,404 (5.4%)</w:t>
            </w:r>
          </w:p>
        </w:tc>
        <w:tc>
          <w:tcPr>
            <w:tcW w:w="1046" w:type="pct"/>
            <w:tcBorders>
              <w:top w:val="nil"/>
              <w:left w:val="nil"/>
              <w:bottom w:val="single" w:sz="4" w:space="0" w:color="C1C1C1"/>
              <w:right w:val="single" w:sz="4" w:space="0" w:color="C1C1C1"/>
            </w:tcBorders>
            <w:shd w:val="clear" w:color="auto" w:fill="auto"/>
            <w:vAlign w:val="bottom"/>
            <w:hideMark/>
          </w:tcPr>
          <w:p w14:paraId="2F149A5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1.05 (1.04, 1.06)</w:t>
            </w:r>
          </w:p>
        </w:tc>
      </w:tr>
      <w:tr w:rsidR="008A2319" w:rsidRPr="008A2319" w14:paraId="413E5B7B"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2711EC7"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Morbid obesity (ICD-10-CM E6601, Z6835, Z6836, Z6837, Z6838, Z6839, Z6841, Z6842, Z6843, Z6844, Z6845)</w:t>
            </w:r>
          </w:p>
        </w:tc>
        <w:tc>
          <w:tcPr>
            <w:tcW w:w="1046" w:type="pct"/>
            <w:tcBorders>
              <w:top w:val="nil"/>
              <w:left w:val="nil"/>
              <w:bottom w:val="single" w:sz="4" w:space="0" w:color="C1C1C1"/>
              <w:right w:val="single" w:sz="4" w:space="0" w:color="C1C1C1"/>
            </w:tcBorders>
            <w:shd w:val="clear" w:color="auto" w:fill="auto"/>
            <w:vAlign w:val="bottom"/>
            <w:hideMark/>
          </w:tcPr>
          <w:p w14:paraId="38B6806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350,232 (13.9%)</w:t>
            </w:r>
          </w:p>
        </w:tc>
        <w:tc>
          <w:tcPr>
            <w:tcW w:w="1046" w:type="pct"/>
            <w:tcBorders>
              <w:top w:val="nil"/>
              <w:left w:val="nil"/>
              <w:bottom w:val="single" w:sz="4" w:space="0" w:color="C1C1C1"/>
              <w:right w:val="single" w:sz="4" w:space="0" w:color="C1C1C1"/>
            </w:tcBorders>
            <w:shd w:val="clear" w:color="auto" w:fill="auto"/>
            <w:vAlign w:val="bottom"/>
            <w:hideMark/>
          </w:tcPr>
          <w:p w14:paraId="4C67B2A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1.03 (1.03, 1.04)</w:t>
            </w:r>
          </w:p>
        </w:tc>
      </w:tr>
      <w:tr w:rsidR="008A2319" w:rsidRPr="008A2319" w14:paraId="1DD708F6" w14:textId="77777777" w:rsidTr="008A2319">
        <w:trPr>
          <w:trHeight w:val="96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0486636"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Urinary disorders (CC 142 [remove N131, N132, N1330, N1339, Q620, Q6210, Q6211, Q6212, Q622, Q6231, Q6232, Q6239] and 145 [remove N2589, N259, N261, N269, Q6102, Q612, Q613, Q614, Q615, Q618])</w:t>
            </w:r>
          </w:p>
        </w:tc>
        <w:tc>
          <w:tcPr>
            <w:tcW w:w="1046" w:type="pct"/>
            <w:tcBorders>
              <w:top w:val="nil"/>
              <w:left w:val="nil"/>
              <w:bottom w:val="single" w:sz="4" w:space="0" w:color="C1C1C1"/>
              <w:right w:val="single" w:sz="4" w:space="0" w:color="C1C1C1"/>
            </w:tcBorders>
            <w:shd w:val="clear" w:color="auto" w:fill="auto"/>
            <w:vAlign w:val="bottom"/>
            <w:hideMark/>
          </w:tcPr>
          <w:p w14:paraId="4485E801"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755,594 (30.0%)</w:t>
            </w:r>
          </w:p>
        </w:tc>
        <w:tc>
          <w:tcPr>
            <w:tcW w:w="1046" w:type="pct"/>
            <w:tcBorders>
              <w:top w:val="nil"/>
              <w:left w:val="nil"/>
              <w:bottom w:val="single" w:sz="4" w:space="0" w:color="C1C1C1"/>
              <w:right w:val="single" w:sz="4" w:space="0" w:color="C1C1C1"/>
            </w:tcBorders>
            <w:shd w:val="clear" w:color="auto" w:fill="auto"/>
            <w:vAlign w:val="bottom"/>
            <w:hideMark/>
          </w:tcPr>
          <w:p w14:paraId="602245A7"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1.04 (1.04, 1.05)</w:t>
            </w:r>
          </w:p>
        </w:tc>
      </w:tr>
      <w:tr w:rsidR="008A2319" w:rsidRPr="008A2319" w14:paraId="33E21A54" w14:textId="77777777" w:rsidTr="008A2319">
        <w:trPr>
          <w:trHeight w:val="48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D7F916B"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Psychiatric disorders other than depression (CC 57, 59, 60, 62, 63 [remove F4321])</w:t>
            </w:r>
          </w:p>
        </w:tc>
        <w:tc>
          <w:tcPr>
            <w:tcW w:w="1046" w:type="pct"/>
            <w:tcBorders>
              <w:top w:val="nil"/>
              <w:left w:val="nil"/>
              <w:bottom w:val="single" w:sz="4" w:space="0" w:color="C1C1C1"/>
              <w:right w:val="single" w:sz="4" w:space="0" w:color="C1C1C1"/>
            </w:tcBorders>
            <w:shd w:val="clear" w:color="auto" w:fill="auto"/>
            <w:vAlign w:val="bottom"/>
            <w:hideMark/>
          </w:tcPr>
          <w:p w14:paraId="01FA9DBA"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675,720 (26.9%)</w:t>
            </w:r>
          </w:p>
        </w:tc>
        <w:tc>
          <w:tcPr>
            <w:tcW w:w="1046" w:type="pct"/>
            <w:tcBorders>
              <w:top w:val="nil"/>
              <w:left w:val="nil"/>
              <w:bottom w:val="single" w:sz="4" w:space="0" w:color="C1C1C1"/>
              <w:right w:val="single" w:sz="4" w:space="0" w:color="C1C1C1"/>
            </w:tcBorders>
            <w:shd w:val="clear" w:color="auto" w:fill="auto"/>
            <w:vAlign w:val="bottom"/>
            <w:hideMark/>
          </w:tcPr>
          <w:p w14:paraId="0681929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1.07 (1.06, 1.07)</w:t>
            </w:r>
          </w:p>
        </w:tc>
      </w:tr>
      <w:tr w:rsidR="008A2319" w:rsidRPr="008A2319" w14:paraId="3DA8BF67" w14:textId="77777777" w:rsidTr="008A2319">
        <w:trPr>
          <w:trHeight w:val="720"/>
        </w:trPr>
        <w:tc>
          <w:tcPr>
            <w:tcW w:w="2908" w:type="pct"/>
            <w:tcBorders>
              <w:top w:val="nil"/>
              <w:left w:val="single" w:sz="4" w:space="0" w:color="C1C1C1"/>
              <w:bottom w:val="single" w:sz="4" w:space="0" w:color="C1C1C1"/>
              <w:right w:val="single" w:sz="4" w:space="0" w:color="C1C1C1"/>
            </w:tcBorders>
            <w:shd w:val="clear" w:color="auto" w:fill="auto"/>
            <w:vAlign w:val="bottom"/>
            <w:hideMark/>
          </w:tcPr>
          <w:p w14:paraId="0418E712" w14:textId="77777777" w:rsidR="008A2319" w:rsidRPr="008A2319" w:rsidRDefault="008A2319" w:rsidP="008A2319">
            <w:pPr>
              <w:spacing w:after="0" w:line="240" w:lineRule="auto"/>
              <w:rPr>
                <w:rFonts w:ascii="Arial" w:eastAsia="Times New Roman" w:hAnsi="Arial" w:cs="Arial"/>
                <w:b/>
                <w:bCs/>
                <w:sz w:val="19"/>
                <w:szCs w:val="19"/>
              </w:rPr>
            </w:pPr>
            <w:r w:rsidRPr="008A2319">
              <w:rPr>
                <w:rFonts w:ascii="Arial" w:eastAsia="Times New Roman" w:hAnsi="Arial" w:cs="Arial"/>
                <w:b/>
                <w:bCs/>
                <w:sz w:val="19"/>
                <w:szCs w:val="19"/>
              </w:rPr>
              <w:t>Frailty indicators</w:t>
            </w:r>
            <w:r w:rsidRPr="008A2319">
              <w:rPr>
                <w:rFonts w:ascii="Arial" w:eastAsia="Times New Roman" w:hAnsi="Arial" w:cs="Arial"/>
                <w:b/>
                <w:bCs/>
                <w:sz w:val="19"/>
                <w:szCs w:val="19"/>
              </w:rPr>
              <w:br/>
            </w:r>
            <w:r w:rsidRPr="008A2319">
              <w:rPr>
                <w:rFonts w:ascii="Arial" w:eastAsia="Times New Roman" w:hAnsi="Arial" w:cs="Arial"/>
                <w:sz w:val="19"/>
                <w:szCs w:val="19"/>
              </w:rPr>
              <w:t>Defined using Noridian Policy Groups for DME or original reason for Medicare entitlement</w:t>
            </w:r>
          </w:p>
        </w:tc>
        <w:tc>
          <w:tcPr>
            <w:tcW w:w="1046" w:type="pct"/>
            <w:tcBorders>
              <w:top w:val="nil"/>
              <w:left w:val="nil"/>
              <w:bottom w:val="single" w:sz="4" w:space="0" w:color="C1C1C1"/>
              <w:right w:val="single" w:sz="4" w:space="0" w:color="C1C1C1"/>
            </w:tcBorders>
            <w:shd w:val="clear" w:color="auto" w:fill="auto"/>
            <w:vAlign w:val="bottom"/>
            <w:hideMark/>
          </w:tcPr>
          <w:p w14:paraId="4A654A9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c>
          <w:tcPr>
            <w:tcW w:w="1046" w:type="pct"/>
            <w:tcBorders>
              <w:top w:val="nil"/>
              <w:left w:val="nil"/>
              <w:bottom w:val="single" w:sz="4" w:space="0" w:color="C1C1C1"/>
              <w:right w:val="single" w:sz="4" w:space="0" w:color="C1C1C1"/>
            </w:tcBorders>
            <w:shd w:val="clear" w:color="auto" w:fill="auto"/>
            <w:vAlign w:val="bottom"/>
            <w:hideMark/>
          </w:tcPr>
          <w:p w14:paraId="2AEC132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7081701D"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0DC39748"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Walking aids</w:t>
            </w:r>
          </w:p>
        </w:tc>
        <w:tc>
          <w:tcPr>
            <w:tcW w:w="1046" w:type="pct"/>
            <w:tcBorders>
              <w:top w:val="nil"/>
              <w:left w:val="nil"/>
              <w:bottom w:val="single" w:sz="4" w:space="0" w:color="C1C1C1"/>
              <w:right w:val="single" w:sz="4" w:space="0" w:color="C1C1C1"/>
            </w:tcBorders>
            <w:shd w:val="clear" w:color="auto" w:fill="auto"/>
            <w:vAlign w:val="bottom"/>
            <w:hideMark/>
          </w:tcPr>
          <w:p w14:paraId="238F55DD"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125,644 (5.0%)</w:t>
            </w:r>
          </w:p>
        </w:tc>
        <w:tc>
          <w:tcPr>
            <w:tcW w:w="1046" w:type="pct"/>
            <w:tcBorders>
              <w:top w:val="nil"/>
              <w:left w:val="nil"/>
              <w:bottom w:val="single" w:sz="4" w:space="0" w:color="C1C1C1"/>
              <w:right w:val="single" w:sz="4" w:space="0" w:color="C1C1C1"/>
            </w:tcBorders>
            <w:shd w:val="clear" w:color="auto" w:fill="auto"/>
            <w:vAlign w:val="bottom"/>
            <w:hideMark/>
          </w:tcPr>
          <w:p w14:paraId="4CDDB54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0.97 (0.96, 0.97)</w:t>
            </w:r>
          </w:p>
        </w:tc>
      </w:tr>
      <w:tr w:rsidR="008A2319" w:rsidRPr="008A2319" w14:paraId="6546F46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30B6EF43"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Wheelchairs</w:t>
            </w:r>
          </w:p>
        </w:tc>
        <w:tc>
          <w:tcPr>
            <w:tcW w:w="1046" w:type="pct"/>
            <w:tcBorders>
              <w:top w:val="nil"/>
              <w:left w:val="nil"/>
              <w:bottom w:val="single" w:sz="4" w:space="0" w:color="C1C1C1"/>
              <w:right w:val="single" w:sz="4" w:space="0" w:color="C1C1C1"/>
            </w:tcBorders>
            <w:shd w:val="clear" w:color="auto" w:fill="auto"/>
            <w:vAlign w:val="bottom"/>
            <w:hideMark/>
          </w:tcPr>
          <w:p w14:paraId="7505B86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90,983 (3.6%)</w:t>
            </w:r>
          </w:p>
        </w:tc>
        <w:tc>
          <w:tcPr>
            <w:tcW w:w="1046" w:type="pct"/>
            <w:tcBorders>
              <w:top w:val="nil"/>
              <w:left w:val="nil"/>
              <w:bottom w:val="single" w:sz="4" w:space="0" w:color="C1C1C1"/>
              <w:right w:val="single" w:sz="4" w:space="0" w:color="C1C1C1"/>
            </w:tcBorders>
            <w:shd w:val="clear" w:color="auto" w:fill="auto"/>
            <w:vAlign w:val="bottom"/>
            <w:hideMark/>
          </w:tcPr>
          <w:p w14:paraId="777F2F4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1.12 (1.11, 1.13)</w:t>
            </w:r>
          </w:p>
        </w:tc>
      </w:tr>
      <w:tr w:rsidR="008A2319" w:rsidRPr="008A2319" w14:paraId="52FD0CE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6E1A828E"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Hospital bed</w:t>
            </w:r>
          </w:p>
        </w:tc>
        <w:tc>
          <w:tcPr>
            <w:tcW w:w="1046" w:type="pct"/>
            <w:tcBorders>
              <w:top w:val="nil"/>
              <w:left w:val="nil"/>
              <w:bottom w:val="single" w:sz="4" w:space="0" w:color="C1C1C1"/>
              <w:right w:val="single" w:sz="4" w:space="0" w:color="C1C1C1"/>
            </w:tcBorders>
            <w:shd w:val="clear" w:color="auto" w:fill="auto"/>
            <w:vAlign w:val="bottom"/>
            <w:hideMark/>
          </w:tcPr>
          <w:p w14:paraId="0A0F86D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33,877 (1.3%)</w:t>
            </w:r>
          </w:p>
        </w:tc>
        <w:tc>
          <w:tcPr>
            <w:tcW w:w="1046" w:type="pct"/>
            <w:tcBorders>
              <w:top w:val="nil"/>
              <w:left w:val="nil"/>
              <w:bottom w:val="single" w:sz="4" w:space="0" w:color="C1C1C1"/>
              <w:right w:val="single" w:sz="4" w:space="0" w:color="C1C1C1"/>
            </w:tcBorders>
            <w:shd w:val="clear" w:color="auto" w:fill="auto"/>
            <w:vAlign w:val="bottom"/>
            <w:hideMark/>
          </w:tcPr>
          <w:p w14:paraId="10B38B8B"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1.10 (1.09, 1.12)</w:t>
            </w:r>
          </w:p>
        </w:tc>
      </w:tr>
      <w:tr w:rsidR="008A2319" w:rsidRPr="008A2319" w14:paraId="6DF7A522"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0E465E9"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Lifts</w:t>
            </w:r>
          </w:p>
        </w:tc>
        <w:tc>
          <w:tcPr>
            <w:tcW w:w="1046" w:type="pct"/>
            <w:tcBorders>
              <w:top w:val="nil"/>
              <w:left w:val="nil"/>
              <w:bottom w:val="single" w:sz="4" w:space="0" w:color="C1C1C1"/>
              <w:right w:val="single" w:sz="4" w:space="0" w:color="C1C1C1"/>
            </w:tcBorders>
            <w:shd w:val="clear" w:color="auto" w:fill="auto"/>
            <w:vAlign w:val="bottom"/>
            <w:hideMark/>
          </w:tcPr>
          <w:p w14:paraId="652688BD"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7,460 (0.3%)</w:t>
            </w:r>
          </w:p>
        </w:tc>
        <w:tc>
          <w:tcPr>
            <w:tcW w:w="1046" w:type="pct"/>
            <w:tcBorders>
              <w:top w:val="nil"/>
              <w:left w:val="nil"/>
              <w:bottom w:val="single" w:sz="4" w:space="0" w:color="C1C1C1"/>
              <w:right w:val="single" w:sz="4" w:space="0" w:color="C1C1C1"/>
            </w:tcBorders>
            <w:shd w:val="clear" w:color="auto" w:fill="auto"/>
            <w:vAlign w:val="bottom"/>
            <w:hideMark/>
          </w:tcPr>
          <w:p w14:paraId="1258A67C"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1.02 (0.99, 1.06)</w:t>
            </w:r>
          </w:p>
        </w:tc>
      </w:tr>
      <w:tr w:rsidR="008A2319" w:rsidRPr="008A2319" w14:paraId="239092F1"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086EB22"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Oxygen</w:t>
            </w:r>
          </w:p>
        </w:tc>
        <w:tc>
          <w:tcPr>
            <w:tcW w:w="1046" w:type="pct"/>
            <w:tcBorders>
              <w:top w:val="nil"/>
              <w:left w:val="nil"/>
              <w:bottom w:val="single" w:sz="4" w:space="0" w:color="C1C1C1"/>
              <w:right w:val="single" w:sz="4" w:space="0" w:color="C1C1C1"/>
            </w:tcBorders>
            <w:shd w:val="clear" w:color="auto" w:fill="auto"/>
            <w:vAlign w:val="bottom"/>
            <w:hideMark/>
          </w:tcPr>
          <w:p w14:paraId="62F752D6"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208,070 (8.3%)</w:t>
            </w:r>
          </w:p>
        </w:tc>
        <w:tc>
          <w:tcPr>
            <w:tcW w:w="1046" w:type="pct"/>
            <w:tcBorders>
              <w:top w:val="nil"/>
              <w:left w:val="nil"/>
              <w:bottom w:val="single" w:sz="4" w:space="0" w:color="C1C1C1"/>
              <w:right w:val="single" w:sz="4" w:space="0" w:color="C1C1C1"/>
            </w:tcBorders>
            <w:shd w:val="clear" w:color="auto" w:fill="auto"/>
            <w:vAlign w:val="bottom"/>
            <w:hideMark/>
          </w:tcPr>
          <w:p w14:paraId="4531D3A1"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1.38 (1.37, 1.39)</w:t>
            </w:r>
          </w:p>
        </w:tc>
      </w:tr>
      <w:tr w:rsidR="008A2319" w:rsidRPr="008A2319" w14:paraId="1632294D"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7C61FE04"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Original Reason for entitlement: DIB (may or may not have ESRD)</w:t>
            </w:r>
          </w:p>
        </w:tc>
        <w:tc>
          <w:tcPr>
            <w:tcW w:w="1046" w:type="pct"/>
            <w:tcBorders>
              <w:top w:val="nil"/>
              <w:left w:val="nil"/>
              <w:bottom w:val="single" w:sz="4" w:space="0" w:color="C1C1C1"/>
              <w:right w:val="single" w:sz="4" w:space="0" w:color="C1C1C1"/>
            </w:tcBorders>
            <w:shd w:val="clear" w:color="auto" w:fill="auto"/>
            <w:vAlign w:val="bottom"/>
            <w:hideMark/>
          </w:tcPr>
          <w:p w14:paraId="565AD0D2"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335,857 (13.4%)</w:t>
            </w:r>
          </w:p>
        </w:tc>
        <w:tc>
          <w:tcPr>
            <w:tcW w:w="1046" w:type="pct"/>
            <w:tcBorders>
              <w:top w:val="nil"/>
              <w:left w:val="nil"/>
              <w:bottom w:val="single" w:sz="4" w:space="0" w:color="C1C1C1"/>
              <w:right w:val="single" w:sz="4" w:space="0" w:color="C1C1C1"/>
            </w:tcBorders>
            <w:shd w:val="clear" w:color="auto" w:fill="auto"/>
            <w:vAlign w:val="bottom"/>
            <w:hideMark/>
          </w:tcPr>
          <w:p w14:paraId="7509DB62"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1.26 (1.25, 1.27)</w:t>
            </w:r>
          </w:p>
        </w:tc>
      </w:tr>
      <w:tr w:rsidR="008A2319" w:rsidRPr="008A2319" w14:paraId="190D03FA"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1D673BA0"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Original Reason for entitlement: ESRD (may or may not have DIB)</w:t>
            </w:r>
          </w:p>
        </w:tc>
        <w:tc>
          <w:tcPr>
            <w:tcW w:w="1046" w:type="pct"/>
            <w:tcBorders>
              <w:top w:val="nil"/>
              <w:left w:val="nil"/>
              <w:bottom w:val="single" w:sz="4" w:space="0" w:color="C1C1C1"/>
              <w:right w:val="single" w:sz="4" w:space="0" w:color="C1C1C1"/>
            </w:tcBorders>
            <w:shd w:val="clear" w:color="auto" w:fill="auto"/>
            <w:vAlign w:val="bottom"/>
            <w:hideMark/>
          </w:tcPr>
          <w:p w14:paraId="1C673C00"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9,210 (0.4%)</w:t>
            </w:r>
          </w:p>
        </w:tc>
        <w:tc>
          <w:tcPr>
            <w:tcW w:w="1046" w:type="pct"/>
            <w:tcBorders>
              <w:top w:val="nil"/>
              <w:left w:val="nil"/>
              <w:bottom w:val="single" w:sz="4" w:space="0" w:color="C1C1C1"/>
              <w:right w:val="single" w:sz="4" w:space="0" w:color="C1C1C1"/>
            </w:tcBorders>
            <w:shd w:val="clear" w:color="auto" w:fill="auto"/>
            <w:vAlign w:val="bottom"/>
            <w:hideMark/>
          </w:tcPr>
          <w:p w14:paraId="3F757B6E"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1.21 (1.17, 1.26)</w:t>
            </w:r>
          </w:p>
        </w:tc>
      </w:tr>
      <w:tr w:rsidR="008A2319" w:rsidRPr="008A2319" w14:paraId="401A7414"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235E5F92" w14:textId="77777777" w:rsidR="008A2319" w:rsidRPr="008A2319" w:rsidRDefault="008A2319" w:rsidP="008A2319">
            <w:pPr>
              <w:spacing w:after="0" w:line="240" w:lineRule="auto"/>
              <w:rPr>
                <w:rFonts w:ascii="Arial" w:eastAsia="Times New Roman" w:hAnsi="Arial" w:cs="Arial"/>
                <w:b/>
                <w:bCs/>
                <w:color w:val="000000"/>
                <w:sz w:val="19"/>
                <w:szCs w:val="19"/>
              </w:rPr>
            </w:pPr>
            <w:r w:rsidRPr="008A2319">
              <w:rPr>
                <w:rFonts w:ascii="Arial" w:eastAsia="Times New Roman" w:hAnsi="Arial" w:cs="Arial"/>
                <w:b/>
                <w:bCs/>
                <w:color w:val="000000"/>
                <w:sz w:val="19"/>
                <w:szCs w:val="19"/>
              </w:rPr>
              <w:t>Social risk factors</w:t>
            </w:r>
          </w:p>
        </w:tc>
        <w:tc>
          <w:tcPr>
            <w:tcW w:w="1046" w:type="pct"/>
            <w:tcBorders>
              <w:top w:val="nil"/>
              <w:left w:val="nil"/>
              <w:bottom w:val="single" w:sz="4" w:space="0" w:color="C1C1C1"/>
              <w:right w:val="single" w:sz="4" w:space="0" w:color="C1C1C1"/>
            </w:tcBorders>
            <w:shd w:val="clear" w:color="auto" w:fill="auto"/>
            <w:vAlign w:val="bottom"/>
            <w:hideMark/>
          </w:tcPr>
          <w:p w14:paraId="76851E08"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c>
          <w:tcPr>
            <w:tcW w:w="1046" w:type="pct"/>
            <w:tcBorders>
              <w:top w:val="nil"/>
              <w:left w:val="nil"/>
              <w:bottom w:val="single" w:sz="4" w:space="0" w:color="C1C1C1"/>
              <w:right w:val="single" w:sz="4" w:space="0" w:color="C1C1C1"/>
            </w:tcBorders>
            <w:shd w:val="clear" w:color="auto" w:fill="auto"/>
            <w:vAlign w:val="bottom"/>
            <w:hideMark/>
          </w:tcPr>
          <w:p w14:paraId="6BDE095F"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 </w:t>
            </w:r>
          </w:p>
        </w:tc>
      </w:tr>
      <w:tr w:rsidR="008A2319" w:rsidRPr="008A2319" w14:paraId="277C0926"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1E3F2C4"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 xml:space="preserve">Low AHRQ SES index score (&lt;=25th </w:t>
            </w:r>
            <w:proofErr w:type="spellStart"/>
            <w:r w:rsidRPr="008A2319">
              <w:rPr>
                <w:rFonts w:ascii="Arial" w:eastAsia="Times New Roman" w:hAnsi="Arial" w:cs="Arial"/>
                <w:color w:val="000000"/>
                <w:sz w:val="19"/>
                <w:szCs w:val="19"/>
              </w:rPr>
              <w:t>pct</w:t>
            </w:r>
            <w:proofErr w:type="spellEnd"/>
            <w:r w:rsidRPr="008A2319">
              <w:rPr>
                <w:rFonts w:ascii="Arial" w:eastAsia="Times New Roman" w:hAnsi="Arial" w:cs="Arial"/>
                <w:color w:val="000000"/>
                <w:sz w:val="19"/>
                <w:szCs w:val="19"/>
              </w:rPr>
              <w:t>)</w:t>
            </w:r>
          </w:p>
        </w:tc>
        <w:tc>
          <w:tcPr>
            <w:tcW w:w="1046" w:type="pct"/>
            <w:tcBorders>
              <w:top w:val="nil"/>
              <w:left w:val="nil"/>
              <w:bottom w:val="single" w:sz="4" w:space="0" w:color="C1C1C1"/>
              <w:right w:val="single" w:sz="4" w:space="0" w:color="C1C1C1"/>
            </w:tcBorders>
            <w:shd w:val="clear" w:color="auto" w:fill="auto"/>
            <w:vAlign w:val="bottom"/>
            <w:hideMark/>
          </w:tcPr>
          <w:p w14:paraId="30E51854"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384,354 (15.3%)</w:t>
            </w:r>
          </w:p>
        </w:tc>
        <w:tc>
          <w:tcPr>
            <w:tcW w:w="1046" w:type="pct"/>
            <w:tcBorders>
              <w:top w:val="nil"/>
              <w:left w:val="nil"/>
              <w:bottom w:val="single" w:sz="4" w:space="0" w:color="C1C1C1"/>
              <w:right w:val="single" w:sz="4" w:space="0" w:color="C1C1C1"/>
            </w:tcBorders>
            <w:shd w:val="clear" w:color="auto" w:fill="auto"/>
            <w:vAlign w:val="bottom"/>
            <w:hideMark/>
          </w:tcPr>
          <w:p w14:paraId="5FE3212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1.08 (1.07, 1.09)</w:t>
            </w:r>
          </w:p>
        </w:tc>
      </w:tr>
      <w:tr w:rsidR="008A2319" w:rsidRPr="008A2319" w14:paraId="56CC0E4E" w14:textId="77777777" w:rsidTr="008A2319">
        <w:trPr>
          <w:trHeight w:val="240"/>
        </w:trPr>
        <w:tc>
          <w:tcPr>
            <w:tcW w:w="2908" w:type="pct"/>
            <w:tcBorders>
              <w:top w:val="nil"/>
              <w:left w:val="single" w:sz="4" w:space="0" w:color="C1C1C1"/>
              <w:bottom w:val="single" w:sz="4" w:space="0" w:color="C1C1C1"/>
              <w:right w:val="single" w:sz="4" w:space="0" w:color="C1C1C1"/>
            </w:tcBorders>
            <w:shd w:val="clear" w:color="000000" w:fill="FFFFFF"/>
            <w:vAlign w:val="bottom"/>
            <w:hideMark/>
          </w:tcPr>
          <w:p w14:paraId="5C77B5D1" w14:textId="77777777" w:rsidR="008A2319" w:rsidRPr="008A2319" w:rsidRDefault="008A2319" w:rsidP="008A2319">
            <w:pPr>
              <w:spacing w:after="0" w:line="240" w:lineRule="auto"/>
              <w:ind w:firstLineChars="200" w:firstLine="380"/>
              <w:rPr>
                <w:rFonts w:ascii="Arial" w:eastAsia="Times New Roman" w:hAnsi="Arial" w:cs="Arial"/>
                <w:color w:val="000000"/>
                <w:sz w:val="19"/>
                <w:szCs w:val="19"/>
              </w:rPr>
            </w:pPr>
            <w:r w:rsidRPr="008A2319">
              <w:rPr>
                <w:rFonts w:ascii="Arial" w:eastAsia="Times New Roman" w:hAnsi="Arial" w:cs="Arial"/>
                <w:color w:val="000000"/>
                <w:sz w:val="19"/>
                <w:szCs w:val="19"/>
              </w:rPr>
              <w:t xml:space="preserve">Low specialist density (&lt;=25th </w:t>
            </w:r>
            <w:proofErr w:type="spellStart"/>
            <w:r w:rsidRPr="008A2319">
              <w:rPr>
                <w:rFonts w:ascii="Arial" w:eastAsia="Times New Roman" w:hAnsi="Arial" w:cs="Arial"/>
                <w:color w:val="000000"/>
                <w:sz w:val="19"/>
                <w:szCs w:val="19"/>
              </w:rPr>
              <w:t>pct</w:t>
            </w:r>
            <w:proofErr w:type="spellEnd"/>
            <w:r w:rsidRPr="008A2319">
              <w:rPr>
                <w:rFonts w:ascii="Arial" w:eastAsia="Times New Roman" w:hAnsi="Arial" w:cs="Arial"/>
                <w:color w:val="000000"/>
                <w:sz w:val="19"/>
                <w:szCs w:val="19"/>
              </w:rPr>
              <w:t>)</w:t>
            </w:r>
          </w:p>
        </w:tc>
        <w:tc>
          <w:tcPr>
            <w:tcW w:w="1046" w:type="pct"/>
            <w:tcBorders>
              <w:top w:val="nil"/>
              <w:left w:val="nil"/>
              <w:bottom w:val="single" w:sz="4" w:space="0" w:color="C1C1C1"/>
              <w:right w:val="single" w:sz="4" w:space="0" w:color="C1C1C1"/>
            </w:tcBorders>
            <w:shd w:val="clear" w:color="auto" w:fill="auto"/>
            <w:vAlign w:val="bottom"/>
            <w:hideMark/>
          </w:tcPr>
          <w:p w14:paraId="778709E9"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80,468 (3.2%)</w:t>
            </w:r>
          </w:p>
        </w:tc>
        <w:tc>
          <w:tcPr>
            <w:tcW w:w="1046" w:type="pct"/>
            <w:tcBorders>
              <w:top w:val="nil"/>
              <w:left w:val="nil"/>
              <w:bottom w:val="single" w:sz="4" w:space="0" w:color="C1C1C1"/>
              <w:right w:val="single" w:sz="4" w:space="0" w:color="C1C1C1"/>
            </w:tcBorders>
            <w:shd w:val="clear" w:color="auto" w:fill="auto"/>
            <w:vAlign w:val="bottom"/>
            <w:hideMark/>
          </w:tcPr>
          <w:p w14:paraId="12941A92" w14:textId="77777777" w:rsidR="008A2319" w:rsidRPr="008A2319" w:rsidRDefault="008A2319" w:rsidP="008A2319">
            <w:pPr>
              <w:spacing w:after="0" w:line="240" w:lineRule="auto"/>
              <w:jc w:val="center"/>
              <w:rPr>
                <w:rFonts w:ascii="Arial" w:eastAsia="Times New Roman" w:hAnsi="Arial" w:cs="Arial"/>
                <w:color w:val="000000"/>
                <w:sz w:val="19"/>
                <w:szCs w:val="19"/>
              </w:rPr>
            </w:pPr>
            <w:r w:rsidRPr="008A2319">
              <w:rPr>
                <w:rFonts w:ascii="Arial" w:eastAsia="Times New Roman" w:hAnsi="Arial" w:cs="Arial"/>
                <w:color w:val="000000"/>
                <w:sz w:val="19"/>
                <w:szCs w:val="19"/>
              </w:rPr>
              <w:t>1.03 (1.02, 1.04)</w:t>
            </w:r>
          </w:p>
        </w:tc>
      </w:tr>
    </w:tbl>
    <w:p w14:paraId="14C5F537" w14:textId="77777777" w:rsidR="006A1AC2" w:rsidRPr="000D6F33" w:rsidRDefault="006A1AC2" w:rsidP="000D6F33">
      <w:pPr>
        <w:pBdr>
          <w:top w:val="single" w:sz="4" w:space="1" w:color="auto"/>
          <w:left w:val="single" w:sz="4" w:space="1" w:color="auto"/>
          <w:bottom w:val="single" w:sz="4" w:space="1" w:color="auto"/>
          <w:right w:val="single" w:sz="4" w:space="1" w:color="auto"/>
        </w:pBdr>
        <w:spacing w:after="0"/>
        <w:rPr>
          <w:rFonts w:cs="Calibri"/>
          <w:bCs/>
        </w:rPr>
      </w:pPr>
    </w:p>
    <w:p w14:paraId="4F818AF8" w14:textId="158D6AEC" w:rsidR="00394224" w:rsidRPr="009D3882" w:rsidRDefault="009C7513" w:rsidP="00394224">
      <w:pPr>
        <w:spacing w:after="0"/>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394224">
        <w:rPr>
          <w:rFonts w:cs="Calibri"/>
          <w:bCs/>
        </w:rPr>
        <w:t xml:space="preserve">. </w:t>
      </w:r>
    </w:p>
    <w:p w14:paraId="5F4AE795" w14:textId="2AA229FF" w:rsidR="00300AF7" w:rsidRPr="000D6F33"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CB118B">
        <w:rPr>
          <w:rFonts w:ascii="Calibri" w:eastAsia="Calibri" w:hAnsi="Calibri" w:cs="Calibri"/>
          <w:color w:val="000000"/>
        </w:rPr>
        <w:t>Not applicable, this measure is risk-adjusted.</w:t>
      </w:r>
    </w:p>
    <w:p w14:paraId="47CCEFE9" w14:textId="77777777" w:rsidR="00300AF7" w:rsidRDefault="00300AF7" w:rsidP="00AF2D68">
      <w:pPr>
        <w:rPr>
          <w:rFonts w:cstheme="minorHAnsi"/>
          <w:b/>
          <w:bCs/>
        </w:rPr>
      </w:pPr>
    </w:p>
    <w:p w14:paraId="6DCA5590" w14:textId="23106A5B" w:rsidR="00394224" w:rsidRPr="000D6F33" w:rsidRDefault="009C7513" w:rsidP="00AF2D68">
      <w:pPr>
        <w:rPr>
          <w:rFonts w:cstheme="minorHAnsi"/>
          <w:b/>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 xml:space="preserve">used in the statistical risk model or for stratification by </w:t>
      </w:r>
      <w:r w:rsidR="00092566" w:rsidRPr="00A25024">
        <w:rPr>
          <w:rFonts w:cstheme="minorHAnsi"/>
          <w:b/>
          <w:bCs/>
        </w:rPr>
        <w:lastRenderedPageBreak/>
        <w:t>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070DF207" w14:textId="733E3B2F" w:rsidR="00D86D6D" w:rsidRPr="00D86D6D"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D86D6D">
        <w:rPr>
          <w:rFonts w:ascii="Calibri" w:eastAsia="Times New Roman" w:hAnsi="Calibri" w:cs="Calibri"/>
          <w:bCs/>
        </w:rPr>
        <w:t>The overall goal of our risk</w:t>
      </w:r>
      <w:r w:rsidR="006F3526">
        <w:rPr>
          <w:rFonts w:ascii="Calibri" w:eastAsia="Times New Roman" w:hAnsi="Calibri" w:cs="Calibri"/>
          <w:bCs/>
        </w:rPr>
        <w:t>-</w:t>
      </w:r>
      <w:r w:rsidRPr="00D86D6D">
        <w:rPr>
          <w:rFonts w:ascii="Calibri" w:eastAsia="Times New Roman" w:hAnsi="Calibri" w:cs="Calibri"/>
          <w:bCs/>
        </w:rPr>
        <w:t xml:space="preserve">adjustment approach is to ensure that the measure fairly accounts for patient mix across ACOs [1]. Therefore, the measure risk adjusts to account for factors that are associated with the outcome (that is, unplanned hospital admissions), vary across ACOs, and are unrelated to quality of care so that measure scores reflect differences in care quality. </w:t>
      </w:r>
    </w:p>
    <w:p w14:paraId="3D0AA29A" w14:textId="07D711B7"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roofErr w:type="gramStart"/>
      <w:r w:rsidRPr="00677A16">
        <w:rPr>
          <w:rFonts w:ascii="Calibri" w:eastAsia="Times New Roman" w:hAnsi="Calibri" w:cs="Calibri"/>
          <w:bCs/>
        </w:rPr>
        <w:t>In order to</w:t>
      </w:r>
      <w:proofErr w:type="gramEnd"/>
      <w:r w:rsidRPr="00677A16">
        <w:rPr>
          <w:rFonts w:ascii="Calibri" w:eastAsia="Times New Roman" w:hAnsi="Calibri" w:cs="Calibri"/>
          <w:bCs/>
        </w:rPr>
        <w:t xml:space="preserve"> harmonize measures across programs, CMS has aligned the risk</w:t>
      </w:r>
      <w:r w:rsidR="001035A8">
        <w:rPr>
          <w:rFonts w:ascii="Calibri" w:eastAsia="Times New Roman" w:hAnsi="Calibri" w:cs="Calibri"/>
          <w:bCs/>
        </w:rPr>
        <w:t>-</w:t>
      </w:r>
      <w:r w:rsidRPr="00677A16">
        <w:rPr>
          <w:rFonts w:ascii="Calibri" w:eastAsia="Times New Roman" w:hAnsi="Calibri" w:cs="Calibri"/>
          <w:bCs/>
        </w:rPr>
        <w:t>adjustment approach for the ACO MCC and the MIPS MCC measures (submitted for initial NQF endorsement in this same cycle). Below we outline the original development of the risk model and then provide updates regarding additional risk variables added to the ACO MCC measure’s risk</w:t>
      </w:r>
      <w:r w:rsidR="001035A8">
        <w:rPr>
          <w:rFonts w:ascii="Calibri" w:eastAsia="Times New Roman" w:hAnsi="Calibri" w:cs="Calibri"/>
          <w:bCs/>
        </w:rPr>
        <w:t>-</w:t>
      </w:r>
      <w:r w:rsidRPr="00677A16">
        <w:rPr>
          <w:rFonts w:ascii="Calibri" w:eastAsia="Times New Roman" w:hAnsi="Calibri" w:cs="Calibri"/>
          <w:bCs/>
        </w:rPr>
        <w:t>adjustment model that are consistent with the conceptual mode for the measure and fully align</w:t>
      </w:r>
      <w:r w:rsidR="00FC7254" w:rsidRPr="00677A16">
        <w:rPr>
          <w:rFonts w:ascii="Calibri" w:eastAsia="Times New Roman" w:hAnsi="Calibri" w:cs="Calibri"/>
          <w:bCs/>
        </w:rPr>
        <w:t>ed</w:t>
      </w:r>
      <w:r w:rsidRPr="00677A16">
        <w:rPr>
          <w:rFonts w:ascii="Calibri" w:eastAsia="Times New Roman" w:hAnsi="Calibri" w:cs="Calibri"/>
          <w:bCs/>
        </w:rPr>
        <w:t xml:space="preserve"> with the MIPS MCC measure.</w:t>
      </w:r>
    </w:p>
    <w:p w14:paraId="5C0CC04A" w14:textId="77777777" w:rsidR="00D86D6D" w:rsidRPr="00D86D6D"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color w:val="0070C0"/>
        </w:rPr>
      </w:pPr>
    </w:p>
    <w:p w14:paraId="7039C89F" w14:textId="77777777"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u w:val="single"/>
        </w:rPr>
      </w:pPr>
      <w:r w:rsidRPr="00677A16">
        <w:rPr>
          <w:rFonts w:ascii="Calibri" w:eastAsia="Times New Roman" w:hAnsi="Calibri" w:cs="Calibri"/>
          <w:bCs/>
          <w:u w:val="single"/>
        </w:rPr>
        <w:t>Original ACO MCC Measure Development</w:t>
      </w:r>
    </w:p>
    <w:p w14:paraId="6B5DD652" w14:textId="357177CE"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t xml:space="preserve">We selected the risk-adjustment model variables based on the existing literature, clinical judgment, empirical analyses, and input from our TEP and other experts. We considered factors that may impact the rate of admission, including patient-level factors (e.g., demographics, SES, clinical risk factors on admission); we also considered the impact of other non-clinical factors such as health behaviors and community resources. </w:t>
      </w:r>
    </w:p>
    <w:p w14:paraId="71DDAD47" w14:textId="5D0DEBE2"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t xml:space="preserve">We were guided by a conceptual </w:t>
      </w:r>
      <w:r w:rsidR="00B269E7">
        <w:rPr>
          <w:rFonts w:ascii="Calibri" w:eastAsia="Times New Roman" w:hAnsi="Calibri" w:cs="Calibri"/>
          <w:bCs/>
        </w:rPr>
        <w:t>model</w:t>
      </w:r>
      <w:r w:rsidRPr="00677A16">
        <w:rPr>
          <w:rFonts w:ascii="Calibri" w:eastAsia="Times New Roman" w:hAnsi="Calibri" w:cs="Calibri"/>
          <w:bCs/>
        </w:rPr>
        <w:t xml:space="preserve"> that was informed by a literature review and environmental scan, outlining the relationships between potential clinical and contextual factors and rates of admissions among chronic disease populations cared for by ACOs. Importantly, many factors other than traditional medical care delivered in the office or hospital settings will impact health outcomes for patients with chronic disease. For example, ACOs practicing in communities where patients have limited access to transportation, healthy foods, and recreational facilities</w:t>
      </w:r>
      <w:r w:rsidR="001D17EF">
        <w:rPr>
          <w:rFonts w:ascii="Calibri" w:eastAsia="Times New Roman" w:hAnsi="Calibri" w:cs="Calibri"/>
          <w:bCs/>
        </w:rPr>
        <w:t xml:space="preserve"> </w:t>
      </w:r>
      <w:r w:rsidRPr="00677A16">
        <w:rPr>
          <w:rFonts w:ascii="Calibri" w:eastAsia="Times New Roman" w:hAnsi="Calibri" w:cs="Calibri"/>
          <w:bCs/>
        </w:rPr>
        <w:t xml:space="preserve">may have less success in promoting healthy behaviors among patients with MCCs; this may in turn impact quality outcomes. Recognition of and attention to the health environment may be important for achieving the goals of better care, better </w:t>
      </w:r>
      <w:proofErr w:type="gramStart"/>
      <w:r w:rsidRPr="00677A16">
        <w:rPr>
          <w:rFonts w:ascii="Calibri" w:eastAsia="Times New Roman" w:hAnsi="Calibri" w:cs="Calibri"/>
          <w:bCs/>
        </w:rPr>
        <w:t>health</w:t>
      </w:r>
      <w:proofErr w:type="gramEnd"/>
      <w:r w:rsidRPr="00677A16">
        <w:rPr>
          <w:rFonts w:ascii="Calibri" w:eastAsia="Times New Roman" w:hAnsi="Calibri" w:cs="Calibri"/>
          <w:bCs/>
        </w:rPr>
        <w:t xml:space="preserve"> and lower costs and thus, shared savings. </w:t>
      </w:r>
    </w:p>
    <w:p w14:paraId="14379D0D" w14:textId="3D624183" w:rsidR="00D86D6D" w:rsidRPr="00B269E7" w:rsidRDefault="008A2319"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color w:val="7030A0"/>
        </w:rPr>
      </w:pPr>
      <w:r>
        <w:rPr>
          <w:rFonts w:ascii="Calibri" w:eastAsia="Times New Roman" w:hAnsi="Calibri" w:cs="Calibri"/>
          <w:bCs/>
        </w:rPr>
        <w:t xml:space="preserve">The </w:t>
      </w:r>
      <w:r w:rsidR="00D86D6D" w:rsidRPr="00677A16">
        <w:rPr>
          <w:rFonts w:ascii="Calibri" w:eastAsia="Times New Roman" w:hAnsi="Calibri" w:cs="Calibri"/>
          <w:bCs/>
        </w:rPr>
        <w:t xml:space="preserve">conceptual model (Figure 1) was presented and endorsed by the TEP engaged during the development of the </w:t>
      </w:r>
      <w:r>
        <w:rPr>
          <w:rFonts w:ascii="Calibri" w:eastAsia="Times New Roman" w:hAnsi="Calibri" w:cs="Calibri"/>
          <w:bCs/>
        </w:rPr>
        <w:t xml:space="preserve">original </w:t>
      </w:r>
      <w:r w:rsidR="00D86D6D" w:rsidRPr="00677A16">
        <w:rPr>
          <w:rFonts w:ascii="Calibri" w:eastAsia="Times New Roman" w:hAnsi="Calibri" w:cs="Calibri"/>
          <w:bCs/>
        </w:rPr>
        <w:t xml:space="preserve">ACO MCC measure. The conceptual model recognizes patient-level demographic and clinical factors, along with 4 contextual domains that may influence ACO performance: (1) </w:t>
      </w:r>
      <w:r w:rsidR="001C6723">
        <w:rPr>
          <w:rFonts w:ascii="Calibri" w:eastAsia="Times New Roman" w:hAnsi="Calibri" w:cs="Calibri"/>
          <w:bCs/>
        </w:rPr>
        <w:t>p</w:t>
      </w:r>
      <w:r w:rsidR="00D86D6D" w:rsidRPr="00677A16">
        <w:rPr>
          <w:rFonts w:ascii="Calibri" w:eastAsia="Times New Roman" w:hAnsi="Calibri" w:cs="Calibri"/>
          <w:bCs/>
        </w:rPr>
        <w:t xml:space="preserve">hysical environment (e.g., green spaces; safe streets); (2) </w:t>
      </w:r>
      <w:r w:rsidR="001C6723">
        <w:rPr>
          <w:rFonts w:ascii="Calibri" w:eastAsia="Times New Roman" w:hAnsi="Calibri" w:cs="Calibri"/>
          <w:bCs/>
        </w:rPr>
        <w:t>c</w:t>
      </w:r>
      <w:r w:rsidR="00D86D6D" w:rsidRPr="00677A16">
        <w:rPr>
          <w:rFonts w:ascii="Calibri" w:eastAsia="Times New Roman" w:hAnsi="Calibri" w:cs="Calibri"/>
          <w:bCs/>
        </w:rPr>
        <w:t xml:space="preserve">ommunity resources (e.g., home health; senior services); (3) </w:t>
      </w:r>
      <w:r w:rsidR="001C6723">
        <w:rPr>
          <w:rFonts w:ascii="Calibri" w:eastAsia="Times New Roman" w:hAnsi="Calibri" w:cs="Calibri"/>
          <w:bCs/>
        </w:rPr>
        <w:t>p</w:t>
      </w:r>
      <w:r w:rsidR="00D86D6D" w:rsidRPr="00677A16">
        <w:rPr>
          <w:rFonts w:ascii="Calibri" w:eastAsia="Times New Roman" w:hAnsi="Calibri" w:cs="Calibri"/>
          <w:bCs/>
        </w:rPr>
        <w:t xml:space="preserve">atient resources (e.g., social support; transportation; income); and (4) </w:t>
      </w:r>
      <w:r w:rsidR="001C6723">
        <w:rPr>
          <w:rFonts w:ascii="Calibri" w:eastAsia="Times New Roman" w:hAnsi="Calibri" w:cs="Calibri"/>
          <w:bCs/>
        </w:rPr>
        <w:t>p</w:t>
      </w:r>
      <w:r w:rsidR="00D86D6D" w:rsidRPr="00677A16">
        <w:rPr>
          <w:rFonts w:ascii="Calibri" w:eastAsia="Times New Roman" w:hAnsi="Calibri" w:cs="Calibri"/>
          <w:bCs/>
        </w:rPr>
        <w:t xml:space="preserve">atient behavior/personal preferences (e.g., exercise; diet; advanced care directives; preference for intervention). </w:t>
      </w:r>
    </w:p>
    <w:p w14:paraId="3490A888" w14:textId="74FED3C0"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t xml:space="preserve">The conceptual model </w:t>
      </w:r>
      <w:r w:rsidR="008A2319">
        <w:rPr>
          <w:rFonts w:ascii="Calibri" w:eastAsia="Times New Roman" w:hAnsi="Calibri" w:cs="Calibri"/>
          <w:bCs/>
        </w:rPr>
        <w:t xml:space="preserve">for the original ACO MCC measure </w:t>
      </w:r>
      <w:r w:rsidRPr="00677A16">
        <w:rPr>
          <w:rFonts w:ascii="Calibri" w:eastAsia="Times New Roman" w:hAnsi="Calibri" w:cs="Calibri"/>
          <w:bCs/>
        </w:rPr>
        <w:t>also recognizes the capacity of ACOs to mitigate the effects of many contextual factors on rates of admissions, encompassing both SES and non-SES variables, and supporting CMS’</w:t>
      </w:r>
      <w:r w:rsidR="001C6723">
        <w:rPr>
          <w:rFonts w:ascii="Calibri" w:eastAsia="Times New Roman" w:hAnsi="Calibri" w:cs="Calibri"/>
          <w:bCs/>
        </w:rPr>
        <w:t>s</w:t>
      </w:r>
      <w:r w:rsidRPr="00677A16">
        <w:rPr>
          <w:rFonts w:ascii="Calibri" w:eastAsia="Times New Roman" w:hAnsi="Calibri" w:cs="Calibri"/>
          <w:bCs/>
        </w:rPr>
        <w:t xml:space="preserve"> decision at the time not to adjust for contextual factors in the version of the measure that went through initial endorsement due to concerns that adjusting for contextual factors would obscure important differences in ACO quality and could serve as a disincentive for ACOs to engage with such factors.</w:t>
      </w:r>
      <w:r w:rsidR="00B269E7">
        <w:rPr>
          <w:rFonts w:ascii="Calibri" w:eastAsia="Times New Roman" w:hAnsi="Calibri" w:cs="Calibri"/>
          <w:bCs/>
        </w:rPr>
        <w:t xml:space="preserve"> [2]</w:t>
      </w:r>
      <w:r w:rsidRPr="00677A16">
        <w:rPr>
          <w:rFonts w:ascii="Calibri" w:eastAsia="Times New Roman" w:hAnsi="Calibri" w:cs="Calibri"/>
          <w:bCs/>
        </w:rPr>
        <w:t xml:space="preserve"> </w:t>
      </w:r>
    </w:p>
    <w:p w14:paraId="1FF3BA52" w14:textId="5262C557" w:rsidR="00B269E7" w:rsidRDefault="00B269E7"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32397173" w14:textId="269D4A26" w:rsidR="008A2319" w:rsidRDefault="008A2319"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7B3248A0" w14:textId="5AAC3F78" w:rsidR="008A2319" w:rsidRDefault="008A2319"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1D0BBBE2" w14:textId="4CB08A94" w:rsidR="008A2319" w:rsidRDefault="008A2319"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2BC11DC4" w14:textId="24188239" w:rsidR="008A2319" w:rsidRDefault="008A2319"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5B488598" w14:textId="204BC2A7" w:rsidR="008A2319" w:rsidRDefault="008A2319"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157747B4" w14:textId="77777777" w:rsidR="008A2319" w:rsidRDefault="008A2319"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2C9E34B6" w14:textId="5589BBBA" w:rsidR="00D86D6D" w:rsidRPr="008A2319"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
          <w:bCs/>
        </w:rPr>
      </w:pPr>
      <w:r w:rsidRPr="008A2319">
        <w:rPr>
          <w:rFonts w:ascii="Calibri" w:eastAsia="Times New Roman" w:hAnsi="Calibri" w:cs="Calibri"/>
          <w:b/>
          <w:bCs/>
        </w:rPr>
        <w:t>Figure 1. Conceptual model of factors affecting risk of hospital admission (from original measure development and initial endorsement)</w:t>
      </w:r>
    </w:p>
    <w:p w14:paraId="4C58F2A6" w14:textId="77777777" w:rsidR="00D86D6D" w:rsidRPr="00D86D6D"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color w:val="7030A0"/>
        </w:rPr>
      </w:pPr>
      <w:r w:rsidRPr="00D86D6D">
        <w:rPr>
          <w:rFonts w:ascii="Calibri" w:eastAsia="Times New Roman" w:hAnsi="Calibri" w:cs="Times New Roman"/>
          <w:noProof/>
        </w:rPr>
        <w:drawing>
          <wp:inline distT="0" distB="0" distL="0" distR="0" wp14:anchorId="0C0FFCE9" wp14:editId="5F48A1A5">
            <wp:extent cx="5908348" cy="3427355"/>
            <wp:effectExtent l="0" t="0" r="0" b="1905"/>
            <wp:docPr id="26" name="Picture 26" descr="Conceptual model of factors affecting risk of hospital admission (from original measure development and initial endorsement). The conceptual model was presented and endorsed by the TEP engaged during the development of the original ACO MCC measure. The conceptual model recognizes patient-level demographic and clinical factors, along with 4 contextual domains that may influence ACO performance: (1) physical environment (e.g., green spaces; safe streets); (2) community resources (e.g., home health; senior services); (3) patient resources (e.g., social support; transportation; income); and (4) patient behavior/personal preferences (e.g., exercise; diet; advanced care directives; preference for interven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55068" cy="3512465"/>
                    </a:xfrm>
                    <a:prstGeom prst="rect">
                      <a:avLst/>
                    </a:prstGeom>
                    <a:noFill/>
                  </pic:spPr>
                </pic:pic>
              </a:graphicData>
            </a:graphic>
          </wp:inline>
        </w:drawing>
      </w:r>
    </w:p>
    <w:p w14:paraId="0B619D8E" w14:textId="77777777" w:rsidR="00D86D6D" w:rsidRPr="00D86D6D"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
          <w:bCs/>
          <w:u w:val="single"/>
        </w:rPr>
      </w:pPr>
    </w:p>
    <w:p w14:paraId="3AE5FC7F" w14:textId="44A6994E"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
          <w:bCs/>
          <w:u w:val="single"/>
        </w:rPr>
      </w:pPr>
      <w:r w:rsidRPr="00677A16">
        <w:rPr>
          <w:rFonts w:ascii="Calibri" w:eastAsia="Times New Roman" w:hAnsi="Calibri" w:cs="Calibri"/>
          <w:b/>
          <w:bCs/>
          <w:u w:val="single"/>
        </w:rPr>
        <w:t xml:space="preserve">Conceptual </w:t>
      </w:r>
      <w:r w:rsidR="00B269E7">
        <w:rPr>
          <w:rFonts w:ascii="Calibri" w:eastAsia="Times New Roman" w:hAnsi="Calibri" w:cs="Calibri"/>
          <w:b/>
          <w:bCs/>
          <w:u w:val="single"/>
        </w:rPr>
        <w:t>Model</w:t>
      </w:r>
      <w:r w:rsidRPr="00677A16">
        <w:rPr>
          <w:rFonts w:ascii="Calibri" w:eastAsia="Times New Roman" w:hAnsi="Calibri" w:cs="Calibri"/>
          <w:b/>
          <w:bCs/>
          <w:u w:val="single"/>
        </w:rPr>
        <w:t xml:space="preserve"> for Endorsement Maintenance</w:t>
      </w:r>
    </w:p>
    <w:p w14:paraId="2414588C" w14:textId="23AD9E71"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t>As mentioned</w:t>
      </w:r>
      <w:r w:rsidR="008A2319">
        <w:rPr>
          <w:rFonts w:ascii="Calibri" w:eastAsia="Times New Roman" w:hAnsi="Calibri" w:cs="Calibri"/>
          <w:bCs/>
        </w:rPr>
        <w:t xml:space="preserve"> above, CMS sought to align the</w:t>
      </w:r>
      <w:r w:rsidRPr="00677A16">
        <w:rPr>
          <w:rFonts w:ascii="Calibri" w:eastAsia="Times New Roman" w:hAnsi="Calibri" w:cs="Calibri"/>
          <w:bCs/>
        </w:rPr>
        <w:t xml:space="preserve"> ACO MCC measure with the </w:t>
      </w:r>
      <w:r w:rsidR="002D01E5" w:rsidRPr="00677A16">
        <w:rPr>
          <w:rFonts w:ascii="Calibri" w:eastAsia="Times New Roman" w:hAnsi="Calibri" w:cs="Calibri"/>
          <w:bCs/>
        </w:rPr>
        <w:t xml:space="preserve">risk-standardized </w:t>
      </w:r>
      <w:r w:rsidRPr="00677A16">
        <w:rPr>
          <w:rFonts w:ascii="Calibri" w:eastAsia="Times New Roman" w:hAnsi="Calibri" w:cs="Calibri"/>
          <w:bCs/>
        </w:rPr>
        <w:t xml:space="preserve">unplanned </w:t>
      </w:r>
      <w:r w:rsidR="002D01E5" w:rsidRPr="00677A16">
        <w:rPr>
          <w:rFonts w:ascii="Calibri" w:eastAsia="Times New Roman" w:hAnsi="Calibri" w:cs="Calibri"/>
          <w:bCs/>
        </w:rPr>
        <w:t xml:space="preserve">hospital </w:t>
      </w:r>
      <w:r w:rsidRPr="00677A16">
        <w:rPr>
          <w:rFonts w:ascii="Calibri" w:eastAsia="Times New Roman" w:hAnsi="Calibri" w:cs="Calibri"/>
          <w:bCs/>
        </w:rPr>
        <w:t>admission measure developed for clinician groups for the Merit</w:t>
      </w:r>
      <w:r w:rsidR="00B269E7">
        <w:rPr>
          <w:rFonts w:ascii="Calibri" w:eastAsia="Times New Roman" w:hAnsi="Calibri" w:cs="Calibri"/>
          <w:bCs/>
        </w:rPr>
        <w:t>-B</w:t>
      </w:r>
      <w:r w:rsidRPr="00677A16">
        <w:rPr>
          <w:rFonts w:ascii="Calibri" w:eastAsia="Times New Roman" w:hAnsi="Calibri" w:cs="Calibri"/>
          <w:bCs/>
        </w:rPr>
        <w:t xml:space="preserve">ased Incentive </w:t>
      </w:r>
      <w:r w:rsidR="00B269E7">
        <w:rPr>
          <w:rFonts w:ascii="Calibri" w:eastAsia="Times New Roman" w:hAnsi="Calibri" w:cs="Calibri"/>
          <w:bCs/>
        </w:rPr>
        <w:t>Payment System</w:t>
      </w:r>
      <w:r w:rsidRPr="00677A16">
        <w:rPr>
          <w:rFonts w:ascii="Calibri" w:eastAsia="Times New Roman" w:hAnsi="Calibri" w:cs="Calibri"/>
          <w:bCs/>
        </w:rPr>
        <w:t xml:space="preserve"> </w:t>
      </w:r>
      <w:r w:rsidR="00005586">
        <w:rPr>
          <w:rFonts w:ascii="Calibri" w:eastAsia="Times New Roman" w:hAnsi="Calibri" w:cs="Calibri"/>
          <w:bCs/>
        </w:rPr>
        <w:t>(MIPS). The MIPS MCC measure has been</w:t>
      </w:r>
      <w:r w:rsidRPr="00677A16">
        <w:rPr>
          <w:rFonts w:ascii="Calibri" w:eastAsia="Times New Roman" w:hAnsi="Calibri" w:cs="Calibri"/>
          <w:bCs/>
        </w:rPr>
        <w:t xml:space="preserve"> submitted in this same NQF endorsement cycle for initial endorsement. </w:t>
      </w:r>
    </w:p>
    <w:p w14:paraId="3B95C67B" w14:textId="72D1B2B1"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t>To align risk</w:t>
      </w:r>
      <w:r w:rsidR="001C6723">
        <w:rPr>
          <w:rFonts w:ascii="Calibri" w:eastAsia="Times New Roman" w:hAnsi="Calibri" w:cs="Calibri"/>
          <w:bCs/>
        </w:rPr>
        <w:t>-</w:t>
      </w:r>
      <w:r w:rsidRPr="00677A16">
        <w:rPr>
          <w:rFonts w:ascii="Calibri" w:eastAsia="Times New Roman" w:hAnsi="Calibri" w:cs="Calibri"/>
          <w:bCs/>
        </w:rPr>
        <w:t>adjustment variables for the two measures, we added two types of risk variables to the MIPS MCC measure:</w:t>
      </w:r>
    </w:p>
    <w:p w14:paraId="2E4B177E" w14:textId="71C117D9" w:rsidR="00D86D6D" w:rsidRPr="00677A16" w:rsidRDefault="003C0FA3"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t>1</w:t>
      </w:r>
      <w:r w:rsidR="00D86D6D" w:rsidRPr="00677A16">
        <w:rPr>
          <w:rFonts w:ascii="Calibri" w:eastAsia="Times New Roman" w:hAnsi="Calibri" w:cs="Calibri"/>
          <w:bCs/>
        </w:rPr>
        <w:t>) Adjustment for disability/frailty. The updated ACO MCC measure adjusts for disability/frailty based on use of selected durable medical equipment.</w:t>
      </w:r>
    </w:p>
    <w:p w14:paraId="1CBC5DF4" w14:textId="75613297"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B269E7">
        <w:rPr>
          <w:rFonts w:ascii="Calibri" w:eastAsia="Times New Roman" w:hAnsi="Calibri" w:cs="Calibri"/>
          <w:bCs/>
          <w:u w:val="single"/>
        </w:rPr>
        <w:t>Rationale</w:t>
      </w:r>
      <w:r w:rsidRPr="00677A16">
        <w:rPr>
          <w:rFonts w:ascii="Calibri" w:eastAsia="Times New Roman" w:hAnsi="Calibri" w:cs="Calibri"/>
          <w:bCs/>
        </w:rPr>
        <w:t xml:space="preserve">: CMS included the frailty variables in both measures to account for increased admission risk among frail patients. The conceptual model for the </w:t>
      </w:r>
      <w:r w:rsidR="00005586">
        <w:rPr>
          <w:rFonts w:ascii="Calibri" w:eastAsia="Times New Roman" w:hAnsi="Calibri" w:cs="Calibri"/>
          <w:bCs/>
        </w:rPr>
        <w:t xml:space="preserve">original </w:t>
      </w:r>
      <w:r w:rsidRPr="00677A16">
        <w:rPr>
          <w:rFonts w:ascii="Calibri" w:eastAsia="Times New Roman" w:hAnsi="Calibri" w:cs="Calibri"/>
          <w:bCs/>
        </w:rPr>
        <w:t>ACO MCC measure noted the influence of frailty on admission risk (see far left box of figure), but when the measure was first developed</w:t>
      </w:r>
      <w:r w:rsidR="00B269E7">
        <w:rPr>
          <w:rFonts w:ascii="Calibri" w:eastAsia="Times New Roman" w:hAnsi="Calibri" w:cs="Calibri"/>
          <w:bCs/>
        </w:rPr>
        <w:t>,</w:t>
      </w:r>
      <w:r w:rsidRPr="00677A16">
        <w:rPr>
          <w:rFonts w:ascii="Calibri" w:eastAsia="Times New Roman" w:hAnsi="Calibri" w:cs="Calibri"/>
          <w:bCs/>
        </w:rPr>
        <w:t xml:space="preserve"> we and other developers had not yet tested claims-based variables to represent frailty in measure risk models. Their inclusion in the revised ACO MCC measure better addresses the conceptual model for this measure as suggested by ASPE while aligning it with the MIPS MCC measure.</w:t>
      </w:r>
      <w:r w:rsidR="00B269E7">
        <w:rPr>
          <w:rFonts w:ascii="Calibri" w:eastAsia="Times New Roman" w:hAnsi="Calibri" w:cs="Calibri"/>
          <w:bCs/>
        </w:rPr>
        <w:t xml:space="preserve"> [3]</w:t>
      </w:r>
    </w:p>
    <w:p w14:paraId="016D0D45" w14:textId="77777777"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p>
    <w:p w14:paraId="3311D336" w14:textId="3286F9BB" w:rsidR="00D86D6D" w:rsidRPr="00677A16" w:rsidRDefault="003C0FA3"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lastRenderedPageBreak/>
        <w:t>2</w:t>
      </w:r>
      <w:r w:rsidR="00D86D6D" w:rsidRPr="00677A16">
        <w:rPr>
          <w:rFonts w:ascii="Calibri" w:eastAsia="Times New Roman" w:hAnsi="Calibri" w:cs="Calibri"/>
          <w:bCs/>
        </w:rPr>
        <w:t xml:space="preserve">) Adjustment for two social risk factors that influence admission risk. The updated ACO MCC measure adjusts for </w:t>
      </w:r>
      <w:r w:rsidR="001C6723">
        <w:rPr>
          <w:rFonts w:ascii="Calibri" w:eastAsia="Times New Roman" w:hAnsi="Calibri" w:cs="Calibri"/>
          <w:bCs/>
        </w:rPr>
        <w:t>two</w:t>
      </w:r>
      <w:r w:rsidR="00D86D6D" w:rsidRPr="00677A16">
        <w:rPr>
          <w:rFonts w:ascii="Calibri" w:eastAsia="Times New Roman" w:hAnsi="Calibri" w:cs="Calibri"/>
          <w:bCs/>
        </w:rPr>
        <w:t xml:space="preserve"> social risk factor variables, low AHRQ SES index, and low physician specialist density.</w:t>
      </w:r>
    </w:p>
    <w:p w14:paraId="3C5C9124" w14:textId="23FA3C57" w:rsidR="00D86D6D" w:rsidRPr="00B269E7"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B269E7">
        <w:rPr>
          <w:rFonts w:ascii="Calibri" w:eastAsia="Times New Roman" w:hAnsi="Calibri" w:cs="Calibri"/>
          <w:bCs/>
          <w:u w:val="single"/>
        </w:rPr>
        <w:t>Rationale</w:t>
      </w:r>
      <w:r w:rsidRPr="00677A16">
        <w:rPr>
          <w:rFonts w:ascii="Calibri" w:eastAsia="Times New Roman" w:hAnsi="Calibri" w:cs="Calibri"/>
          <w:bCs/>
        </w:rPr>
        <w:t>: CMS included the two social risk factor adjusters in the ACO MCC updated measure primarily to fully align the measure with the MIPS MCC measure. CMS included these variables in the MIPS MCC measure because clinicians working in the community have a limited ability to influence these community-based contextual factors that affect admission risk (see Section 2b3.3a of the MIPS MCC testing form for details). As illustrated in Figure 1, the ACO MCC conceptual model acknowledges that low SES influences admission risk. Greater specialist density, although not initially considered for the ACO measure, as articulated in the MIPS MCC application, could also reduce risk for patients with multiple chronic conditions. CMS acknowledges that ACOs typically have a greater ability to mitigate the increased admission risk associated with social risk factors than smaller physician groups that will be measured by the MIPS MCC measure. On balance, however, CMS decided it was both consistent with the conceptual model and programmatically important to align the two admission measures given their use in the two QPP programs.</w:t>
      </w:r>
    </w:p>
    <w:p w14:paraId="4638F0DD" w14:textId="0CA6C597"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r w:rsidRPr="00677A16">
        <w:rPr>
          <w:rFonts w:ascii="Calibri" w:eastAsia="Times New Roman" w:hAnsi="Calibri" w:cs="Calibri"/>
          <w:bCs/>
        </w:rPr>
        <w:t xml:space="preserve">As </w:t>
      </w:r>
      <w:r w:rsidR="001B365F" w:rsidRPr="00677A16">
        <w:rPr>
          <w:rFonts w:ascii="Calibri" w:eastAsia="Times New Roman" w:hAnsi="Calibri" w:cs="Calibri"/>
          <w:bCs/>
        </w:rPr>
        <w:t xml:space="preserve">shown </w:t>
      </w:r>
      <w:r w:rsidRPr="00677A16">
        <w:rPr>
          <w:rFonts w:ascii="Calibri" w:eastAsia="Times New Roman" w:hAnsi="Calibri" w:cs="Calibri"/>
          <w:bCs/>
        </w:rPr>
        <w:t xml:space="preserve">in </w:t>
      </w:r>
      <w:r w:rsidR="00005586">
        <w:rPr>
          <w:rFonts w:ascii="Calibri" w:eastAsia="Times New Roman" w:hAnsi="Calibri" w:cs="Calibri"/>
          <w:bCs/>
        </w:rPr>
        <w:t>in the table at the end of this section</w:t>
      </w:r>
      <w:r w:rsidR="001B365F" w:rsidRPr="00677A16">
        <w:rPr>
          <w:rFonts w:ascii="Calibri" w:eastAsia="Times New Roman" w:hAnsi="Calibri" w:cs="Calibri"/>
          <w:bCs/>
        </w:rPr>
        <w:t>, we examined the prevalence of each risk variable and the associated relative risk ratio and</w:t>
      </w:r>
      <w:r w:rsidRPr="00677A16">
        <w:rPr>
          <w:rFonts w:ascii="Calibri" w:eastAsia="Times New Roman" w:hAnsi="Calibri" w:cs="Calibri"/>
          <w:bCs/>
        </w:rPr>
        <w:t xml:space="preserve"> confirmed these redefined and additional variables contributed model performance in the expected direction for the ACO MCC measure.</w:t>
      </w:r>
    </w:p>
    <w:p w14:paraId="117D1F83" w14:textId="537670C7" w:rsidR="00D86D6D" w:rsidRPr="00677A16" w:rsidRDefault="00D86D6D" w:rsidP="00D86D6D">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rPr>
      </w:pPr>
      <w:bookmarkStart w:id="26" w:name="_Hlk45037634"/>
      <w:r w:rsidRPr="00677A16">
        <w:rPr>
          <w:rFonts w:ascii="Calibri" w:eastAsia="Times New Roman" w:hAnsi="Calibri" w:cs="Calibri"/>
          <w:bCs/>
        </w:rPr>
        <w:t>In addition, to be fully transparent and inform the approach to adjusting for SRFs, we present supplementary social risk factor testing results</w:t>
      </w:r>
      <w:r w:rsidR="00005586">
        <w:rPr>
          <w:rFonts w:ascii="Calibri" w:eastAsia="Times New Roman" w:hAnsi="Calibri" w:cs="Calibri"/>
          <w:bCs/>
        </w:rPr>
        <w:t xml:space="preserve"> for the updated ACO MCC </w:t>
      </w:r>
      <w:proofErr w:type="gramStart"/>
      <w:r w:rsidR="00005586">
        <w:rPr>
          <w:rFonts w:ascii="Calibri" w:eastAsia="Times New Roman" w:hAnsi="Calibri" w:cs="Calibri"/>
          <w:bCs/>
        </w:rPr>
        <w:t xml:space="preserve">measure </w:t>
      </w:r>
      <w:r w:rsidRPr="00677A16">
        <w:rPr>
          <w:rFonts w:ascii="Calibri" w:eastAsia="Times New Roman" w:hAnsi="Calibri" w:cs="Calibri"/>
          <w:bCs/>
        </w:rPr>
        <w:t xml:space="preserve"> in</w:t>
      </w:r>
      <w:proofErr w:type="gramEnd"/>
      <w:r w:rsidRPr="00677A16">
        <w:rPr>
          <w:rFonts w:ascii="Calibri" w:eastAsia="Times New Roman" w:hAnsi="Calibri" w:cs="Calibri"/>
          <w:bCs/>
        </w:rPr>
        <w:t xml:space="preserve"> </w:t>
      </w:r>
      <w:r w:rsidR="003375DA" w:rsidRPr="00677A16">
        <w:rPr>
          <w:rFonts w:ascii="Calibri" w:eastAsia="Times New Roman" w:hAnsi="Calibri" w:cs="Calibri"/>
          <w:bCs/>
        </w:rPr>
        <w:t>Section 2b3.4b,</w:t>
      </w:r>
      <w:r w:rsidRPr="00677A16">
        <w:rPr>
          <w:rFonts w:ascii="Calibri" w:eastAsia="Times New Roman" w:hAnsi="Calibri" w:cs="Calibri"/>
          <w:bCs/>
        </w:rPr>
        <w:t xml:space="preserve"> including dual eligibility.</w:t>
      </w:r>
    </w:p>
    <w:bookmarkEnd w:id="26"/>
    <w:p w14:paraId="74C3F614" w14:textId="77777777" w:rsidR="00D86D6D" w:rsidRDefault="00D86D6D" w:rsidP="004B0E2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ascii="Calibri" w:eastAsia="Times New Roman" w:hAnsi="Calibri" w:cs="Calibri"/>
          <w:bCs/>
          <w:color w:val="0070C0"/>
        </w:rPr>
      </w:pPr>
    </w:p>
    <w:p w14:paraId="15999699" w14:textId="0AC2F880" w:rsidR="004B0E29" w:rsidRPr="000D6F33" w:rsidRDefault="004B0E29" w:rsidP="004B0E2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sidRPr="000D6F33">
        <w:rPr>
          <w:rFonts w:cs="Calibri"/>
          <w:bCs/>
          <w:u w:val="single"/>
        </w:rPr>
        <w:t>Model Form</w:t>
      </w:r>
    </w:p>
    <w:p w14:paraId="364C6782" w14:textId="215CDBD8" w:rsidR="004B0E29" w:rsidRPr="004B0E29" w:rsidRDefault="004B0E29" w:rsidP="004B0E2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4B0E29">
        <w:rPr>
          <w:rFonts w:cs="Calibri"/>
          <w:bCs/>
        </w:rPr>
        <w:t xml:space="preserve">The measure calculates </w:t>
      </w:r>
      <w:r>
        <w:rPr>
          <w:rFonts w:cs="Calibri"/>
          <w:bCs/>
        </w:rPr>
        <w:t>risk</w:t>
      </w:r>
      <w:r w:rsidR="00A41BE5">
        <w:rPr>
          <w:rFonts w:cs="Calibri"/>
          <w:bCs/>
        </w:rPr>
        <w:t>-</w:t>
      </w:r>
      <w:r>
        <w:rPr>
          <w:rFonts w:cs="Calibri"/>
          <w:bCs/>
        </w:rPr>
        <w:t xml:space="preserve">standardized acute </w:t>
      </w:r>
      <w:r w:rsidR="002F7761">
        <w:rPr>
          <w:rFonts w:cs="Calibri"/>
          <w:bCs/>
        </w:rPr>
        <w:t xml:space="preserve">admission </w:t>
      </w:r>
      <w:r>
        <w:rPr>
          <w:rFonts w:cs="Calibri"/>
          <w:bCs/>
        </w:rPr>
        <w:t>rates</w:t>
      </w:r>
      <w:r w:rsidRPr="004B0E29">
        <w:rPr>
          <w:rFonts w:cs="Calibri"/>
          <w:bCs/>
        </w:rPr>
        <w:t xml:space="preserve"> for </w:t>
      </w:r>
      <w:r w:rsidR="001660A4">
        <w:rPr>
          <w:rFonts w:cs="Calibri"/>
          <w:bCs/>
        </w:rPr>
        <w:t>ACOs</w:t>
      </w:r>
      <w:r w:rsidR="00D6517F">
        <w:rPr>
          <w:rFonts w:cs="Calibri"/>
          <w:bCs/>
        </w:rPr>
        <w:t xml:space="preserve"> </w:t>
      </w:r>
      <w:r w:rsidRPr="004B0E29">
        <w:rPr>
          <w:rFonts w:cs="Calibri"/>
          <w:bCs/>
        </w:rPr>
        <w:t xml:space="preserve">based on their MCC patients’ unplanned hospital admissions during the measurement period. The RSAAR for each </w:t>
      </w:r>
      <w:r w:rsidR="001660A4">
        <w:rPr>
          <w:rFonts w:cs="Calibri"/>
          <w:bCs/>
        </w:rPr>
        <w:t>ACO</w:t>
      </w:r>
      <w:r w:rsidRPr="004B0E29">
        <w:rPr>
          <w:rFonts w:cs="Calibri"/>
          <w:bCs/>
        </w:rPr>
        <w:t xml:space="preserve"> is calculated as the ratio of the number of “predicted” to the number of “expected” admissions per 100 person-years, multiplied by the national rate of admissions among all Medicare FFS patients with MCCs</w:t>
      </w:r>
      <w:r w:rsidR="00340309">
        <w:rPr>
          <w:rFonts w:cs="Calibri"/>
          <w:bCs/>
        </w:rPr>
        <w:t xml:space="preserve"> attributed to MSSP ACOs</w:t>
      </w:r>
      <w:r w:rsidRPr="004B0E29">
        <w:rPr>
          <w:rFonts w:cs="Calibri"/>
          <w:bCs/>
        </w:rPr>
        <w:t xml:space="preserve">. The measure uses a hierarchical (two-level) negative binomial model with linear variance that adjusts for demographic, clinical, and social risk factors; accounts for the clustering of patients within </w:t>
      </w:r>
      <w:r w:rsidR="001660A4">
        <w:rPr>
          <w:rFonts w:cs="Calibri"/>
          <w:bCs/>
        </w:rPr>
        <w:t>ACOs</w:t>
      </w:r>
      <w:r w:rsidRPr="004B0E29">
        <w:rPr>
          <w:rFonts w:cs="Calibri"/>
          <w:bCs/>
        </w:rPr>
        <w:t xml:space="preserve">; and accommodates the varying MCC patient population size across </w:t>
      </w:r>
      <w:r w:rsidR="001660A4">
        <w:rPr>
          <w:rFonts w:cs="Calibri"/>
          <w:bCs/>
        </w:rPr>
        <w:t>ACOs</w:t>
      </w:r>
      <w:r w:rsidRPr="004B0E29">
        <w:rPr>
          <w:rFonts w:cs="Calibri"/>
          <w:bCs/>
        </w:rPr>
        <w:t>.</w:t>
      </w:r>
    </w:p>
    <w:p w14:paraId="2C2BC935" w14:textId="3720E412" w:rsidR="004B0E29" w:rsidRPr="004B0E29" w:rsidRDefault="004B0E29" w:rsidP="004B0E29">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4B0E29">
        <w:rPr>
          <w:rFonts w:cs="Calibri"/>
          <w:bCs/>
        </w:rPr>
        <w:t xml:space="preserve">We selected the </w:t>
      </w:r>
      <w:r w:rsidR="006A2C85">
        <w:rPr>
          <w:rFonts w:cs="Calibri"/>
          <w:bCs/>
        </w:rPr>
        <w:t xml:space="preserve">MIPS MCC </w:t>
      </w:r>
      <w:r w:rsidRPr="004B0E29">
        <w:rPr>
          <w:rFonts w:cs="Calibri"/>
          <w:bCs/>
        </w:rPr>
        <w:t>model form based on statistical considerations</w:t>
      </w:r>
      <w:r w:rsidR="006A2C85">
        <w:rPr>
          <w:rFonts w:cs="Calibri"/>
          <w:bCs/>
        </w:rPr>
        <w:t xml:space="preserve">, and given the similarities in demographics, clinical, and social risk factors between patients assigned to ACOs and MIPS-eligible clinician groups, </w:t>
      </w:r>
      <w:r w:rsidR="00546B89">
        <w:rPr>
          <w:rFonts w:cs="Calibri"/>
          <w:bCs/>
        </w:rPr>
        <w:t>we applied the same model to the</w:t>
      </w:r>
      <w:r w:rsidR="006A2C85">
        <w:rPr>
          <w:rFonts w:cs="Calibri"/>
          <w:bCs/>
        </w:rPr>
        <w:t xml:space="preserve"> ACO measure</w:t>
      </w:r>
      <w:r w:rsidRPr="004B0E29">
        <w:rPr>
          <w:rFonts w:cs="Calibri"/>
          <w:bCs/>
        </w:rPr>
        <w:t xml:space="preserve">. Since the outcome of number of acute hospital admissions was </w:t>
      </w:r>
      <w:r w:rsidR="0007023A" w:rsidRPr="004B0E29">
        <w:rPr>
          <w:rFonts w:cs="Calibri"/>
          <w:bCs/>
        </w:rPr>
        <w:t>over dispersed</w:t>
      </w:r>
      <w:r w:rsidRPr="004B0E29">
        <w:rPr>
          <w:rFonts w:cs="Calibri"/>
          <w:bCs/>
        </w:rPr>
        <w:t xml:space="preserve"> (variance of the outcome exceeded the mean), we </w:t>
      </w:r>
      <w:r w:rsidR="00C96D26">
        <w:rPr>
          <w:rFonts w:cs="Calibri"/>
          <w:bCs/>
        </w:rPr>
        <w:t>used the</w:t>
      </w:r>
      <w:r w:rsidRPr="004B0E29">
        <w:rPr>
          <w:rFonts w:cs="Calibri"/>
          <w:bCs/>
        </w:rPr>
        <w:t xml:space="preserve"> negative binomial with linear variance or NB-1. </w:t>
      </w:r>
      <w:r w:rsidR="00C96D26">
        <w:rPr>
          <w:rFonts w:cs="Calibri"/>
          <w:bCs/>
        </w:rPr>
        <w:t>W</w:t>
      </w:r>
      <w:r w:rsidRPr="004B0E29">
        <w:rPr>
          <w:rFonts w:cs="Calibri"/>
          <w:bCs/>
        </w:rPr>
        <w:t>e examined fit through use of an internal calibration plot that compared observed and predicted admission rates across deciles of admission risk.</w:t>
      </w:r>
    </w:p>
    <w:p w14:paraId="16AAF657" w14:textId="77777777" w:rsidR="00AE62FE"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p>
    <w:p w14:paraId="37B918AF" w14:textId="7F4C009B" w:rsidR="00AE62FE" w:rsidRDefault="00E528DC" w:rsidP="00AE62F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r>
        <w:rPr>
          <w:rFonts w:cs="Calibri"/>
          <w:bCs/>
          <w:u w:val="single"/>
        </w:rPr>
        <w:t>Citations</w:t>
      </w:r>
    </w:p>
    <w:p w14:paraId="2678A063" w14:textId="4BEB54D4" w:rsidR="00B269E7" w:rsidRPr="00B269E7" w:rsidRDefault="00B269E7" w:rsidP="00B269E7">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B269E7">
        <w:rPr>
          <w:rFonts w:cs="Calibri"/>
          <w:bCs/>
        </w:rPr>
        <w:t>1.</w:t>
      </w:r>
      <w:r>
        <w:rPr>
          <w:rFonts w:cs="Calibri"/>
          <w:bCs/>
        </w:rPr>
        <w:t xml:space="preserve">  </w:t>
      </w:r>
      <w:proofErr w:type="spellStart"/>
      <w:r w:rsidRPr="00B269E7">
        <w:rPr>
          <w:rFonts w:cs="Calibri"/>
          <w:bCs/>
        </w:rPr>
        <w:t>Krumholz</w:t>
      </w:r>
      <w:proofErr w:type="spellEnd"/>
      <w:r w:rsidRPr="00B269E7">
        <w:rPr>
          <w:rFonts w:cs="Calibri"/>
          <w:bCs/>
        </w:rPr>
        <w:t xml:space="preserve"> HM, </w:t>
      </w:r>
      <w:proofErr w:type="spellStart"/>
      <w:r w:rsidRPr="00B269E7">
        <w:rPr>
          <w:rFonts w:cs="Calibri"/>
          <w:bCs/>
        </w:rPr>
        <w:t>Brindis</w:t>
      </w:r>
      <w:proofErr w:type="spellEnd"/>
      <w:r w:rsidRPr="00B269E7">
        <w:rPr>
          <w:rFonts w:cs="Calibri"/>
          <w:bCs/>
        </w:rPr>
        <w:t xml:space="preserve">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113: 456-462, 2006.</w:t>
      </w:r>
    </w:p>
    <w:p w14:paraId="7CADD01A" w14:textId="3C13632D" w:rsidR="00B269E7" w:rsidRPr="00B269E7" w:rsidRDefault="00B269E7" w:rsidP="00B269E7">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sidRPr="00B269E7">
        <w:rPr>
          <w:rFonts w:cs="Calibri"/>
          <w:bCs/>
        </w:rPr>
        <w:lastRenderedPageBreak/>
        <w:t>2.</w:t>
      </w:r>
      <w:r>
        <w:rPr>
          <w:rFonts w:cs="Calibri"/>
          <w:bCs/>
        </w:rPr>
        <w:t xml:space="preserve">  </w:t>
      </w:r>
      <w:r w:rsidRPr="00B269E7">
        <w:rPr>
          <w:rFonts w:cs="Calibri"/>
          <w:bCs/>
        </w:rPr>
        <w:t xml:space="preserve">Drye EE, Altaf FK, </w:t>
      </w:r>
      <w:proofErr w:type="spellStart"/>
      <w:r w:rsidRPr="00B269E7">
        <w:rPr>
          <w:rFonts w:cs="Calibri"/>
          <w:bCs/>
        </w:rPr>
        <w:t>Lipska</w:t>
      </w:r>
      <w:proofErr w:type="spellEnd"/>
      <w:r w:rsidRPr="00B269E7">
        <w:rPr>
          <w:rFonts w:cs="Calibri"/>
          <w:bCs/>
        </w:rPr>
        <w:t xml:space="preserve"> K, </w:t>
      </w:r>
      <w:proofErr w:type="spellStart"/>
      <w:r w:rsidRPr="00B269E7">
        <w:rPr>
          <w:rFonts w:cs="Calibri"/>
          <w:bCs/>
        </w:rPr>
        <w:t>Spatz</w:t>
      </w:r>
      <w:proofErr w:type="spellEnd"/>
      <w:r w:rsidRPr="00B269E7">
        <w:rPr>
          <w:rFonts w:cs="Calibri"/>
          <w:bCs/>
        </w:rPr>
        <w:t xml:space="preserve"> ES, Montague JA, Bao H, </w:t>
      </w:r>
      <w:proofErr w:type="spellStart"/>
      <w:r w:rsidRPr="00B269E7">
        <w:rPr>
          <w:rFonts w:cs="Calibri"/>
          <w:bCs/>
        </w:rPr>
        <w:t>Parzynski</w:t>
      </w:r>
      <w:proofErr w:type="spellEnd"/>
      <w:r w:rsidRPr="00B269E7">
        <w:rPr>
          <w:rFonts w:cs="Calibri"/>
          <w:bCs/>
        </w:rPr>
        <w:t xml:space="preserve"> CS, Ross JS, Bernheim SM, </w:t>
      </w:r>
      <w:proofErr w:type="spellStart"/>
      <w:r w:rsidRPr="00B269E7">
        <w:rPr>
          <w:rFonts w:cs="Calibri"/>
          <w:bCs/>
        </w:rPr>
        <w:t>Krumholz</w:t>
      </w:r>
      <w:proofErr w:type="spellEnd"/>
      <w:r w:rsidRPr="00B269E7">
        <w:rPr>
          <w:rFonts w:cs="Calibri"/>
          <w:bCs/>
        </w:rPr>
        <w:t xml:space="preserve"> HM, Lin Z. Defining multiple chronic conditions for quality measurement. Med Care. 56(2):193-201, 2018.</w:t>
      </w:r>
    </w:p>
    <w:p w14:paraId="332A23EC" w14:textId="5FE8844B" w:rsidR="00B269E7" w:rsidRPr="00B269E7" w:rsidRDefault="00B269E7" w:rsidP="00B269E7">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rPr>
      </w:pPr>
      <w:r>
        <w:rPr>
          <w:rFonts w:cs="Calibri"/>
          <w:bCs/>
        </w:rPr>
        <w:t xml:space="preserve">3.  </w:t>
      </w:r>
      <w:r w:rsidRPr="00B269E7">
        <w:rPr>
          <w:rFonts w:cs="Calibri"/>
          <w:bCs/>
        </w:rPr>
        <w:t>Department of Health and Human Services, Office of the Assistant Secretary of Planning and Evaluation (ASPE). Second Report to Congress: Social Risk Factors and Performance in Medicare’s Value-based Purchasing Programs. 2020; https://aspe.hhs.gov/system/files/pdf/263676/Social-Risk-in-Medicare%E2%80%99s-VBP-2nd-Report.pdf. Accessed July 8, 2020.</w:t>
      </w:r>
    </w:p>
    <w:p w14:paraId="085013FE" w14:textId="77777777" w:rsidR="00B269E7" w:rsidRPr="005C13EC" w:rsidRDefault="00B269E7" w:rsidP="00AE62FE">
      <w:pPr>
        <w:pBdr>
          <w:top w:val="single" w:sz="4" w:space="1" w:color="auto"/>
          <w:left w:val="single" w:sz="4" w:space="1" w:color="auto"/>
          <w:bottom w:val="single" w:sz="4" w:space="1" w:color="auto"/>
          <w:right w:val="single" w:sz="4" w:space="1" w:color="auto"/>
        </w:pBdr>
        <w:autoSpaceDE w:val="0"/>
        <w:autoSpaceDN w:val="0"/>
        <w:adjustRightInd w:val="0"/>
        <w:spacing w:after="80" w:line="240" w:lineRule="auto"/>
        <w:rPr>
          <w:rFonts w:cs="Calibri"/>
          <w:bCs/>
          <w:u w:val="single"/>
        </w:rPr>
      </w:pPr>
    </w:p>
    <w:p w14:paraId="0CABCFF6" w14:textId="1D47FD3A" w:rsidR="00001D73" w:rsidRPr="00AF2D68" w:rsidRDefault="00001D73" w:rsidP="00AF2D68">
      <w:pPr>
        <w:rPr>
          <w:rFonts w:cstheme="minorHAnsi"/>
          <w:bCs/>
          <w:sz w:val="4"/>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2240DC06" w:rsidR="00275563" w:rsidRPr="0007023A" w:rsidRDefault="004E3927" w:rsidP="00275563">
      <w:pPr>
        <w:tabs>
          <w:tab w:val="left" w:pos="180"/>
        </w:tabs>
        <w:autoSpaceDE w:val="0"/>
        <w:autoSpaceDN w:val="0"/>
        <w:adjustRightInd w:val="0"/>
        <w:spacing w:after="0" w:line="240" w:lineRule="auto"/>
        <w:ind w:left="180"/>
        <w:rPr>
          <w:rFonts w:cstheme="minorHAnsi"/>
          <w:b/>
          <w:bCs/>
        </w:rPr>
      </w:pPr>
      <w:sdt>
        <w:sdtPr>
          <w:rPr>
            <w:rFonts w:cstheme="minorHAnsi"/>
            <w:bCs/>
          </w:rPr>
          <w:id w:val="-319728797"/>
          <w14:checkbox>
            <w14:checked w14:val="1"/>
            <w14:checkedState w14:val="2612" w14:font="MS Gothic"/>
            <w14:uncheckedState w14:val="2610" w14:font="MS Gothic"/>
          </w14:checkbox>
        </w:sdtPr>
        <w:sdtEndPr/>
        <w:sdtContent>
          <w:r w:rsidR="000C3743" w:rsidRPr="00677A16">
            <w:rPr>
              <w:rFonts w:ascii="MS Gothic" w:eastAsia="MS Gothic" w:hAnsi="MS Gothic" w:cstheme="minorHAnsi"/>
              <w:bCs/>
            </w:rPr>
            <w:t>☒</w:t>
          </w:r>
        </w:sdtContent>
      </w:sdt>
      <w:r w:rsidR="00275563" w:rsidRPr="00677A16">
        <w:rPr>
          <w:rFonts w:eastAsia="MS Mincho" w:cstheme="minorHAnsi"/>
          <w:b/>
          <w:bCs/>
        </w:rPr>
        <w:t xml:space="preserve"> </w:t>
      </w:r>
      <w:r w:rsidR="00CE284E" w:rsidRPr="0007023A">
        <w:rPr>
          <w:rFonts w:cstheme="minorHAnsi"/>
          <w:b/>
          <w:bCs/>
        </w:rPr>
        <w:t>Published l</w:t>
      </w:r>
      <w:r w:rsidR="00275563" w:rsidRPr="0007023A">
        <w:rPr>
          <w:rFonts w:cstheme="minorHAnsi"/>
          <w:b/>
          <w:bCs/>
        </w:rPr>
        <w:t>iterature</w:t>
      </w:r>
    </w:p>
    <w:p w14:paraId="7E969A3E" w14:textId="60B1D53B" w:rsidR="00275563" w:rsidRPr="0007023A" w:rsidRDefault="004E3927" w:rsidP="00275563">
      <w:pPr>
        <w:tabs>
          <w:tab w:val="left" w:pos="180"/>
        </w:tabs>
        <w:autoSpaceDE w:val="0"/>
        <w:autoSpaceDN w:val="0"/>
        <w:adjustRightInd w:val="0"/>
        <w:spacing w:after="0" w:line="240" w:lineRule="auto"/>
        <w:ind w:left="180"/>
        <w:rPr>
          <w:rFonts w:cstheme="minorHAnsi"/>
          <w:b/>
          <w:bCs/>
        </w:rPr>
      </w:pPr>
      <w:sdt>
        <w:sdtPr>
          <w:rPr>
            <w:rFonts w:cstheme="minorHAnsi"/>
            <w:bCs/>
          </w:rPr>
          <w:id w:val="1418363777"/>
          <w14:checkbox>
            <w14:checked w14:val="0"/>
            <w14:checkedState w14:val="2612" w14:font="MS Gothic"/>
            <w14:uncheckedState w14:val="2610" w14:font="MS Gothic"/>
          </w14:checkbox>
        </w:sdtPr>
        <w:sdtEndPr/>
        <w:sdtContent>
          <w:r w:rsidR="00275563" w:rsidRPr="00677A16">
            <w:rPr>
              <w:rFonts w:ascii="MS Gothic" w:eastAsia="MS Gothic" w:hAnsi="MS Gothic" w:cstheme="minorHAnsi"/>
              <w:bCs/>
            </w:rPr>
            <w:t>☐</w:t>
          </w:r>
        </w:sdtContent>
      </w:sdt>
      <w:r w:rsidR="00275563" w:rsidRPr="00677A16">
        <w:rPr>
          <w:rFonts w:cstheme="minorHAnsi"/>
          <w:bCs/>
        </w:rPr>
        <w:t xml:space="preserve"> </w:t>
      </w:r>
      <w:r w:rsidR="00CE284E" w:rsidRPr="0007023A">
        <w:rPr>
          <w:rFonts w:cstheme="minorHAnsi"/>
          <w:b/>
          <w:bCs/>
        </w:rPr>
        <w:t>Internal d</w:t>
      </w:r>
      <w:r w:rsidR="00275563" w:rsidRPr="0007023A">
        <w:rPr>
          <w:rFonts w:cstheme="minorHAnsi"/>
          <w:b/>
          <w:bCs/>
        </w:rPr>
        <w:t>ata</w:t>
      </w:r>
      <w:r w:rsidR="00CE284E" w:rsidRPr="0007023A">
        <w:rPr>
          <w:rFonts w:cstheme="minorHAnsi"/>
          <w:b/>
          <w:bCs/>
        </w:rPr>
        <w:t xml:space="preserve"> analysis</w:t>
      </w:r>
    </w:p>
    <w:p w14:paraId="72A847BD" w14:textId="377DC60D" w:rsidR="00275563" w:rsidRPr="0007023A" w:rsidRDefault="004E3927" w:rsidP="00275563">
      <w:pPr>
        <w:tabs>
          <w:tab w:val="left" w:pos="180"/>
        </w:tabs>
        <w:autoSpaceDE w:val="0"/>
        <w:autoSpaceDN w:val="0"/>
        <w:adjustRightInd w:val="0"/>
        <w:spacing w:after="0" w:line="240" w:lineRule="auto"/>
        <w:ind w:left="180"/>
        <w:rPr>
          <w:rFonts w:cstheme="minorHAnsi"/>
          <w:b/>
          <w:bCs/>
        </w:rPr>
      </w:pPr>
      <w:sdt>
        <w:sdtPr>
          <w:rPr>
            <w:rFonts w:cstheme="minorHAnsi"/>
            <w:bCs/>
          </w:rPr>
          <w:id w:val="776755179"/>
          <w14:checkbox>
            <w14:checked w14:val="0"/>
            <w14:checkedState w14:val="2612" w14:font="MS Gothic"/>
            <w14:uncheckedState w14:val="2610" w14:font="MS Gothic"/>
          </w14:checkbox>
        </w:sdtPr>
        <w:sdtEndPr/>
        <w:sdtContent>
          <w:r w:rsidR="00275563" w:rsidRPr="00677A16">
            <w:rPr>
              <w:rFonts w:ascii="MS Gothic" w:eastAsia="MS Gothic" w:cstheme="minorHAnsi"/>
              <w:bCs/>
            </w:rPr>
            <w:t>☐</w:t>
          </w:r>
        </w:sdtContent>
      </w:sdt>
      <w:r w:rsidR="00275563" w:rsidRPr="00677A16">
        <w:rPr>
          <w:rFonts w:eastAsia="MS Mincho" w:cstheme="minorHAnsi"/>
          <w:b/>
          <w:bCs/>
        </w:rPr>
        <w:t xml:space="preserve"> </w:t>
      </w:r>
      <w:r w:rsidR="00275563" w:rsidRPr="0007023A">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3418BD0F" w14:textId="46C387D5" w:rsidR="00394224"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41EA0FA0" w14:textId="49F8405A" w:rsidR="004D0A23" w:rsidRDefault="00A64A05" w:rsidP="00AE62FE">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rPr>
          <w:rFonts w:ascii="Calibri" w:eastAsia="Calibri" w:hAnsi="Calibri" w:cs="Calibri"/>
          <w:color w:val="000000"/>
        </w:rPr>
      </w:pPr>
      <w:r w:rsidRPr="00677A16">
        <w:rPr>
          <w:rFonts w:ascii="Calibri" w:eastAsia="Calibri" w:hAnsi="Calibri" w:cs="Calibri"/>
        </w:rPr>
        <w:t xml:space="preserve">Risk factors for the </w:t>
      </w:r>
      <w:r w:rsidR="00005586">
        <w:rPr>
          <w:rFonts w:ascii="Calibri" w:eastAsia="Calibri" w:hAnsi="Calibri" w:cs="Calibri"/>
        </w:rPr>
        <w:t xml:space="preserve">updated </w:t>
      </w:r>
      <w:r w:rsidRPr="00677A16">
        <w:rPr>
          <w:rFonts w:ascii="Calibri" w:eastAsia="Calibri" w:hAnsi="Calibri" w:cs="Calibri"/>
        </w:rPr>
        <w:t>ACO MCC measure are based on risk factor selection from the MIPS MCC measure.  For the MIPS MCC measure</w:t>
      </w:r>
      <w:r>
        <w:rPr>
          <w:rFonts w:ascii="Calibri" w:eastAsia="Calibri" w:hAnsi="Calibri" w:cs="Calibri"/>
          <w:color w:val="000000"/>
        </w:rPr>
        <w:t xml:space="preserve">, </w:t>
      </w:r>
      <w:r w:rsidR="00CC6FDC">
        <w:rPr>
          <w:rFonts w:ascii="Calibri" w:eastAsia="Calibri" w:hAnsi="Calibri" w:cs="Calibri"/>
          <w:color w:val="000000"/>
        </w:rPr>
        <w:t xml:space="preserve">we began with 54 candidate demographic and clinical variables and </w:t>
      </w:r>
      <w:r w:rsidR="006070E8">
        <w:rPr>
          <w:rFonts w:ascii="Calibri" w:eastAsia="Calibri" w:hAnsi="Calibri" w:cs="Calibri"/>
          <w:color w:val="000000"/>
        </w:rPr>
        <w:t>33 potential</w:t>
      </w:r>
      <w:r w:rsidR="00CC6FDC">
        <w:rPr>
          <w:rFonts w:ascii="Calibri" w:eastAsia="Calibri" w:hAnsi="Calibri" w:cs="Calibri"/>
          <w:color w:val="000000"/>
        </w:rPr>
        <w:t xml:space="preserve"> candidate social risk factors</w:t>
      </w:r>
      <w:r w:rsidR="00762F92">
        <w:rPr>
          <w:rFonts w:ascii="Calibri" w:eastAsia="Calibri" w:hAnsi="Calibri" w:cs="Calibri"/>
          <w:color w:val="000000"/>
        </w:rPr>
        <w:t xml:space="preserve"> based on our prior work on the original ACO MCC measure</w:t>
      </w:r>
      <w:r w:rsidR="00CC6FDC">
        <w:rPr>
          <w:rFonts w:ascii="Calibri" w:eastAsia="Calibri" w:hAnsi="Calibri" w:cs="Calibri"/>
          <w:color w:val="000000"/>
        </w:rPr>
        <w:t xml:space="preserve">. Based on our variable selection criteria and statistical methods detailed above in Section </w:t>
      </w:r>
      <w:r w:rsidR="00CC6FDC" w:rsidRPr="00CC6FDC">
        <w:rPr>
          <w:rFonts w:ascii="Calibri" w:eastAsia="Calibri" w:hAnsi="Calibri" w:cs="Calibri"/>
          <w:color w:val="000000"/>
        </w:rPr>
        <w:t>2b3.3a</w:t>
      </w:r>
      <w:r w:rsidR="00CC6FDC">
        <w:rPr>
          <w:rFonts w:ascii="Calibri" w:eastAsia="Calibri" w:hAnsi="Calibri" w:cs="Calibri"/>
          <w:color w:val="000000"/>
        </w:rPr>
        <w:t xml:space="preserve">, we excluded a total of 7 candidate clinical variables because they had a prevalence of less than </w:t>
      </w:r>
      <w:r w:rsidR="009B4909">
        <w:rPr>
          <w:rFonts w:ascii="Calibri" w:eastAsia="Calibri" w:hAnsi="Calibri" w:cs="Calibri"/>
          <w:color w:val="000000"/>
        </w:rPr>
        <w:t>0.5</w:t>
      </w:r>
      <w:r w:rsidR="00CC6FDC">
        <w:rPr>
          <w:rFonts w:ascii="Calibri" w:eastAsia="Calibri" w:hAnsi="Calibri" w:cs="Calibri"/>
          <w:color w:val="000000"/>
        </w:rPr>
        <w:t>% (</w:t>
      </w:r>
      <w:r w:rsidR="000D6203">
        <w:rPr>
          <w:rFonts w:ascii="Calibri" w:eastAsia="Calibri" w:hAnsi="Calibri" w:cs="Calibri"/>
          <w:color w:val="000000"/>
        </w:rPr>
        <w:t xml:space="preserve">1 </w:t>
      </w:r>
      <w:r w:rsidR="00CC6FDC">
        <w:rPr>
          <w:rFonts w:ascii="Calibri" w:eastAsia="Calibri" w:hAnsi="Calibri" w:cs="Calibri"/>
          <w:color w:val="000000"/>
        </w:rPr>
        <w:t xml:space="preserve">variable), had an unadjusted rate ratio of less than </w:t>
      </w:r>
      <w:r w:rsidR="009B4909">
        <w:rPr>
          <w:rFonts w:ascii="Calibri" w:eastAsia="Calibri" w:hAnsi="Calibri" w:cs="Calibri"/>
          <w:color w:val="000000"/>
        </w:rPr>
        <w:t>1.3</w:t>
      </w:r>
      <w:r w:rsidR="00CC6FDC">
        <w:rPr>
          <w:rFonts w:ascii="Calibri" w:eastAsia="Calibri" w:hAnsi="Calibri" w:cs="Calibri"/>
          <w:color w:val="000000"/>
        </w:rPr>
        <w:t xml:space="preserve"> (</w:t>
      </w:r>
      <w:r w:rsidR="00187782">
        <w:rPr>
          <w:rFonts w:ascii="Calibri" w:eastAsia="Calibri" w:hAnsi="Calibri" w:cs="Calibri"/>
          <w:color w:val="000000"/>
        </w:rPr>
        <w:t xml:space="preserve">3 </w:t>
      </w:r>
      <w:r w:rsidR="00CC6FDC">
        <w:rPr>
          <w:rFonts w:ascii="Calibri" w:eastAsia="Calibri" w:hAnsi="Calibri" w:cs="Calibri"/>
          <w:color w:val="000000"/>
        </w:rPr>
        <w:t>variables), or were not retained in at least 90% of the bootstrap results (</w:t>
      </w:r>
      <w:r w:rsidR="00187782">
        <w:rPr>
          <w:rFonts w:ascii="Calibri" w:eastAsia="Calibri" w:hAnsi="Calibri" w:cs="Calibri"/>
          <w:color w:val="000000"/>
        </w:rPr>
        <w:t>3</w:t>
      </w:r>
      <w:r w:rsidR="00CC6FDC">
        <w:rPr>
          <w:rFonts w:ascii="Calibri" w:eastAsia="Calibri" w:hAnsi="Calibri" w:cs="Calibri"/>
          <w:color w:val="000000"/>
        </w:rPr>
        <w:t xml:space="preserve"> variables)</w:t>
      </w:r>
      <w:r w:rsidR="00697173">
        <w:rPr>
          <w:rFonts w:ascii="Calibri" w:eastAsia="Calibri" w:hAnsi="Calibri" w:cs="Calibri"/>
          <w:color w:val="000000"/>
        </w:rPr>
        <w:t xml:space="preserve">, leaving </w:t>
      </w:r>
      <w:r w:rsidR="00CC6FDC">
        <w:rPr>
          <w:rFonts w:ascii="Calibri" w:eastAsia="Calibri" w:hAnsi="Calibri" w:cs="Calibri"/>
          <w:color w:val="000000"/>
        </w:rPr>
        <w:t>47 demographic and clinical variables</w:t>
      </w:r>
      <w:r w:rsidR="00697173">
        <w:rPr>
          <w:rFonts w:ascii="Calibri" w:eastAsia="Calibri" w:hAnsi="Calibri" w:cs="Calibri"/>
          <w:color w:val="000000"/>
        </w:rPr>
        <w:t xml:space="preserve"> in the final model. As detailed above in Section </w:t>
      </w:r>
      <w:r w:rsidR="00697173" w:rsidRPr="00CC6FDC">
        <w:rPr>
          <w:rFonts w:ascii="Calibri" w:eastAsia="Calibri" w:hAnsi="Calibri" w:cs="Calibri"/>
          <w:color w:val="000000"/>
        </w:rPr>
        <w:t>2b3.3a</w:t>
      </w:r>
      <w:r w:rsidR="00697173">
        <w:rPr>
          <w:rFonts w:ascii="Calibri" w:eastAsia="Calibri" w:hAnsi="Calibri" w:cs="Calibri"/>
          <w:color w:val="000000"/>
        </w:rPr>
        <w:t xml:space="preserve">, once these patient factors were selected, we took a phased approach to evaluating and selecting the social risk factors. After adjusting for the demographic and clinical variables as well as each other, </w:t>
      </w:r>
      <w:r w:rsidR="000F640B">
        <w:rPr>
          <w:rFonts w:ascii="Calibri" w:eastAsia="Calibri" w:hAnsi="Calibri" w:cs="Calibri"/>
          <w:color w:val="000000"/>
        </w:rPr>
        <w:t>2</w:t>
      </w:r>
      <w:r w:rsidR="00697173">
        <w:rPr>
          <w:rFonts w:ascii="Calibri" w:eastAsia="Calibri" w:hAnsi="Calibri" w:cs="Calibri"/>
          <w:color w:val="000000"/>
        </w:rPr>
        <w:t xml:space="preserve"> social risk factors were retained in the final model. Thus, the final risk-adjustment model included 47 demographic and clinical variables and </w:t>
      </w:r>
      <w:r w:rsidR="000F640B">
        <w:rPr>
          <w:rFonts w:ascii="Calibri" w:eastAsia="Calibri" w:hAnsi="Calibri" w:cs="Calibri"/>
          <w:color w:val="000000"/>
        </w:rPr>
        <w:t>2</w:t>
      </w:r>
      <w:r w:rsidR="00697173">
        <w:rPr>
          <w:rFonts w:ascii="Calibri" w:eastAsia="Calibri" w:hAnsi="Calibri" w:cs="Calibri"/>
          <w:color w:val="000000"/>
        </w:rPr>
        <w:t xml:space="preserve"> social risk factors </w:t>
      </w:r>
      <w:r w:rsidR="00CC6FDC">
        <w:rPr>
          <w:rFonts w:ascii="Calibri" w:eastAsia="Calibri" w:hAnsi="Calibri" w:cs="Calibri"/>
          <w:color w:val="000000"/>
        </w:rPr>
        <w:t xml:space="preserve">(see Section </w:t>
      </w:r>
      <w:r w:rsidR="006739EB">
        <w:rPr>
          <w:rFonts w:ascii="Calibri" w:eastAsia="Calibri" w:hAnsi="Calibri" w:cs="Calibri"/>
          <w:color w:val="000000"/>
        </w:rPr>
        <w:t xml:space="preserve">2b3.1.1 </w:t>
      </w:r>
      <w:r w:rsidR="004D0A23">
        <w:rPr>
          <w:rFonts w:ascii="Calibri" w:eastAsia="Calibri" w:hAnsi="Calibri" w:cs="Calibri"/>
          <w:color w:val="000000"/>
        </w:rPr>
        <w:t>for the list of variables in the final model).</w:t>
      </w:r>
    </w:p>
    <w:p w14:paraId="0CABCFF7" w14:textId="18B043E4" w:rsidR="00092566" w:rsidRDefault="00092566" w:rsidP="00001D73">
      <w:pPr>
        <w:autoSpaceDE w:val="0"/>
        <w:autoSpaceDN w:val="0"/>
        <w:adjustRightInd w:val="0"/>
        <w:spacing w:after="0" w:line="240" w:lineRule="auto"/>
        <w:rPr>
          <w:rFonts w:cstheme="minorHAnsi"/>
          <w:b/>
          <w:bCs/>
        </w:rPr>
      </w:pP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743775A3" w14:textId="5FEB335A" w:rsidR="001B365F" w:rsidRPr="00677A16" w:rsidRDefault="001F65D6" w:rsidP="00E66728">
      <w:pPr>
        <w:pBdr>
          <w:top w:val="single" w:sz="4" w:space="1" w:color="auto"/>
          <w:left w:val="single" w:sz="4" w:space="4" w:color="auto"/>
          <w:bottom w:val="single" w:sz="4" w:space="1" w:color="auto"/>
          <w:right w:val="single" w:sz="4" w:space="4" w:color="auto"/>
        </w:pBdr>
        <w:spacing w:line="240" w:lineRule="auto"/>
      </w:pPr>
      <w:r>
        <w:t>Consistent with our conceptual framework and statistical approach to risk factor selection,</w:t>
      </w:r>
      <w:r w:rsidR="00C1787D">
        <w:t xml:space="preserve"> the MIPS ACO measure</w:t>
      </w:r>
      <w:r>
        <w:t xml:space="preserve"> </w:t>
      </w:r>
      <w:r w:rsidR="00C1787D">
        <w:t>includes</w:t>
      </w:r>
      <w:r>
        <w:t xml:space="preserve"> </w:t>
      </w:r>
      <w:r w:rsidR="006036BA">
        <w:t>2</w:t>
      </w:r>
      <w:r>
        <w:t xml:space="preserve"> social risk factors </w:t>
      </w:r>
      <w:r w:rsidR="00112188">
        <w:t xml:space="preserve">in the </w:t>
      </w:r>
      <w:r w:rsidR="00755617">
        <w:t xml:space="preserve">final </w:t>
      </w:r>
      <w:r w:rsidR="00112188">
        <w:t>risk-</w:t>
      </w:r>
      <w:r>
        <w:t xml:space="preserve">adjustment model: </w:t>
      </w:r>
      <w:r w:rsidR="00112188">
        <w:t xml:space="preserve">AHRQ SES Index and </w:t>
      </w:r>
      <w:r w:rsidR="00CD0B3C">
        <w:t>physician-specialist density</w:t>
      </w:r>
      <w:r w:rsidR="00112188">
        <w:t>.</w:t>
      </w:r>
      <w:r w:rsidR="00005586">
        <w:t xml:space="preserve"> (Please see Section 2b3.4a of the MIPS MCC testing attachment for the testing results for the MIPS MCC measure.)</w:t>
      </w:r>
      <w:r w:rsidR="006710BF">
        <w:t xml:space="preserve"> </w:t>
      </w:r>
      <w:r w:rsidR="00E12344" w:rsidRPr="00677A16">
        <w:t>To align the MIPS and ACO measures, CMS decided to apply the same social risk factor adjustment to the ACO measure.</w:t>
      </w:r>
      <w:r w:rsidR="003375DA" w:rsidRPr="00677A16">
        <w:t xml:space="preserve"> Below we present </w:t>
      </w:r>
      <w:r w:rsidR="00C1787D" w:rsidRPr="00677A16">
        <w:t xml:space="preserve">supplementary </w:t>
      </w:r>
      <w:r w:rsidR="003375DA" w:rsidRPr="00677A16">
        <w:t xml:space="preserve">social risk factor testing </w:t>
      </w:r>
      <w:r w:rsidR="00C1787D" w:rsidRPr="00677A16">
        <w:t>results, including dual eligibility. These results are presented for transparency but were not used to inform the decision to include social risk factors in the model.</w:t>
      </w:r>
    </w:p>
    <w:p w14:paraId="0C2DA279" w14:textId="4DF7EFE9" w:rsidR="00066225" w:rsidRDefault="00755617" w:rsidP="00E66728">
      <w:pPr>
        <w:pBdr>
          <w:top w:val="single" w:sz="4" w:space="1" w:color="auto"/>
          <w:left w:val="single" w:sz="4" w:space="4" w:color="auto"/>
          <w:bottom w:val="single" w:sz="4" w:space="1" w:color="auto"/>
          <w:right w:val="single" w:sz="4" w:space="4" w:color="auto"/>
        </w:pBdr>
        <w:spacing w:line="240" w:lineRule="auto"/>
      </w:pPr>
      <w:r w:rsidRPr="00677A16">
        <w:t>The results from testing social risk factor adjustment in the ACO measure are presented below</w:t>
      </w:r>
      <w:r w:rsidR="00066225" w:rsidRPr="00677A16">
        <w:t xml:space="preserve"> in Table </w:t>
      </w:r>
      <w:r w:rsidR="0003513D">
        <w:t>2</w:t>
      </w:r>
      <w:r w:rsidR="000A375D">
        <w:t>.</w:t>
      </w:r>
      <w:r w:rsidRPr="00677A16">
        <w:t xml:space="preserve">  </w:t>
      </w:r>
    </w:p>
    <w:p w14:paraId="3BBBA4F9" w14:textId="20B9B0CB" w:rsidR="0003513D" w:rsidRDefault="0003513D" w:rsidP="00E66728">
      <w:pPr>
        <w:pBdr>
          <w:top w:val="single" w:sz="4" w:space="1" w:color="auto"/>
          <w:left w:val="single" w:sz="4" w:space="4" w:color="auto"/>
          <w:bottom w:val="single" w:sz="4" w:space="1" w:color="auto"/>
          <w:right w:val="single" w:sz="4" w:space="4" w:color="auto"/>
        </w:pBdr>
        <w:spacing w:line="240" w:lineRule="auto"/>
      </w:pPr>
    </w:p>
    <w:p w14:paraId="05E4A67D" w14:textId="6A7C5190" w:rsidR="00066225" w:rsidRPr="0003513D" w:rsidRDefault="00066225" w:rsidP="00CE28DF">
      <w:pPr>
        <w:pBdr>
          <w:top w:val="single" w:sz="4" w:space="1" w:color="auto"/>
          <w:left w:val="single" w:sz="4" w:space="4" w:color="auto"/>
          <w:bottom w:val="single" w:sz="4" w:space="1" w:color="auto"/>
          <w:right w:val="single" w:sz="4" w:space="4" w:color="auto"/>
        </w:pBdr>
        <w:rPr>
          <w:b/>
        </w:rPr>
      </w:pPr>
      <w:r w:rsidRPr="0003513D">
        <w:rPr>
          <w:b/>
        </w:rPr>
        <w:lastRenderedPageBreak/>
        <w:t xml:space="preserve">Table </w:t>
      </w:r>
      <w:r w:rsidR="000A375D" w:rsidRPr="0003513D">
        <w:rPr>
          <w:b/>
        </w:rPr>
        <w:t>2</w:t>
      </w:r>
      <w:r w:rsidRPr="0003513D">
        <w:rPr>
          <w:b/>
        </w:rPr>
        <w:t>:  Social Risk factor analyses: ACO MCC measure</w:t>
      </w:r>
    </w:p>
    <w:tbl>
      <w:tblPr>
        <w:tblW w:w="9630" w:type="dxa"/>
        <w:tblInd w:w="-95" w:type="dxa"/>
        <w:tblLayout w:type="fixed"/>
        <w:tblLook w:val="04A0" w:firstRow="1" w:lastRow="0" w:firstColumn="1" w:lastColumn="0" w:noHBand="0" w:noVBand="1"/>
      </w:tblPr>
      <w:tblGrid>
        <w:gridCol w:w="1926"/>
        <w:gridCol w:w="1926"/>
        <w:gridCol w:w="1926"/>
        <w:gridCol w:w="1926"/>
        <w:gridCol w:w="1926"/>
      </w:tblGrid>
      <w:tr w:rsidR="00E66728" w:rsidRPr="00066225" w14:paraId="280A3AD5" w14:textId="77777777" w:rsidTr="00E66728">
        <w:trPr>
          <w:trHeight w:val="847"/>
        </w:trPr>
        <w:tc>
          <w:tcPr>
            <w:tcW w:w="1926" w:type="dxa"/>
            <w:tcBorders>
              <w:top w:val="single" w:sz="4" w:space="0" w:color="B0B7BB"/>
              <w:left w:val="single" w:sz="4" w:space="0" w:color="B0B7BB"/>
              <w:bottom w:val="single" w:sz="4" w:space="0" w:color="B0B7BB"/>
              <w:right w:val="single" w:sz="4" w:space="0" w:color="B0B7BB"/>
            </w:tcBorders>
            <w:shd w:val="clear" w:color="auto" w:fill="auto"/>
            <w:hideMark/>
          </w:tcPr>
          <w:p w14:paraId="454D906A" w14:textId="77777777" w:rsidR="00066225" w:rsidRPr="0003513D" w:rsidRDefault="00066225" w:rsidP="00E66728">
            <w:pPr>
              <w:spacing w:after="0" w:line="240" w:lineRule="auto"/>
              <w:jc w:val="center"/>
              <w:rPr>
                <w:rFonts w:eastAsia="Times New Roman" w:cstheme="minorHAnsi"/>
                <w:b/>
                <w:bCs/>
              </w:rPr>
            </w:pPr>
            <w:r w:rsidRPr="0003513D">
              <w:rPr>
                <w:rFonts w:eastAsia="Times New Roman" w:cstheme="minorHAnsi"/>
                <w:b/>
                <w:bCs/>
              </w:rPr>
              <w:t>Social Risk Factor</w:t>
            </w:r>
          </w:p>
        </w:tc>
        <w:tc>
          <w:tcPr>
            <w:tcW w:w="1926" w:type="dxa"/>
            <w:tcBorders>
              <w:top w:val="single" w:sz="4" w:space="0" w:color="B0B7BB"/>
              <w:left w:val="nil"/>
              <w:bottom w:val="single" w:sz="4" w:space="0" w:color="B0B7BB"/>
              <w:right w:val="single" w:sz="4" w:space="0" w:color="B0B7BB"/>
            </w:tcBorders>
            <w:shd w:val="clear" w:color="auto" w:fill="auto"/>
            <w:hideMark/>
          </w:tcPr>
          <w:p w14:paraId="66A9ACE8" w14:textId="1FBCA9A0" w:rsidR="00066225" w:rsidRPr="0003513D" w:rsidRDefault="00066225" w:rsidP="00E66728">
            <w:pPr>
              <w:spacing w:after="0" w:line="240" w:lineRule="auto"/>
              <w:jc w:val="center"/>
              <w:rPr>
                <w:rFonts w:eastAsia="Times New Roman" w:cstheme="minorHAnsi"/>
                <w:b/>
                <w:bCs/>
              </w:rPr>
            </w:pPr>
            <w:r w:rsidRPr="0003513D">
              <w:rPr>
                <w:rFonts w:eastAsia="Times New Roman" w:cstheme="minorHAnsi"/>
                <w:b/>
                <w:bCs/>
              </w:rPr>
              <w:t>Univariate model RR</w:t>
            </w:r>
            <w:r w:rsidR="0003513D">
              <w:rPr>
                <w:rFonts w:eastAsia="Times New Roman" w:cstheme="minorHAnsi"/>
                <w:b/>
                <w:bCs/>
              </w:rPr>
              <w:t xml:space="preserve"> (95% CI)</w:t>
            </w:r>
          </w:p>
          <w:p w14:paraId="4BAA12F1" w14:textId="203A1C56" w:rsidR="00E66728" w:rsidRPr="0003513D" w:rsidRDefault="00E66728" w:rsidP="00E66728">
            <w:pPr>
              <w:spacing w:after="0" w:line="240" w:lineRule="auto"/>
              <w:jc w:val="center"/>
              <w:rPr>
                <w:rFonts w:eastAsia="Times New Roman" w:cstheme="minorHAnsi"/>
                <w:b/>
                <w:bCs/>
              </w:rPr>
            </w:pPr>
            <w:r w:rsidRPr="0003513D">
              <w:rPr>
                <w:rFonts w:eastAsia="Times New Roman" w:cstheme="minorHAnsi"/>
                <w:b/>
                <w:bCs/>
              </w:rPr>
              <w:t>(unadjusted)</w:t>
            </w:r>
          </w:p>
        </w:tc>
        <w:tc>
          <w:tcPr>
            <w:tcW w:w="1926" w:type="dxa"/>
            <w:tcBorders>
              <w:top w:val="single" w:sz="4" w:space="0" w:color="B0B7BB"/>
              <w:left w:val="nil"/>
              <w:bottom w:val="single" w:sz="4" w:space="0" w:color="B0B7BB"/>
              <w:right w:val="single" w:sz="4" w:space="0" w:color="B0B7BB"/>
            </w:tcBorders>
            <w:shd w:val="clear" w:color="auto" w:fill="auto"/>
            <w:hideMark/>
          </w:tcPr>
          <w:p w14:paraId="56A5789F" w14:textId="17BC773C" w:rsidR="00066225" w:rsidRPr="0003513D" w:rsidRDefault="00066225" w:rsidP="00E66728">
            <w:pPr>
              <w:spacing w:after="0" w:line="240" w:lineRule="auto"/>
              <w:jc w:val="center"/>
              <w:rPr>
                <w:rFonts w:eastAsia="Times New Roman" w:cstheme="minorHAnsi"/>
                <w:b/>
                <w:bCs/>
              </w:rPr>
            </w:pPr>
            <w:r w:rsidRPr="0003513D">
              <w:rPr>
                <w:rFonts w:eastAsia="Times New Roman" w:cstheme="minorHAnsi"/>
                <w:b/>
                <w:bCs/>
              </w:rPr>
              <w:t xml:space="preserve">Multivariate model </w:t>
            </w:r>
            <w:r w:rsidR="00E66728" w:rsidRPr="0003513D">
              <w:rPr>
                <w:rFonts w:eastAsia="Times New Roman" w:cstheme="minorHAnsi"/>
                <w:b/>
                <w:bCs/>
              </w:rPr>
              <w:t xml:space="preserve">RR </w:t>
            </w:r>
            <w:r w:rsidR="0003513D">
              <w:rPr>
                <w:rFonts w:eastAsia="Times New Roman" w:cstheme="minorHAnsi"/>
                <w:b/>
                <w:bCs/>
              </w:rPr>
              <w:t>(95% CI)</w:t>
            </w:r>
            <w:r w:rsidR="0003513D" w:rsidRPr="0003513D">
              <w:rPr>
                <w:rFonts w:eastAsia="Times New Roman" w:cstheme="minorHAnsi"/>
                <w:b/>
                <w:bCs/>
              </w:rPr>
              <w:t xml:space="preserve"> </w:t>
            </w:r>
            <w:r w:rsidR="00E66728" w:rsidRPr="0003513D">
              <w:rPr>
                <w:rFonts w:eastAsia="Times New Roman" w:cstheme="minorHAnsi"/>
                <w:b/>
                <w:bCs/>
              </w:rPr>
              <w:t>(</w:t>
            </w:r>
            <w:r w:rsidRPr="0003513D">
              <w:rPr>
                <w:rFonts w:eastAsia="Times New Roman" w:cstheme="minorHAnsi"/>
                <w:b/>
                <w:bCs/>
              </w:rPr>
              <w:t>adjusted for demographic and clinical variables</w:t>
            </w:r>
            <w:r w:rsidR="00E66728" w:rsidRPr="0003513D">
              <w:rPr>
                <w:rFonts w:eastAsia="Times New Roman" w:cstheme="minorHAnsi"/>
                <w:b/>
                <w:bCs/>
              </w:rPr>
              <w:t>)</w:t>
            </w:r>
          </w:p>
        </w:tc>
        <w:tc>
          <w:tcPr>
            <w:tcW w:w="1926" w:type="dxa"/>
            <w:tcBorders>
              <w:top w:val="single" w:sz="4" w:space="0" w:color="B0B7BB"/>
              <w:left w:val="nil"/>
              <w:bottom w:val="single" w:sz="4" w:space="0" w:color="B0B7BB"/>
              <w:right w:val="single" w:sz="4" w:space="0" w:color="B0B7BB"/>
            </w:tcBorders>
            <w:shd w:val="clear" w:color="auto" w:fill="auto"/>
            <w:hideMark/>
          </w:tcPr>
          <w:p w14:paraId="25115A22" w14:textId="79ADE407" w:rsidR="00066225" w:rsidRPr="0003513D" w:rsidRDefault="00066225" w:rsidP="00E66728">
            <w:pPr>
              <w:spacing w:after="0" w:line="240" w:lineRule="auto"/>
              <w:jc w:val="center"/>
              <w:rPr>
                <w:rFonts w:eastAsia="Times New Roman" w:cstheme="minorHAnsi"/>
                <w:b/>
                <w:bCs/>
              </w:rPr>
            </w:pPr>
            <w:r w:rsidRPr="0003513D">
              <w:rPr>
                <w:rFonts w:eastAsia="Times New Roman" w:cstheme="minorHAnsi"/>
                <w:b/>
                <w:bCs/>
              </w:rPr>
              <w:t xml:space="preserve">Multivariate model </w:t>
            </w:r>
            <w:r w:rsidR="00E66728" w:rsidRPr="0003513D">
              <w:rPr>
                <w:rFonts w:eastAsia="Times New Roman" w:cstheme="minorHAnsi"/>
                <w:b/>
                <w:bCs/>
              </w:rPr>
              <w:t xml:space="preserve">RR </w:t>
            </w:r>
            <w:r w:rsidR="0003513D">
              <w:rPr>
                <w:rFonts w:eastAsia="Times New Roman" w:cstheme="minorHAnsi"/>
                <w:b/>
                <w:bCs/>
              </w:rPr>
              <w:t>(95% CI)</w:t>
            </w:r>
            <w:r w:rsidR="0003513D" w:rsidRPr="0003513D">
              <w:rPr>
                <w:rFonts w:eastAsia="Times New Roman" w:cstheme="minorHAnsi"/>
                <w:b/>
                <w:bCs/>
              </w:rPr>
              <w:t xml:space="preserve"> </w:t>
            </w:r>
            <w:r w:rsidR="00E66728" w:rsidRPr="0003513D">
              <w:rPr>
                <w:rFonts w:eastAsia="Times New Roman" w:cstheme="minorHAnsi"/>
                <w:b/>
                <w:bCs/>
              </w:rPr>
              <w:t xml:space="preserve">(additionally </w:t>
            </w:r>
            <w:r w:rsidRPr="0003513D">
              <w:rPr>
                <w:rFonts w:eastAsia="Times New Roman" w:cstheme="minorHAnsi"/>
                <w:b/>
                <w:bCs/>
              </w:rPr>
              <w:t xml:space="preserve">adjusted for </w:t>
            </w:r>
            <w:r w:rsidR="00E66728" w:rsidRPr="0003513D">
              <w:rPr>
                <w:rFonts w:eastAsia="Times New Roman" w:cstheme="minorHAnsi"/>
                <w:b/>
                <w:bCs/>
              </w:rPr>
              <w:t xml:space="preserve">AHRQ </w:t>
            </w:r>
            <w:r w:rsidRPr="0003513D">
              <w:rPr>
                <w:rFonts w:eastAsia="Times New Roman" w:cstheme="minorHAnsi"/>
                <w:b/>
                <w:bCs/>
              </w:rPr>
              <w:t>SES index</w:t>
            </w:r>
            <w:r w:rsidR="00E66728" w:rsidRPr="0003513D">
              <w:rPr>
                <w:rFonts w:eastAsia="Times New Roman" w:cstheme="minorHAnsi"/>
                <w:b/>
                <w:bCs/>
              </w:rPr>
              <w:t xml:space="preserve"> and physician-</w:t>
            </w:r>
            <w:r w:rsidRPr="0003513D">
              <w:rPr>
                <w:rFonts w:eastAsia="Times New Roman" w:cstheme="minorHAnsi"/>
                <w:b/>
                <w:bCs/>
              </w:rPr>
              <w:t>specialist density</w:t>
            </w:r>
            <w:r w:rsidR="00E66728" w:rsidRPr="0003513D">
              <w:rPr>
                <w:rFonts w:eastAsia="Times New Roman" w:cstheme="minorHAnsi"/>
                <w:b/>
                <w:bCs/>
              </w:rPr>
              <w:t>)</w:t>
            </w:r>
          </w:p>
        </w:tc>
        <w:tc>
          <w:tcPr>
            <w:tcW w:w="1926" w:type="dxa"/>
            <w:tcBorders>
              <w:top w:val="single" w:sz="4" w:space="0" w:color="B0B7BB"/>
              <w:left w:val="nil"/>
              <w:bottom w:val="single" w:sz="4" w:space="0" w:color="B0B7BB"/>
              <w:right w:val="single" w:sz="4" w:space="0" w:color="B0B7BB"/>
            </w:tcBorders>
            <w:shd w:val="clear" w:color="auto" w:fill="auto"/>
            <w:hideMark/>
          </w:tcPr>
          <w:p w14:paraId="75F56C7F" w14:textId="72F1131F" w:rsidR="00E66728" w:rsidRPr="0003513D" w:rsidRDefault="00066225" w:rsidP="00E66728">
            <w:pPr>
              <w:spacing w:after="0" w:line="240" w:lineRule="auto"/>
              <w:jc w:val="center"/>
              <w:rPr>
                <w:rFonts w:eastAsia="Times New Roman" w:cstheme="minorHAnsi"/>
                <w:b/>
                <w:bCs/>
              </w:rPr>
            </w:pPr>
            <w:r w:rsidRPr="0003513D">
              <w:rPr>
                <w:rFonts w:eastAsia="Times New Roman" w:cstheme="minorHAnsi"/>
                <w:b/>
                <w:bCs/>
              </w:rPr>
              <w:t xml:space="preserve">Multivariate model </w:t>
            </w:r>
            <w:r w:rsidR="00E66728" w:rsidRPr="0003513D">
              <w:rPr>
                <w:rFonts w:eastAsia="Times New Roman" w:cstheme="minorHAnsi"/>
                <w:b/>
                <w:bCs/>
              </w:rPr>
              <w:t>RR</w:t>
            </w:r>
            <w:r w:rsidR="0003513D">
              <w:rPr>
                <w:rFonts w:eastAsia="Times New Roman" w:cstheme="minorHAnsi"/>
                <w:b/>
                <w:bCs/>
              </w:rPr>
              <w:t xml:space="preserve"> (95% CI)</w:t>
            </w:r>
          </w:p>
          <w:p w14:paraId="25BB932F" w14:textId="2E0B856D" w:rsidR="00066225" w:rsidRPr="0003513D" w:rsidRDefault="00E66728" w:rsidP="00E66728">
            <w:pPr>
              <w:spacing w:after="0" w:line="240" w:lineRule="auto"/>
              <w:jc w:val="center"/>
              <w:rPr>
                <w:rFonts w:eastAsia="Times New Roman" w:cstheme="minorHAnsi"/>
                <w:b/>
                <w:bCs/>
              </w:rPr>
            </w:pPr>
            <w:r w:rsidRPr="0003513D">
              <w:rPr>
                <w:rFonts w:eastAsia="Times New Roman" w:cstheme="minorHAnsi"/>
                <w:b/>
                <w:bCs/>
              </w:rPr>
              <w:t>(</w:t>
            </w:r>
            <w:proofErr w:type="gramStart"/>
            <w:r w:rsidRPr="0003513D">
              <w:rPr>
                <w:rFonts w:eastAsia="Times New Roman" w:cstheme="minorHAnsi"/>
                <w:b/>
                <w:bCs/>
              </w:rPr>
              <w:t>additionally</w:t>
            </w:r>
            <w:proofErr w:type="gramEnd"/>
            <w:r w:rsidR="00066225" w:rsidRPr="0003513D">
              <w:rPr>
                <w:rFonts w:eastAsia="Times New Roman" w:cstheme="minorHAnsi"/>
                <w:b/>
                <w:bCs/>
              </w:rPr>
              <w:t xml:space="preserve"> adjusted for </w:t>
            </w:r>
            <w:r w:rsidRPr="0003513D">
              <w:rPr>
                <w:rFonts w:eastAsia="Times New Roman" w:cstheme="minorHAnsi"/>
                <w:b/>
                <w:bCs/>
              </w:rPr>
              <w:t>dual eligibility status)</w:t>
            </w:r>
          </w:p>
        </w:tc>
      </w:tr>
      <w:tr w:rsidR="00E66728" w:rsidRPr="00066225" w14:paraId="3C996F08" w14:textId="77777777" w:rsidTr="0003513D">
        <w:trPr>
          <w:trHeight w:val="250"/>
        </w:trPr>
        <w:tc>
          <w:tcPr>
            <w:tcW w:w="1926" w:type="dxa"/>
            <w:tcBorders>
              <w:top w:val="single" w:sz="4" w:space="0" w:color="C1C1C1"/>
              <w:left w:val="single" w:sz="4" w:space="0" w:color="C1C1C1"/>
              <w:bottom w:val="single" w:sz="4" w:space="0" w:color="C1C1C1"/>
              <w:right w:val="single" w:sz="4" w:space="0" w:color="C1C1C1"/>
            </w:tcBorders>
            <w:shd w:val="clear" w:color="auto" w:fill="auto"/>
            <w:vAlign w:val="bottom"/>
            <w:hideMark/>
          </w:tcPr>
          <w:p w14:paraId="2B7FBF2B" w14:textId="77777777" w:rsidR="00066225" w:rsidRPr="0003513D" w:rsidRDefault="00066225" w:rsidP="00066225">
            <w:pPr>
              <w:spacing w:after="0" w:line="240" w:lineRule="auto"/>
              <w:rPr>
                <w:rFonts w:ascii="Calibri" w:eastAsia="Times New Roman" w:hAnsi="Calibri" w:cs="Calibri"/>
                <w:color w:val="000000"/>
              </w:rPr>
            </w:pPr>
            <w:r w:rsidRPr="0003513D">
              <w:rPr>
                <w:rFonts w:ascii="Calibri" w:eastAsia="Times New Roman" w:hAnsi="Calibri" w:cs="Calibri"/>
                <w:color w:val="000000"/>
              </w:rPr>
              <w:t>Low AHRQ SES Index</w:t>
            </w:r>
          </w:p>
        </w:tc>
        <w:tc>
          <w:tcPr>
            <w:tcW w:w="1926" w:type="dxa"/>
            <w:tcBorders>
              <w:top w:val="single" w:sz="4" w:space="0" w:color="C1C1C1"/>
              <w:left w:val="nil"/>
              <w:bottom w:val="single" w:sz="4" w:space="0" w:color="C1C1C1"/>
              <w:right w:val="single" w:sz="4" w:space="0" w:color="C1C1C1"/>
            </w:tcBorders>
            <w:shd w:val="clear" w:color="auto" w:fill="auto"/>
            <w:vAlign w:val="bottom"/>
            <w:hideMark/>
          </w:tcPr>
          <w:p w14:paraId="5ED59A87"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1.14 (1.13, 1.14)</w:t>
            </w:r>
          </w:p>
        </w:tc>
        <w:tc>
          <w:tcPr>
            <w:tcW w:w="1926" w:type="dxa"/>
            <w:tcBorders>
              <w:top w:val="single" w:sz="4" w:space="0" w:color="C1C1C1"/>
              <w:left w:val="nil"/>
              <w:bottom w:val="single" w:sz="4" w:space="0" w:color="C1C1C1"/>
              <w:right w:val="single" w:sz="4" w:space="0" w:color="C1C1C1"/>
            </w:tcBorders>
            <w:shd w:val="clear" w:color="auto" w:fill="auto"/>
            <w:noWrap/>
            <w:vAlign w:val="bottom"/>
            <w:hideMark/>
          </w:tcPr>
          <w:p w14:paraId="439618F1"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1.08 (1.07, 1.09)</w:t>
            </w:r>
          </w:p>
        </w:tc>
        <w:tc>
          <w:tcPr>
            <w:tcW w:w="1926" w:type="dxa"/>
            <w:tcBorders>
              <w:top w:val="single" w:sz="4" w:space="0" w:color="C1C1C1"/>
              <w:left w:val="nil"/>
              <w:bottom w:val="single" w:sz="4" w:space="0" w:color="C1C1C1"/>
              <w:right w:val="single" w:sz="4" w:space="0" w:color="C1C1C1"/>
            </w:tcBorders>
            <w:shd w:val="clear" w:color="auto" w:fill="auto"/>
            <w:noWrap/>
            <w:vAlign w:val="bottom"/>
            <w:hideMark/>
          </w:tcPr>
          <w:p w14:paraId="70479E9A"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1.08 (1.07, 1.09)</w:t>
            </w:r>
          </w:p>
        </w:tc>
        <w:tc>
          <w:tcPr>
            <w:tcW w:w="1926" w:type="dxa"/>
            <w:tcBorders>
              <w:top w:val="single" w:sz="4" w:space="0" w:color="C1C1C1"/>
              <w:left w:val="nil"/>
              <w:bottom w:val="single" w:sz="4" w:space="0" w:color="C1C1C1"/>
              <w:right w:val="single" w:sz="4" w:space="0" w:color="C1C1C1"/>
            </w:tcBorders>
            <w:shd w:val="clear" w:color="auto" w:fill="auto"/>
            <w:noWrap/>
            <w:vAlign w:val="bottom"/>
            <w:hideMark/>
          </w:tcPr>
          <w:p w14:paraId="069C7DF9"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1.06 (1.05, 1.06)</w:t>
            </w:r>
          </w:p>
        </w:tc>
      </w:tr>
      <w:tr w:rsidR="00E66728" w:rsidRPr="00066225" w14:paraId="41C0DFE9" w14:textId="77777777" w:rsidTr="0003513D">
        <w:trPr>
          <w:trHeight w:val="250"/>
        </w:trPr>
        <w:tc>
          <w:tcPr>
            <w:tcW w:w="1926" w:type="dxa"/>
            <w:tcBorders>
              <w:top w:val="nil"/>
              <w:left w:val="single" w:sz="4" w:space="0" w:color="C1C1C1"/>
              <w:bottom w:val="single" w:sz="4" w:space="0" w:color="C1C1C1"/>
              <w:right w:val="single" w:sz="4" w:space="0" w:color="C1C1C1"/>
            </w:tcBorders>
            <w:shd w:val="clear" w:color="auto" w:fill="auto"/>
            <w:vAlign w:val="bottom"/>
            <w:hideMark/>
          </w:tcPr>
          <w:p w14:paraId="65455ADF" w14:textId="77777777" w:rsidR="00066225" w:rsidRPr="0003513D" w:rsidRDefault="00066225" w:rsidP="00066225">
            <w:pPr>
              <w:spacing w:after="0" w:line="240" w:lineRule="auto"/>
              <w:rPr>
                <w:rFonts w:ascii="Calibri" w:eastAsia="Times New Roman" w:hAnsi="Calibri" w:cs="Calibri"/>
                <w:color w:val="000000"/>
              </w:rPr>
            </w:pPr>
            <w:r w:rsidRPr="0003513D">
              <w:rPr>
                <w:rFonts w:ascii="Calibri" w:eastAsia="Times New Roman" w:hAnsi="Calibri" w:cs="Calibri"/>
                <w:color w:val="000000"/>
              </w:rPr>
              <w:t>Low specialist density</w:t>
            </w:r>
          </w:p>
        </w:tc>
        <w:tc>
          <w:tcPr>
            <w:tcW w:w="1926" w:type="dxa"/>
            <w:tcBorders>
              <w:top w:val="nil"/>
              <w:left w:val="nil"/>
              <w:bottom w:val="single" w:sz="4" w:space="0" w:color="C1C1C1"/>
              <w:right w:val="single" w:sz="4" w:space="0" w:color="C1C1C1"/>
            </w:tcBorders>
            <w:shd w:val="clear" w:color="auto" w:fill="auto"/>
            <w:vAlign w:val="bottom"/>
            <w:hideMark/>
          </w:tcPr>
          <w:p w14:paraId="30BC1C77"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1.07 (1.06, 1.09)</w:t>
            </w:r>
          </w:p>
        </w:tc>
        <w:tc>
          <w:tcPr>
            <w:tcW w:w="1926" w:type="dxa"/>
            <w:tcBorders>
              <w:top w:val="nil"/>
              <w:left w:val="nil"/>
              <w:bottom w:val="single" w:sz="4" w:space="0" w:color="C1C1C1"/>
              <w:right w:val="single" w:sz="4" w:space="0" w:color="C1C1C1"/>
            </w:tcBorders>
            <w:shd w:val="clear" w:color="auto" w:fill="auto"/>
            <w:noWrap/>
            <w:vAlign w:val="bottom"/>
            <w:hideMark/>
          </w:tcPr>
          <w:p w14:paraId="3B9CD9F2"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1.04 (1.03, 1.06)</w:t>
            </w:r>
          </w:p>
        </w:tc>
        <w:tc>
          <w:tcPr>
            <w:tcW w:w="1926" w:type="dxa"/>
            <w:tcBorders>
              <w:top w:val="nil"/>
              <w:left w:val="nil"/>
              <w:bottom w:val="single" w:sz="4" w:space="0" w:color="C1C1C1"/>
              <w:right w:val="single" w:sz="4" w:space="0" w:color="C1C1C1"/>
            </w:tcBorders>
            <w:shd w:val="clear" w:color="auto" w:fill="auto"/>
            <w:noWrap/>
            <w:vAlign w:val="bottom"/>
            <w:hideMark/>
          </w:tcPr>
          <w:p w14:paraId="0B61F528"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1.03 (1.02, 1.04)</w:t>
            </w:r>
          </w:p>
        </w:tc>
        <w:tc>
          <w:tcPr>
            <w:tcW w:w="1926" w:type="dxa"/>
            <w:tcBorders>
              <w:top w:val="nil"/>
              <w:left w:val="nil"/>
              <w:bottom w:val="single" w:sz="4" w:space="0" w:color="C1C1C1"/>
              <w:right w:val="single" w:sz="4" w:space="0" w:color="C1C1C1"/>
            </w:tcBorders>
            <w:shd w:val="clear" w:color="auto" w:fill="auto"/>
            <w:noWrap/>
            <w:vAlign w:val="bottom"/>
            <w:hideMark/>
          </w:tcPr>
          <w:p w14:paraId="4806A3A6"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1.03 (1.02, 1.04)</w:t>
            </w:r>
          </w:p>
        </w:tc>
      </w:tr>
      <w:tr w:rsidR="00E66728" w:rsidRPr="00066225" w14:paraId="67B9D51D" w14:textId="77777777" w:rsidTr="0003513D">
        <w:trPr>
          <w:trHeight w:val="501"/>
        </w:trPr>
        <w:tc>
          <w:tcPr>
            <w:tcW w:w="1926" w:type="dxa"/>
            <w:tcBorders>
              <w:top w:val="nil"/>
              <w:left w:val="single" w:sz="4" w:space="0" w:color="C1C1C1"/>
              <w:bottom w:val="single" w:sz="4" w:space="0" w:color="C1C1C1"/>
              <w:right w:val="single" w:sz="4" w:space="0" w:color="C1C1C1"/>
            </w:tcBorders>
            <w:shd w:val="clear" w:color="auto" w:fill="auto"/>
            <w:vAlign w:val="bottom"/>
            <w:hideMark/>
          </w:tcPr>
          <w:p w14:paraId="1F5AC7DC" w14:textId="77777777" w:rsidR="00066225" w:rsidRPr="0003513D" w:rsidRDefault="00066225" w:rsidP="00066225">
            <w:pPr>
              <w:spacing w:after="0" w:line="240" w:lineRule="auto"/>
              <w:rPr>
                <w:rFonts w:ascii="Calibri" w:eastAsia="Times New Roman" w:hAnsi="Calibri" w:cs="Calibri"/>
                <w:color w:val="000000"/>
              </w:rPr>
            </w:pPr>
            <w:r w:rsidRPr="0003513D">
              <w:rPr>
                <w:rFonts w:ascii="Calibri" w:eastAsia="Times New Roman" w:hAnsi="Calibri" w:cs="Calibri"/>
                <w:color w:val="000000"/>
              </w:rPr>
              <w:t>Medicare-Medicaid dual eligibility status</w:t>
            </w:r>
          </w:p>
        </w:tc>
        <w:tc>
          <w:tcPr>
            <w:tcW w:w="1926" w:type="dxa"/>
            <w:tcBorders>
              <w:top w:val="nil"/>
              <w:left w:val="nil"/>
              <w:bottom w:val="single" w:sz="4" w:space="0" w:color="C1C1C1"/>
              <w:right w:val="single" w:sz="4" w:space="0" w:color="C1C1C1"/>
            </w:tcBorders>
            <w:shd w:val="clear" w:color="auto" w:fill="auto"/>
            <w:vAlign w:val="bottom"/>
            <w:hideMark/>
          </w:tcPr>
          <w:p w14:paraId="78B21112"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1.53 (1.52, 1.54)</w:t>
            </w:r>
          </w:p>
        </w:tc>
        <w:tc>
          <w:tcPr>
            <w:tcW w:w="1926" w:type="dxa"/>
            <w:tcBorders>
              <w:top w:val="nil"/>
              <w:left w:val="nil"/>
              <w:bottom w:val="single" w:sz="4" w:space="0" w:color="C1C1C1"/>
              <w:right w:val="single" w:sz="4" w:space="0" w:color="C1C1C1"/>
            </w:tcBorders>
            <w:shd w:val="clear" w:color="auto" w:fill="auto"/>
            <w:noWrap/>
            <w:vAlign w:val="bottom"/>
            <w:hideMark/>
          </w:tcPr>
          <w:p w14:paraId="6245CAAF"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1.19 (1.18, 1.19)</w:t>
            </w:r>
          </w:p>
        </w:tc>
        <w:tc>
          <w:tcPr>
            <w:tcW w:w="1926" w:type="dxa"/>
            <w:tcBorders>
              <w:top w:val="nil"/>
              <w:left w:val="nil"/>
              <w:bottom w:val="single" w:sz="4" w:space="0" w:color="C1C1C1"/>
              <w:right w:val="single" w:sz="4" w:space="0" w:color="C1C1C1"/>
            </w:tcBorders>
            <w:shd w:val="clear" w:color="auto" w:fill="auto"/>
            <w:noWrap/>
            <w:vAlign w:val="bottom"/>
            <w:hideMark/>
          </w:tcPr>
          <w:p w14:paraId="2A7D9230" w14:textId="2EF7110A"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 </w:t>
            </w:r>
            <w:r w:rsidR="006E09BF">
              <w:rPr>
                <w:rFonts w:ascii="Calibri" w:eastAsia="Times New Roman" w:hAnsi="Calibri" w:cs="Calibri"/>
                <w:color w:val="000000"/>
              </w:rPr>
              <w:t>n/a</w:t>
            </w:r>
          </w:p>
        </w:tc>
        <w:tc>
          <w:tcPr>
            <w:tcW w:w="1926" w:type="dxa"/>
            <w:tcBorders>
              <w:top w:val="nil"/>
              <w:left w:val="nil"/>
              <w:bottom w:val="single" w:sz="4" w:space="0" w:color="C1C1C1"/>
              <w:right w:val="single" w:sz="4" w:space="0" w:color="C1C1C1"/>
            </w:tcBorders>
            <w:shd w:val="clear" w:color="auto" w:fill="auto"/>
            <w:noWrap/>
            <w:vAlign w:val="bottom"/>
            <w:hideMark/>
          </w:tcPr>
          <w:p w14:paraId="2E5E0385" w14:textId="77777777" w:rsidR="00066225" w:rsidRPr="0003513D" w:rsidRDefault="00066225" w:rsidP="00066225">
            <w:pPr>
              <w:spacing w:after="0" w:line="240" w:lineRule="auto"/>
              <w:jc w:val="center"/>
              <w:rPr>
                <w:rFonts w:ascii="Calibri" w:eastAsia="Times New Roman" w:hAnsi="Calibri" w:cs="Calibri"/>
                <w:color w:val="000000"/>
              </w:rPr>
            </w:pPr>
            <w:r w:rsidRPr="0003513D">
              <w:rPr>
                <w:rFonts w:ascii="Calibri" w:eastAsia="Times New Roman" w:hAnsi="Calibri" w:cs="Calibri"/>
                <w:color w:val="000000"/>
              </w:rPr>
              <w:t>1.18 (1.17, 1.18)</w:t>
            </w:r>
          </w:p>
        </w:tc>
      </w:tr>
    </w:tbl>
    <w:p w14:paraId="0CABCFF9" w14:textId="77777777" w:rsidR="00C1695E" w:rsidRPr="000C3743" w:rsidRDefault="00C1695E" w:rsidP="00001D73">
      <w:pPr>
        <w:autoSpaceDE w:val="0"/>
        <w:autoSpaceDN w:val="0"/>
        <w:adjustRightInd w:val="0"/>
        <w:spacing w:after="0" w:line="240" w:lineRule="auto"/>
        <w:rPr>
          <w:rFonts w:cstheme="minorHAnsi"/>
          <w:b/>
          <w:bCs/>
        </w:rPr>
      </w:pPr>
    </w:p>
    <w:p w14:paraId="2927EEB9" w14:textId="77777777" w:rsidR="00BD168E" w:rsidRDefault="009C7513" w:rsidP="00092566">
      <w:pPr>
        <w:autoSpaceDE w:val="0"/>
        <w:autoSpaceDN w:val="0"/>
        <w:adjustRightInd w:val="0"/>
        <w:spacing w:after="0" w:line="240" w:lineRule="auto"/>
        <w:rPr>
          <w:rFonts w:cstheme="minorHAnsi"/>
          <w:bCs/>
        </w:rPr>
      </w:pPr>
      <w:bookmarkStart w:id="27" w:name="_Hlk7388647"/>
      <w:r>
        <w:rPr>
          <w:rFonts w:cstheme="minorHAnsi"/>
          <w:b/>
          <w:bCs/>
        </w:rPr>
        <w:t>2b3</w:t>
      </w:r>
      <w:r w:rsidR="00E1508F">
        <w:rPr>
          <w:rFonts w:cstheme="minorHAnsi"/>
          <w:b/>
          <w:bCs/>
        </w:rPr>
        <w:t>.</w:t>
      </w:r>
      <w:r w:rsidR="00092566">
        <w:rPr>
          <w:rFonts w:cstheme="minorHAnsi"/>
          <w:b/>
          <w:bCs/>
        </w:rPr>
        <w:t xml:space="preserve">5. </w:t>
      </w:r>
      <w:bookmarkEnd w:id="27"/>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7278A4F6" w14:textId="1CCC406B" w:rsidR="00F41C56" w:rsidRDefault="00F41C56"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bookmarkStart w:id="28" w:name="_Hlk5800631"/>
      <w:r>
        <w:t>The measure uses the number of acute unplanned hospital admissions per person-year at risk for admission</w:t>
      </w:r>
      <w:r w:rsidR="00596287">
        <w:t xml:space="preserve"> as the outcome</w:t>
      </w:r>
      <w:r>
        <w:t>. Because the outcome is a count of hospital admissions – rather than a binary outcome, such as whether or not a patient has been admitted – several routinely used metrics of model performance cannot be applied (for example, we cannot use a c-statistic).</w:t>
      </w:r>
    </w:p>
    <w:p w14:paraId="48704B8B" w14:textId="5E33EAAA" w:rsidR="00F41C56" w:rsidRDefault="00F41C56"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bdr w:val="single" w:sz="4" w:space="0" w:color="auto"/>
        </w:rPr>
      </w:pPr>
    </w:p>
    <w:p w14:paraId="4465F4A2" w14:textId="5C50C1C4" w:rsidR="00596287" w:rsidRDefault="00800862" w:rsidP="00575D0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W</w:t>
      </w:r>
      <w:r w:rsidR="00F41C56">
        <w:t>e</w:t>
      </w:r>
      <w:r w:rsidR="00C173EA">
        <w:t xml:space="preserve"> therefore</w:t>
      </w:r>
      <w:r w:rsidR="00F41C56">
        <w:t xml:space="preserve"> computed </w:t>
      </w:r>
      <w:r w:rsidR="00C173EA">
        <w:t>the goodness-of-fit statistic (deviance R-squared)</w:t>
      </w:r>
      <w:r w:rsidR="00F41C56">
        <w:t xml:space="preserve"> for assessing the risk-adjustment model performance</w:t>
      </w:r>
      <w:r w:rsidR="00C173EA">
        <w:t xml:space="preserve">.  </w:t>
      </w:r>
    </w:p>
    <w:p w14:paraId="61C14382" w14:textId="77777777" w:rsidR="00F41C56" w:rsidRDefault="00F41C56"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044151E" w14:textId="0119E7ED" w:rsidR="00F41C56" w:rsidRPr="00F41C56"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F41C56">
        <w:rPr>
          <w:u w:val="single"/>
        </w:rPr>
        <w:t>Deviance R</w:t>
      </w:r>
      <w:r w:rsidR="006070E8">
        <w:rPr>
          <w:u w:val="single"/>
        </w:rPr>
        <w:t>-</w:t>
      </w:r>
      <w:r w:rsidRPr="00F41C56">
        <w:rPr>
          <w:u w:val="single"/>
        </w:rPr>
        <w:t>squared</w:t>
      </w:r>
      <w:r w:rsidR="005B0967">
        <w:rPr>
          <w:u w:val="single"/>
        </w:rPr>
        <w:t xml:space="preserve"> (model discrimination)</w:t>
      </w:r>
    </w:p>
    <w:p w14:paraId="58D448FD" w14:textId="5105DE2A" w:rsidR="00F41C56"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We calculated deviance R</w:t>
      </w:r>
      <w:r w:rsidR="006070E8">
        <w:t>-</w:t>
      </w:r>
      <w:r>
        <w:t>squared using the deviance residual defined by Cameron [1]. The deviance R</w:t>
      </w:r>
      <w:r w:rsidR="006070E8">
        <w:t>-</w:t>
      </w:r>
      <w:r>
        <w:t>squared evaluates how successful the fit is in explaining the variation of the data. Deviance R</w:t>
      </w:r>
      <w:r w:rsidR="006070E8">
        <w:t>-</w:t>
      </w:r>
      <w:r>
        <w:t>squared can take on any value between 0 and 1, with a value closer to 1 indicating that a greater proportion of deviance is accounted for by the model. For example, a deviance R</w:t>
      </w:r>
      <w:r w:rsidR="006070E8">
        <w:t>-</w:t>
      </w:r>
      <w:r>
        <w:t>squared value of 0.12 means that the fit explains 12% of the total deviance.</w:t>
      </w:r>
      <w:r w:rsidRPr="00F41C56">
        <w:t xml:space="preserve"> </w:t>
      </w:r>
    </w:p>
    <w:p w14:paraId="35B172CD" w14:textId="77777777" w:rsidR="00F41C56"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33AA7DA" w14:textId="5A659613" w:rsidR="00814630"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814630">
        <w:rPr>
          <w:u w:val="single"/>
        </w:rPr>
        <w:t>Model performance among patients at different risk of admission</w:t>
      </w:r>
      <w:r w:rsidR="002C0DDF">
        <w:rPr>
          <w:u w:val="single"/>
        </w:rPr>
        <w:t xml:space="preserve"> (model calibration)</w:t>
      </w:r>
      <w:r w:rsidR="00814630" w:rsidRPr="00814630">
        <w:t xml:space="preserve"> </w:t>
      </w:r>
    </w:p>
    <w:p w14:paraId="31165D87" w14:textId="6015B9DD" w:rsidR="00F41C56" w:rsidRDefault="00814630" w:rsidP="0081463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roofErr w:type="gramStart"/>
      <w:r>
        <w:t>In order to</w:t>
      </w:r>
      <w:proofErr w:type="gramEnd"/>
      <w:r>
        <w:t xml:space="preserve"> determine whether the model performs well across groups of patients at different risk of admission, the sample was divided into quartiles of predicted admission rate. We then assessed the predicted probability of the number of admissions derived from the model compared with the observed probability of the number of admissions. The predicted probability for a group of patients is the average probability of observing 0, 1, 2, …n hospital admissions, given these patients’ risk factors for admission. The observed probability of each count of admissions for a group of patients is the proportion of these patients admitted to the hospital 0, 1, 2, …n times.</w:t>
      </w:r>
    </w:p>
    <w:p w14:paraId="3C884DB8" w14:textId="3A936AA2" w:rsidR="0003513D" w:rsidRDefault="0003513D" w:rsidP="0081463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46EA5FD" w14:textId="4D5FFB83" w:rsidR="0003513D" w:rsidRDefault="0003513D" w:rsidP="0081463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03513D">
        <w:rPr>
          <w:u w:val="single"/>
        </w:rPr>
        <w:t>Citation:</w:t>
      </w:r>
    </w:p>
    <w:p w14:paraId="7640A6C1" w14:textId="6E1CB09A" w:rsidR="0003513D" w:rsidRDefault="0003513D" w:rsidP="0081463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r w:rsidRPr="0003513D">
        <w:t xml:space="preserve">1. Cameron AC and AG </w:t>
      </w:r>
      <w:proofErr w:type="spellStart"/>
      <w:r w:rsidRPr="0003513D">
        <w:t>Windmeijer</w:t>
      </w:r>
      <w:proofErr w:type="spellEnd"/>
      <w:r w:rsidRPr="0003513D">
        <w:t>. R-Squared Measures for Count Data Regression Models with Applications to Health-Care Utilization. J Bus &amp; Econ Stat, 14(2):209-220, 1996.</w:t>
      </w:r>
    </w:p>
    <w:p w14:paraId="68E3CC36" w14:textId="76B00E40" w:rsidR="0003513D" w:rsidRDefault="0003513D" w:rsidP="0081463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p>
    <w:p w14:paraId="16D0F894" w14:textId="77777777" w:rsidR="0003513D" w:rsidRDefault="0003513D" w:rsidP="0003513D">
      <w:pPr>
        <w:pStyle w:val="Default"/>
      </w:pPr>
    </w:p>
    <w:p w14:paraId="7B38E05B" w14:textId="59A72319" w:rsidR="00AE62FE" w:rsidRDefault="0003513D" w:rsidP="0003513D">
      <w:pPr>
        <w:pStyle w:val="Default"/>
        <w:rPr>
          <w:rFonts w:ascii="Calibri" w:eastAsia="Calibri" w:hAnsi="Calibri" w:cs="Calibri"/>
          <w:bdr w:val="single" w:sz="4" w:space="0" w:color="auto"/>
        </w:rPr>
      </w:pPr>
      <w:r>
        <w:t xml:space="preserve"> </w:t>
      </w:r>
      <w:bookmarkEnd w:id="28"/>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B014AD8" w:rsid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747A3626" w14:textId="2196DC92" w:rsidR="00BD168E" w:rsidRPr="00AE62FE" w:rsidRDefault="00AE62FE" w:rsidP="00AE62FE">
      <w:pPr>
        <w:pBdr>
          <w:top w:val="single" w:sz="4" w:space="1" w:color="auto"/>
          <w:left w:val="single" w:sz="4" w:space="4" w:color="auto"/>
          <w:bottom w:val="single" w:sz="4" w:space="1" w:color="auto"/>
          <w:right w:val="single" w:sz="4" w:space="4" w:color="auto"/>
        </w:pBdr>
      </w:pPr>
      <w:r>
        <w:t>The deviance R-squared for the model with demographic</w:t>
      </w:r>
      <w:r w:rsidR="006666DB">
        <w:t>,</w:t>
      </w:r>
      <w:r>
        <w:t xml:space="preserve"> clinical</w:t>
      </w:r>
      <w:r w:rsidR="00340309">
        <w:t>,</w:t>
      </w:r>
      <w:r w:rsidR="006666DB">
        <w:t xml:space="preserve"> and social</w:t>
      </w:r>
      <w:r>
        <w:t xml:space="preserve"> risk factors </w:t>
      </w:r>
      <w:r w:rsidRPr="00BC10C9">
        <w:t>was 0.</w:t>
      </w:r>
      <w:r w:rsidR="00C173EA" w:rsidRPr="00BC10C9">
        <w:t>1</w:t>
      </w:r>
      <w:r w:rsidR="00C173EA">
        <w:t>11</w:t>
      </w:r>
      <w:r w:rsidR="00C173EA" w:rsidRPr="00BC10C9">
        <w:t xml:space="preserve"> </w:t>
      </w:r>
      <w:r w:rsidRPr="00BC10C9">
        <w:t>indicating that the model explains 1</w:t>
      </w:r>
      <w:r w:rsidR="00C173EA">
        <w:t>1</w:t>
      </w:r>
      <w:r w:rsidRPr="00BC10C9">
        <w:t>.</w:t>
      </w:r>
      <w:r w:rsidR="00C173EA">
        <w:t>1</w:t>
      </w:r>
      <w:r w:rsidRPr="00BC10C9">
        <w:t>% of the</w:t>
      </w:r>
      <w:r>
        <w:t xml:space="preserve"> variation in admission rates. </w:t>
      </w:r>
    </w:p>
    <w:p w14:paraId="312BB3E7" w14:textId="77777777" w:rsidR="00BD168E" w:rsidRPr="00001D73" w:rsidRDefault="00BD168E" w:rsidP="00092566">
      <w:pPr>
        <w:autoSpaceDE w:val="0"/>
        <w:autoSpaceDN w:val="0"/>
        <w:adjustRightInd w:val="0"/>
        <w:spacing w:after="0" w:line="240" w:lineRule="auto"/>
        <w:rPr>
          <w:rFonts w:cstheme="minorHAnsi"/>
          <w:b/>
          <w:bCs/>
        </w:rPr>
      </w:pPr>
    </w:p>
    <w:p w14:paraId="0CABCFFE" w14:textId="4501B975"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42FA4F7F" w14:textId="4BEC91FF" w:rsidR="00AE62FE" w:rsidRDefault="0050343C" w:rsidP="00AE62FE">
      <w:pPr>
        <w:pBdr>
          <w:top w:val="single" w:sz="4" w:space="1" w:color="auto"/>
          <w:left w:val="single" w:sz="4" w:space="4" w:color="auto"/>
          <w:bottom w:val="single" w:sz="4" w:space="1" w:color="auto"/>
          <w:right w:val="single" w:sz="4" w:space="4" w:color="auto"/>
        </w:pBdr>
      </w:pPr>
      <w:r>
        <w:t>Below we provide risk model calibration testing in the form of risk decile plots.</w:t>
      </w:r>
    </w:p>
    <w:p w14:paraId="2751EF0A" w14:textId="0D4C219C" w:rsidR="004B1C31" w:rsidRDefault="004B1C31" w:rsidP="00092566">
      <w:pPr>
        <w:autoSpaceDE w:val="0"/>
        <w:autoSpaceDN w:val="0"/>
        <w:adjustRightInd w:val="0"/>
        <w:spacing w:after="0" w:line="240" w:lineRule="auto"/>
        <w:rPr>
          <w:rFonts w:cstheme="minorHAnsi"/>
          <w:b/>
          <w:bCs/>
        </w:rPr>
      </w:pPr>
    </w:p>
    <w:p w14:paraId="0CABCFFF" w14:textId="2CCD029E"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27737E9D" w14:textId="64D8EA13" w:rsidR="00AE62FE" w:rsidRDefault="00C064BA"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A c</w:t>
      </w:r>
      <w:r w:rsidR="00AE62FE" w:rsidRPr="000B75EB">
        <w:t>omparison of observed versus predicted probability for the number of hospital admissions among patients with multiple chronic conditions by risk quartile</w:t>
      </w:r>
      <w:r>
        <w:t xml:space="preserve"> is shown below.</w:t>
      </w:r>
    </w:p>
    <w:p w14:paraId="0227ADC4" w14:textId="2D480E1E" w:rsidR="00B658FD" w:rsidRDefault="00B658FD"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40526AB1" w14:textId="31156B78" w:rsidR="00B658FD" w:rsidRDefault="00B658FD" w:rsidP="00C77D8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pPr>
    </w:p>
    <w:p w14:paraId="1DC8AE37" w14:textId="18F56895" w:rsidR="00C173EA" w:rsidRDefault="00C173EA" w:rsidP="00C77D8D">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pPr>
      <w:r>
        <w:rPr>
          <w:noProof/>
        </w:rPr>
        <w:lastRenderedPageBreak/>
        <w:drawing>
          <wp:inline distT="0" distB="0" distL="0" distR="0" wp14:anchorId="0D68BE71" wp14:editId="4E9EDB95">
            <wp:extent cx="5943600" cy="5943600"/>
            <wp:effectExtent l="0" t="0" r="0" b="0"/>
            <wp:docPr id="4" name="Picture 3" descr="A comparison of observed versus predicted probability for the number of hospital admissions among patients with multiple chronic conditions by risk quartile is shown. The plots of observed and predicted probabilities for each number of hospital admissions (0, 1, 2, …, 10) across quartiles of risk showed that the model performs well across a broad range of risk. In the highest-risk group, we found that the observed and predicted probabilities for zero and one admission differed slightly. However, these differences were small and somewhat expected among the highest-risk group of patients.">
              <a:extLst xmlns:a="http://schemas.openxmlformats.org/drawingml/2006/main">
                <a:ext uri="{FF2B5EF4-FFF2-40B4-BE49-F238E27FC236}">
                  <a16:creationId xmlns:a16="http://schemas.microsoft.com/office/drawing/2014/main" id="{CF3743AA-58FB-4774-AE4A-BAA82BA30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F3743AA-58FB-4774-AE4A-BAA82BA30B7C}"/>
                        </a:ext>
                      </a:extLst>
                    </pic:cNvPr>
                    <pic:cNvPicPr>
                      <a:picLocks noChangeAspect="1"/>
                    </pic:cNvPicPr>
                  </pic:nvPicPr>
                  <pic:blipFill>
                    <a:blip r:embed="rId29"/>
                    <a:stretch>
                      <a:fillRect/>
                    </a:stretch>
                  </pic:blipFill>
                  <pic:spPr>
                    <a:xfrm>
                      <a:off x="0" y="0"/>
                      <a:ext cx="5943600" cy="5943600"/>
                    </a:xfrm>
                    <a:prstGeom prst="rect">
                      <a:avLst/>
                    </a:prstGeom>
                  </pic:spPr>
                </pic:pic>
              </a:graphicData>
            </a:graphic>
          </wp:inline>
        </w:drawing>
      </w:r>
    </w:p>
    <w:p w14:paraId="14CD2095" w14:textId="7FD51FE2" w:rsidR="00AE62FE" w:rsidRDefault="00AE62FE"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color w:val="000000"/>
          <w:bdr w:val="single" w:sz="4" w:space="0" w:color="auto"/>
        </w:rPr>
      </w:pPr>
    </w:p>
    <w:p w14:paraId="6ECFE8D6" w14:textId="39245EBE" w:rsidR="0094700B" w:rsidRDefault="0094700B"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Calibri" w:eastAsia="Calibri" w:hAnsi="Calibri" w:cs="Calibri"/>
          <w:color w:val="000000"/>
          <w:bdr w:val="single" w:sz="4" w:space="0" w:color="auto"/>
        </w:rPr>
      </w:pPr>
    </w:p>
    <w:p w14:paraId="43536262" w14:textId="2E352D98" w:rsidR="0094700B" w:rsidRPr="00CB118B" w:rsidRDefault="0094700B" w:rsidP="00C77D8D">
      <w:pPr>
        <w:pBdr>
          <w:top w:val="single" w:sz="4" w:space="1" w:color="auto"/>
          <w:left w:val="single" w:sz="4" w:space="4" w:color="auto"/>
          <w:bottom w:val="single" w:sz="4" w:space="1" w:color="auto"/>
          <w:right w:val="single" w:sz="4" w:space="4" w:color="auto"/>
        </w:pBdr>
        <w:rPr>
          <w:rFonts w:ascii="Calibri" w:eastAsia="Calibri" w:hAnsi="Calibri" w:cs="Calibri"/>
          <w:color w:val="000000"/>
          <w:bdr w:val="single" w:sz="4" w:space="0" w:color="auto"/>
        </w:rPr>
      </w:pPr>
      <w:r>
        <w:t>The plots of observed and predicted probabilities for each number of hospital admissions (0, 1, 2, …, 10) across quartiles of risk showed that the model performs well across a broad range of risk</w:t>
      </w:r>
      <w:r w:rsidRPr="005F3293">
        <w:t>. In the</w:t>
      </w:r>
      <w:r>
        <w:t xml:space="preserve"> highest-risk group, we found that the observed and predicted probabilities for zero and one admission differed slightly. However, these differences were small and somewhat expected among the highest-risk group of patients.</w:t>
      </w:r>
    </w:p>
    <w:p w14:paraId="044C694D" w14:textId="77777777" w:rsidR="004B1C31" w:rsidRDefault="004B1C31" w:rsidP="00092566">
      <w:pPr>
        <w:autoSpaceDE w:val="0"/>
        <w:autoSpaceDN w:val="0"/>
        <w:adjustRightInd w:val="0"/>
        <w:spacing w:after="0" w:line="240" w:lineRule="auto"/>
        <w:rPr>
          <w:rFonts w:cstheme="minorHAnsi"/>
          <w:b/>
        </w:rPr>
      </w:pPr>
    </w:p>
    <w:p w14:paraId="07E0857E" w14:textId="77777777" w:rsidR="00111149" w:rsidRDefault="00111149" w:rsidP="00092566">
      <w:pPr>
        <w:autoSpaceDE w:val="0"/>
        <w:autoSpaceDN w:val="0"/>
        <w:adjustRightInd w:val="0"/>
        <w:spacing w:after="0" w:line="240" w:lineRule="auto"/>
        <w:rPr>
          <w:rFonts w:cstheme="minorHAnsi"/>
          <w:b/>
        </w:rPr>
      </w:pPr>
      <w:bookmarkStart w:id="29" w:name="question2b49"/>
      <w:bookmarkEnd w:id="29"/>
    </w:p>
    <w:p w14:paraId="207BF1CC" w14:textId="77777777" w:rsidR="00111149" w:rsidRDefault="00111149" w:rsidP="00092566">
      <w:pPr>
        <w:autoSpaceDE w:val="0"/>
        <w:autoSpaceDN w:val="0"/>
        <w:adjustRightInd w:val="0"/>
        <w:spacing w:after="0" w:line="240" w:lineRule="auto"/>
        <w:rPr>
          <w:rFonts w:cstheme="minorHAnsi"/>
          <w:b/>
        </w:rPr>
      </w:pPr>
    </w:p>
    <w:p w14:paraId="47153A1A" w14:textId="77777777" w:rsidR="00111149" w:rsidRDefault="00111149" w:rsidP="00092566">
      <w:pPr>
        <w:autoSpaceDE w:val="0"/>
        <w:autoSpaceDN w:val="0"/>
        <w:adjustRightInd w:val="0"/>
        <w:spacing w:after="0" w:line="240" w:lineRule="auto"/>
        <w:rPr>
          <w:rFonts w:cstheme="minorHAnsi"/>
          <w:b/>
        </w:rPr>
      </w:pPr>
    </w:p>
    <w:p w14:paraId="0CABD000" w14:textId="70BE1414" w:rsidR="00092566" w:rsidRDefault="009C7513" w:rsidP="00092566">
      <w:pPr>
        <w:autoSpaceDE w:val="0"/>
        <w:autoSpaceDN w:val="0"/>
        <w:adjustRightInd w:val="0"/>
        <w:spacing w:after="0" w:line="240" w:lineRule="auto"/>
        <w:rPr>
          <w:rFonts w:cstheme="minorHAnsi"/>
          <w:bCs/>
        </w:rPr>
      </w:pPr>
      <w:r>
        <w:rPr>
          <w:rFonts w:cstheme="minorHAnsi"/>
          <w:b/>
        </w:rPr>
        <w:lastRenderedPageBreak/>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68E7385D" w14:textId="747283B1" w:rsidR="00111149" w:rsidRDefault="00111149" w:rsidP="00092566">
      <w:pPr>
        <w:autoSpaceDE w:val="0"/>
        <w:autoSpaceDN w:val="0"/>
        <w:adjustRightInd w:val="0"/>
        <w:spacing w:after="0" w:line="240" w:lineRule="auto"/>
        <w:rPr>
          <w:rFonts w:cstheme="minorHAnsi"/>
          <w:bCs/>
        </w:rPr>
      </w:pPr>
    </w:p>
    <w:p w14:paraId="215CC612" w14:textId="3D2D8B78" w:rsidR="00111149" w:rsidRDefault="00111149" w:rsidP="00111149">
      <w:pPr>
        <w:pBdr>
          <w:top w:val="single" w:sz="4" w:space="1" w:color="auto"/>
          <w:left w:val="single" w:sz="4" w:space="4" w:color="auto"/>
          <w:bottom w:val="single" w:sz="4" w:space="1" w:color="auto"/>
          <w:right w:val="single" w:sz="4" w:space="4" w:color="auto"/>
        </w:pBdr>
      </w:pPr>
      <w:r>
        <w:t>N/A. This measure is not stratified.</w:t>
      </w:r>
    </w:p>
    <w:p w14:paraId="0CABD001" w14:textId="77777777" w:rsidR="00092566" w:rsidRPr="00A25024" w:rsidRDefault="00092566" w:rsidP="00092566">
      <w:pPr>
        <w:pStyle w:val="ListParagraph"/>
        <w:rPr>
          <w:rFonts w:cstheme="minorHAnsi"/>
          <w:bCs/>
        </w:rPr>
      </w:pPr>
    </w:p>
    <w:p w14:paraId="14E3FA1F" w14:textId="0C39E572" w:rsidR="00394224"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p>
    <w:p w14:paraId="775F93D4" w14:textId="77777777" w:rsidR="00814630" w:rsidRDefault="00814630" w:rsidP="00814630">
      <w:pPr>
        <w:pBdr>
          <w:top w:val="single" w:sz="4" w:space="1" w:color="auto"/>
          <w:left w:val="single" w:sz="4" w:space="4" w:color="auto"/>
          <w:bottom w:val="single" w:sz="4" w:space="1" w:color="auto"/>
          <w:right w:val="single" w:sz="4" w:space="4" w:color="auto"/>
        </w:pBdr>
      </w:pPr>
      <w:r>
        <w:t xml:space="preserve">The results demonstrate the risk-adjustment model adequately controls for differences in patient characteristics. </w:t>
      </w:r>
    </w:p>
    <w:p w14:paraId="28B71CDC" w14:textId="2BE381EF" w:rsidR="00814630" w:rsidRDefault="00814630" w:rsidP="00814630">
      <w:pPr>
        <w:pBdr>
          <w:top w:val="single" w:sz="4" w:space="1" w:color="auto"/>
          <w:left w:val="single" w:sz="4" w:space="4" w:color="auto"/>
          <w:bottom w:val="single" w:sz="4" w:space="1" w:color="auto"/>
          <w:right w:val="single" w:sz="4" w:space="4" w:color="auto"/>
        </w:pBdr>
      </w:pPr>
      <w:r w:rsidRPr="00C064BA">
        <w:rPr>
          <w:u w:val="single"/>
        </w:rPr>
        <w:t>Discrimination statistics</w:t>
      </w:r>
      <w:r>
        <w:t xml:space="preserve">: </w:t>
      </w:r>
      <w:r w:rsidRPr="00814630">
        <w:t xml:space="preserve">Model </w:t>
      </w:r>
      <w:r>
        <w:t xml:space="preserve">performance </w:t>
      </w:r>
      <w:r w:rsidR="000B6492">
        <w:t>testing showed</w:t>
      </w:r>
      <w:r w:rsidR="00683A9E">
        <w:t xml:space="preserve"> </w:t>
      </w:r>
      <w:r w:rsidR="006539F2">
        <w:t>good</w:t>
      </w:r>
      <w:r w:rsidR="006539F2" w:rsidRPr="00814630">
        <w:t xml:space="preserve"> </w:t>
      </w:r>
      <w:r w:rsidRPr="00814630">
        <w:t>mod</w:t>
      </w:r>
      <w:r>
        <w:t xml:space="preserve">el discrimination and fit. This held with adjustment for clinical, demographic, and social risk factors. </w:t>
      </w:r>
    </w:p>
    <w:p w14:paraId="50B690FF" w14:textId="55AE73FD" w:rsidR="00814630" w:rsidRDefault="00814630" w:rsidP="00814630">
      <w:pPr>
        <w:pBdr>
          <w:top w:val="single" w:sz="4" w:space="1" w:color="auto"/>
          <w:left w:val="single" w:sz="4" w:space="4" w:color="auto"/>
          <w:bottom w:val="single" w:sz="4" w:space="1" w:color="auto"/>
          <w:right w:val="single" w:sz="4" w:space="4" w:color="auto"/>
        </w:pBdr>
      </w:pPr>
      <w:r w:rsidRPr="00C064BA">
        <w:rPr>
          <w:u w:val="single"/>
        </w:rPr>
        <w:t>Risk decile plots</w:t>
      </w:r>
      <w:r>
        <w:t xml:space="preserve">: </w:t>
      </w:r>
      <w:r w:rsidRPr="00F41C56">
        <w:t xml:space="preserve">The plots, which showed that the predicted risk closely approximated the observed risk in most deciles, suggest </w:t>
      </w:r>
      <w:r w:rsidR="00175660">
        <w:t xml:space="preserve">very good </w:t>
      </w:r>
      <w:r w:rsidRPr="00F41C56">
        <w:t>calibration.</w:t>
      </w:r>
    </w:p>
    <w:p w14:paraId="06E572E9" w14:textId="77777777" w:rsidR="00814630" w:rsidRDefault="00814630" w:rsidP="00814630">
      <w:pPr>
        <w:pBdr>
          <w:top w:val="single" w:sz="4" w:space="1" w:color="auto"/>
          <w:left w:val="single" w:sz="4" w:space="4" w:color="auto"/>
          <w:bottom w:val="single" w:sz="4" w:space="1" w:color="auto"/>
          <w:right w:val="single" w:sz="4" w:space="4" w:color="auto"/>
        </w:pBdr>
      </w:pPr>
      <w:r>
        <w:t xml:space="preserve">Overall interpretation: </w:t>
      </w:r>
      <w:r w:rsidRPr="00A40AAB">
        <w:rPr>
          <w:rFonts w:cstheme="minorHAnsi"/>
          <w:bCs/>
        </w:rPr>
        <w:t>Interpreted together, our diagnostic results demonstrate the risk-adjustment model adequately controls for differences in patient characteristics (case mix).</w:t>
      </w:r>
    </w:p>
    <w:p w14:paraId="2B761A2E" w14:textId="77777777" w:rsidR="00814630" w:rsidRDefault="00814630" w:rsidP="00814630">
      <w:pPr>
        <w:spacing w:after="0" w:line="240" w:lineRule="auto"/>
        <w:rPr>
          <w:rFonts w:ascii="Calibri" w:eastAsia="Calibri" w:hAnsi="Calibri" w:cs="Calibri"/>
          <w:color w:val="000000"/>
          <w:bdr w:val="single" w:sz="4" w:space="0" w:color="auto"/>
        </w:rPr>
      </w:pPr>
    </w:p>
    <w:p w14:paraId="0CABD004" w14:textId="49F69B2F"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6514B494" w14:textId="5863C7C0" w:rsidR="00AE62FE" w:rsidRDefault="00EC6AFB" w:rsidP="00AE62FE">
      <w:pPr>
        <w:autoSpaceDE w:val="0"/>
        <w:autoSpaceDN w:val="0"/>
        <w:adjustRightInd w:val="0"/>
        <w:spacing w:after="0" w:line="240" w:lineRule="auto"/>
        <w:rPr>
          <w:rFonts w:ascii="Calibri" w:eastAsia="Calibri" w:hAnsi="Calibri" w:cs="Calibri"/>
          <w:color w:val="000000"/>
          <w:bdr w:val="single" w:sz="4" w:space="0" w:color="auto"/>
        </w:rPr>
      </w:pPr>
      <w:r>
        <w:rPr>
          <w:rFonts w:ascii="Calibri" w:eastAsia="Calibri" w:hAnsi="Calibri" w:cs="Calibri"/>
          <w:color w:val="000000"/>
          <w:bdr w:val="single" w:sz="4" w:space="0" w:color="auto"/>
        </w:rPr>
        <w:t>Not applicable</w:t>
      </w:r>
      <w:r w:rsidR="00AE62FE" w:rsidRPr="003325D4">
        <w:rPr>
          <w:rFonts w:ascii="Calibri" w:eastAsia="Calibri" w:hAnsi="Calibri" w:cs="Calibri"/>
          <w:color w:val="000000"/>
          <w:bdr w:val="single" w:sz="4" w:space="0" w:color="auto"/>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30" w:name="section2b5"/>
      <w:bookmarkEnd w:id="30"/>
      <w:r>
        <w:rPr>
          <w:rFonts w:cstheme="minorHAnsi"/>
          <w:b/>
          <w:bCs/>
        </w:rPr>
        <w:t>2b4</w:t>
      </w:r>
      <w:r w:rsidR="00D61410" w:rsidRPr="00A25024">
        <w:rPr>
          <w:rFonts w:cstheme="minorHAnsi"/>
          <w:b/>
          <w:bCs/>
        </w:rPr>
        <w:t>. IDENTIFICATION OF STATISTICALLY SIGNIFICANT &amp; MEANINGFUL DIFFERENCES IN PERFORMANCE</w:t>
      </w:r>
    </w:p>
    <w:p w14:paraId="2932AE39" w14:textId="589767DF" w:rsidR="00394224"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15130808" w14:textId="3F619644" w:rsidR="00057B08" w:rsidRDefault="00057B08" w:rsidP="00E66728">
      <w:pPr>
        <w:pBdr>
          <w:top w:val="single" w:sz="4" w:space="1" w:color="auto"/>
          <w:left w:val="single" w:sz="4" w:space="1" w:color="auto"/>
          <w:bottom w:val="single" w:sz="4" w:space="1" w:color="auto"/>
          <w:right w:val="single" w:sz="4" w:space="1" w:color="auto"/>
        </w:pBdr>
        <w:spacing w:line="240" w:lineRule="auto"/>
      </w:pPr>
      <w:bookmarkStart w:id="31" w:name="_Hlk6220595"/>
      <w:r>
        <w:t>The measure score is a</w:t>
      </w:r>
      <w:r w:rsidR="000B6492">
        <w:t>n ACO-level</w:t>
      </w:r>
      <w:r>
        <w:t xml:space="preserve"> risk-standardized acute admission rate</w:t>
      </w:r>
      <w:r w:rsidR="003E2D19">
        <w:t xml:space="preserve"> (RSAAR)</w:t>
      </w:r>
      <w:r>
        <w:t xml:space="preserve">. We characterize the degree of variability by reporting the distribution of RSAARs </w:t>
      </w:r>
      <w:r w:rsidR="003E2D19">
        <w:t xml:space="preserve">across </w:t>
      </w:r>
      <w:r w:rsidR="000B6492">
        <w:t xml:space="preserve">ACOs </w:t>
      </w:r>
      <w:r w:rsidR="001717C1">
        <w:t xml:space="preserve">and by </w:t>
      </w:r>
      <w:r w:rsidR="001717C1">
        <w:rPr>
          <w:rFonts w:cstheme="minorHAnsi"/>
          <w:bCs/>
        </w:rPr>
        <w:t>p</w:t>
      </w:r>
      <w:r w:rsidR="001717C1" w:rsidRPr="0094638C">
        <w:rPr>
          <w:rFonts w:cstheme="minorHAnsi"/>
          <w:bCs/>
        </w:rPr>
        <w:t xml:space="preserve">roviding the median </w:t>
      </w:r>
      <w:r w:rsidR="001717C1">
        <w:rPr>
          <w:rFonts w:cstheme="minorHAnsi"/>
          <w:bCs/>
        </w:rPr>
        <w:t>rate</w:t>
      </w:r>
      <w:r w:rsidR="001717C1" w:rsidRPr="0094638C">
        <w:rPr>
          <w:rFonts w:cstheme="minorHAnsi"/>
          <w:bCs/>
        </w:rPr>
        <w:t xml:space="preserve"> ratio (M</w:t>
      </w:r>
      <w:r w:rsidR="001717C1">
        <w:rPr>
          <w:rFonts w:cstheme="minorHAnsi"/>
          <w:bCs/>
        </w:rPr>
        <w:t>R</w:t>
      </w:r>
      <w:r w:rsidR="001717C1" w:rsidRPr="0094638C">
        <w:rPr>
          <w:rFonts w:cstheme="minorHAnsi"/>
          <w:bCs/>
        </w:rPr>
        <w:t>R)</w:t>
      </w:r>
      <w:r w:rsidR="001717C1">
        <w:rPr>
          <w:rFonts w:cstheme="minorHAnsi"/>
          <w:bCs/>
        </w:rPr>
        <w:t xml:space="preserve"> </w:t>
      </w:r>
      <w:r w:rsidR="00C81CCA">
        <w:rPr>
          <w:rFonts w:cstheme="minorHAnsi"/>
          <w:bCs/>
        </w:rPr>
        <w:t>[1]</w:t>
      </w:r>
      <w:r>
        <w:t>.</w:t>
      </w:r>
      <w:r w:rsidR="001717C1">
        <w:t xml:space="preserve"> </w:t>
      </w:r>
      <w:r w:rsidR="001717C1" w:rsidRPr="0094638C">
        <w:rPr>
          <w:rFonts w:cstheme="minorHAnsi"/>
          <w:bCs/>
        </w:rPr>
        <w:t xml:space="preserve">The median </w:t>
      </w:r>
      <w:r w:rsidR="001717C1">
        <w:rPr>
          <w:rFonts w:cstheme="minorHAnsi"/>
          <w:bCs/>
        </w:rPr>
        <w:t>rate</w:t>
      </w:r>
      <w:r w:rsidR="001717C1" w:rsidRPr="0094638C">
        <w:rPr>
          <w:rFonts w:cstheme="minorHAnsi"/>
          <w:bCs/>
        </w:rPr>
        <w:t xml:space="preserve"> ratio represents the median increase in </w:t>
      </w:r>
      <w:r w:rsidR="001717C1" w:rsidRPr="00342D7F">
        <w:rPr>
          <w:rFonts w:cstheme="minorHAnsi"/>
          <w:bCs/>
        </w:rPr>
        <w:t>ra</w:t>
      </w:r>
      <w:r w:rsidR="001717C1">
        <w:rPr>
          <w:rFonts w:cstheme="minorHAnsi"/>
          <w:bCs/>
        </w:rPr>
        <w:t>te of acute unplanned admission</w:t>
      </w:r>
      <w:r w:rsidR="001717C1" w:rsidRPr="0094638C">
        <w:rPr>
          <w:rFonts w:cstheme="minorHAnsi"/>
          <w:bCs/>
        </w:rPr>
        <w:t xml:space="preserve"> if a single patient was </w:t>
      </w:r>
      <w:r w:rsidR="001717C1">
        <w:rPr>
          <w:rFonts w:cstheme="minorHAnsi"/>
          <w:bCs/>
        </w:rPr>
        <w:t>attributed to</w:t>
      </w:r>
      <w:r w:rsidR="001717C1" w:rsidRPr="0094638C">
        <w:rPr>
          <w:rFonts w:cstheme="minorHAnsi"/>
          <w:bCs/>
        </w:rPr>
        <w:t xml:space="preserve"> a higher risk </w:t>
      </w:r>
      <w:r w:rsidR="000B6492">
        <w:rPr>
          <w:rFonts w:cstheme="minorHAnsi"/>
          <w:bCs/>
        </w:rPr>
        <w:t>ACO</w:t>
      </w:r>
      <w:r w:rsidR="000B6492" w:rsidRPr="009E5F07">
        <w:rPr>
          <w:rFonts w:cstheme="minorHAnsi"/>
          <w:bCs/>
        </w:rPr>
        <w:t xml:space="preserve"> </w:t>
      </w:r>
      <w:r w:rsidR="001717C1" w:rsidRPr="0094638C">
        <w:rPr>
          <w:rFonts w:cstheme="minorHAnsi"/>
          <w:bCs/>
        </w:rPr>
        <w:t xml:space="preserve">compared to a lower risk </w:t>
      </w:r>
      <w:r w:rsidR="000B6492">
        <w:t>ACO</w:t>
      </w:r>
      <w:r w:rsidR="001717C1" w:rsidRPr="0094638C">
        <w:rPr>
          <w:rFonts w:cstheme="minorHAnsi"/>
          <w:bCs/>
        </w:rPr>
        <w:t>. It is calculated by taking all possible combinations of provide</w:t>
      </w:r>
      <w:r w:rsidR="001717C1">
        <w:rPr>
          <w:rFonts w:cstheme="minorHAnsi"/>
          <w:bCs/>
        </w:rPr>
        <w:t>rs, always comparing the higher-risk provider to the lower-</w:t>
      </w:r>
      <w:r w:rsidR="001717C1" w:rsidRPr="0094638C">
        <w:rPr>
          <w:rFonts w:cstheme="minorHAnsi"/>
          <w:bCs/>
        </w:rPr>
        <w:t>risk provider. The M</w:t>
      </w:r>
      <w:r w:rsidR="001717C1">
        <w:rPr>
          <w:rFonts w:cstheme="minorHAnsi"/>
          <w:bCs/>
        </w:rPr>
        <w:t>R</w:t>
      </w:r>
      <w:r w:rsidR="001717C1" w:rsidRPr="0094638C">
        <w:rPr>
          <w:rFonts w:cstheme="minorHAnsi"/>
          <w:bCs/>
        </w:rPr>
        <w:t xml:space="preserve">R is interpreted as a traditional </w:t>
      </w:r>
      <w:r w:rsidR="001717C1">
        <w:rPr>
          <w:rFonts w:cstheme="minorHAnsi"/>
          <w:bCs/>
        </w:rPr>
        <w:t>rate</w:t>
      </w:r>
      <w:r w:rsidR="001717C1" w:rsidRPr="0094638C">
        <w:rPr>
          <w:rFonts w:cstheme="minorHAnsi"/>
          <w:bCs/>
        </w:rPr>
        <w:t xml:space="preserve"> ratio would be.</w:t>
      </w:r>
    </w:p>
    <w:p w14:paraId="0EB3A9C4" w14:textId="102E5610" w:rsidR="004D7331" w:rsidRPr="00A823CF" w:rsidRDefault="004D7331" w:rsidP="00E66728">
      <w:pPr>
        <w:pBdr>
          <w:top w:val="single" w:sz="4" w:space="1" w:color="auto"/>
          <w:left w:val="single" w:sz="4" w:space="1" w:color="auto"/>
          <w:bottom w:val="single" w:sz="4" w:space="1" w:color="auto"/>
          <w:right w:val="single" w:sz="4" w:space="1" w:color="auto"/>
        </w:pBdr>
        <w:spacing w:after="0" w:line="240" w:lineRule="auto"/>
        <w:rPr>
          <w:rFonts w:cstheme="minorHAnsi"/>
          <w:u w:val="single"/>
        </w:rPr>
      </w:pPr>
      <w:r w:rsidRPr="00A823CF">
        <w:rPr>
          <w:rFonts w:cstheme="minorHAnsi"/>
          <w:u w:val="single"/>
        </w:rPr>
        <w:t>Citations</w:t>
      </w:r>
    </w:p>
    <w:p w14:paraId="2CA8AA45" w14:textId="1F3D6C7A" w:rsidR="004D7331" w:rsidRPr="00A823CF" w:rsidRDefault="004D7331" w:rsidP="00E66728">
      <w:pPr>
        <w:pBdr>
          <w:top w:val="single" w:sz="4" w:space="1" w:color="auto"/>
          <w:left w:val="single" w:sz="4" w:space="1" w:color="auto"/>
          <w:bottom w:val="single" w:sz="4" w:space="1" w:color="auto"/>
          <w:right w:val="single" w:sz="4" w:space="1" w:color="auto"/>
        </w:pBdr>
        <w:spacing w:after="0" w:line="240" w:lineRule="auto"/>
        <w:rPr>
          <w:rFonts w:cstheme="minorHAnsi"/>
        </w:rPr>
      </w:pPr>
      <w:r w:rsidRPr="00A823CF">
        <w:rPr>
          <w:rFonts w:cstheme="minorHAnsi"/>
        </w:rPr>
        <w:t xml:space="preserve">1. </w:t>
      </w:r>
      <w:r w:rsidRPr="00A823CF">
        <w:rPr>
          <w:rStyle w:val="author"/>
          <w:rFonts w:cstheme="minorHAnsi"/>
        </w:rPr>
        <w:t>Austin, PC</w:t>
      </w:r>
      <w:r w:rsidRPr="00A823CF">
        <w:rPr>
          <w:rFonts w:cstheme="minorHAnsi"/>
        </w:rPr>
        <w:t xml:space="preserve">, </w:t>
      </w:r>
      <w:proofErr w:type="spellStart"/>
      <w:r w:rsidRPr="00A823CF">
        <w:rPr>
          <w:rStyle w:val="author"/>
          <w:rFonts w:cstheme="minorHAnsi"/>
        </w:rPr>
        <w:t>Stryhn</w:t>
      </w:r>
      <w:proofErr w:type="spellEnd"/>
      <w:r w:rsidRPr="00A823CF">
        <w:rPr>
          <w:rStyle w:val="author"/>
          <w:rFonts w:cstheme="minorHAnsi"/>
        </w:rPr>
        <w:t>, H</w:t>
      </w:r>
      <w:r w:rsidRPr="00A823CF">
        <w:rPr>
          <w:rFonts w:cstheme="minorHAnsi"/>
        </w:rPr>
        <w:t xml:space="preserve">, </w:t>
      </w:r>
      <w:r w:rsidRPr="00A823CF">
        <w:rPr>
          <w:rStyle w:val="author"/>
          <w:rFonts w:cstheme="minorHAnsi"/>
        </w:rPr>
        <w:t>Leckie, G</w:t>
      </w:r>
      <w:r w:rsidRPr="00A823CF">
        <w:rPr>
          <w:rFonts w:cstheme="minorHAnsi"/>
        </w:rPr>
        <w:t xml:space="preserve">, </w:t>
      </w:r>
      <w:r w:rsidRPr="00A823CF">
        <w:rPr>
          <w:rStyle w:val="author"/>
          <w:rFonts w:cstheme="minorHAnsi"/>
        </w:rPr>
        <w:t>Merlo, J</w:t>
      </w:r>
      <w:r w:rsidRPr="00A823CF">
        <w:rPr>
          <w:rFonts w:cstheme="minorHAnsi"/>
        </w:rPr>
        <w:t xml:space="preserve">. </w:t>
      </w:r>
      <w:r w:rsidRPr="00A823CF">
        <w:rPr>
          <w:rStyle w:val="articletitle"/>
          <w:rFonts w:cstheme="minorHAnsi"/>
        </w:rPr>
        <w:t>Measures of clustering and heterogeneity in multilevel Poisson regression analyses of rates/count data</w:t>
      </w:r>
      <w:r w:rsidRPr="00A823CF">
        <w:rPr>
          <w:rFonts w:cstheme="minorHAnsi"/>
        </w:rPr>
        <w:t xml:space="preserve">. </w:t>
      </w:r>
      <w:r w:rsidRPr="00A823CF">
        <w:rPr>
          <w:rFonts w:cstheme="minorHAnsi"/>
          <w:i/>
          <w:iCs/>
        </w:rPr>
        <w:t>Statistics in Medicine</w:t>
      </w:r>
      <w:r w:rsidRPr="00A823CF">
        <w:rPr>
          <w:rFonts w:cstheme="minorHAnsi"/>
        </w:rPr>
        <w:t xml:space="preserve">. </w:t>
      </w:r>
      <w:r w:rsidRPr="00A823CF">
        <w:rPr>
          <w:rStyle w:val="pubyear"/>
          <w:rFonts w:cstheme="minorHAnsi"/>
        </w:rPr>
        <w:t>2018</w:t>
      </w:r>
      <w:r w:rsidRPr="00A823CF">
        <w:rPr>
          <w:rFonts w:cstheme="minorHAnsi"/>
        </w:rPr>
        <w:t xml:space="preserve">; </w:t>
      </w:r>
      <w:r w:rsidRPr="00A823CF">
        <w:rPr>
          <w:rStyle w:val="vol"/>
          <w:rFonts w:cstheme="minorHAnsi"/>
        </w:rPr>
        <w:t>37</w:t>
      </w:r>
      <w:r w:rsidRPr="00A823CF">
        <w:rPr>
          <w:rFonts w:cstheme="minorHAnsi"/>
        </w:rPr>
        <w:t xml:space="preserve">: </w:t>
      </w:r>
      <w:r w:rsidRPr="00A823CF">
        <w:rPr>
          <w:rStyle w:val="pagefirst"/>
          <w:rFonts w:cstheme="minorHAnsi"/>
        </w:rPr>
        <w:t>572</w:t>
      </w:r>
      <w:r w:rsidRPr="00A823CF">
        <w:rPr>
          <w:rFonts w:cstheme="minorHAnsi"/>
        </w:rPr>
        <w:t xml:space="preserve">– </w:t>
      </w:r>
      <w:r w:rsidRPr="00A823CF">
        <w:rPr>
          <w:rStyle w:val="pagelast"/>
          <w:rFonts w:cstheme="minorHAnsi"/>
        </w:rPr>
        <w:t>589</w:t>
      </w:r>
      <w:r w:rsidRPr="00A823CF">
        <w:rPr>
          <w:rFonts w:cstheme="minorHAnsi"/>
        </w:rPr>
        <w:t xml:space="preserve">. </w:t>
      </w:r>
      <w:hyperlink r:id="rId30" w:history="1">
        <w:r w:rsidRPr="00A823CF">
          <w:rPr>
            <w:rStyle w:val="Hyperlink"/>
            <w:rFonts w:cstheme="minorHAnsi"/>
            <w:color w:val="auto"/>
          </w:rPr>
          <w:t>https://doi.org/10.1002/sim.7532</w:t>
        </w:r>
      </w:hyperlink>
    </w:p>
    <w:bookmarkEnd w:id="31"/>
    <w:p w14:paraId="119CE11C" w14:textId="6827DC0D" w:rsidR="003942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lastRenderedPageBreak/>
        <w:t xml:space="preserve">different from mean </w:t>
      </w:r>
      <w:r w:rsidR="001E69DC">
        <w:rPr>
          <w:rFonts w:cstheme="minorHAnsi"/>
          <w:bCs/>
          <w:i/>
        </w:rPr>
        <w:t>or some benchmark, different from expected; how was meaningful difference defined</w:t>
      </w:r>
      <w:r w:rsidR="00394224">
        <w:rPr>
          <w:rFonts w:cstheme="minorHAnsi"/>
          <w:bCs/>
        </w:rPr>
        <w:t>)</w:t>
      </w:r>
    </w:p>
    <w:p w14:paraId="51329B1D" w14:textId="7BEFD103" w:rsidR="00F5129A" w:rsidRPr="00A823CF" w:rsidRDefault="00F5129A"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u w:val="single"/>
        </w:rPr>
      </w:pPr>
      <w:bookmarkStart w:id="32" w:name="T9"/>
      <w:bookmarkEnd w:id="32"/>
      <w:r w:rsidRPr="00184EA4">
        <w:rPr>
          <w:u w:val="single"/>
        </w:rPr>
        <w:t>Distribution of RSAAR</w:t>
      </w:r>
      <w:r w:rsidRPr="00A823CF">
        <w:rPr>
          <w:u w:val="single"/>
        </w:rPr>
        <w:t xml:space="preserve"> </w:t>
      </w:r>
    </w:p>
    <w:p w14:paraId="54BA3845" w14:textId="0ECF102A" w:rsidR="00F5129A" w:rsidRDefault="00F5129A"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512936F2" w14:textId="27B4B3AD" w:rsidR="000B6492" w:rsidRPr="0094638C" w:rsidRDefault="000B6492"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ACOs</w:t>
      </w:r>
      <w:r w:rsidRPr="00A823CF">
        <w:t xml:space="preserve"> </w:t>
      </w:r>
      <w:r w:rsidR="00540E40" w:rsidRPr="00A823CF">
        <w:t xml:space="preserve">with at least one </w:t>
      </w:r>
      <w:r>
        <w:t xml:space="preserve">attributed </w:t>
      </w:r>
      <w:r w:rsidR="00540E40" w:rsidRPr="00A823CF">
        <w:t>MCC patient</w:t>
      </w:r>
      <w:r w:rsidR="00046FF3">
        <w:t xml:space="preserve"> (N=559)</w:t>
      </w:r>
      <w:r w:rsidR="00540E40" w:rsidRPr="00540E40">
        <w:t xml:space="preserve">: The risk-standardized measure scores </w:t>
      </w:r>
      <w:r w:rsidR="00540E40" w:rsidRPr="0094638C">
        <w:t xml:space="preserve">had a median value of </w:t>
      </w:r>
      <w:r>
        <w:t>38.6</w:t>
      </w:r>
      <w:r w:rsidR="00B658FD">
        <w:t xml:space="preserve"> </w:t>
      </w:r>
      <w:r>
        <w:t xml:space="preserve">and mean value of 38.9 </w:t>
      </w:r>
      <w:r w:rsidR="00046FF3">
        <w:t xml:space="preserve">(standard deviation +/-4.2) </w:t>
      </w:r>
      <w:r w:rsidR="00540E40">
        <w:t>admissions per 100 person-years</w:t>
      </w:r>
      <w:r w:rsidR="00C81CCA">
        <w:t>.</w:t>
      </w:r>
      <w:r w:rsidR="00540E40" w:rsidRPr="0094638C">
        <w:t xml:space="preserve"> The percentiles of the distribution: </w:t>
      </w:r>
    </w:p>
    <w:p w14:paraId="38ABDCF8" w14:textId="77777777" w:rsidR="00540E40" w:rsidRDefault="00540E40"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107CF47F" w14:textId="0465653C" w:rsidR="00F5129A" w:rsidRDefault="00F5129A"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Min</w:t>
      </w:r>
      <w:r>
        <w:tab/>
        <w:t>1st</w:t>
      </w:r>
      <w:r>
        <w:tab/>
        <w:t>5th</w:t>
      </w:r>
      <w:r>
        <w:tab/>
        <w:t>10th</w:t>
      </w:r>
      <w:r>
        <w:tab/>
        <w:t>25th</w:t>
      </w:r>
      <w:r>
        <w:tab/>
        <w:t>50th</w:t>
      </w:r>
      <w:r>
        <w:tab/>
        <w:t>75th</w:t>
      </w:r>
      <w:r>
        <w:tab/>
        <w:t>90th</w:t>
      </w:r>
      <w:r>
        <w:tab/>
        <w:t>95th</w:t>
      </w:r>
      <w:r>
        <w:tab/>
        <w:t>99th</w:t>
      </w:r>
      <w:r>
        <w:tab/>
        <w:t>Max</w:t>
      </w:r>
    </w:p>
    <w:p w14:paraId="30EA742F" w14:textId="3BF4E936" w:rsidR="00F5129A" w:rsidRDefault="000B6492"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23.6</w:t>
      </w:r>
      <w:r>
        <w:tab/>
        <w:t>28.6</w:t>
      </w:r>
      <w:r w:rsidR="00643750" w:rsidRPr="00643750">
        <w:tab/>
      </w:r>
      <w:r>
        <w:t>31.7</w:t>
      </w:r>
      <w:r w:rsidR="00643750" w:rsidRPr="00643750">
        <w:tab/>
      </w:r>
      <w:r>
        <w:t>33.7</w:t>
      </w:r>
      <w:r w:rsidR="00643750" w:rsidRPr="00643750">
        <w:tab/>
      </w:r>
      <w:r>
        <w:t>36.4</w:t>
      </w:r>
      <w:r w:rsidR="00643750" w:rsidRPr="00643750">
        <w:tab/>
      </w:r>
      <w:r>
        <w:t>38.6</w:t>
      </w:r>
      <w:r w:rsidR="00643750" w:rsidRPr="00643750">
        <w:tab/>
      </w:r>
      <w:r>
        <w:t>41.5</w:t>
      </w:r>
      <w:r w:rsidR="00643750" w:rsidRPr="00643750">
        <w:tab/>
      </w:r>
      <w:r>
        <w:t>44.3</w:t>
      </w:r>
      <w:r w:rsidR="00643750" w:rsidRPr="00643750">
        <w:tab/>
      </w:r>
      <w:r>
        <w:t>46.1</w:t>
      </w:r>
      <w:r w:rsidR="00643750" w:rsidRPr="00643750">
        <w:tab/>
      </w:r>
      <w:r>
        <w:t>48.6</w:t>
      </w:r>
      <w:r w:rsidR="00643750" w:rsidRPr="00643750">
        <w:tab/>
      </w:r>
      <w:r>
        <w:t>53.3</w:t>
      </w:r>
    </w:p>
    <w:p w14:paraId="2918BF14" w14:textId="239D3DEB" w:rsidR="000B6492" w:rsidRDefault="000B6492"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625D2F45" w14:textId="42BF3EC5" w:rsidR="00041FD3" w:rsidRDefault="00041FD3"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t>We also show the distribution in the form of a histogram, below, for ACO with at least one attributed MCC patient (N=559).</w:t>
      </w:r>
    </w:p>
    <w:p w14:paraId="37EBA0ED" w14:textId="6E6F435B" w:rsidR="00041FD3" w:rsidRDefault="00041FD3"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3D77E01D" w14:textId="4F274B92" w:rsidR="00041FD3" w:rsidRPr="00041FD3" w:rsidRDefault="00041FD3"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b/>
        </w:rPr>
      </w:pPr>
      <w:r>
        <w:rPr>
          <w:noProof/>
        </w:rPr>
        <w:drawing>
          <wp:inline distT="0" distB="0" distL="0" distR="0" wp14:anchorId="318B0F9C" wp14:editId="66248FD8">
            <wp:extent cx="4222750" cy="3087209"/>
            <wp:effectExtent l="0" t="0" r="6350" b="0"/>
            <wp:docPr id="1" name="Picture 1" descr="Distribution of Measure Scores for the ACO MCC measure.&#10;This graph shows a histogram of the distribution of measure scores for the ACO MCC measure, for the 559 ACOs with at least one MCC pati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224835" cy="3088733"/>
                    </a:xfrm>
                    <a:prstGeom prst="rect">
                      <a:avLst/>
                    </a:prstGeom>
                  </pic:spPr>
                </pic:pic>
              </a:graphicData>
            </a:graphic>
          </wp:inline>
        </w:drawing>
      </w:r>
    </w:p>
    <w:p w14:paraId="34C43F76" w14:textId="77777777" w:rsidR="00041FD3" w:rsidRDefault="00041FD3"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0C48F2B7" w14:textId="1D9D1A30" w:rsidR="00184EA4" w:rsidRPr="00A823CF" w:rsidRDefault="00184EA4"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595CCC4F" w14:textId="342B257F" w:rsidR="00AE62FE" w:rsidRDefault="00F5129A" w:rsidP="00E6672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493737">
        <w:rPr>
          <w:u w:val="single"/>
        </w:rPr>
        <w:t xml:space="preserve">Median </w:t>
      </w:r>
      <w:r w:rsidRPr="00184EA4">
        <w:rPr>
          <w:u w:val="single"/>
        </w:rPr>
        <w:t>Rate Ratio (MRR)</w:t>
      </w:r>
      <w:r>
        <w:t>= 1.</w:t>
      </w:r>
      <w:r w:rsidR="00046FF3">
        <w:t>12</w:t>
      </w:r>
      <w:r>
        <w:t xml:space="preserve">. </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19EB8485" w14:textId="3ABDA302" w:rsidR="00394224" w:rsidRPr="00A25024"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394224">
        <w:rPr>
          <w:rFonts w:cstheme="minorHAnsi"/>
          <w:bCs/>
        </w:rPr>
        <w:t>)</w:t>
      </w:r>
    </w:p>
    <w:p w14:paraId="1B26B34E" w14:textId="11271500" w:rsidR="0094700B" w:rsidRDefault="0094700B" w:rsidP="000D6F3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0D6F33">
        <w:rPr>
          <w:rFonts w:ascii="Calibri" w:eastAsia="Calibri" w:hAnsi="Calibri" w:cs="Calibri"/>
          <w:color w:val="000000"/>
        </w:rPr>
        <w:t>As the result</w:t>
      </w:r>
      <w:r>
        <w:rPr>
          <w:rFonts w:ascii="Calibri" w:eastAsia="Calibri" w:hAnsi="Calibri" w:cs="Calibri"/>
          <w:color w:val="000000"/>
        </w:rPr>
        <w:t xml:space="preserve">s above </w:t>
      </w:r>
      <w:r w:rsidRPr="000D6F33">
        <w:rPr>
          <w:rFonts w:ascii="Calibri" w:eastAsia="Calibri" w:hAnsi="Calibri" w:cs="Calibri"/>
          <w:color w:val="000000"/>
        </w:rPr>
        <w:t xml:space="preserve">show, across the </w:t>
      </w:r>
      <w:r w:rsidR="00046FF3">
        <w:rPr>
          <w:rFonts w:ascii="Calibri" w:eastAsia="Calibri" w:hAnsi="Calibri" w:cs="Calibri"/>
          <w:color w:val="000000"/>
        </w:rPr>
        <w:t>559 ACOs</w:t>
      </w:r>
      <w:r w:rsidRPr="000D6F33">
        <w:rPr>
          <w:rFonts w:ascii="Calibri" w:eastAsia="Calibri" w:hAnsi="Calibri" w:cs="Calibri"/>
          <w:color w:val="000000"/>
        </w:rPr>
        <w:t xml:space="preserve"> </w:t>
      </w:r>
      <w:r w:rsidR="00683A9E">
        <w:rPr>
          <w:rFonts w:ascii="Calibri" w:eastAsia="Calibri" w:hAnsi="Calibri" w:cs="Calibri"/>
          <w:color w:val="000000"/>
        </w:rPr>
        <w:t>with</w:t>
      </w:r>
      <w:r w:rsidRPr="000D6F33">
        <w:rPr>
          <w:rFonts w:ascii="Calibri" w:eastAsia="Calibri" w:hAnsi="Calibri" w:cs="Calibri"/>
          <w:color w:val="000000"/>
        </w:rPr>
        <w:t xml:space="preserve"> at least one MCC patient, RSAAR measure scores, including adjustment for the social risk factors of AHRQ SES Index</w:t>
      </w:r>
      <w:r w:rsidR="00FB4632">
        <w:rPr>
          <w:rFonts w:ascii="Calibri" w:eastAsia="Calibri" w:hAnsi="Calibri" w:cs="Calibri"/>
          <w:color w:val="000000"/>
        </w:rPr>
        <w:t>,</w:t>
      </w:r>
      <w:r w:rsidRPr="000D6F33">
        <w:rPr>
          <w:rFonts w:ascii="Calibri" w:eastAsia="Calibri" w:hAnsi="Calibri" w:cs="Calibri"/>
          <w:color w:val="000000"/>
        </w:rPr>
        <w:t xml:space="preserve"> and </w:t>
      </w:r>
      <w:r w:rsidR="00CD0B3C">
        <w:rPr>
          <w:rFonts w:ascii="Calibri" w:eastAsia="Calibri" w:hAnsi="Calibri" w:cs="Calibri"/>
          <w:color w:val="000000"/>
        </w:rPr>
        <w:t>physician-specialist density</w:t>
      </w:r>
      <w:r w:rsidRPr="000D6F33">
        <w:rPr>
          <w:rFonts w:ascii="Calibri" w:eastAsia="Calibri" w:hAnsi="Calibri" w:cs="Calibri"/>
          <w:color w:val="000000"/>
        </w:rPr>
        <w:t xml:space="preserve">, ranged from </w:t>
      </w:r>
      <w:r w:rsidR="00046FF3">
        <w:rPr>
          <w:rFonts w:ascii="Calibri" w:eastAsia="Calibri" w:hAnsi="Calibri" w:cs="Calibri"/>
          <w:color w:val="000000"/>
        </w:rPr>
        <w:t>23.6</w:t>
      </w:r>
      <w:r w:rsidRPr="000D6F33">
        <w:rPr>
          <w:rFonts w:ascii="Calibri" w:eastAsia="Calibri" w:hAnsi="Calibri" w:cs="Calibri"/>
          <w:color w:val="000000"/>
        </w:rPr>
        <w:t xml:space="preserve"> to </w:t>
      </w:r>
      <w:r w:rsidR="00046FF3">
        <w:rPr>
          <w:rFonts w:ascii="Calibri" w:eastAsia="Calibri" w:hAnsi="Calibri" w:cs="Calibri"/>
          <w:color w:val="000000"/>
        </w:rPr>
        <w:t>53.3</w:t>
      </w:r>
      <w:r w:rsidR="00E44C55" w:rsidRPr="000D6F33">
        <w:rPr>
          <w:rFonts w:ascii="Calibri" w:eastAsia="Calibri" w:hAnsi="Calibri" w:cs="Calibri"/>
          <w:color w:val="000000"/>
        </w:rPr>
        <w:t xml:space="preserve"> </w:t>
      </w:r>
      <w:r w:rsidRPr="000D6F33">
        <w:rPr>
          <w:rFonts w:ascii="Calibri" w:eastAsia="Calibri" w:hAnsi="Calibri" w:cs="Calibri"/>
          <w:color w:val="000000"/>
        </w:rPr>
        <w:t xml:space="preserve">per 100 person-years, with a median of </w:t>
      </w:r>
      <w:r w:rsidR="00046FF3">
        <w:rPr>
          <w:rFonts w:ascii="Calibri" w:eastAsia="Calibri" w:hAnsi="Calibri" w:cs="Calibri"/>
          <w:color w:val="000000"/>
        </w:rPr>
        <w:t>38.6</w:t>
      </w:r>
      <w:r w:rsidR="00E44C55" w:rsidRPr="000D6F33">
        <w:rPr>
          <w:rFonts w:ascii="Calibri" w:eastAsia="Calibri" w:hAnsi="Calibri" w:cs="Calibri"/>
          <w:color w:val="000000"/>
        </w:rPr>
        <w:t xml:space="preserve"> </w:t>
      </w:r>
      <w:r w:rsidRPr="000D6F33">
        <w:rPr>
          <w:rFonts w:ascii="Calibri" w:eastAsia="Calibri" w:hAnsi="Calibri" w:cs="Calibri"/>
          <w:color w:val="000000"/>
        </w:rPr>
        <w:t xml:space="preserve">and an IQR of </w:t>
      </w:r>
      <w:r w:rsidR="00046FF3">
        <w:rPr>
          <w:rFonts w:ascii="Calibri" w:eastAsia="Calibri" w:hAnsi="Calibri" w:cs="Calibri"/>
          <w:color w:val="000000"/>
        </w:rPr>
        <w:t>36.4</w:t>
      </w:r>
      <w:r w:rsidR="00E44C55" w:rsidRPr="000D6F33">
        <w:rPr>
          <w:rFonts w:ascii="Calibri" w:eastAsia="Calibri" w:hAnsi="Calibri" w:cs="Calibri"/>
          <w:color w:val="000000"/>
        </w:rPr>
        <w:t xml:space="preserve"> </w:t>
      </w:r>
      <w:r w:rsidRPr="000D6F33">
        <w:rPr>
          <w:rFonts w:ascii="Calibri" w:eastAsia="Calibri" w:hAnsi="Calibri" w:cs="Calibri"/>
          <w:color w:val="000000"/>
        </w:rPr>
        <w:t xml:space="preserve">to </w:t>
      </w:r>
      <w:r w:rsidR="00046FF3">
        <w:rPr>
          <w:rFonts w:ascii="Calibri" w:eastAsia="Calibri" w:hAnsi="Calibri" w:cs="Calibri"/>
          <w:color w:val="000000"/>
        </w:rPr>
        <w:t>41.5.</w:t>
      </w:r>
      <w:r w:rsidR="00FA3B60">
        <w:rPr>
          <w:rFonts w:ascii="Calibri" w:eastAsia="Calibri" w:hAnsi="Calibri" w:cs="Calibri"/>
          <w:color w:val="000000"/>
        </w:rPr>
        <w:t xml:space="preserve"> This in</w:t>
      </w:r>
      <w:r w:rsidR="00647998">
        <w:rPr>
          <w:rFonts w:ascii="Calibri" w:eastAsia="Calibri" w:hAnsi="Calibri" w:cs="Calibri"/>
          <w:color w:val="000000"/>
        </w:rPr>
        <w:t xml:space="preserve">dicates that after adjustment </w:t>
      </w:r>
      <w:r w:rsidR="00FB4632">
        <w:rPr>
          <w:rFonts w:ascii="Calibri" w:eastAsia="Calibri" w:hAnsi="Calibri" w:cs="Calibri"/>
          <w:color w:val="000000"/>
        </w:rPr>
        <w:t>half</w:t>
      </w:r>
      <w:r w:rsidR="00647998">
        <w:rPr>
          <w:rFonts w:ascii="Calibri" w:eastAsia="Calibri" w:hAnsi="Calibri" w:cs="Calibri"/>
          <w:color w:val="000000"/>
        </w:rPr>
        <w:t xml:space="preserve"> of Medicare patients with multiple chronic conditions had between 3</w:t>
      </w:r>
      <w:r w:rsidR="002F7989">
        <w:rPr>
          <w:rFonts w:ascii="Calibri" w:eastAsia="Calibri" w:hAnsi="Calibri" w:cs="Calibri"/>
          <w:color w:val="000000"/>
        </w:rPr>
        <w:t>6</w:t>
      </w:r>
      <w:r w:rsidR="00647998">
        <w:rPr>
          <w:rFonts w:ascii="Calibri" w:eastAsia="Calibri" w:hAnsi="Calibri" w:cs="Calibri"/>
          <w:color w:val="000000"/>
        </w:rPr>
        <w:t xml:space="preserve"> and </w:t>
      </w:r>
      <w:r w:rsidR="00E44C55">
        <w:rPr>
          <w:rFonts w:ascii="Calibri" w:eastAsia="Calibri" w:hAnsi="Calibri" w:cs="Calibri"/>
          <w:color w:val="000000"/>
        </w:rPr>
        <w:t>4</w:t>
      </w:r>
      <w:r w:rsidR="002F7989">
        <w:rPr>
          <w:rFonts w:ascii="Calibri" w:eastAsia="Calibri" w:hAnsi="Calibri" w:cs="Calibri"/>
          <w:color w:val="000000"/>
        </w:rPr>
        <w:t>1</w:t>
      </w:r>
      <w:r w:rsidR="00E44C55">
        <w:rPr>
          <w:rFonts w:ascii="Calibri" w:eastAsia="Calibri" w:hAnsi="Calibri" w:cs="Calibri"/>
          <w:color w:val="000000"/>
        </w:rPr>
        <w:t xml:space="preserve"> </w:t>
      </w:r>
      <w:r w:rsidR="00647998">
        <w:rPr>
          <w:rFonts w:ascii="Calibri" w:eastAsia="Calibri" w:hAnsi="Calibri" w:cs="Calibri"/>
          <w:color w:val="000000"/>
        </w:rPr>
        <w:t xml:space="preserve">acute </w:t>
      </w:r>
      <w:r w:rsidR="00683A9E">
        <w:rPr>
          <w:rFonts w:ascii="Calibri" w:eastAsia="Calibri" w:hAnsi="Calibri" w:cs="Calibri"/>
          <w:color w:val="000000"/>
        </w:rPr>
        <w:t>admissions</w:t>
      </w:r>
      <w:r w:rsidR="00647998">
        <w:rPr>
          <w:rFonts w:ascii="Calibri" w:eastAsia="Calibri" w:hAnsi="Calibri" w:cs="Calibri"/>
          <w:color w:val="000000"/>
        </w:rPr>
        <w:t xml:space="preserve"> in a year.</w:t>
      </w:r>
    </w:p>
    <w:p w14:paraId="15F2E462" w14:textId="223035E1" w:rsidR="00647998" w:rsidRDefault="00647998" w:rsidP="000D6F3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7D8BEE4F" w14:textId="4CEA7976" w:rsidR="008A1BF5" w:rsidRDefault="00647998" w:rsidP="000D6F3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Pr>
          <w:rFonts w:ascii="Calibri" w:eastAsia="Calibri" w:hAnsi="Calibri" w:cs="Calibri"/>
          <w:color w:val="000000"/>
        </w:rPr>
        <w:t>Furthermore, the 10</w:t>
      </w:r>
      <w:r w:rsidRPr="000D6F33">
        <w:rPr>
          <w:rFonts w:ascii="Calibri" w:eastAsia="Calibri" w:hAnsi="Calibri" w:cs="Calibri"/>
          <w:color w:val="000000"/>
          <w:vertAlign w:val="superscript"/>
        </w:rPr>
        <w:t>th</w:t>
      </w:r>
      <w:r>
        <w:rPr>
          <w:rFonts w:ascii="Calibri" w:eastAsia="Calibri" w:hAnsi="Calibri" w:cs="Calibri"/>
          <w:color w:val="000000"/>
        </w:rPr>
        <w:t xml:space="preserve"> and 90</w:t>
      </w:r>
      <w:r w:rsidRPr="000D6F33">
        <w:rPr>
          <w:rFonts w:ascii="Calibri" w:eastAsia="Calibri" w:hAnsi="Calibri" w:cs="Calibri"/>
          <w:color w:val="000000"/>
          <w:vertAlign w:val="superscript"/>
        </w:rPr>
        <w:t>th</w:t>
      </w:r>
      <w:r>
        <w:rPr>
          <w:rFonts w:ascii="Calibri" w:eastAsia="Calibri" w:hAnsi="Calibri" w:cs="Calibri"/>
          <w:color w:val="000000"/>
        </w:rPr>
        <w:t xml:space="preserve"> percentiles, representing the best and worst performers, had </w:t>
      </w:r>
      <w:r w:rsidR="00683A9E">
        <w:rPr>
          <w:rFonts w:ascii="Calibri" w:eastAsia="Calibri" w:hAnsi="Calibri" w:cs="Calibri"/>
          <w:color w:val="000000"/>
        </w:rPr>
        <w:t>an admission</w:t>
      </w:r>
      <w:r>
        <w:rPr>
          <w:rFonts w:ascii="Calibri" w:eastAsia="Calibri" w:hAnsi="Calibri" w:cs="Calibri"/>
          <w:color w:val="000000"/>
        </w:rPr>
        <w:t xml:space="preserve"> rate of 3</w:t>
      </w:r>
      <w:r w:rsidR="002F7989">
        <w:rPr>
          <w:rFonts w:ascii="Calibri" w:eastAsia="Calibri" w:hAnsi="Calibri" w:cs="Calibri"/>
          <w:color w:val="000000"/>
        </w:rPr>
        <w:t>3</w:t>
      </w:r>
      <w:r>
        <w:rPr>
          <w:rFonts w:ascii="Calibri" w:eastAsia="Calibri" w:hAnsi="Calibri" w:cs="Calibri"/>
          <w:color w:val="000000"/>
        </w:rPr>
        <w:t>.</w:t>
      </w:r>
      <w:r w:rsidR="002F7989">
        <w:rPr>
          <w:rFonts w:ascii="Calibri" w:eastAsia="Calibri" w:hAnsi="Calibri" w:cs="Calibri"/>
          <w:color w:val="000000"/>
        </w:rPr>
        <w:t>7</w:t>
      </w:r>
      <w:r w:rsidR="00E44C55">
        <w:rPr>
          <w:rFonts w:ascii="Calibri" w:eastAsia="Calibri" w:hAnsi="Calibri" w:cs="Calibri"/>
          <w:color w:val="000000"/>
        </w:rPr>
        <w:t xml:space="preserve"> </w:t>
      </w:r>
      <w:r>
        <w:rPr>
          <w:rFonts w:ascii="Calibri" w:eastAsia="Calibri" w:hAnsi="Calibri" w:cs="Calibri"/>
          <w:color w:val="000000"/>
        </w:rPr>
        <w:t xml:space="preserve">and </w:t>
      </w:r>
      <w:r w:rsidR="00E44C55">
        <w:rPr>
          <w:rFonts w:ascii="Calibri" w:eastAsia="Calibri" w:hAnsi="Calibri" w:cs="Calibri"/>
          <w:color w:val="000000"/>
        </w:rPr>
        <w:t>4</w:t>
      </w:r>
      <w:r w:rsidR="002F7989">
        <w:rPr>
          <w:rFonts w:ascii="Calibri" w:eastAsia="Calibri" w:hAnsi="Calibri" w:cs="Calibri"/>
          <w:color w:val="000000"/>
        </w:rPr>
        <w:t>4</w:t>
      </w:r>
      <w:r>
        <w:rPr>
          <w:rFonts w:ascii="Calibri" w:eastAsia="Calibri" w:hAnsi="Calibri" w:cs="Calibri"/>
          <w:color w:val="000000"/>
        </w:rPr>
        <w:t>.</w:t>
      </w:r>
      <w:r w:rsidR="002F7989">
        <w:rPr>
          <w:rFonts w:ascii="Calibri" w:eastAsia="Calibri" w:hAnsi="Calibri" w:cs="Calibri"/>
          <w:color w:val="000000"/>
        </w:rPr>
        <w:t>3</w:t>
      </w:r>
      <w:r w:rsidR="006D4FD7">
        <w:rPr>
          <w:rFonts w:ascii="Calibri" w:eastAsia="Calibri" w:hAnsi="Calibri" w:cs="Calibri"/>
          <w:color w:val="000000"/>
        </w:rPr>
        <w:t xml:space="preserve"> </w:t>
      </w:r>
      <w:r>
        <w:rPr>
          <w:rFonts w:ascii="Calibri" w:eastAsia="Calibri" w:hAnsi="Calibri" w:cs="Calibri"/>
          <w:color w:val="000000"/>
        </w:rPr>
        <w:t xml:space="preserve">respectively, </w:t>
      </w:r>
      <w:r w:rsidR="00683A9E">
        <w:rPr>
          <w:rFonts w:ascii="Calibri" w:eastAsia="Calibri" w:hAnsi="Calibri" w:cs="Calibri"/>
          <w:color w:val="000000"/>
        </w:rPr>
        <w:t xml:space="preserve">which reflects </w:t>
      </w:r>
      <w:r>
        <w:rPr>
          <w:rFonts w:ascii="Calibri" w:eastAsia="Calibri" w:hAnsi="Calibri" w:cs="Calibri"/>
          <w:color w:val="000000"/>
        </w:rPr>
        <w:t>meaningful deviations from the median</w:t>
      </w:r>
      <w:r w:rsidR="008A1BF5">
        <w:rPr>
          <w:rFonts w:ascii="Calibri" w:eastAsia="Calibri" w:hAnsi="Calibri" w:cs="Calibri"/>
          <w:color w:val="000000"/>
        </w:rPr>
        <w:t xml:space="preserve"> (the </w:t>
      </w:r>
      <w:r w:rsidR="008A1BF5">
        <w:rPr>
          <w:rFonts w:ascii="Calibri" w:eastAsia="Calibri" w:hAnsi="Calibri" w:cs="Calibri"/>
          <w:color w:val="000000"/>
        </w:rPr>
        <w:lastRenderedPageBreak/>
        <w:t>10</w:t>
      </w:r>
      <w:r w:rsidR="008A1BF5" w:rsidRPr="00CB4814">
        <w:rPr>
          <w:rFonts w:ascii="Calibri" w:eastAsia="Calibri" w:hAnsi="Calibri" w:cs="Calibri"/>
          <w:color w:val="000000"/>
          <w:vertAlign w:val="superscript"/>
        </w:rPr>
        <w:t>th</w:t>
      </w:r>
      <w:r w:rsidR="008A1BF5">
        <w:rPr>
          <w:rFonts w:ascii="Calibri" w:eastAsia="Calibri" w:hAnsi="Calibri" w:cs="Calibri"/>
          <w:color w:val="000000"/>
        </w:rPr>
        <w:t xml:space="preserve"> percentile had </w:t>
      </w:r>
      <w:r w:rsidR="00B22B51">
        <w:rPr>
          <w:rFonts w:ascii="Calibri" w:eastAsia="Calibri" w:hAnsi="Calibri" w:cs="Calibri"/>
          <w:color w:val="000000"/>
        </w:rPr>
        <w:t>about 13</w:t>
      </w:r>
      <w:r w:rsidR="008A1BF5">
        <w:rPr>
          <w:rFonts w:ascii="Calibri" w:eastAsia="Calibri" w:hAnsi="Calibri" w:cs="Calibri"/>
          <w:color w:val="000000"/>
        </w:rPr>
        <w:t>% fewer admissions per 100-person years compared with the median; the 90</w:t>
      </w:r>
      <w:r w:rsidR="008A1BF5" w:rsidRPr="00CB4814">
        <w:rPr>
          <w:rFonts w:ascii="Calibri" w:eastAsia="Calibri" w:hAnsi="Calibri" w:cs="Calibri"/>
          <w:color w:val="000000"/>
          <w:vertAlign w:val="superscript"/>
        </w:rPr>
        <w:t>th</w:t>
      </w:r>
      <w:r w:rsidR="008A1BF5">
        <w:rPr>
          <w:rFonts w:ascii="Calibri" w:eastAsia="Calibri" w:hAnsi="Calibri" w:cs="Calibri"/>
          <w:color w:val="000000"/>
        </w:rPr>
        <w:t xml:space="preserve"> percentile had 15% more admissions per 100-person years compared with the median)</w:t>
      </w:r>
      <w:r w:rsidR="00422F3F">
        <w:rPr>
          <w:rFonts w:ascii="Calibri" w:eastAsia="Calibri" w:hAnsi="Calibri" w:cs="Calibri"/>
          <w:color w:val="000000"/>
        </w:rPr>
        <w:t>.</w:t>
      </w:r>
      <w:r w:rsidR="008A1BF5">
        <w:rPr>
          <w:rFonts w:ascii="Calibri" w:eastAsia="Calibri" w:hAnsi="Calibri" w:cs="Calibri"/>
          <w:color w:val="000000"/>
        </w:rPr>
        <w:t xml:space="preserve"> </w:t>
      </w:r>
      <w:r w:rsidR="00422F3F">
        <w:rPr>
          <w:rFonts w:ascii="Calibri" w:eastAsia="Calibri" w:hAnsi="Calibri" w:cs="Calibri"/>
          <w:color w:val="000000"/>
        </w:rPr>
        <w:t>In addition, the best performing 5% of ACOs had 18% fewer admissions (31.7) per 100-person years compared with the median, whereas the worst-performing 5% of ACOs (46.1) had 19% more admissions compared with the median</w:t>
      </w:r>
      <w:r w:rsidR="00683A9E">
        <w:rPr>
          <w:rFonts w:ascii="Calibri" w:eastAsia="Calibri" w:hAnsi="Calibri" w:cs="Calibri"/>
          <w:color w:val="000000"/>
        </w:rPr>
        <w:t>.</w:t>
      </w:r>
    </w:p>
    <w:p w14:paraId="0395510D" w14:textId="77777777" w:rsidR="008A1BF5" w:rsidRDefault="008A1BF5" w:rsidP="000D6F3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196B7185" w14:textId="14FB0528" w:rsidR="006D4FD7" w:rsidRDefault="006D4FD7" w:rsidP="000D6F3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94638C">
        <w:rPr>
          <w:rFonts w:cstheme="minorHAnsi"/>
          <w:bCs/>
        </w:rPr>
        <w:t xml:space="preserve">The median </w:t>
      </w:r>
      <w:r>
        <w:rPr>
          <w:rFonts w:cstheme="minorHAnsi"/>
          <w:bCs/>
        </w:rPr>
        <w:t>rate</w:t>
      </w:r>
      <w:r w:rsidRPr="0094638C">
        <w:rPr>
          <w:rFonts w:cstheme="minorHAnsi"/>
          <w:bCs/>
        </w:rPr>
        <w:t xml:space="preserve"> ratio</w:t>
      </w:r>
      <w:r w:rsidR="001A33DF">
        <w:rPr>
          <w:rFonts w:cstheme="minorHAnsi"/>
          <w:bCs/>
        </w:rPr>
        <w:t xml:space="preserve"> (MRR</w:t>
      </w:r>
      <w:r>
        <w:rPr>
          <w:rFonts w:cstheme="minorHAnsi"/>
          <w:bCs/>
        </w:rPr>
        <w:t>)</w:t>
      </w:r>
      <w:r w:rsidRPr="0094638C">
        <w:rPr>
          <w:rFonts w:cstheme="minorHAnsi"/>
          <w:bCs/>
        </w:rPr>
        <w:t xml:space="preserve"> </w:t>
      </w:r>
      <w:r>
        <w:rPr>
          <w:rFonts w:cstheme="minorHAnsi"/>
          <w:bCs/>
        </w:rPr>
        <w:t>suggest meaningful</w:t>
      </w:r>
      <w:r w:rsidRPr="0094638C">
        <w:rPr>
          <w:rFonts w:cstheme="minorHAnsi"/>
          <w:bCs/>
        </w:rPr>
        <w:t xml:space="preserve"> increase</w:t>
      </w:r>
      <w:r>
        <w:rPr>
          <w:rFonts w:cstheme="minorHAnsi"/>
          <w:bCs/>
        </w:rPr>
        <w:t>s</w:t>
      </w:r>
      <w:r w:rsidRPr="0094638C">
        <w:rPr>
          <w:rFonts w:cstheme="minorHAnsi"/>
          <w:bCs/>
        </w:rPr>
        <w:t xml:space="preserve"> in</w:t>
      </w:r>
      <w:r>
        <w:rPr>
          <w:rFonts w:cstheme="minorHAnsi"/>
          <w:bCs/>
        </w:rPr>
        <w:t xml:space="preserve"> the</w:t>
      </w:r>
      <w:r w:rsidRPr="0094638C">
        <w:rPr>
          <w:rFonts w:cstheme="minorHAnsi"/>
          <w:bCs/>
        </w:rPr>
        <w:t xml:space="preserve"> </w:t>
      </w:r>
      <w:r w:rsidRPr="00342D7F">
        <w:rPr>
          <w:rFonts w:cstheme="minorHAnsi"/>
          <w:bCs/>
        </w:rPr>
        <w:t>ra</w:t>
      </w:r>
      <w:r>
        <w:rPr>
          <w:rFonts w:cstheme="minorHAnsi"/>
          <w:bCs/>
        </w:rPr>
        <w:t>te of acute unplanned admission</w:t>
      </w:r>
      <w:r w:rsidRPr="0094638C">
        <w:rPr>
          <w:rFonts w:cstheme="minorHAnsi"/>
          <w:bCs/>
        </w:rPr>
        <w:t xml:space="preserve"> if a single patient was </w:t>
      </w:r>
      <w:r>
        <w:rPr>
          <w:rFonts w:cstheme="minorHAnsi"/>
          <w:bCs/>
        </w:rPr>
        <w:t>attributed to</w:t>
      </w:r>
      <w:r w:rsidRPr="0094638C">
        <w:rPr>
          <w:rFonts w:cstheme="minorHAnsi"/>
          <w:bCs/>
        </w:rPr>
        <w:t xml:space="preserve"> a higher</w:t>
      </w:r>
      <w:r w:rsidR="008A1BF5">
        <w:rPr>
          <w:rFonts w:cstheme="minorHAnsi"/>
          <w:bCs/>
        </w:rPr>
        <w:t>-</w:t>
      </w:r>
      <w:r w:rsidRPr="0094638C">
        <w:rPr>
          <w:rFonts w:cstheme="minorHAnsi"/>
          <w:bCs/>
        </w:rPr>
        <w:t xml:space="preserve">risk </w:t>
      </w:r>
      <w:r w:rsidR="008A1BF5">
        <w:rPr>
          <w:rFonts w:cstheme="minorHAnsi"/>
          <w:bCs/>
        </w:rPr>
        <w:t>ACO</w:t>
      </w:r>
      <w:r w:rsidR="008A1BF5" w:rsidRPr="009E5F07">
        <w:rPr>
          <w:rFonts w:cstheme="minorHAnsi"/>
          <w:bCs/>
        </w:rPr>
        <w:t xml:space="preserve"> </w:t>
      </w:r>
      <w:r w:rsidRPr="0094638C">
        <w:rPr>
          <w:rFonts w:cstheme="minorHAnsi"/>
          <w:bCs/>
        </w:rPr>
        <w:t>compared to a lower</w:t>
      </w:r>
      <w:r w:rsidR="008A1BF5">
        <w:rPr>
          <w:rFonts w:cstheme="minorHAnsi"/>
          <w:bCs/>
        </w:rPr>
        <w:t>-</w:t>
      </w:r>
      <w:r w:rsidRPr="0094638C">
        <w:rPr>
          <w:rFonts w:cstheme="minorHAnsi"/>
          <w:bCs/>
        </w:rPr>
        <w:t xml:space="preserve">risk </w:t>
      </w:r>
      <w:r w:rsidR="008A1BF5">
        <w:t>ACO</w:t>
      </w:r>
      <w:r w:rsidRPr="0094638C">
        <w:rPr>
          <w:rFonts w:cstheme="minorHAnsi"/>
          <w:bCs/>
        </w:rPr>
        <w:t xml:space="preserve">. </w:t>
      </w:r>
      <w:r w:rsidR="008A1BF5">
        <w:rPr>
          <w:rFonts w:cstheme="minorHAnsi"/>
          <w:bCs/>
        </w:rPr>
        <w:t>The</w:t>
      </w:r>
      <w:r w:rsidR="00DD75AD">
        <w:rPr>
          <w:rFonts w:cstheme="minorHAnsi"/>
          <w:bCs/>
        </w:rPr>
        <w:t xml:space="preserve"> </w:t>
      </w:r>
      <w:r w:rsidR="008F0002" w:rsidRPr="0022668F">
        <w:t>M</w:t>
      </w:r>
      <w:r w:rsidR="008F0002">
        <w:t>R</w:t>
      </w:r>
      <w:r w:rsidR="008F0002" w:rsidRPr="0022668F">
        <w:t>R value of 1.</w:t>
      </w:r>
      <w:r w:rsidR="008A1BF5">
        <w:t>12</w:t>
      </w:r>
      <w:r w:rsidR="008F0002" w:rsidRPr="0022668F">
        <w:t xml:space="preserve"> indicates that a patient has a </w:t>
      </w:r>
      <w:r w:rsidR="008A1BF5">
        <w:t>12</w:t>
      </w:r>
      <w:r w:rsidR="008F0002" w:rsidRPr="0022668F">
        <w:t xml:space="preserve">% </w:t>
      </w:r>
      <w:r w:rsidR="009E3C71">
        <w:t>higher</w:t>
      </w:r>
      <w:r w:rsidR="008F0002" w:rsidRPr="0022668F">
        <w:t xml:space="preserve"> </w:t>
      </w:r>
      <w:r w:rsidR="008F0002">
        <w:t>admission rate</w:t>
      </w:r>
      <w:r w:rsidR="008F0002" w:rsidRPr="0022668F">
        <w:t xml:space="preserve"> if the </w:t>
      </w:r>
      <w:r w:rsidR="008F0002">
        <w:t>patient was attributed to a</w:t>
      </w:r>
      <w:r w:rsidR="008F0002" w:rsidRPr="0022668F">
        <w:t xml:space="preserve"> higher</w:t>
      </w:r>
      <w:r w:rsidR="008A1BF5">
        <w:t>-</w:t>
      </w:r>
      <w:r w:rsidR="008F0002" w:rsidRPr="0022668F">
        <w:t xml:space="preserve">risk </w:t>
      </w:r>
      <w:r w:rsidR="008A1BF5">
        <w:t>ACO</w:t>
      </w:r>
      <w:r w:rsidR="008A1BF5" w:rsidRPr="0022668F">
        <w:t xml:space="preserve"> </w:t>
      </w:r>
      <w:r w:rsidR="008F0002" w:rsidRPr="0022668F">
        <w:t xml:space="preserve">compared </w:t>
      </w:r>
      <w:r w:rsidR="008A1BF5">
        <w:t>with</w:t>
      </w:r>
      <w:r w:rsidR="008A1BF5" w:rsidRPr="0022668F">
        <w:t xml:space="preserve"> </w:t>
      </w:r>
      <w:r w:rsidR="008F0002" w:rsidRPr="0022668F">
        <w:t>a lower</w:t>
      </w:r>
      <w:r w:rsidR="008A1BF5">
        <w:t>-</w:t>
      </w:r>
      <w:r w:rsidR="008F0002" w:rsidRPr="0022668F">
        <w:t xml:space="preserve">risk </w:t>
      </w:r>
      <w:r w:rsidR="008A1BF5">
        <w:t>ACO i</w:t>
      </w:r>
      <w:r w:rsidR="008F0002">
        <w:t>ndicating that the</w:t>
      </w:r>
      <w:r w:rsidR="008F0002" w:rsidRPr="0022668F">
        <w:t xml:space="preserve"> impact of quality on the outcome rate is </w:t>
      </w:r>
      <w:r w:rsidR="008A1BF5">
        <w:t>meaningful</w:t>
      </w:r>
      <w:r w:rsidR="008F0002" w:rsidRPr="0022668F">
        <w:t>.</w:t>
      </w:r>
    </w:p>
    <w:p w14:paraId="44776053" w14:textId="7F8666D9" w:rsidR="0094700B" w:rsidRDefault="0094700B" w:rsidP="000D6F3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p>
    <w:p w14:paraId="7980635E" w14:textId="7D6DC0E7" w:rsidR="002425AF" w:rsidRPr="002425AF" w:rsidRDefault="002425AF" w:rsidP="002425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alibri" w:eastAsia="Calibri" w:hAnsi="Calibri" w:cs="Calibri"/>
          <w:color w:val="000000"/>
        </w:rPr>
      </w:pPr>
      <w:r w:rsidRPr="002425AF">
        <w:rPr>
          <w:rFonts w:ascii="Calibri" w:eastAsia="Calibri" w:hAnsi="Calibri" w:cs="Calibri"/>
          <w:color w:val="000000"/>
        </w:rPr>
        <w:t xml:space="preserve">Overall, our results suggest that there is substantial need to both reduce </w:t>
      </w:r>
      <w:r>
        <w:rPr>
          <w:rFonts w:ascii="Calibri" w:eastAsia="Calibri" w:hAnsi="Calibri" w:cs="Calibri"/>
          <w:color w:val="000000"/>
        </w:rPr>
        <w:t>the number of admissions for this patient population, as well as decrease</w:t>
      </w:r>
      <w:r w:rsidRPr="002425AF">
        <w:rPr>
          <w:rFonts w:ascii="Calibri" w:eastAsia="Calibri" w:hAnsi="Calibri" w:cs="Calibri"/>
          <w:color w:val="000000"/>
        </w:rPr>
        <w:t xml:space="preserve"> the variation in </w:t>
      </w:r>
      <w:r>
        <w:rPr>
          <w:rFonts w:ascii="Calibri" w:eastAsia="Calibri" w:hAnsi="Calibri" w:cs="Calibri"/>
          <w:color w:val="000000"/>
        </w:rPr>
        <w:t>admissions</w:t>
      </w:r>
      <w:r w:rsidRPr="002425AF">
        <w:rPr>
          <w:rFonts w:ascii="Calibri" w:eastAsia="Calibri" w:hAnsi="Calibri" w:cs="Calibri"/>
          <w:color w:val="000000"/>
        </w:rPr>
        <w:t xml:space="preserve"> across</w:t>
      </w:r>
      <w:r>
        <w:rPr>
          <w:rFonts w:ascii="Calibri" w:eastAsia="Calibri" w:hAnsi="Calibri" w:cs="Calibri"/>
          <w:color w:val="000000"/>
        </w:rPr>
        <w:t xml:space="preserve"> </w:t>
      </w:r>
      <w:r w:rsidR="008A1BF5">
        <w:rPr>
          <w:rFonts w:ascii="Calibri" w:eastAsia="Calibri" w:hAnsi="Calibri" w:cs="Calibri"/>
          <w:color w:val="000000"/>
        </w:rPr>
        <w:t>ACOs</w:t>
      </w:r>
      <w:r w:rsidRPr="002425AF">
        <w:rPr>
          <w:rFonts w:ascii="Calibri" w:eastAsia="Calibri" w:hAnsi="Calibri" w:cs="Calibri"/>
          <w:color w:val="000000"/>
        </w:rPr>
        <w:t>, and that improvement goal</w:t>
      </w:r>
      <w:r>
        <w:rPr>
          <w:rFonts w:ascii="Calibri" w:eastAsia="Calibri" w:hAnsi="Calibri" w:cs="Calibri"/>
          <w:color w:val="000000"/>
        </w:rPr>
        <w:t>s</w:t>
      </w:r>
      <w:r w:rsidRPr="002425AF">
        <w:rPr>
          <w:rFonts w:ascii="Calibri" w:eastAsia="Calibri" w:hAnsi="Calibri" w:cs="Calibri"/>
          <w:color w:val="000000"/>
        </w:rPr>
        <w:t xml:space="preserve"> </w:t>
      </w:r>
      <w:r w:rsidR="003638CA">
        <w:rPr>
          <w:rFonts w:ascii="Calibri" w:eastAsia="Calibri" w:hAnsi="Calibri" w:cs="Calibri"/>
          <w:color w:val="000000"/>
        </w:rPr>
        <w:t>are</w:t>
      </w:r>
      <w:r w:rsidR="003638CA" w:rsidRPr="002425AF">
        <w:rPr>
          <w:rFonts w:ascii="Calibri" w:eastAsia="Calibri" w:hAnsi="Calibri" w:cs="Calibri"/>
          <w:color w:val="000000"/>
        </w:rPr>
        <w:t xml:space="preserve"> </w:t>
      </w:r>
      <w:r w:rsidRPr="002425AF">
        <w:rPr>
          <w:rFonts w:ascii="Calibri" w:eastAsia="Calibri" w:hAnsi="Calibri" w:cs="Calibri"/>
          <w:color w:val="000000"/>
        </w:rPr>
        <w:t>achievable.</w:t>
      </w:r>
    </w:p>
    <w:p w14:paraId="0CABD00D" w14:textId="4B11C0FD"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12F96EBC" w14:textId="21EE867C" w:rsidR="00394224"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394224">
        <w:rPr>
          <w:rFonts w:cstheme="minorHAnsi"/>
          <w:bCs/>
        </w:rPr>
        <w:t>)</w:t>
      </w:r>
    </w:p>
    <w:p w14:paraId="0CABD013" w14:textId="208AA31C" w:rsidR="000F06B5" w:rsidRPr="009D3882" w:rsidRDefault="00AE62FE" w:rsidP="00DB3627">
      <w:pPr>
        <w:autoSpaceDE w:val="0"/>
        <w:autoSpaceDN w:val="0"/>
        <w:adjustRightInd w:val="0"/>
        <w:spacing w:after="0" w:line="240" w:lineRule="auto"/>
        <w:rPr>
          <w:rFonts w:cstheme="minorHAnsi"/>
          <w:bCs/>
          <w:sz w:val="14"/>
        </w:rPr>
      </w:pPr>
      <w:r>
        <w:rPr>
          <w:rFonts w:ascii="Calibri" w:eastAsia="Calibri" w:hAnsi="Calibri" w:cs="Calibri"/>
          <w:color w:val="000000"/>
          <w:bdr w:val="single" w:sz="4" w:space="0" w:color="auto"/>
        </w:rPr>
        <w:t>Items 2b5.1 – 2b5</w:t>
      </w:r>
      <w:r w:rsidRPr="00262B75">
        <w:rPr>
          <w:rFonts w:ascii="Calibri" w:eastAsia="Calibri" w:hAnsi="Calibri" w:cs="Calibri"/>
          <w:color w:val="000000"/>
          <w:bdr w:val="single" w:sz="4" w:space="0" w:color="auto"/>
        </w:rPr>
        <w:t xml:space="preserve">.3 </w:t>
      </w:r>
      <w:r w:rsidR="008A1BF5">
        <w:rPr>
          <w:rFonts w:ascii="Calibri" w:eastAsia="Calibri" w:hAnsi="Calibri" w:cs="Calibri"/>
          <w:color w:val="000000"/>
          <w:bdr w:val="single" w:sz="4" w:space="0" w:color="auto"/>
        </w:rPr>
        <w:t>not applicable;</w:t>
      </w:r>
      <w:r w:rsidRPr="00262B75">
        <w:rPr>
          <w:rFonts w:ascii="Calibri" w:eastAsia="Calibri" w:hAnsi="Calibri" w:cs="Calibri"/>
          <w:color w:val="000000"/>
          <w:bdr w:val="single" w:sz="4" w:space="0" w:color="auto"/>
        </w:rPr>
        <w:t xml:space="preserve"> this measure has only one set of specifications.</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2903839E" w14:textId="1C3B7566" w:rsidR="00394224"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1A712CF6" w14:textId="5CF01B7D" w:rsidR="00AE62FE" w:rsidRPr="009D3882" w:rsidRDefault="00AE62FE" w:rsidP="00AE62FE">
      <w:pPr>
        <w:autoSpaceDE w:val="0"/>
        <w:autoSpaceDN w:val="0"/>
        <w:adjustRightInd w:val="0"/>
        <w:spacing w:after="0" w:line="240" w:lineRule="auto"/>
        <w:rPr>
          <w:rFonts w:cstheme="minorHAnsi"/>
          <w:bCs/>
          <w:sz w:val="14"/>
        </w:rPr>
      </w:pPr>
      <w:r>
        <w:rPr>
          <w:rFonts w:ascii="Calibri" w:eastAsia="Calibri" w:hAnsi="Calibri" w:cs="Calibri"/>
          <w:color w:val="000000"/>
          <w:bdr w:val="single" w:sz="4" w:space="0" w:color="auto"/>
        </w:rPr>
        <w:t>Items 2b5.1 – 2b5</w:t>
      </w:r>
      <w:r w:rsidRPr="00262B75">
        <w:rPr>
          <w:rFonts w:ascii="Calibri" w:eastAsia="Calibri" w:hAnsi="Calibri" w:cs="Calibri"/>
          <w:color w:val="000000"/>
          <w:bdr w:val="single" w:sz="4" w:space="0" w:color="auto"/>
        </w:rPr>
        <w:t xml:space="preserve">.3 </w:t>
      </w:r>
      <w:r w:rsidR="008A1BF5">
        <w:rPr>
          <w:rFonts w:ascii="Calibri" w:eastAsia="Calibri" w:hAnsi="Calibri" w:cs="Calibri"/>
          <w:color w:val="000000"/>
          <w:bdr w:val="single" w:sz="4" w:space="0" w:color="auto"/>
        </w:rPr>
        <w:t xml:space="preserve">not applicable; </w:t>
      </w:r>
      <w:r w:rsidRPr="00262B75">
        <w:rPr>
          <w:rFonts w:ascii="Calibri" w:eastAsia="Calibri" w:hAnsi="Calibri" w:cs="Calibri"/>
          <w:color w:val="000000"/>
          <w:bdr w:val="single" w:sz="4" w:space="0" w:color="auto"/>
        </w:rPr>
        <w:t>this measure has only one set of specifications.</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252085C6" w14:textId="4BBFDA30" w:rsidR="00394224"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02D68820" w14:textId="3BC94E5B" w:rsidR="00AE62FE" w:rsidRPr="009D3882" w:rsidRDefault="00AE62FE" w:rsidP="00AE62FE">
      <w:pPr>
        <w:autoSpaceDE w:val="0"/>
        <w:autoSpaceDN w:val="0"/>
        <w:adjustRightInd w:val="0"/>
        <w:spacing w:after="0" w:line="240" w:lineRule="auto"/>
        <w:rPr>
          <w:rFonts w:cstheme="minorHAnsi"/>
          <w:bCs/>
          <w:sz w:val="14"/>
        </w:rPr>
      </w:pPr>
      <w:r>
        <w:rPr>
          <w:rFonts w:ascii="Calibri" w:eastAsia="Calibri" w:hAnsi="Calibri" w:cs="Calibri"/>
          <w:color w:val="000000"/>
          <w:bdr w:val="single" w:sz="4" w:space="0" w:color="auto"/>
        </w:rPr>
        <w:t>Items 2b5.1 – 2b5</w:t>
      </w:r>
      <w:r w:rsidRPr="00262B75">
        <w:rPr>
          <w:rFonts w:ascii="Calibri" w:eastAsia="Calibri" w:hAnsi="Calibri" w:cs="Calibri"/>
          <w:color w:val="000000"/>
          <w:bdr w:val="single" w:sz="4" w:space="0" w:color="auto"/>
        </w:rPr>
        <w:t xml:space="preserve">.3 </w:t>
      </w:r>
      <w:r w:rsidR="008A1BF5">
        <w:rPr>
          <w:rFonts w:ascii="Calibri" w:eastAsia="Calibri" w:hAnsi="Calibri" w:cs="Calibri"/>
          <w:color w:val="000000"/>
          <w:bdr w:val="single" w:sz="4" w:space="0" w:color="auto"/>
        </w:rPr>
        <w:t xml:space="preserve">not applicable; </w:t>
      </w:r>
      <w:r w:rsidRPr="00262B75">
        <w:rPr>
          <w:rFonts w:ascii="Calibri" w:eastAsia="Calibri" w:hAnsi="Calibri" w:cs="Calibri"/>
          <w:color w:val="000000"/>
          <w:bdr w:val="single" w:sz="4" w:space="0" w:color="auto"/>
        </w:rPr>
        <w:t>this measure has only one set of specifications.</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DD87484" w14:textId="38AD798E" w:rsidR="00394224"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w:t>
      </w:r>
      <w:r w:rsidR="00771B2A" w:rsidRPr="006A028C">
        <w:rPr>
          <w:rFonts w:ascii="Calibri" w:eastAsia="Calibri" w:hAnsi="Calibri" w:cs="Calibri"/>
        </w:rPr>
        <w:lastRenderedPageBreak/>
        <w:t xml:space="preserve">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394224">
        <w:rPr>
          <w:rFonts w:cstheme="minorHAnsi"/>
          <w:bCs/>
        </w:rPr>
        <w:t>)</w:t>
      </w:r>
    </w:p>
    <w:p w14:paraId="6D088AF6" w14:textId="21C1E617" w:rsidR="00AE62FE" w:rsidRDefault="004239C1" w:rsidP="00677A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bdr w:val="single" w:sz="4" w:space="0" w:color="auto"/>
        </w:rPr>
      </w:pPr>
      <w:r w:rsidRPr="00677A16">
        <w:rPr>
          <w:rFonts w:ascii="Calibri" w:eastAsia="Calibri" w:hAnsi="Calibri" w:cs="Calibri"/>
          <w:color w:val="000000"/>
        </w:rPr>
        <w:t>Demographic and clinical variables were ascertained using claims data and</w:t>
      </w:r>
      <w:r w:rsidR="00C715FE" w:rsidRPr="00677A16">
        <w:rPr>
          <w:rFonts w:ascii="Calibri" w:eastAsia="Calibri" w:hAnsi="Calibri" w:cs="Calibri"/>
          <w:color w:val="000000"/>
        </w:rPr>
        <w:t>,</w:t>
      </w:r>
      <w:r w:rsidRPr="00677A16">
        <w:rPr>
          <w:rFonts w:ascii="Calibri" w:eastAsia="Calibri" w:hAnsi="Calibri" w:cs="Calibri"/>
          <w:color w:val="000000"/>
        </w:rPr>
        <w:t xml:space="preserve"> as such, were known for all patients in the study cohort. </w:t>
      </w:r>
      <w:r w:rsidR="006A71D4" w:rsidRPr="00677A16">
        <w:rPr>
          <w:rFonts w:ascii="Calibri" w:eastAsia="Calibri" w:hAnsi="Calibri" w:cs="Calibri"/>
          <w:color w:val="000000"/>
        </w:rPr>
        <w:t xml:space="preserve">Missing data </w:t>
      </w:r>
      <w:r w:rsidR="00DF0D4C" w:rsidRPr="00677A16">
        <w:rPr>
          <w:rFonts w:ascii="Calibri" w:eastAsia="Calibri" w:hAnsi="Calibri" w:cs="Calibri"/>
          <w:color w:val="000000"/>
        </w:rPr>
        <w:t xml:space="preserve">for the </w:t>
      </w:r>
      <w:r w:rsidR="00C715FE" w:rsidRPr="00677A16">
        <w:rPr>
          <w:rFonts w:ascii="Calibri" w:eastAsia="Calibri" w:hAnsi="Calibri" w:cs="Calibri"/>
          <w:color w:val="000000"/>
        </w:rPr>
        <w:t xml:space="preserve">area-level </w:t>
      </w:r>
      <w:r w:rsidR="006A71D4" w:rsidRPr="00677A16">
        <w:rPr>
          <w:rFonts w:ascii="Calibri" w:eastAsia="Calibri" w:hAnsi="Calibri" w:cs="Calibri"/>
          <w:color w:val="000000"/>
        </w:rPr>
        <w:t>s</w:t>
      </w:r>
      <w:r w:rsidRPr="00677A16">
        <w:rPr>
          <w:rFonts w:ascii="Calibri" w:eastAsia="Calibri" w:hAnsi="Calibri" w:cs="Calibri"/>
          <w:color w:val="000000"/>
        </w:rPr>
        <w:t xml:space="preserve">ocial risk factors </w:t>
      </w:r>
      <w:r w:rsidR="00C715FE" w:rsidRPr="00677A16">
        <w:rPr>
          <w:rFonts w:ascii="Calibri" w:eastAsia="Calibri" w:hAnsi="Calibri" w:cs="Calibri"/>
          <w:color w:val="000000"/>
        </w:rPr>
        <w:t xml:space="preserve">(i.e., </w:t>
      </w:r>
      <w:r w:rsidRPr="00677A16">
        <w:rPr>
          <w:rFonts w:ascii="Calibri" w:eastAsia="Calibri" w:hAnsi="Calibri" w:cs="Calibri"/>
          <w:color w:val="000000"/>
        </w:rPr>
        <w:t xml:space="preserve">AHRQ SES </w:t>
      </w:r>
      <w:r w:rsidR="00C715FE" w:rsidRPr="00677A16">
        <w:rPr>
          <w:rFonts w:ascii="Calibri" w:eastAsia="Calibri" w:hAnsi="Calibri" w:cs="Calibri"/>
          <w:color w:val="000000"/>
        </w:rPr>
        <w:t>I</w:t>
      </w:r>
      <w:r w:rsidRPr="00677A16">
        <w:rPr>
          <w:rFonts w:ascii="Calibri" w:eastAsia="Calibri" w:hAnsi="Calibri" w:cs="Calibri"/>
          <w:color w:val="000000"/>
        </w:rPr>
        <w:t xml:space="preserve">ndex and </w:t>
      </w:r>
      <w:r w:rsidR="00CD0B3C" w:rsidRPr="00677A16">
        <w:rPr>
          <w:rFonts w:ascii="Calibri" w:eastAsia="Calibri" w:hAnsi="Calibri" w:cs="Calibri"/>
          <w:color w:val="000000"/>
        </w:rPr>
        <w:t>physician-specialist density</w:t>
      </w:r>
      <w:r w:rsidR="00C715FE" w:rsidRPr="00677A16">
        <w:rPr>
          <w:rFonts w:ascii="Calibri" w:eastAsia="Calibri" w:hAnsi="Calibri" w:cs="Calibri"/>
          <w:color w:val="000000"/>
        </w:rPr>
        <w:t>)</w:t>
      </w:r>
      <w:r w:rsidR="006A71D4" w:rsidRPr="00677A16">
        <w:rPr>
          <w:rFonts w:ascii="Calibri" w:eastAsia="Calibri" w:hAnsi="Calibri" w:cs="Calibri"/>
          <w:color w:val="000000"/>
        </w:rPr>
        <w:t xml:space="preserve"> were investigated by checking whether or not the patient’s </w:t>
      </w:r>
      <w:r w:rsidR="00C715FE" w:rsidRPr="00677A16">
        <w:rPr>
          <w:rFonts w:ascii="Calibri" w:eastAsia="Calibri" w:hAnsi="Calibri" w:cs="Calibri"/>
          <w:color w:val="000000"/>
        </w:rPr>
        <w:t xml:space="preserve">ZIP </w:t>
      </w:r>
      <w:r w:rsidR="006A71D4" w:rsidRPr="00677A16">
        <w:rPr>
          <w:rFonts w:ascii="Calibri" w:eastAsia="Calibri" w:hAnsi="Calibri" w:cs="Calibri"/>
          <w:color w:val="000000"/>
        </w:rPr>
        <w:t>code was</w:t>
      </w:r>
      <w:r w:rsidR="00DF0D4C" w:rsidRPr="00677A16">
        <w:rPr>
          <w:rFonts w:ascii="Calibri" w:eastAsia="Calibri" w:hAnsi="Calibri" w:cs="Calibri"/>
          <w:color w:val="000000"/>
        </w:rPr>
        <w:t xml:space="preserve"> available and could be ma</w:t>
      </w:r>
      <w:r w:rsidR="00EC6AFB" w:rsidRPr="00677A16">
        <w:rPr>
          <w:rFonts w:ascii="Calibri" w:eastAsia="Calibri" w:hAnsi="Calibri" w:cs="Calibri"/>
          <w:color w:val="000000"/>
        </w:rPr>
        <w:t>tched to the area-level values.</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74BBE32F" w14:textId="43DB068C" w:rsidR="003942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394224">
        <w:rPr>
          <w:rFonts w:cstheme="minorHAnsi"/>
          <w:bCs/>
        </w:rPr>
        <w:t>)</w:t>
      </w:r>
    </w:p>
    <w:p w14:paraId="1F91A7BF" w14:textId="77777777" w:rsidR="00AE62FE" w:rsidRDefault="00AE62FE" w:rsidP="00AE62FE">
      <w:pPr>
        <w:autoSpaceDE w:val="0"/>
        <w:autoSpaceDN w:val="0"/>
        <w:adjustRightInd w:val="0"/>
        <w:spacing w:after="0" w:line="240" w:lineRule="auto"/>
        <w:rPr>
          <w:rFonts w:ascii="Calibri" w:eastAsia="Calibri" w:hAnsi="Calibri" w:cs="Calibri"/>
          <w:color w:val="000000"/>
          <w:bdr w:val="single" w:sz="4" w:space="0" w:color="auto"/>
        </w:rPr>
      </w:pPr>
    </w:p>
    <w:p w14:paraId="05997DBF" w14:textId="578A34AF" w:rsidR="00AE62FE" w:rsidRPr="00A823CF" w:rsidRDefault="00AE62FE" w:rsidP="00AE62F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A823CF">
        <w:t xml:space="preserve">Of the </w:t>
      </w:r>
      <w:r w:rsidR="00E76C2B" w:rsidRPr="00E76C2B">
        <w:t>2</w:t>
      </w:r>
      <w:r w:rsidR="00E76C2B">
        <w:t>,</w:t>
      </w:r>
      <w:r w:rsidR="00E76C2B" w:rsidRPr="00E76C2B">
        <w:t>577</w:t>
      </w:r>
      <w:r w:rsidR="00E76C2B">
        <w:t>,</w:t>
      </w:r>
      <w:r w:rsidR="00E76C2B" w:rsidRPr="00E76C2B">
        <w:t>907</w:t>
      </w:r>
      <w:r w:rsidRPr="00A823CF">
        <w:t xml:space="preserve"> </w:t>
      </w:r>
      <w:r w:rsidR="00E76C2B" w:rsidRPr="00E76C2B">
        <w:t xml:space="preserve">Medicare FFS patients </w:t>
      </w:r>
      <w:r w:rsidR="00E76C2B">
        <w:t>attributed to an ACO</w:t>
      </w:r>
      <w:r w:rsidRPr="00A823CF">
        <w:t xml:space="preserve">, </w:t>
      </w:r>
      <w:r w:rsidR="00E76C2B">
        <w:t>9,722</w:t>
      </w:r>
      <w:r w:rsidR="00E44C55" w:rsidRPr="00A823CF">
        <w:t xml:space="preserve"> </w:t>
      </w:r>
      <w:r w:rsidRPr="00A823CF">
        <w:t>(</w:t>
      </w:r>
      <w:r w:rsidR="00E76C2B" w:rsidRPr="00E76C2B">
        <w:t>0.38</w:t>
      </w:r>
      <w:r w:rsidRPr="00A823CF">
        <w:t>%) patients had missing data for one or both social risk factors included in the risk model</w:t>
      </w:r>
      <w:r w:rsidR="006A1148" w:rsidRPr="00A823CF">
        <w:t>.</w:t>
      </w:r>
      <w:r w:rsidR="005A39EB" w:rsidRPr="00A823CF">
        <w:t xml:space="preserve"> These patients had P.O. boxes or business </w:t>
      </w:r>
      <w:r w:rsidR="009606D2" w:rsidRPr="00A823CF">
        <w:t>ZIP</w:t>
      </w:r>
      <w:r w:rsidR="005A39EB" w:rsidRPr="00A823CF">
        <w:t xml:space="preserve"> </w:t>
      </w:r>
      <w:proofErr w:type="gramStart"/>
      <w:r w:rsidR="005A39EB" w:rsidRPr="00A823CF">
        <w:t>codes, or</w:t>
      </w:r>
      <w:proofErr w:type="gramEnd"/>
      <w:r w:rsidR="005A39EB" w:rsidRPr="00A823CF">
        <w:t xml:space="preserve"> lived in US territories for which data were unavailable</w:t>
      </w:r>
      <w:r w:rsidRPr="00A823CF">
        <w:t xml:space="preserve">. </w:t>
      </w:r>
      <w:r w:rsidR="00A63D0C" w:rsidRPr="00A823CF">
        <w:t>Across all</w:t>
      </w:r>
      <w:r w:rsidR="00B757DA" w:rsidRPr="00A823CF">
        <w:t xml:space="preserve"> </w:t>
      </w:r>
      <w:r w:rsidR="00CB5633">
        <w:t>559</w:t>
      </w:r>
      <w:r w:rsidR="00E44C55" w:rsidRPr="00A823CF">
        <w:t xml:space="preserve"> </w:t>
      </w:r>
      <w:r w:rsidR="00DF5D6E">
        <w:t>ACO</w:t>
      </w:r>
      <w:r w:rsidR="00DF5D6E" w:rsidRPr="00A823CF">
        <w:t>s</w:t>
      </w:r>
      <w:r w:rsidR="00B757DA" w:rsidRPr="00A823CF">
        <w:t xml:space="preserve">, </w:t>
      </w:r>
      <w:r w:rsidR="00DF5D6E">
        <w:t>ACO</w:t>
      </w:r>
      <w:r w:rsidR="00DF5D6E" w:rsidRPr="00A823CF">
        <w:t xml:space="preserve">s </w:t>
      </w:r>
      <w:r w:rsidR="006A1148" w:rsidRPr="00A823CF">
        <w:t>in the</w:t>
      </w:r>
      <w:r w:rsidR="00A63D0C" w:rsidRPr="00A823CF">
        <w:t xml:space="preserve"> 90</w:t>
      </w:r>
      <w:r w:rsidR="00A63D0C" w:rsidRPr="00A823CF">
        <w:rPr>
          <w:vertAlign w:val="superscript"/>
        </w:rPr>
        <w:t>th</w:t>
      </w:r>
      <w:r w:rsidR="00A63D0C" w:rsidRPr="00A823CF">
        <w:t xml:space="preserve"> and 99</w:t>
      </w:r>
      <w:r w:rsidR="00A63D0C" w:rsidRPr="00A823CF">
        <w:rPr>
          <w:vertAlign w:val="superscript"/>
        </w:rPr>
        <w:t>th</w:t>
      </w:r>
      <w:r w:rsidR="00A63D0C" w:rsidRPr="00A823CF">
        <w:t xml:space="preserve"> percentiles had </w:t>
      </w:r>
      <w:r w:rsidR="00DF5D6E">
        <w:t>29</w:t>
      </w:r>
      <w:r w:rsidR="00DF5D6E" w:rsidRPr="00A823CF">
        <w:t xml:space="preserve"> </w:t>
      </w:r>
      <w:r w:rsidR="00A63D0C" w:rsidRPr="00A823CF">
        <w:t xml:space="preserve">and </w:t>
      </w:r>
      <w:r w:rsidR="00DF5D6E">
        <w:t>150</w:t>
      </w:r>
      <w:r w:rsidR="00DF5D6E" w:rsidRPr="00A823CF">
        <w:t xml:space="preserve"> </w:t>
      </w:r>
      <w:r w:rsidR="00A63D0C" w:rsidRPr="00A823CF">
        <w:t xml:space="preserve">patients with missing data, respectively, with </w:t>
      </w:r>
      <w:r w:rsidR="009606D2" w:rsidRPr="00A823CF">
        <w:t>a</w:t>
      </w:r>
      <w:r w:rsidR="00A63D0C" w:rsidRPr="00A823CF">
        <w:t xml:space="preserve"> maximum of </w:t>
      </w:r>
      <w:r w:rsidR="00DF5D6E" w:rsidRPr="00A823CF">
        <w:t>2</w:t>
      </w:r>
      <w:r w:rsidR="00DF5D6E">
        <w:t>465</w:t>
      </w:r>
      <w:r w:rsidR="00DF5D6E" w:rsidRPr="00A823CF">
        <w:t xml:space="preserve"> </w:t>
      </w:r>
      <w:r w:rsidR="00A63D0C" w:rsidRPr="00A823CF">
        <w:t>patients</w:t>
      </w:r>
      <w:r w:rsidR="00B757DA" w:rsidRPr="00A823CF">
        <w:t>.</w:t>
      </w:r>
    </w:p>
    <w:p w14:paraId="0CABD01D" w14:textId="360EE6E0" w:rsidR="008F7E67"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682C826F" w14:textId="67767C8A" w:rsidR="00AE62FE" w:rsidRPr="005560E7" w:rsidRDefault="00CA30F4" w:rsidP="00677A1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677A16">
        <w:rPr>
          <w:rFonts w:ascii="Calibri" w:eastAsia="Calibri" w:hAnsi="Calibri" w:cs="Calibri"/>
          <w:color w:val="000000"/>
        </w:rPr>
        <w:t xml:space="preserve">Excluding </w:t>
      </w:r>
      <w:r w:rsidR="009606D2" w:rsidRPr="00677A16">
        <w:rPr>
          <w:rFonts w:ascii="Calibri" w:eastAsia="Calibri" w:hAnsi="Calibri" w:cs="Calibri"/>
          <w:color w:val="000000"/>
        </w:rPr>
        <w:t>0.</w:t>
      </w:r>
      <w:r w:rsidR="00892DE5" w:rsidRPr="00677A16">
        <w:rPr>
          <w:rFonts w:ascii="Calibri" w:eastAsia="Calibri" w:hAnsi="Calibri" w:cs="Calibri"/>
          <w:color w:val="000000"/>
        </w:rPr>
        <w:t>38</w:t>
      </w:r>
      <w:r w:rsidR="009606D2" w:rsidRPr="00677A16">
        <w:rPr>
          <w:rFonts w:ascii="Calibri" w:eastAsia="Calibri" w:hAnsi="Calibri" w:cs="Calibri"/>
          <w:color w:val="000000"/>
        </w:rPr>
        <w:t xml:space="preserve">% of </w:t>
      </w:r>
      <w:r w:rsidRPr="00677A16">
        <w:rPr>
          <w:rFonts w:ascii="Calibri" w:eastAsia="Calibri" w:hAnsi="Calibri" w:cs="Calibri"/>
          <w:color w:val="000000"/>
        </w:rPr>
        <w:t xml:space="preserve">patients with missing social risk factor data </w:t>
      </w:r>
      <w:r w:rsidR="00197E53" w:rsidRPr="00677A16">
        <w:rPr>
          <w:rFonts w:ascii="Calibri" w:eastAsia="Calibri" w:hAnsi="Calibri" w:cs="Calibri"/>
          <w:color w:val="000000"/>
        </w:rPr>
        <w:t xml:space="preserve">would not likely </w:t>
      </w:r>
      <w:r w:rsidRPr="00677A16">
        <w:rPr>
          <w:rFonts w:ascii="Calibri" w:eastAsia="Calibri" w:hAnsi="Calibri" w:cs="Calibri"/>
          <w:color w:val="000000"/>
        </w:rPr>
        <w:t xml:space="preserve">affect the quintile of RSAARs for the majority </w:t>
      </w:r>
      <w:r w:rsidR="00197E53" w:rsidRPr="00677A16">
        <w:rPr>
          <w:rFonts w:ascii="Calibri" w:eastAsia="Calibri" w:hAnsi="Calibri" w:cs="Calibri"/>
          <w:color w:val="000000"/>
        </w:rPr>
        <w:t>ACOs</w:t>
      </w:r>
      <w:r w:rsidRPr="00677A16">
        <w:rPr>
          <w:rFonts w:ascii="Calibri" w:eastAsia="Calibri" w:hAnsi="Calibri" w:cs="Calibri"/>
          <w:color w:val="000000"/>
        </w:rPr>
        <w:t xml:space="preserve">. </w:t>
      </w:r>
      <w:r w:rsidR="00197E53" w:rsidRPr="00677A16">
        <w:rPr>
          <w:rFonts w:ascii="Calibri" w:eastAsia="Calibri" w:hAnsi="Calibri" w:cs="Calibri"/>
          <w:color w:val="000000"/>
        </w:rPr>
        <w:t>We examined shifts in the MIPS MCC measure (where a similar proportion –</w:t>
      </w:r>
      <w:r w:rsidR="003E7CE5" w:rsidRPr="00677A16">
        <w:rPr>
          <w:rFonts w:ascii="Calibri" w:eastAsia="Calibri" w:hAnsi="Calibri" w:cs="Calibri"/>
          <w:color w:val="000000"/>
        </w:rPr>
        <w:t xml:space="preserve"> 0.44%</w:t>
      </w:r>
      <w:r w:rsidR="00197E53" w:rsidRPr="00677A16">
        <w:rPr>
          <w:rFonts w:ascii="Calibri" w:eastAsia="Calibri" w:hAnsi="Calibri" w:cs="Calibri"/>
          <w:color w:val="000000"/>
        </w:rPr>
        <w:t xml:space="preserve"> – had missing s</w:t>
      </w:r>
      <w:r w:rsidR="003E7CE5" w:rsidRPr="00677A16">
        <w:rPr>
          <w:rFonts w:ascii="Calibri" w:eastAsia="Calibri" w:hAnsi="Calibri" w:cs="Calibri"/>
          <w:color w:val="000000"/>
        </w:rPr>
        <w:t xml:space="preserve">ocial risk factor data) and </w:t>
      </w:r>
      <w:r w:rsidR="00197E53" w:rsidRPr="00677A16">
        <w:rPr>
          <w:rFonts w:ascii="Calibri" w:eastAsia="Calibri" w:hAnsi="Calibri" w:cs="Calibri"/>
          <w:color w:val="000000"/>
        </w:rPr>
        <w:t xml:space="preserve">a </w:t>
      </w:r>
      <w:r w:rsidRPr="00677A16">
        <w:rPr>
          <w:rFonts w:ascii="Calibri" w:eastAsia="Calibri" w:hAnsi="Calibri" w:cs="Calibri"/>
          <w:color w:val="000000"/>
        </w:rPr>
        <w:t xml:space="preserve">shift in the quintile of RSAARs </w:t>
      </w:r>
      <w:r w:rsidR="009606D2" w:rsidRPr="00677A16">
        <w:rPr>
          <w:rFonts w:ascii="Calibri" w:eastAsia="Calibri" w:hAnsi="Calibri" w:cs="Calibri"/>
          <w:color w:val="000000"/>
        </w:rPr>
        <w:t>occurred</w:t>
      </w:r>
      <w:r w:rsidR="009606D2">
        <w:rPr>
          <w:rFonts w:ascii="Calibri" w:eastAsia="Calibri" w:hAnsi="Calibri" w:cs="Calibri"/>
          <w:color w:val="000000"/>
          <w:bdr w:val="single" w:sz="4" w:space="0" w:color="auto"/>
        </w:rPr>
        <w:t xml:space="preserve"> </w:t>
      </w:r>
      <w:r w:rsidRPr="00677A16">
        <w:rPr>
          <w:rFonts w:ascii="Calibri" w:eastAsia="Calibri" w:hAnsi="Calibri" w:cs="Calibri"/>
          <w:color w:val="000000"/>
        </w:rPr>
        <w:t xml:space="preserve">only for providers with very small patient volume and for </w:t>
      </w:r>
      <w:r w:rsidR="00197E53" w:rsidRPr="00677A16">
        <w:rPr>
          <w:rFonts w:ascii="Calibri" w:eastAsia="Calibri" w:hAnsi="Calibri" w:cs="Calibri"/>
          <w:color w:val="000000"/>
        </w:rPr>
        <w:t xml:space="preserve">whom </w:t>
      </w:r>
      <w:r w:rsidRPr="00677A16">
        <w:rPr>
          <w:rFonts w:ascii="Calibri" w:eastAsia="Calibri" w:hAnsi="Calibri" w:cs="Calibri"/>
          <w:color w:val="000000"/>
        </w:rPr>
        <w:t>the measure is not meant to be reported</w:t>
      </w:r>
      <w:r w:rsidR="00AE62FE" w:rsidRPr="00677A16">
        <w:rPr>
          <w:rFonts w:ascii="Calibri" w:eastAsia="Calibri" w:hAnsi="Calibri" w:cs="Calibri"/>
          <w:color w:val="000000"/>
        </w:rPr>
        <w:t>.</w:t>
      </w:r>
    </w:p>
    <w:p w14:paraId="0CABD020" w14:textId="77777777" w:rsidR="00BA053B" w:rsidRPr="005560E7" w:rsidRDefault="00BA053B">
      <w:pPr>
        <w:autoSpaceDE w:val="0"/>
        <w:autoSpaceDN w:val="0"/>
        <w:adjustRightInd w:val="0"/>
        <w:spacing w:after="0" w:line="240" w:lineRule="auto"/>
        <w:rPr>
          <w:rFonts w:cstheme="minorHAnsi"/>
          <w:bCs/>
        </w:rPr>
      </w:pPr>
    </w:p>
    <w:p w14:paraId="487A4EA2" w14:textId="77777777" w:rsidR="004377DA" w:rsidRDefault="004377DA"/>
    <w:sectPr w:rsidR="004377DA" w:rsidSect="00394033">
      <w:headerReference w:type="default" r:id="rId32"/>
      <w:footerReference w:type="default" r:id="rId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E4026" w14:textId="77777777" w:rsidR="00342BBA" w:rsidRDefault="00342BBA">
      <w:pPr>
        <w:spacing w:after="0" w:line="240" w:lineRule="auto"/>
      </w:pPr>
      <w:r>
        <w:separator/>
      </w:r>
    </w:p>
  </w:endnote>
  <w:endnote w:type="continuationSeparator" w:id="0">
    <w:p w14:paraId="31644A9D" w14:textId="77777777" w:rsidR="00342BBA" w:rsidRDefault="00342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de">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3FEA7DA1" w:rsidR="00F87C57" w:rsidRDefault="00F87C57">
    <w:pPr>
      <w:pStyle w:val="Footer"/>
    </w:pPr>
    <w:r>
      <w:t>Version 7.1 9/6/2017</w:t>
    </w:r>
    <w:r>
      <w:ptab w:relativeTo="margin" w:alignment="right" w:leader="none"/>
    </w:r>
    <w:r>
      <w:fldChar w:fldCharType="begin"/>
    </w:r>
    <w:r>
      <w:instrText xml:space="preserve"> PAGE   \* MERGEFORMAT </w:instrText>
    </w:r>
    <w:r>
      <w:fldChar w:fldCharType="separate"/>
    </w:r>
    <w:r w:rsidR="00583DA4">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34CD9" w14:textId="77777777" w:rsidR="00342BBA" w:rsidRDefault="00342BBA">
      <w:pPr>
        <w:spacing w:after="0" w:line="240" w:lineRule="auto"/>
      </w:pPr>
      <w:r>
        <w:separator/>
      </w:r>
    </w:p>
  </w:footnote>
  <w:footnote w:type="continuationSeparator" w:id="0">
    <w:p w14:paraId="0E5CEAAD" w14:textId="77777777" w:rsidR="00342BBA" w:rsidRDefault="00342B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0EBB8D7C" w:rsidR="00F87C57" w:rsidRPr="007413CB" w:rsidRDefault="00F87C57" w:rsidP="007413CB">
    <w:pPr>
      <w:tabs>
        <w:tab w:val="left" w:pos="9945"/>
      </w:tabs>
      <w:spacing w:line="200" w:lineRule="exact"/>
      <w:jc w:val="right"/>
      <w:rPr>
        <w:color w:val="00000A"/>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13A"/>
    <w:multiLevelType w:val="hybridMultilevel"/>
    <w:tmpl w:val="823C9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420BF"/>
    <w:multiLevelType w:val="hybridMultilevel"/>
    <w:tmpl w:val="EBE2F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E09A8"/>
    <w:multiLevelType w:val="hybridMultilevel"/>
    <w:tmpl w:val="D16800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C128D9"/>
    <w:multiLevelType w:val="hybridMultilevel"/>
    <w:tmpl w:val="9A6246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BC66558"/>
    <w:multiLevelType w:val="hybridMultilevel"/>
    <w:tmpl w:val="701E9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E7C699D"/>
    <w:multiLevelType w:val="hybridMultilevel"/>
    <w:tmpl w:val="7E5AA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E63E2C"/>
    <w:multiLevelType w:val="hybridMultilevel"/>
    <w:tmpl w:val="9EA0F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21EC1"/>
    <w:multiLevelType w:val="multilevel"/>
    <w:tmpl w:val="235A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541F76"/>
    <w:multiLevelType w:val="multilevel"/>
    <w:tmpl w:val="746A8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A29535F"/>
    <w:multiLevelType w:val="hybridMultilevel"/>
    <w:tmpl w:val="B49E9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397FA1"/>
    <w:multiLevelType w:val="hybridMultilevel"/>
    <w:tmpl w:val="7A628620"/>
    <w:lvl w:ilvl="0" w:tplc="40D0EBCC">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AF1E5C"/>
    <w:multiLevelType w:val="hybridMultilevel"/>
    <w:tmpl w:val="F23ED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A246155"/>
    <w:multiLevelType w:val="hybridMultilevel"/>
    <w:tmpl w:val="826045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BE35DBE"/>
    <w:multiLevelType w:val="hybridMultilevel"/>
    <w:tmpl w:val="C8BC774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D1D6D02"/>
    <w:multiLevelType w:val="hybridMultilevel"/>
    <w:tmpl w:val="7D98B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D763C1A"/>
    <w:multiLevelType w:val="hybridMultilevel"/>
    <w:tmpl w:val="52F4B698"/>
    <w:lvl w:ilvl="0" w:tplc="8DD0C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FC72283"/>
    <w:multiLevelType w:val="hybridMultilevel"/>
    <w:tmpl w:val="09FA1128"/>
    <w:lvl w:ilvl="0" w:tplc="0E38CDCE">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BF4BEB"/>
    <w:multiLevelType w:val="hybridMultilevel"/>
    <w:tmpl w:val="5F966C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AB28DD"/>
    <w:multiLevelType w:val="hybridMultilevel"/>
    <w:tmpl w:val="84E013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3493525"/>
    <w:multiLevelType w:val="hybridMultilevel"/>
    <w:tmpl w:val="EA2066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8F713D4"/>
    <w:multiLevelType w:val="hybridMultilevel"/>
    <w:tmpl w:val="AC3E5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0AE182C"/>
    <w:multiLevelType w:val="multilevel"/>
    <w:tmpl w:val="0C0A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1064F47"/>
    <w:multiLevelType w:val="hybridMultilevel"/>
    <w:tmpl w:val="2D9AEE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65C9B"/>
    <w:multiLevelType w:val="hybridMultilevel"/>
    <w:tmpl w:val="C1600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8D62BF"/>
    <w:multiLevelType w:val="hybridMultilevel"/>
    <w:tmpl w:val="B2C4A2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AC073C6"/>
    <w:multiLevelType w:val="hybridMultilevel"/>
    <w:tmpl w:val="8D1E3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B0122AA"/>
    <w:multiLevelType w:val="hybridMultilevel"/>
    <w:tmpl w:val="25163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2D32F4F"/>
    <w:multiLevelType w:val="hybridMultilevel"/>
    <w:tmpl w:val="C5B2C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8B3306"/>
    <w:multiLevelType w:val="hybridMultilevel"/>
    <w:tmpl w:val="F2847B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577CAE"/>
    <w:multiLevelType w:val="hybridMultilevel"/>
    <w:tmpl w:val="0B6A22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0377602"/>
    <w:multiLevelType w:val="hybridMultilevel"/>
    <w:tmpl w:val="43EE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51B776C"/>
    <w:multiLevelType w:val="hybridMultilevel"/>
    <w:tmpl w:val="5C5467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67113AD3"/>
    <w:multiLevelType w:val="hybridMultilevel"/>
    <w:tmpl w:val="4A70FF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91637F3"/>
    <w:multiLevelType w:val="hybridMultilevel"/>
    <w:tmpl w:val="E8BAD4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A85462C"/>
    <w:multiLevelType w:val="hybridMultilevel"/>
    <w:tmpl w:val="AC2C9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EF752D5"/>
    <w:multiLevelType w:val="hybridMultilevel"/>
    <w:tmpl w:val="E146B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9539E8"/>
    <w:multiLevelType w:val="hybridMultilevel"/>
    <w:tmpl w:val="A906BE98"/>
    <w:lvl w:ilvl="0" w:tplc="9D2C22E8">
      <w:start w:val="1"/>
      <w:numFmt w:val="decimal"/>
      <w:suff w:val="space"/>
      <w:lvlText w:val="Step %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2160679"/>
    <w:multiLevelType w:val="hybridMultilevel"/>
    <w:tmpl w:val="EC9A57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44010CE"/>
    <w:multiLevelType w:val="hybridMultilevel"/>
    <w:tmpl w:val="E7EA7878"/>
    <w:lvl w:ilvl="0" w:tplc="3A74F0B4">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7B5540"/>
    <w:multiLevelType w:val="hybridMultilevel"/>
    <w:tmpl w:val="A2588F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F61062F"/>
    <w:multiLevelType w:val="hybridMultilevel"/>
    <w:tmpl w:val="A31CF4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27"/>
  </w:num>
  <w:num w:numId="3">
    <w:abstractNumId w:val="6"/>
  </w:num>
  <w:num w:numId="4">
    <w:abstractNumId w:val="13"/>
  </w:num>
  <w:num w:numId="5">
    <w:abstractNumId w:val="5"/>
  </w:num>
  <w:num w:numId="6">
    <w:abstractNumId w:val="4"/>
  </w:num>
  <w:num w:numId="7">
    <w:abstractNumId w:val="7"/>
  </w:num>
  <w:num w:numId="8">
    <w:abstractNumId w:val="46"/>
  </w:num>
  <w:num w:numId="9">
    <w:abstractNumId w:val="23"/>
  </w:num>
  <w:num w:numId="10">
    <w:abstractNumId w:val="57"/>
  </w:num>
  <w:num w:numId="11">
    <w:abstractNumId w:val="29"/>
  </w:num>
  <w:num w:numId="12">
    <w:abstractNumId w:val="54"/>
  </w:num>
  <w:num w:numId="13">
    <w:abstractNumId w:val="40"/>
  </w:num>
  <w:num w:numId="14">
    <w:abstractNumId w:val="4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39"/>
  </w:num>
  <w:num w:numId="16">
    <w:abstractNumId w:val="19"/>
  </w:num>
  <w:num w:numId="17">
    <w:abstractNumId w:val="56"/>
  </w:num>
  <w:num w:numId="18">
    <w:abstractNumId w:val="50"/>
  </w:num>
  <w:num w:numId="19">
    <w:abstractNumId w:val="47"/>
  </w:num>
  <w:num w:numId="20">
    <w:abstractNumId w:val="37"/>
  </w:num>
  <w:num w:numId="21">
    <w:abstractNumId w:val="43"/>
  </w:num>
  <w:num w:numId="22">
    <w:abstractNumId w:val="35"/>
  </w:num>
  <w:num w:numId="23">
    <w:abstractNumId w:val="16"/>
  </w:num>
  <w:num w:numId="24">
    <w:abstractNumId w:val="32"/>
  </w:num>
  <w:num w:numId="25">
    <w:abstractNumId w:val="30"/>
  </w:num>
  <w:num w:numId="26">
    <w:abstractNumId w:val="62"/>
  </w:num>
  <w:num w:numId="27">
    <w:abstractNumId w:val="0"/>
  </w:num>
  <w:num w:numId="28">
    <w:abstractNumId w:val="21"/>
  </w:num>
  <w:num w:numId="29">
    <w:abstractNumId w:val="38"/>
  </w:num>
  <w:num w:numId="30">
    <w:abstractNumId w:val="68"/>
  </w:num>
  <w:num w:numId="31">
    <w:abstractNumId w:val="63"/>
  </w:num>
  <w:num w:numId="32">
    <w:abstractNumId w:val="20"/>
  </w:num>
  <w:num w:numId="33">
    <w:abstractNumId w:val="11"/>
  </w:num>
  <w:num w:numId="34">
    <w:abstractNumId w:val="28"/>
  </w:num>
  <w:num w:numId="35">
    <w:abstractNumId w:val="66"/>
  </w:num>
  <w:num w:numId="36">
    <w:abstractNumId w:val="59"/>
  </w:num>
  <w:num w:numId="37">
    <w:abstractNumId w:val="65"/>
  </w:num>
  <w:num w:numId="38">
    <w:abstractNumId w:val="34"/>
  </w:num>
  <w:num w:numId="39">
    <w:abstractNumId w:val="25"/>
  </w:num>
  <w:num w:numId="40">
    <w:abstractNumId w:val="33"/>
  </w:num>
  <w:num w:numId="41">
    <w:abstractNumId w:val="58"/>
  </w:num>
  <w:num w:numId="42">
    <w:abstractNumId w:val="22"/>
  </w:num>
  <w:num w:numId="43">
    <w:abstractNumId w:val="53"/>
  </w:num>
  <w:num w:numId="44">
    <w:abstractNumId w:val="24"/>
  </w:num>
  <w:num w:numId="45">
    <w:abstractNumId w:val="64"/>
  </w:num>
  <w:num w:numId="46">
    <w:abstractNumId w:val="45"/>
  </w:num>
  <w:num w:numId="47">
    <w:abstractNumId w:val="36"/>
  </w:num>
  <w:num w:numId="48">
    <w:abstractNumId w:val="52"/>
  </w:num>
  <w:num w:numId="49">
    <w:abstractNumId w:val="2"/>
  </w:num>
  <w:num w:numId="50">
    <w:abstractNumId w:val="60"/>
  </w:num>
  <w:num w:numId="51">
    <w:abstractNumId w:val="8"/>
  </w:num>
  <w:num w:numId="52">
    <w:abstractNumId w:val="49"/>
  </w:num>
  <w:num w:numId="53">
    <w:abstractNumId w:val="18"/>
  </w:num>
  <w:num w:numId="54">
    <w:abstractNumId w:val="42"/>
  </w:num>
  <w:num w:numId="55">
    <w:abstractNumId w:val="51"/>
  </w:num>
  <w:num w:numId="56">
    <w:abstractNumId w:val="55"/>
  </w:num>
  <w:num w:numId="57">
    <w:abstractNumId w:val="48"/>
  </w:num>
  <w:num w:numId="58">
    <w:abstractNumId w:val="31"/>
  </w:num>
  <w:num w:numId="5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num>
  <w:num w:numId="61">
    <w:abstractNumId w:val="1"/>
  </w:num>
  <w:num w:numId="62">
    <w:abstractNumId w:val="26"/>
  </w:num>
  <w:num w:numId="63">
    <w:abstractNumId w:val="61"/>
  </w:num>
  <w:num w:numId="64">
    <w:abstractNumId w:val="14"/>
  </w:num>
  <w:num w:numId="65">
    <w:abstractNumId w:val="15"/>
  </w:num>
  <w:num w:numId="66">
    <w:abstractNumId w:val="41"/>
  </w:num>
  <w:num w:numId="67">
    <w:abstractNumId w:val="17"/>
  </w:num>
  <w:num w:numId="68">
    <w:abstractNumId w:val="44"/>
  </w:num>
  <w:num w:numId="69">
    <w:abstractNumId w:val="9"/>
  </w:num>
  <w:num w:numId="70">
    <w:abstractNumId w:val="3"/>
  </w:num>
  <w:num w:numId="71">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A0NTEzMjQ0MDM0srRU0lEKTi0uzszPAykwMqgFALUXl44tAAAA"/>
  </w:docVars>
  <w:rsids>
    <w:rsidRoot w:val="008A403A"/>
    <w:rsid w:val="00001D73"/>
    <w:rsid w:val="00001FC5"/>
    <w:rsid w:val="0000201D"/>
    <w:rsid w:val="00003469"/>
    <w:rsid w:val="000042D9"/>
    <w:rsid w:val="00005586"/>
    <w:rsid w:val="00005CE2"/>
    <w:rsid w:val="00010279"/>
    <w:rsid w:val="0001094F"/>
    <w:rsid w:val="0001149A"/>
    <w:rsid w:val="0001696C"/>
    <w:rsid w:val="00021170"/>
    <w:rsid w:val="0002128B"/>
    <w:rsid w:val="000212CE"/>
    <w:rsid w:val="00023699"/>
    <w:rsid w:val="00023BBA"/>
    <w:rsid w:val="00024DFD"/>
    <w:rsid w:val="0002545D"/>
    <w:rsid w:val="0002663C"/>
    <w:rsid w:val="0002684E"/>
    <w:rsid w:val="00027AB8"/>
    <w:rsid w:val="000309DD"/>
    <w:rsid w:val="00031414"/>
    <w:rsid w:val="000327AB"/>
    <w:rsid w:val="00033038"/>
    <w:rsid w:val="00033D63"/>
    <w:rsid w:val="0003436F"/>
    <w:rsid w:val="0003513D"/>
    <w:rsid w:val="000414E8"/>
    <w:rsid w:val="00041FD3"/>
    <w:rsid w:val="0004239E"/>
    <w:rsid w:val="000430FE"/>
    <w:rsid w:val="0004593A"/>
    <w:rsid w:val="00046108"/>
    <w:rsid w:val="00046FF3"/>
    <w:rsid w:val="00050535"/>
    <w:rsid w:val="00050A3E"/>
    <w:rsid w:val="000511BC"/>
    <w:rsid w:val="00052A6F"/>
    <w:rsid w:val="000536E2"/>
    <w:rsid w:val="00053F02"/>
    <w:rsid w:val="000558B6"/>
    <w:rsid w:val="0005612B"/>
    <w:rsid w:val="0005670D"/>
    <w:rsid w:val="000574AB"/>
    <w:rsid w:val="00057B08"/>
    <w:rsid w:val="00057D9C"/>
    <w:rsid w:val="0006147A"/>
    <w:rsid w:val="0006234F"/>
    <w:rsid w:val="00062615"/>
    <w:rsid w:val="00062D9B"/>
    <w:rsid w:val="00063FB8"/>
    <w:rsid w:val="00065B50"/>
    <w:rsid w:val="00065E24"/>
    <w:rsid w:val="00066225"/>
    <w:rsid w:val="000662D2"/>
    <w:rsid w:val="0007023A"/>
    <w:rsid w:val="00070536"/>
    <w:rsid w:val="00070583"/>
    <w:rsid w:val="00075FDD"/>
    <w:rsid w:val="00076AA6"/>
    <w:rsid w:val="000775F8"/>
    <w:rsid w:val="00080CF7"/>
    <w:rsid w:val="00081019"/>
    <w:rsid w:val="0008123A"/>
    <w:rsid w:val="00083B93"/>
    <w:rsid w:val="00083C35"/>
    <w:rsid w:val="000851B2"/>
    <w:rsid w:val="00091413"/>
    <w:rsid w:val="00091AE1"/>
    <w:rsid w:val="00092566"/>
    <w:rsid w:val="000927E7"/>
    <w:rsid w:val="00093227"/>
    <w:rsid w:val="00093754"/>
    <w:rsid w:val="00094119"/>
    <w:rsid w:val="00095A42"/>
    <w:rsid w:val="000968F8"/>
    <w:rsid w:val="00097012"/>
    <w:rsid w:val="000A1D10"/>
    <w:rsid w:val="000A2B62"/>
    <w:rsid w:val="000A375D"/>
    <w:rsid w:val="000A4EEF"/>
    <w:rsid w:val="000A5486"/>
    <w:rsid w:val="000B032A"/>
    <w:rsid w:val="000B155E"/>
    <w:rsid w:val="000B2DF7"/>
    <w:rsid w:val="000B3880"/>
    <w:rsid w:val="000B6492"/>
    <w:rsid w:val="000B7D57"/>
    <w:rsid w:val="000C036D"/>
    <w:rsid w:val="000C0B9A"/>
    <w:rsid w:val="000C0FF8"/>
    <w:rsid w:val="000C2FD9"/>
    <w:rsid w:val="000C3743"/>
    <w:rsid w:val="000C4BA3"/>
    <w:rsid w:val="000C69DD"/>
    <w:rsid w:val="000D009C"/>
    <w:rsid w:val="000D2575"/>
    <w:rsid w:val="000D2722"/>
    <w:rsid w:val="000D33B2"/>
    <w:rsid w:val="000D3906"/>
    <w:rsid w:val="000D485D"/>
    <w:rsid w:val="000D5E57"/>
    <w:rsid w:val="000D6203"/>
    <w:rsid w:val="000D6F33"/>
    <w:rsid w:val="000D7948"/>
    <w:rsid w:val="000D7C84"/>
    <w:rsid w:val="000E23C5"/>
    <w:rsid w:val="000E4E13"/>
    <w:rsid w:val="000E78F6"/>
    <w:rsid w:val="000F034A"/>
    <w:rsid w:val="000F06B5"/>
    <w:rsid w:val="000F1B7A"/>
    <w:rsid w:val="000F25C5"/>
    <w:rsid w:val="000F39E9"/>
    <w:rsid w:val="000F49D5"/>
    <w:rsid w:val="000F5481"/>
    <w:rsid w:val="000F640B"/>
    <w:rsid w:val="00101E44"/>
    <w:rsid w:val="00103040"/>
    <w:rsid w:val="001035A8"/>
    <w:rsid w:val="00103770"/>
    <w:rsid w:val="00104930"/>
    <w:rsid w:val="00104B45"/>
    <w:rsid w:val="00105054"/>
    <w:rsid w:val="00105288"/>
    <w:rsid w:val="00105958"/>
    <w:rsid w:val="00105D8B"/>
    <w:rsid w:val="00106750"/>
    <w:rsid w:val="001068A4"/>
    <w:rsid w:val="001109DC"/>
    <w:rsid w:val="00110CB4"/>
    <w:rsid w:val="0011107E"/>
    <w:rsid w:val="00111149"/>
    <w:rsid w:val="001114B2"/>
    <w:rsid w:val="00112188"/>
    <w:rsid w:val="0011342F"/>
    <w:rsid w:val="0011440E"/>
    <w:rsid w:val="00115E43"/>
    <w:rsid w:val="001167B0"/>
    <w:rsid w:val="001202E9"/>
    <w:rsid w:val="00123517"/>
    <w:rsid w:val="00123B73"/>
    <w:rsid w:val="0012454F"/>
    <w:rsid w:val="00125273"/>
    <w:rsid w:val="0012575E"/>
    <w:rsid w:val="00125C8F"/>
    <w:rsid w:val="00127527"/>
    <w:rsid w:val="00127C06"/>
    <w:rsid w:val="0013255A"/>
    <w:rsid w:val="00140152"/>
    <w:rsid w:val="0014121A"/>
    <w:rsid w:val="0014313D"/>
    <w:rsid w:val="00143721"/>
    <w:rsid w:val="001446EF"/>
    <w:rsid w:val="00145149"/>
    <w:rsid w:val="00145D4F"/>
    <w:rsid w:val="00146CB5"/>
    <w:rsid w:val="0014773C"/>
    <w:rsid w:val="00151029"/>
    <w:rsid w:val="001515A0"/>
    <w:rsid w:val="0016327A"/>
    <w:rsid w:val="001660A4"/>
    <w:rsid w:val="00167077"/>
    <w:rsid w:val="001675CF"/>
    <w:rsid w:val="001717C1"/>
    <w:rsid w:val="00174A01"/>
    <w:rsid w:val="00175660"/>
    <w:rsid w:val="0017696D"/>
    <w:rsid w:val="00176BEE"/>
    <w:rsid w:val="0017733A"/>
    <w:rsid w:val="00177CE5"/>
    <w:rsid w:val="00177F44"/>
    <w:rsid w:val="001800A5"/>
    <w:rsid w:val="001805AD"/>
    <w:rsid w:val="00183CA9"/>
    <w:rsid w:val="001848FC"/>
    <w:rsid w:val="00184C4A"/>
    <w:rsid w:val="00184EA4"/>
    <w:rsid w:val="00186B75"/>
    <w:rsid w:val="00187782"/>
    <w:rsid w:val="00191D56"/>
    <w:rsid w:val="001922AA"/>
    <w:rsid w:val="00193F21"/>
    <w:rsid w:val="00195094"/>
    <w:rsid w:val="001969C5"/>
    <w:rsid w:val="001969FC"/>
    <w:rsid w:val="00197E53"/>
    <w:rsid w:val="001A156D"/>
    <w:rsid w:val="001A33DF"/>
    <w:rsid w:val="001A5812"/>
    <w:rsid w:val="001A6CDD"/>
    <w:rsid w:val="001B1532"/>
    <w:rsid w:val="001B365F"/>
    <w:rsid w:val="001C03E5"/>
    <w:rsid w:val="001C12EE"/>
    <w:rsid w:val="001C3207"/>
    <w:rsid w:val="001C3CE3"/>
    <w:rsid w:val="001C6723"/>
    <w:rsid w:val="001C6B4B"/>
    <w:rsid w:val="001C7734"/>
    <w:rsid w:val="001C7B02"/>
    <w:rsid w:val="001D02EB"/>
    <w:rsid w:val="001D17EF"/>
    <w:rsid w:val="001D21BB"/>
    <w:rsid w:val="001D2E54"/>
    <w:rsid w:val="001D6DD4"/>
    <w:rsid w:val="001E4DD4"/>
    <w:rsid w:val="001E69DC"/>
    <w:rsid w:val="001F0567"/>
    <w:rsid w:val="001F169D"/>
    <w:rsid w:val="001F1DA1"/>
    <w:rsid w:val="001F2405"/>
    <w:rsid w:val="001F63D6"/>
    <w:rsid w:val="001F65D6"/>
    <w:rsid w:val="001F6F93"/>
    <w:rsid w:val="001F7A20"/>
    <w:rsid w:val="00201FA3"/>
    <w:rsid w:val="002028EF"/>
    <w:rsid w:val="00202D80"/>
    <w:rsid w:val="002039E8"/>
    <w:rsid w:val="00205265"/>
    <w:rsid w:val="00207F29"/>
    <w:rsid w:val="0021054A"/>
    <w:rsid w:val="00211879"/>
    <w:rsid w:val="0021195A"/>
    <w:rsid w:val="00213383"/>
    <w:rsid w:val="00215C90"/>
    <w:rsid w:val="002166FF"/>
    <w:rsid w:val="00220250"/>
    <w:rsid w:val="00222444"/>
    <w:rsid w:val="00222EF7"/>
    <w:rsid w:val="0022691B"/>
    <w:rsid w:val="002305DA"/>
    <w:rsid w:val="00232163"/>
    <w:rsid w:val="002376F8"/>
    <w:rsid w:val="002408E4"/>
    <w:rsid w:val="00241591"/>
    <w:rsid w:val="002425AF"/>
    <w:rsid w:val="002453F3"/>
    <w:rsid w:val="00250A66"/>
    <w:rsid w:val="00250B4F"/>
    <w:rsid w:val="00252A63"/>
    <w:rsid w:val="00253680"/>
    <w:rsid w:val="00254B34"/>
    <w:rsid w:val="00255611"/>
    <w:rsid w:val="002566FF"/>
    <w:rsid w:val="0025745E"/>
    <w:rsid w:val="0025762F"/>
    <w:rsid w:val="00263E49"/>
    <w:rsid w:val="00275563"/>
    <w:rsid w:val="00275AB7"/>
    <w:rsid w:val="00276AF5"/>
    <w:rsid w:val="0028114D"/>
    <w:rsid w:val="0028148E"/>
    <w:rsid w:val="002820E9"/>
    <w:rsid w:val="00282434"/>
    <w:rsid w:val="00283FB3"/>
    <w:rsid w:val="002865E2"/>
    <w:rsid w:val="00286F9D"/>
    <w:rsid w:val="00287649"/>
    <w:rsid w:val="00287CB4"/>
    <w:rsid w:val="00287E84"/>
    <w:rsid w:val="0029005A"/>
    <w:rsid w:val="0029286C"/>
    <w:rsid w:val="0029300E"/>
    <w:rsid w:val="00296AB5"/>
    <w:rsid w:val="00297102"/>
    <w:rsid w:val="002A0565"/>
    <w:rsid w:val="002A120B"/>
    <w:rsid w:val="002A701E"/>
    <w:rsid w:val="002B0C3A"/>
    <w:rsid w:val="002B1457"/>
    <w:rsid w:val="002B2116"/>
    <w:rsid w:val="002B2D9B"/>
    <w:rsid w:val="002B3E0B"/>
    <w:rsid w:val="002B5016"/>
    <w:rsid w:val="002B50A6"/>
    <w:rsid w:val="002B5303"/>
    <w:rsid w:val="002B728C"/>
    <w:rsid w:val="002B742C"/>
    <w:rsid w:val="002B7F4D"/>
    <w:rsid w:val="002C0DDF"/>
    <w:rsid w:val="002C125D"/>
    <w:rsid w:val="002C285C"/>
    <w:rsid w:val="002C393C"/>
    <w:rsid w:val="002C782B"/>
    <w:rsid w:val="002C7BE4"/>
    <w:rsid w:val="002D01E5"/>
    <w:rsid w:val="002D35BF"/>
    <w:rsid w:val="002D417D"/>
    <w:rsid w:val="002D4A2A"/>
    <w:rsid w:val="002D5E5D"/>
    <w:rsid w:val="002D60BA"/>
    <w:rsid w:val="002D6112"/>
    <w:rsid w:val="002E3788"/>
    <w:rsid w:val="002E38ED"/>
    <w:rsid w:val="002E78A0"/>
    <w:rsid w:val="002F1537"/>
    <w:rsid w:val="002F15C8"/>
    <w:rsid w:val="002F2687"/>
    <w:rsid w:val="002F28F5"/>
    <w:rsid w:val="002F2C2F"/>
    <w:rsid w:val="002F3D1B"/>
    <w:rsid w:val="002F48E1"/>
    <w:rsid w:val="002F4F3B"/>
    <w:rsid w:val="002F610C"/>
    <w:rsid w:val="002F7761"/>
    <w:rsid w:val="002F7989"/>
    <w:rsid w:val="00300AF7"/>
    <w:rsid w:val="0030137A"/>
    <w:rsid w:val="00302A29"/>
    <w:rsid w:val="003041FF"/>
    <w:rsid w:val="00304C86"/>
    <w:rsid w:val="003059EB"/>
    <w:rsid w:val="00310796"/>
    <w:rsid w:val="003116AC"/>
    <w:rsid w:val="00313241"/>
    <w:rsid w:val="00313400"/>
    <w:rsid w:val="00315567"/>
    <w:rsid w:val="00321CFD"/>
    <w:rsid w:val="003227E6"/>
    <w:rsid w:val="00330144"/>
    <w:rsid w:val="00331C18"/>
    <w:rsid w:val="00334329"/>
    <w:rsid w:val="00335C22"/>
    <w:rsid w:val="003375DA"/>
    <w:rsid w:val="00340309"/>
    <w:rsid w:val="00342677"/>
    <w:rsid w:val="00342BBA"/>
    <w:rsid w:val="003444D9"/>
    <w:rsid w:val="00345114"/>
    <w:rsid w:val="00345CBA"/>
    <w:rsid w:val="00346245"/>
    <w:rsid w:val="00347847"/>
    <w:rsid w:val="003522AE"/>
    <w:rsid w:val="0035524A"/>
    <w:rsid w:val="00356267"/>
    <w:rsid w:val="00356BAD"/>
    <w:rsid w:val="003605B4"/>
    <w:rsid w:val="00360B44"/>
    <w:rsid w:val="0036123E"/>
    <w:rsid w:val="003627AC"/>
    <w:rsid w:val="00362971"/>
    <w:rsid w:val="003638CA"/>
    <w:rsid w:val="00366914"/>
    <w:rsid w:val="00372FE3"/>
    <w:rsid w:val="003731CD"/>
    <w:rsid w:val="00373559"/>
    <w:rsid w:val="00373CDE"/>
    <w:rsid w:val="00374C4F"/>
    <w:rsid w:val="003755CB"/>
    <w:rsid w:val="003767AD"/>
    <w:rsid w:val="00383F85"/>
    <w:rsid w:val="003866F5"/>
    <w:rsid w:val="00386B79"/>
    <w:rsid w:val="00387BA1"/>
    <w:rsid w:val="003932B8"/>
    <w:rsid w:val="00394033"/>
    <w:rsid w:val="00394224"/>
    <w:rsid w:val="00395662"/>
    <w:rsid w:val="003A306C"/>
    <w:rsid w:val="003A3674"/>
    <w:rsid w:val="003A3865"/>
    <w:rsid w:val="003A5015"/>
    <w:rsid w:val="003A7DE7"/>
    <w:rsid w:val="003B0780"/>
    <w:rsid w:val="003B0F68"/>
    <w:rsid w:val="003B1006"/>
    <w:rsid w:val="003B36D7"/>
    <w:rsid w:val="003B5FB1"/>
    <w:rsid w:val="003B76FB"/>
    <w:rsid w:val="003C0B61"/>
    <w:rsid w:val="003C0FA3"/>
    <w:rsid w:val="003C5D31"/>
    <w:rsid w:val="003C5F11"/>
    <w:rsid w:val="003D294B"/>
    <w:rsid w:val="003D53F6"/>
    <w:rsid w:val="003D6401"/>
    <w:rsid w:val="003E0CB1"/>
    <w:rsid w:val="003E1863"/>
    <w:rsid w:val="003E2729"/>
    <w:rsid w:val="003E2D19"/>
    <w:rsid w:val="003E7CE5"/>
    <w:rsid w:val="003F11E6"/>
    <w:rsid w:val="003F3294"/>
    <w:rsid w:val="003F6278"/>
    <w:rsid w:val="00401ED0"/>
    <w:rsid w:val="00404266"/>
    <w:rsid w:val="0040516A"/>
    <w:rsid w:val="00407F16"/>
    <w:rsid w:val="00413E94"/>
    <w:rsid w:val="0041400D"/>
    <w:rsid w:val="004158F2"/>
    <w:rsid w:val="0041606D"/>
    <w:rsid w:val="00416962"/>
    <w:rsid w:val="004206A8"/>
    <w:rsid w:val="00422F3F"/>
    <w:rsid w:val="004239C1"/>
    <w:rsid w:val="004268BE"/>
    <w:rsid w:val="00432E4E"/>
    <w:rsid w:val="00432F92"/>
    <w:rsid w:val="004348CC"/>
    <w:rsid w:val="004377DA"/>
    <w:rsid w:val="00440CE8"/>
    <w:rsid w:val="00441959"/>
    <w:rsid w:val="004432CD"/>
    <w:rsid w:val="00450C58"/>
    <w:rsid w:val="00452EB3"/>
    <w:rsid w:val="004534DE"/>
    <w:rsid w:val="00453BBD"/>
    <w:rsid w:val="004550AC"/>
    <w:rsid w:val="004554F1"/>
    <w:rsid w:val="00462847"/>
    <w:rsid w:val="004639E2"/>
    <w:rsid w:val="00463FA8"/>
    <w:rsid w:val="00464AD7"/>
    <w:rsid w:val="00464C5A"/>
    <w:rsid w:val="004658FF"/>
    <w:rsid w:val="00472E49"/>
    <w:rsid w:val="00473C80"/>
    <w:rsid w:val="00474ED7"/>
    <w:rsid w:val="004756E1"/>
    <w:rsid w:val="00477497"/>
    <w:rsid w:val="0048008A"/>
    <w:rsid w:val="00483E94"/>
    <w:rsid w:val="00484120"/>
    <w:rsid w:val="004853A0"/>
    <w:rsid w:val="00487A4D"/>
    <w:rsid w:val="004951A4"/>
    <w:rsid w:val="0049539B"/>
    <w:rsid w:val="00496B5F"/>
    <w:rsid w:val="004A2E10"/>
    <w:rsid w:val="004A3017"/>
    <w:rsid w:val="004A35D2"/>
    <w:rsid w:val="004A54A7"/>
    <w:rsid w:val="004B0E29"/>
    <w:rsid w:val="004B17FF"/>
    <w:rsid w:val="004B1BA0"/>
    <w:rsid w:val="004B1C31"/>
    <w:rsid w:val="004B6CEE"/>
    <w:rsid w:val="004C11F9"/>
    <w:rsid w:val="004C2443"/>
    <w:rsid w:val="004C25B1"/>
    <w:rsid w:val="004C3F21"/>
    <w:rsid w:val="004C498F"/>
    <w:rsid w:val="004C5D29"/>
    <w:rsid w:val="004C681A"/>
    <w:rsid w:val="004D0A23"/>
    <w:rsid w:val="004D3613"/>
    <w:rsid w:val="004D4D8A"/>
    <w:rsid w:val="004D6119"/>
    <w:rsid w:val="004D7331"/>
    <w:rsid w:val="004E027B"/>
    <w:rsid w:val="004E3927"/>
    <w:rsid w:val="004E5091"/>
    <w:rsid w:val="004F0297"/>
    <w:rsid w:val="004F066E"/>
    <w:rsid w:val="004F0EE2"/>
    <w:rsid w:val="004F19EC"/>
    <w:rsid w:val="004F1DA0"/>
    <w:rsid w:val="004F245A"/>
    <w:rsid w:val="004F4C0C"/>
    <w:rsid w:val="004F4D57"/>
    <w:rsid w:val="004F68EE"/>
    <w:rsid w:val="005003F7"/>
    <w:rsid w:val="0050343C"/>
    <w:rsid w:val="005038D5"/>
    <w:rsid w:val="00504E37"/>
    <w:rsid w:val="005062CD"/>
    <w:rsid w:val="0051072E"/>
    <w:rsid w:val="00511284"/>
    <w:rsid w:val="00511BA4"/>
    <w:rsid w:val="005149E7"/>
    <w:rsid w:val="00515F80"/>
    <w:rsid w:val="005232D6"/>
    <w:rsid w:val="0052352A"/>
    <w:rsid w:val="00524208"/>
    <w:rsid w:val="00525D38"/>
    <w:rsid w:val="005277E7"/>
    <w:rsid w:val="00530AA6"/>
    <w:rsid w:val="005333CC"/>
    <w:rsid w:val="005363F1"/>
    <w:rsid w:val="00536B28"/>
    <w:rsid w:val="00537C1B"/>
    <w:rsid w:val="0054090F"/>
    <w:rsid w:val="00540E40"/>
    <w:rsid w:val="0054190F"/>
    <w:rsid w:val="00544858"/>
    <w:rsid w:val="00544CBE"/>
    <w:rsid w:val="005454E6"/>
    <w:rsid w:val="005455A4"/>
    <w:rsid w:val="005465B9"/>
    <w:rsid w:val="00546B89"/>
    <w:rsid w:val="0055007C"/>
    <w:rsid w:val="00554922"/>
    <w:rsid w:val="00555282"/>
    <w:rsid w:val="00555896"/>
    <w:rsid w:val="005559A2"/>
    <w:rsid w:val="00555B38"/>
    <w:rsid w:val="00555F50"/>
    <w:rsid w:val="005560E7"/>
    <w:rsid w:val="00560FDA"/>
    <w:rsid w:val="005612CC"/>
    <w:rsid w:val="00563029"/>
    <w:rsid w:val="00565946"/>
    <w:rsid w:val="00567D12"/>
    <w:rsid w:val="00573C6C"/>
    <w:rsid w:val="00575D03"/>
    <w:rsid w:val="00576062"/>
    <w:rsid w:val="00576E47"/>
    <w:rsid w:val="005820E0"/>
    <w:rsid w:val="005831C4"/>
    <w:rsid w:val="0058328C"/>
    <w:rsid w:val="00583DA4"/>
    <w:rsid w:val="005844D9"/>
    <w:rsid w:val="00584619"/>
    <w:rsid w:val="005848DD"/>
    <w:rsid w:val="00586D74"/>
    <w:rsid w:val="00587886"/>
    <w:rsid w:val="00592806"/>
    <w:rsid w:val="0059353C"/>
    <w:rsid w:val="00594E8C"/>
    <w:rsid w:val="0059559F"/>
    <w:rsid w:val="005956DB"/>
    <w:rsid w:val="00596258"/>
    <w:rsid w:val="00596287"/>
    <w:rsid w:val="00597335"/>
    <w:rsid w:val="005A39EB"/>
    <w:rsid w:val="005A3FFF"/>
    <w:rsid w:val="005A49FF"/>
    <w:rsid w:val="005A5AAC"/>
    <w:rsid w:val="005A7634"/>
    <w:rsid w:val="005B0967"/>
    <w:rsid w:val="005B258A"/>
    <w:rsid w:val="005B69B2"/>
    <w:rsid w:val="005B6F04"/>
    <w:rsid w:val="005C0447"/>
    <w:rsid w:val="005C0AAA"/>
    <w:rsid w:val="005C13EC"/>
    <w:rsid w:val="005C739F"/>
    <w:rsid w:val="005C73CA"/>
    <w:rsid w:val="005C7D67"/>
    <w:rsid w:val="005D0D40"/>
    <w:rsid w:val="005D1D2A"/>
    <w:rsid w:val="005D2894"/>
    <w:rsid w:val="005D3714"/>
    <w:rsid w:val="005D4733"/>
    <w:rsid w:val="005D4768"/>
    <w:rsid w:val="005E2CAB"/>
    <w:rsid w:val="005E3E86"/>
    <w:rsid w:val="005E429E"/>
    <w:rsid w:val="00600C28"/>
    <w:rsid w:val="00601ED4"/>
    <w:rsid w:val="006030BC"/>
    <w:rsid w:val="006036BA"/>
    <w:rsid w:val="00604809"/>
    <w:rsid w:val="006070E8"/>
    <w:rsid w:val="00612592"/>
    <w:rsid w:val="00612866"/>
    <w:rsid w:val="00612999"/>
    <w:rsid w:val="00613774"/>
    <w:rsid w:val="00616EB5"/>
    <w:rsid w:val="006211D5"/>
    <w:rsid w:val="00623815"/>
    <w:rsid w:val="006244EC"/>
    <w:rsid w:val="00624A92"/>
    <w:rsid w:val="00625D36"/>
    <w:rsid w:val="006269D4"/>
    <w:rsid w:val="00630421"/>
    <w:rsid w:val="006308A4"/>
    <w:rsid w:val="006327D8"/>
    <w:rsid w:val="00632CF1"/>
    <w:rsid w:val="00635D28"/>
    <w:rsid w:val="006364BF"/>
    <w:rsid w:val="0064070A"/>
    <w:rsid w:val="00643750"/>
    <w:rsid w:val="00643A01"/>
    <w:rsid w:val="00645F1F"/>
    <w:rsid w:val="0064791B"/>
    <w:rsid w:val="00647998"/>
    <w:rsid w:val="00647EB1"/>
    <w:rsid w:val="006517A2"/>
    <w:rsid w:val="00651D44"/>
    <w:rsid w:val="0065371D"/>
    <w:rsid w:val="006539F2"/>
    <w:rsid w:val="006574D2"/>
    <w:rsid w:val="00660646"/>
    <w:rsid w:val="00663563"/>
    <w:rsid w:val="00664554"/>
    <w:rsid w:val="006666DB"/>
    <w:rsid w:val="006676D4"/>
    <w:rsid w:val="006710BF"/>
    <w:rsid w:val="006739EB"/>
    <w:rsid w:val="00675535"/>
    <w:rsid w:val="00677717"/>
    <w:rsid w:val="00677A16"/>
    <w:rsid w:val="00681359"/>
    <w:rsid w:val="00683A9E"/>
    <w:rsid w:val="0069157C"/>
    <w:rsid w:val="00694F70"/>
    <w:rsid w:val="00696262"/>
    <w:rsid w:val="00697173"/>
    <w:rsid w:val="006A1148"/>
    <w:rsid w:val="006A1AC2"/>
    <w:rsid w:val="006A2350"/>
    <w:rsid w:val="006A2C85"/>
    <w:rsid w:val="006A31CB"/>
    <w:rsid w:val="006A4AFF"/>
    <w:rsid w:val="006A5307"/>
    <w:rsid w:val="006A5B5A"/>
    <w:rsid w:val="006A6A3E"/>
    <w:rsid w:val="006A71D4"/>
    <w:rsid w:val="006A745C"/>
    <w:rsid w:val="006B111A"/>
    <w:rsid w:val="006C0B70"/>
    <w:rsid w:val="006C1BCE"/>
    <w:rsid w:val="006C3A4F"/>
    <w:rsid w:val="006C4845"/>
    <w:rsid w:val="006D1F9F"/>
    <w:rsid w:val="006D4FD7"/>
    <w:rsid w:val="006D53C8"/>
    <w:rsid w:val="006D5F15"/>
    <w:rsid w:val="006D6BC1"/>
    <w:rsid w:val="006E09BF"/>
    <w:rsid w:val="006E1074"/>
    <w:rsid w:val="006E1B43"/>
    <w:rsid w:val="006E1C7E"/>
    <w:rsid w:val="006E26A1"/>
    <w:rsid w:val="006E2BFC"/>
    <w:rsid w:val="006E5C57"/>
    <w:rsid w:val="006F05DE"/>
    <w:rsid w:val="006F1256"/>
    <w:rsid w:val="006F22A5"/>
    <w:rsid w:val="006F3526"/>
    <w:rsid w:val="006F6F87"/>
    <w:rsid w:val="0070003F"/>
    <w:rsid w:val="00702C73"/>
    <w:rsid w:val="007047B8"/>
    <w:rsid w:val="00705AA5"/>
    <w:rsid w:val="00710AD8"/>
    <w:rsid w:val="00712ADF"/>
    <w:rsid w:val="00713394"/>
    <w:rsid w:val="0071744D"/>
    <w:rsid w:val="007208CF"/>
    <w:rsid w:val="00724677"/>
    <w:rsid w:val="00725AC2"/>
    <w:rsid w:val="00726F2D"/>
    <w:rsid w:val="00731CCE"/>
    <w:rsid w:val="00731F09"/>
    <w:rsid w:val="00732880"/>
    <w:rsid w:val="0074017A"/>
    <w:rsid w:val="0074049D"/>
    <w:rsid w:val="007408CA"/>
    <w:rsid w:val="007413CB"/>
    <w:rsid w:val="007416B9"/>
    <w:rsid w:val="00742178"/>
    <w:rsid w:val="007422FD"/>
    <w:rsid w:val="00743E46"/>
    <w:rsid w:val="00746250"/>
    <w:rsid w:val="00747A3F"/>
    <w:rsid w:val="00747C45"/>
    <w:rsid w:val="00750748"/>
    <w:rsid w:val="00750901"/>
    <w:rsid w:val="00755617"/>
    <w:rsid w:val="00756FDB"/>
    <w:rsid w:val="007618D6"/>
    <w:rsid w:val="0076273C"/>
    <w:rsid w:val="007629B6"/>
    <w:rsid w:val="00762B92"/>
    <w:rsid w:val="00762F92"/>
    <w:rsid w:val="007637D5"/>
    <w:rsid w:val="00764B31"/>
    <w:rsid w:val="007665BF"/>
    <w:rsid w:val="00770C7D"/>
    <w:rsid w:val="00770DC5"/>
    <w:rsid w:val="00770FEB"/>
    <w:rsid w:val="007713B4"/>
    <w:rsid w:val="00771B2A"/>
    <w:rsid w:val="0077275C"/>
    <w:rsid w:val="007757CE"/>
    <w:rsid w:val="00775800"/>
    <w:rsid w:val="0077594C"/>
    <w:rsid w:val="00781CB4"/>
    <w:rsid w:val="007836AC"/>
    <w:rsid w:val="007838E0"/>
    <w:rsid w:val="00783DCF"/>
    <w:rsid w:val="0078414A"/>
    <w:rsid w:val="00785DA1"/>
    <w:rsid w:val="0079180E"/>
    <w:rsid w:val="00792F1F"/>
    <w:rsid w:val="00793E30"/>
    <w:rsid w:val="007950CC"/>
    <w:rsid w:val="0079538B"/>
    <w:rsid w:val="00796166"/>
    <w:rsid w:val="007961B8"/>
    <w:rsid w:val="00797624"/>
    <w:rsid w:val="007A10F3"/>
    <w:rsid w:val="007A4255"/>
    <w:rsid w:val="007A4828"/>
    <w:rsid w:val="007B0477"/>
    <w:rsid w:val="007B093D"/>
    <w:rsid w:val="007B11B1"/>
    <w:rsid w:val="007B2069"/>
    <w:rsid w:val="007B2609"/>
    <w:rsid w:val="007B56E4"/>
    <w:rsid w:val="007B651B"/>
    <w:rsid w:val="007C03C6"/>
    <w:rsid w:val="007C04A1"/>
    <w:rsid w:val="007C0B6F"/>
    <w:rsid w:val="007C21FA"/>
    <w:rsid w:val="007C237E"/>
    <w:rsid w:val="007C24CE"/>
    <w:rsid w:val="007C584B"/>
    <w:rsid w:val="007C6BEF"/>
    <w:rsid w:val="007D11E7"/>
    <w:rsid w:val="007D13B1"/>
    <w:rsid w:val="007D4351"/>
    <w:rsid w:val="007D6C87"/>
    <w:rsid w:val="007D7019"/>
    <w:rsid w:val="007E16B7"/>
    <w:rsid w:val="007E18DB"/>
    <w:rsid w:val="007E1B7E"/>
    <w:rsid w:val="007E40A9"/>
    <w:rsid w:val="007E643C"/>
    <w:rsid w:val="007E6736"/>
    <w:rsid w:val="007E6F1C"/>
    <w:rsid w:val="007F1880"/>
    <w:rsid w:val="007F7D38"/>
    <w:rsid w:val="00800862"/>
    <w:rsid w:val="00802DF4"/>
    <w:rsid w:val="00804C69"/>
    <w:rsid w:val="0080668B"/>
    <w:rsid w:val="0080711D"/>
    <w:rsid w:val="00807CF9"/>
    <w:rsid w:val="0081009E"/>
    <w:rsid w:val="008140F6"/>
    <w:rsid w:val="00814630"/>
    <w:rsid w:val="00814AE0"/>
    <w:rsid w:val="008155CD"/>
    <w:rsid w:val="00821A7A"/>
    <w:rsid w:val="0082252C"/>
    <w:rsid w:val="0082495C"/>
    <w:rsid w:val="0083023E"/>
    <w:rsid w:val="00833325"/>
    <w:rsid w:val="00840A41"/>
    <w:rsid w:val="0084164C"/>
    <w:rsid w:val="00842404"/>
    <w:rsid w:val="00842F3C"/>
    <w:rsid w:val="00843895"/>
    <w:rsid w:val="00845B6A"/>
    <w:rsid w:val="008461B9"/>
    <w:rsid w:val="008472A5"/>
    <w:rsid w:val="00847EDF"/>
    <w:rsid w:val="008505D1"/>
    <w:rsid w:val="008547EC"/>
    <w:rsid w:val="008548A4"/>
    <w:rsid w:val="00855158"/>
    <w:rsid w:val="00857E61"/>
    <w:rsid w:val="00857EE8"/>
    <w:rsid w:val="00860A0B"/>
    <w:rsid w:val="0086464B"/>
    <w:rsid w:val="008647FC"/>
    <w:rsid w:val="00864CA8"/>
    <w:rsid w:val="00865E2D"/>
    <w:rsid w:val="008674A9"/>
    <w:rsid w:val="00870E6C"/>
    <w:rsid w:val="00871080"/>
    <w:rsid w:val="008728D6"/>
    <w:rsid w:val="00872BF2"/>
    <w:rsid w:val="00873093"/>
    <w:rsid w:val="00873EB9"/>
    <w:rsid w:val="008744C4"/>
    <w:rsid w:val="00875846"/>
    <w:rsid w:val="00877F1F"/>
    <w:rsid w:val="0088099F"/>
    <w:rsid w:val="00881DD0"/>
    <w:rsid w:val="00882199"/>
    <w:rsid w:val="00884444"/>
    <w:rsid w:val="00884486"/>
    <w:rsid w:val="008871A9"/>
    <w:rsid w:val="008916BA"/>
    <w:rsid w:val="00892176"/>
    <w:rsid w:val="00892DE5"/>
    <w:rsid w:val="008969F3"/>
    <w:rsid w:val="008A0861"/>
    <w:rsid w:val="008A0B8E"/>
    <w:rsid w:val="008A1BF5"/>
    <w:rsid w:val="008A1DB7"/>
    <w:rsid w:val="008A2319"/>
    <w:rsid w:val="008A2E82"/>
    <w:rsid w:val="008A403A"/>
    <w:rsid w:val="008A4C13"/>
    <w:rsid w:val="008A4D96"/>
    <w:rsid w:val="008A6431"/>
    <w:rsid w:val="008B1422"/>
    <w:rsid w:val="008B604D"/>
    <w:rsid w:val="008B68F1"/>
    <w:rsid w:val="008B6D85"/>
    <w:rsid w:val="008B6F3E"/>
    <w:rsid w:val="008B7B87"/>
    <w:rsid w:val="008C4ACA"/>
    <w:rsid w:val="008C54A9"/>
    <w:rsid w:val="008C57E8"/>
    <w:rsid w:val="008C632E"/>
    <w:rsid w:val="008D3410"/>
    <w:rsid w:val="008D4280"/>
    <w:rsid w:val="008E1746"/>
    <w:rsid w:val="008E1966"/>
    <w:rsid w:val="008E67C3"/>
    <w:rsid w:val="008E72AA"/>
    <w:rsid w:val="008F0002"/>
    <w:rsid w:val="008F0993"/>
    <w:rsid w:val="008F270E"/>
    <w:rsid w:val="008F4FFE"/>
    <w:rsid w:val="008F589F"/>
    <w:rsid w:val="008F5EF5"/>
    <w:rsid w:val="008F76A9"/>
    <w:rsid w:val="008F7E67"/>
    <w:rsid w:val="00900DBF"/>
    <w:rsid w:val="009048B9"/>
    <w:rsid w:val="00904E91"/>
    <w:rsid w:val="00905541"/>
    <w:rsid w:val="009058A3"/>
    <w:rsid w:val="00905CC1"/>
    <w:rsid w:val="00911304"/>
    <w:rsid w:val="00915886"/>
    <w:rsid w:val="00916C3A"/>
    <w:rsid w:val="00917572"/>
    <w:rsid w:val="009176F1"/>
    <w:rsid w:val="0092133A"/>
    <w:rsid w:val="009214DC"/>
    <w:rsid w:val="00921EBD"/>
    <w:rsid w:val="00922106"/>
    <w:rsid w:val="0092306E"/>
    <w:rsid w:val="00923529"/>
    <w:rsid w:val="00923E77"/>
    <w:rsid w:val="00927027"/>
    <w:rsid w:val="00930760"/>
    <w:rsid w:val="00931E3E"/>
    <w:rsid w:val="00933BD4"/>
    <w:rsid w:val="009344BA"/>
    <w:rsid w:val="00934BF5"/>
    <w:rsid w:val="00941539"/>
    <w:rsid w:val="00943787"/>
    <w:rsid w:val="009458CA"/>
    <w:rsid w:val="0094665A"/>
    <w:rsid w:val="00946E61"/>
    <w:rsid w:val="0094700B"/>
    <w:rsid w:val="00947734"/>
    <w:rsid w:val="00947B7C"/>
    <w:rsid w:val="00947F78"/>
    <w:rsid w:val="00953234"/>
    <w:rsid w:val="009533DA"/>
    <w:rsid w:val="009541F9"/>
    <w:rsid w:val="009606D2"/>
    <w:rsid w:val="00961A97"/>
    <w:rsid w:val="00961B93"/>
    <w:rsid w:val="00961EAF"/>
    <w:rsid w:val="0096278F"/>
    <w:rsid w:val="00962DC5"/>
    <w:rsid w:val="00963660"/>
    <w:rsid w:val="009647FD"/>
    <w:rsid w:val="009659A6"/>
    <w:rsid w:val="009668E4"/>
    <w:rsid w:val="00966E52"/>
    <w:rsid w:val="0096772B"/>
    <w:rsid w:val="00972610"/>
    <w:rsid w:val="009726E1"/>
    <w:rsid w:val="00972A04"/>
    <w:rsid w:val="00973A08"/>
    <w:rsid w:val="00973D47"/>
    <w:rsid w:val="00976C6E"/>
    <w:rsid w:val="00977591"/>
    <w:rsid w:val="0097785F"/>
    <w:rsid w:val="00980E75"/>
    <w:rsid w:val="00983246"/>
    <w:rsid w:val="009917AB"/>
    <w:rsid w:val="00992E96"/>
    <w:rsid w:val="009930CB"/>
    <w:rsid w:val="00994BE0"/>
    <w:rsid w:val="00996BE6"/>
    <w:rsid w:val="009A25B1"/>
    <w:rsid w:val="009A3F8F"/>
    <w:rsid w:val="009A4608"/>
    <w:rsid w:val="009A6A57"/>
    <w:rsid w:val="009A70BF"/>
    <w:rsid w:val="009B0E06"/>
    <w:rsid w:val="009B11BB"/>
    <w:rsid w:val="009B179E"/>
    <w:rsid w:val="009B1A15"/>
    <w:rsid w:val="009B4909"/>
    <w:rsid w:val="009B5A0A"/>
    <w:rsid w:val="009C0852"/>
    <w:rsid w:val="009C13CA"/>
    <w:rsid w:val="009C2208"/>
    <w:rsid w:val="009C2CD1"/>
    <w:rsid w:val="009C32C6"/>
    <w:rsid w:val="009C665F"/>
    <w:rsid w:val="009C6E13"/>
    <w:rsid w:val="009C6F49"/>
    <w:rsid w:val="009C7513"/>
    <w:rsid w:val="009D1908"/>
    <w:rsid w:val="009D1968"/>
    <w:rsid w:val="009D1C59"/>
    <w:rsid w:val="009D2E8B"/>
    <w:rsid w:val="009D3882"/>
    <w:rsid w:val="009D7E38"/>
    <w:rsid w:val="009E095B"/>
    <w:rsid w:val="009E1846"/>
    <w:rsid w:val="009E283A"/>
    <w:rsid w:val="009E3C71"/>
    <w:rsid w:val="009E4E06"/>
    <w:rsid w:val="009E68CB"/>
    <w:rsid w:val="009E78FF"/>
    <w:rsid w:val="009F1DEC"/>
    <w:rsid w:val="009F306A"/>
    <w:rsid w:val="009F671A"/>
    <w:rsid w:val="00A01494"/>
    <w:rsid w:val="00A026C5"/>
    <w:rsid w:val="00A04D59"/>
    <w:rsid w:val="00A10176"/>
    <w:rsid w:val="00A174B3"/>
    <w:rsid w:val="00A22FA9"/>
    <w:rsid w:val="00A245A9"/>
    <w:rsid w:val="00A25024"/>
    <w:rsid w:val="00A25547"/>
    <w:rsid w:val="00A265FF"/>
    <w:rsid w:val="00A31EDD"/>
    <w:rsid w:val="00A33806"/>
    <w:rsid w:val="00A34D4B"/>
    <w:rsid w:val="00A35F8F"/>
    <w:rsid w:val="00A4107F"/>
    <w:rsid w:val="00A41377"/>
    <w:rsid w:val="00A4156A"/>
    <w:rsid w:val="00A41BE5"/>
    <w:rsid w:val="00A41DA4"/>
    <w:rsid w:val="00A4263D"/>
    <w:rsid w:val="00A4292F"/>
    <w:rsid w:val="00A509B8"/>
    <w:rsid w:val="00A50D06"/>
    <w:rsid w:val="00A51C4A"/>
    <w:rsid w:val="00A52AB9"/>
    <w:rsid w:val="00A55C5F"/>
    <w:rsid w:val="00A56C00"/>
    <w:rsid w:val="00A60057"/>
    <w:rsid w:val="00A6210B"/>
    <w:rsid w:val="00A63D0C"/>
    <w:rsid w:val="00A64A05"/>
    <w:rsid w:val="00A64A26"/>
    <w:rsid w:val="00A64EBF"/>
    <w:rsid w:val="00A66A1D"/>
    <w:rsid w:val="00A66D65"/>
    <w:rsid w:val="00A71200"/>
    <w:rsid w:val="00A7323A"/>
    <w:rsid w:val="00A732F2"/>
    <w:rsid w:val="00A7521E"/>
    <w:rsid w:val="00A7524E"/>
    <w:rsid w:val="00A779ED"/>
    <w:rsid w:val="00A81907"/>
    <w:rsid w:val="00A823CF"/>
    <w:rsid w:val="00A831B4"/>
    <w:rsid w:val="00A83D79"/>
    <w:rsid w:val="00A8696D"/>
    <w:rsid w:val="00A877CA"/>
    <w:rsid w:val="00A87CAD"/>
    <w:rsid w:val="00A95CDD"/>
    <w:rsid w:val="00A97798"/>
    <w:rsid w:val="00AA0F66"/>
    <w:rsid w:val="00AA1B7E"/>
    <w:rsid w:val="00AA264D"/>
    <w:rsid w:val="00AA5213"/>
    <w:rsid w:val="00AA65A6"/>
    <w:rsid w:val="00AA753B"/>
    <w:rsid w:val="00AA75B0"/>
    <w:rsid w:val="00AB0C5E"/>
    <w:rsid w:val="00AB3497"/>
    <w:rsid w:val="00AB3FE9"/>
    <w:rsid w:val="00AB41C3"/>
    <w:rsid w:val="00AC1C61"/>
    <w:rsid w:val="00AC1D8E"/>
    <w:rsid w:val="00AC48FA"/>
    <w:rsid w:val="00AC5C45"/>
    <w:rsid w:val="00AC758B"/>
    <w:rsid w:val="00AC7CDB"/>
    <w:rsid w:val="00AD0240"/>
    <w:rsid w:val="00AD1FC5"/>
    <w:rsid w:val="00AD2B82"/>
    <w:rsid w:val="00AD377C"/>
    <w:rsid w:val="00AD4137"/>
    <w:rsid w:val="00AD5AE2"/>
    <w:rsid w:val="00AD5FDC"/>
    <w:rsid w:val="00AE0EE0"/>
    <w:rsid w:val="00AE5DE8"/>
    <w:rsid w:val="00AE62FE"/>
    <w:rsid w:val="00AF2D68"/>
    <w:rsid w:val="00AF2D6A"/>
    <w:rsid w:val="00AF57C4"/>
    <w:rsid w:val="00AF7533"/>
    <w:rsid w:val="00AF7AB9"/>
    <w:rsid w:val="00AF7F1D"/>
    <w:rsid w:val="00B00AC9"/>
    <w:rsid w:val="00B02DCE"/>
    <w:rsid w:val="00B03478"/>
    <w:rsid w:val="00B037BA"/>
    <w:rsid w:val="00B070AE"/>
    <w:rsid w:val="00B10254"/>
    <w:rsid w:val="00B119A8"/>
    <w:rsid w:val="00B20139"/>
    <w:rsid w:val="00B20704"/>
    <w:rsid w:val="00B218DA"/>
    <w:rsid w:val="00B22B51"/>
    <w:rsid w:val="00B23524"/>
    <w:rsid w:val="00B269E7"/>
    <w:rsid w:val="00B2767D"/>
    <w:rsid w:val="00B33CC5"/>
    <w:rsid w:val="00B342FA"/>
    <w:rsid w:val="00B36B52"/>
    <w:rsid w:val="00B42146"/>
    <w:rsid w:val="00B443E0"/>
    <w:rsid w:val="00B458E5"/>
    <w:rsid w:val="00B45D77"/>
    <w:rsid w:val="00B4754C"/>
    <w:rsid w:val="00B4772C"/>
    <w:rsid w:val="00B5242B"/>
    <w:rsid w:val="00B53E8B"/>
    <w:rsid w:val="00B540C3"/>
    <w:rsid w:val="00B560CC"/>
    <w:rsid w:val="00B56B76"/>
    <w:rsid w:val="00B60286"/>
    <w:rsid w:val="00B60678"/>
    <w:rsid w:val="00B60C6E"/>
    <w:rsid w:val="00B62EE4"/>
    <w:rsid w:val="00B64111"/>
    <w:rsid w:val="00B658FD"/>
    <w:rsid w:val="00B66300"/>
    <w:rsid w:val="00B67CF3"/>
    <w:rsid w:val="00B70775"/>
    <w:rsid w:val="00B70872"/>
    <w:rsid w:val="00B757DA"/>
    <w:rsid w:val="00B774D2"/>
    <w:rsid w:val="00B775B8"/>
    <w:rsid w:val="00B8015A"/>
    <w:rsid w:val="00B82470"/>
    <w:rsid w:val="00B82A57"/>
    <w:rsid w:val="00B83821"/>
    <w:rsid w:val="00B91B86"/>
    <w:rsid w:val="00B92A71"/>
    <w:rsid w:val="00B92D67"/>
    <w:rsid w:val="00B9610E"/>
    <w:rsid w:val="00BA053B"/>
    <w:rsid w:val="00BA1642"/>
    <w:rsid w:val="00BA1DF3"/>
    <w:rsid w:val="00BA70BE"/>
    <w:rsid w:val="00BB13F0"/>
    <w:rsid w:val="00BB35AE"/>
    <w:rsid w:val="00BB788E"/>
    <w:rsid w:val="00BC03A1"/>
    <w:rsid w:val="00BC0552"/>
    <w:rsid w:val="00BC0578"/>
    <w:rsid w:val="00BC0D25"/>
    <w:rsid w:val="00BC28BD"/>
    <w:rsid w:val="00BC4CBE"/>
    <w:rsid w:val="00BD168E"/>
    <w:rsid w:val="00BD2505"/>
    <w:rsid w:val="00BD3599"/>
    <w:rsid w:val="00BD723E"/>
    <w:rsid w:val="00BD7F76"/>
    <w:rsid w:val="00BE5431"/>
    <w:rsid w:val="00BE592D"/>
    <w:rsid w:val="00BF52B0"/>
    <w:rsid w:val="00BF5697"/>
    <w:rsid w:val="00C064BA"/>
    <w:rsid w:val="00C104FE"/>
    <w:rsid w:val="00C14CCC"/>
    <w:rsid w:val="00C14D0D"/>
    <w:rsid w:val="00C166EB"/>
    <w:rsid w:val="00C1695E"/>
    <w:rsid w:val="00C173EA"/>
    <w:rsid w:val="00C1787D"/>
    <w:rsid w:val="00C2020D"/>
    <w:rsid w:val="00C22C1C"/>
    <w:rsid w:val="00C23741"/>
    <w:rsid w:val="00C30A5C"/>
    <w:rsid w:val="00C31460"/>
    <w:rsid w:val="00C31772"/>
    <w:rsid w:val="00C33F2E"/>
    <w:rsid w:val="00C346D1"/>
    <w:rsid w:val="00C34936"/>
    <w:rsid w:val="00C34C14"/>
    <w:rsid w:val="00C355B9"/>
    <w:rsid w:val="00C37EF1"/>
    <w:rsid w:val="00C401C4"/>
    <w:rsid w:val="00C41680"/>
    <w:rsid w:val="00C41FE1"/>
    <w:rsid w:val="00C42442"/>
    <w:rsid w:val="00C44AC7"/>
    <w:rsid w:val="00C46E3D"/>
    <w:rsid w:val="00C50DB6"/>
    <w:rsid w:val="00C53F55"/>
    <w:rsid w:val="00C55086"/>
    <w:rsid w:val="00C556BF"/>
    <w:rsid w:val="00C606FC"/>
    <w:rsid w:val="00C60A25"/>
    <w:rsid w:val="00C610DD"/>
    <w:rsid w:val="00C677F2"/>
    <w:rsid w:val="00C67B8E"/>
    <w:rsid w:val="00C70609"/>
    <w:rsid w:val="00C715FE"/>
    <w:rsid w:val="00C74A72"/>
    <w:rsid w:val="00C765C5"/>
    <w:rsid w:val="00C775CE"/>
    <w:rsid w:val="00C77D8D"/>
    <w:rsid w:val="00C81CCA"/>
    <w:rsid w:val="00C82479"/>
    <w:rsid w:val="00C825C0"/>
    <w:rsid w:val="00C828AF"/>
    <w:rsid w:val="00C8371A"/>
    <w:rsid w:val="00C867F0"/>
    <w:rsid w:val="00C903DB"/>
    <w:rsid w:val="00C91173"/>
    <w:rsid w:val="00C9337F"/>
    <w:rsid w:val="00C96D26"/>
    <w:rsid w:val="00C976B5"/>
    <w:rsid w:val="00CA06D8"/>
    <w:rsid w:val="00CA0E5E"/>
    <w:rsid w:val="00CA30F4"/>
    <w:rsid w:val="00CA345A"/>
    <w:rsid w:val="00CB07B7"/>
    <w:rsid w:val="00CB0C4F"/>
    <w:rsid w:val="00CB0FD1"/>
    <w:rsid w:val="00CB4814"/>
    <w:rsid w:val="00CB49FF"/>
    <w:rsid w:val="00CB5633"/>
    <w:rsid w:val="00CB5E28"/>
    <w:rsid w:val="00CC02CF"/>
    <w:rsid w:val="00CC086A"/>
    <w:rsid w:val="00CC14CF"/>
    <w:rsid w:val="00CC2BD1"/>
    <w:rsid w:val="00CC3E29"/>
    <w:rsid w:val="00CC6FDC"/>
    <w:rsid w:val="00CD0B3C"/>
    <w:rsid w:val="00CD0E24"/>
    <w:rsid w:val="00CD0F66"/>
    <w:rsid w:val="00CD252E"/>
    <w:rsid w:val="00CD364B"/>
    <w:rsid w:val="00CD65F4"/>
    <w:rsid w:val="00CE23B8"/>
    <w:rsid w:val="00CE284E"/>
    <w:rsid w:val="00CE28DF"/>
    <w:rsid w:val="00CE3D64"/>
    <w:rsid w:val="00CE50D7"/>
    <w:rsid w:val="00CF4CBE"/>
    <w:rsid w:val="00CF5F29"/>
    <w:rsid w:val="00CF713A"/>
    <w:rsid w:val="00D00344"/>
    <w:rsid w:val="00D00C03"/>
    <w:rsid w:val="00D1022B"/>
    <w:rsid w:val="00D10A1A"/>
    <w:rsid w:val="00D14D1E"/>
    <w:rsid w:val="00D16BD7"/>
    <w:rsid w:val="00D1754D"/>
    <w:rsid w:val="00D20EF7"/>
    <w:rsid w:val="00D2223F"/>
    <w:rsid w:val="00D22317"/>
    <w:rsid w:val="00D274A4"/>
    <w:rsid w:val="00D277AF"/>
    <w:rsid w:val="00D310B6"/>
    <w:rsid w:val="00D31163"/>
    <w:rsid w:val="00D320B1"/>
    <w:rsid w:val="00D33AFD"/>
    <w:rsid w:val="00D34CB7"/>
    <w:rsid w:val="00D3588E"/>
    <w:rsid w:val="00D35EA1"/>
    <w:rsid w:val="00D36489"/>
    <w:rsid w:val="00D369E9"/>
    <w:rsid w:val="00D36A04"/>
    <w:rsid w:val="00D41654"/>
    <w:rsid w:val="00D42195"/>
    <w:rsid w:val="00D44100"/>
    <w:rsid w:val="00D460F8"/>
    <w:rsid w:val="00D47F7D"/>
    <w:rsid w:val="00D50704"/>
    <w:rsid w:val="00D53961"/>
    <w:rsid w:val="00D54396"/>
    <w:rsid w:val="00D55D3A"/>
    <w:rsid w:val="00D56F74"/>
    <w:rsid w:val="00D5760A"/>
    <w:rsid w:val="00D61410"/>
    <w:rsid w:val="00D61451"/>
    <w:rsid w:val="00D63DDF"/>
    <w:rsid w:val="00D6517F"/>
    <w:rsid w:val="00D679E5"/>
    <w:rsid w:val="00D76AD0"/>
    <w:rsid w:val="00D80C07"/>
    <w:rsid w:val="00D8181D"/>
    <w:rsid w:val="00D827CA"/>
    <w:rsid w:val="00D86D6D"/>
    <w:rsid w:val="00D968D8"/>
    <w:rsid w:val="00DA1E30"/>
    <w:rsid w:val="00DA563D"/>
    <w:rsid w:val="00DA6753"/>
    <w:rsid w:val="00DA7277"/>
    <w:rsid w:val="00DB296A"/>
    <w:rsid w:val="00DB3627"/>
    <w:rsid w:val="00DB4724"/>
    <w:rsid w:val="00DB526D"/>
    <w:rsid w:val="00DB573D"/>
    <w:rsid w:val="00DB6944"/>
    <w:rsid w:val="00DB7387"/>
    <w:rsid w:val="00DB7EF4"/>
    <w:rsid w:val="00DC2071"/>
    <w:rsid w:val="00DC3E88"/>
    <w:rsid w:val="00DC46BA"/>
    <w:rsid w:val="00DC4746"/>
    <w:rsid w:val="00DC7AF7"/>
    <w:rsid w:val="00DD03B6"/>
    <w:rsid w:val="00DD1E2E"/>
    <w:rsid w:val="00DD5636"/>
    <w:rsid w:val="00DD5A81"/>
    <w:rsid w:val="00DD6C7A"/>
    <w:rsid w:val="00DD75AD"/>
    <w:rsid w:val="00DE42D7"/>
    <w:rsid w:val="00DE57F8"/>
    <w:rsid w:val="00DE6AD5"/>
    <w:rsid w:val="00DE7149"/>
    <w:rsid w:val="00DE7E53"/>
    <w:rsid w:val="00DF0D4C"/>
    <w:rsid w:val="00DF2AF3"/>
    <w:rsid w:val="00DF2B63"/>
    <w:rsid w:val="00DF4CE8"/>
    <w:rsid w:val="00DF5D6E"/>
    <w:rsid w:val="00E0314C"/>
    <w:rsid w:val="00E032AA"/>
    <w:rsid w:val="00E033DB"/>
    <w:rsid w:val="00E06EAA"/>
    <w:rsid w:val="00E12344"/>
    <w:rsid w:val="00E13848"/>
    <w:rsid w:val="00E1508F"/>
    <w:rsid w:val="00E17C25"/>
    <w:rsid w:val="00E20D91"/>
    <w:rsid w:val="00E22BFD"/>
    <w:rsid w:val="00E247E1"/>
    <w:rsid w:val="00E25F0D"/>
    <w:rsid w:val="00E261DF"/>
    <w:rsid w:val="00E27240"/>
    <w:rsid w:val="00E27EDD"/>
    <w:rsid w:val="00E30584"/>
    <w:rsid w:val="00E30E57"/>
    <w:rsid w:val="00E310B9"/>
    <w:rsid w:val="00E33D58"/>
    <w:rsid w:val="00E35D0B"/>
    <w:rsid w:val="00E36043"/>
    <w:rsid w:val="00E3709F"/>
    <w:rsid w:val="00E37E1B"/>
    <w:rsid w:val="00E40F81"/>
    <w:rsid w:val="00E44C55"/>
    <w:rsid w:val="00E45D31"/>
    <w:rsid w:val="00E4644A"/>
    <w:rsid w:val="00E4678B"/>
    <w:rsid w:val="00E47A68"/>
    <w:rsid w:val="00E515D3"/>
    <w:rsid w:val="00E528DC"/>
    <w:rsid w:val="00E53F5D"/>
    <w:rsid w:val="00E55D69"/>
    <w:rsid w:val="00E562C0"/>
    <w:rsid w:val="00E57C65"/>
    <w:rsid w:val="00E57FAF"/>
    <w:rsid w:val="00E63812"/>
    <w:rsid w:val="00E66728"/>
    <w:rsid w:val="00E672D6"/>
    <w:rsid w:val="00E679F8"/>
    <w:rsid w:val="00E71974"/>
    <w:rsid w:val="00E76024"/>
    <w:rsid w:val="00E76C2B"/>
    <w:rsid w:val="00E80962"/>
    <w:rsid w:val="00E80E91"/>
    <w:rsid w:val="00E814C9"/>
    <w:rsid w:val="00E82E56"/>
    <w:rsid w:val="00E83E42"/>
    <w:rsid w:val="00E842D3"/>
    <w:rsid w:val="00E851C4"/>
    <w:rsid w:val="00E856A2"/>
    <w:rsid w:val="00E87483"/>
    <w:rsid w:val="00E90940"/>
    <w:rsid w:val="00E9248B"/>
    <w:rsid w:val="00E92BC7"/>
    <w:rsid w:val="00E94061"/>
    <w:rsid w:val="00E954A6"/>
    <w:rsid w:val="00E9572E"/>
    <w:rsid w:val="00E967AD"/>
    <w:rsid w:val="00E96884"/>
    <w:rsid w:val="00E96BCB"/>
    <w:rsid w:val="00EA3FF7"/>
    <w:rsid w:val="00EA5435"/>
    <w:rsid w:val="00EA5F47"/>
    <w:rsid w:val="00EB2180"/>
    <w:rsid w:val="00EB455E"/>
    <w:rsid w:val="00EB5A17"/>
    <w:rsid w:val="00EC2BE9"/>
    <w:rsid w:val="00EC381C"/>
    <w:rsid w:val="00EC679B"/>
    <w:rsid w:val="00EC6AFB"/>
    <w:rsid w:val="00EC79DE"/>
    <w:rsid w:val="00ED43F7"/>
    <w:rsid w:val="00ED4ACE"/>
    <w:rsid w:val="00ED58A1"/>
    <w:rsid w:val="00ED70B4"/>
    <w:rsid w:val="00ED7E95"/>
    <w:rsid w:val="00EE30D5"/>
    <w:rsid w:val="00EE4D35"/>
    <w:rsid w:val="00EE7D1F"/>
    <w:rsid w:val="00EF1295"/>
    <w:rsid w:val="00EF24CD"/>
    <w:rsid w:val="00EF2DA7"/>
    <w:rsid w:val="00EF4697"/>
    <w:rsid w:val="00EF4BEA"/>
    <w:rsid w:val="00F00A51"/>
    <w:rsid w:val="00F0130D"/>
    <w:rsid w:val="00F03694"/>
    <w:rsid w:val="00F04A17"/>
    <w:rsid w:val="00F04E40"/>
    <w:rsid w:val="00F07F9E"/>
    <w:rsid w:val="00F1098D"/>
    <w:rsid w:val="00F1389A"/>
    <w:rsid w:val="00F1412B"/>
    <w:rsid w:val="00F143C8"/>
    <w:rsid w:val="00F15BFA"/>
    <w:rsid w:val="00F16CFB"/>
    <w:rsid w:val="00F17A74"/>
    <w:rsid w:val="00F207DB"/>
    <w:rsid w:val="00F23A12"/>
    <w:rsid w:val="00F2411F"/>
    <w:rsid w:val="00F30BD7"/>
    <w:rsid w:val="00F310F1"/>
    <w:rsid w:val="00F34FAB"/>
    <w:rsid w:val="00F36C1F"/>
    <w:rsid w:val="00F37BA4"/>
    <w:rsid w:val="00F40EF9"/>
    <w:rsid w:val="00F4191E"/>
    <w:rsid w:val="00F41C56"/>
    <w:rsid w:val="00F421E0"/>
    <w:rsid w:val="00F430CB"/>
    <w:rsid w:val="00F43463"/>
    <w:rsid w:val="00F435AA"/>
    <w:rsid w:val="00F45310"/>
    <w:rsid w:val="00F45F6A"/>
    <w:rsid w:val="00F46961"/>
    <w:rsid w:val="00F5129A"/>
    <w:rsid w:val="00F514DD"/>
    <w:rsid w:val="00F536CB"/>
    <w:rsid w:val="00F54C4E"/>
    <w:rsid w:val="00F56F9D"/>
    <w:rsid w:val="00F5738A"/>
    <w:rsid w:val="00F612D4"/>
    <w:rsid w:val="00F668F2"/>
    <w:rsid w:val="00F70D16"/>
    <w:rsid w:val="00F71AF9"/>
    <w:rsid w:val="00F7389E"/>
    <w:rsid w:val="00F77F1D"/>
    <w:rsid w:val="00F8422B"/>
    <w:rsid w:val="00F85A82"/>
    <w:rsid w:val="00F86F35"/>
    <w:rsid w:val="00F87C57"/>
    <w:rsid w:val="00F87CCB"/>
    <w:rsid w:val="00F9250F"/>
    <w:rsid w:val="00FA128E"/>
    <w:rsid w:val="00FA219A"/>
    <w:rsid w:val="00FA3B60"/>
    <w:rsid w:val="00FA48C7"/>
    <w:rsid w:val="00FA61EA"/>
    <w:rsid w:val="00FA635B"/>
    <w:rsid w:val="00FA6E3A"/>
    <w:rsid w:val="00FA75A0"/>
    <w:rsid w:val="00FB225C"/>
    <w:rsid w:val="00FB3E20"/>
    <w:rsid w:val="00FB4632"/>
    <w:rsid w:val="00FB46F5"/>
    <w:rsid w:val="00FB51FB"/>
    <w:rsid w:val="00FB73C1"/>
    <w:rsid w:val="00FB7504"/>
    <w:rsid w:val="00FC09AD"/>
    <w:rsid w:val="00FC11F9"/>
    <w:rsid w:val="00FC3EF9"/>
    <w:rsid w:val="00FC4E86"/>
    <w:rsid w:val="00FC7254"/>
    <w:rsid w:val="00FC7297"/>
    <w:rsid w:val="00FD7A48"/>
    <w:rsid w:val="00FE0F13"/>
    <w:rsid w:val="00FE15C4"/>
    <w:rsid w:val="00FE4642"/>
    <w:rsid w:val="00FE4798"/>
    <w:rsid w:val="00FE61AB"/>
    <w:rsid w:val="00FE660A"/>
    <w:rsid w:val="00FE68CD"/>
    <w:rsid w:val="00FF1D2A"/>
    <w:rsid w:val="00FF3383"/>
    <w:rsid w:val="00FF66F6"/>
    <w:rsid w:val="00FF6CAF"/>
    <w:rsid w:val="00FF6ED6"/>
    <w:rsid w:val="00FF6F24"/>
    <w:rsid w:val="00FF7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CM23">
    <w:name w:val="CM23"/>
    <w:basedOn w:val="Normal"/>
    <w:next w:val="Normal"/>
    <w:uiPriority w:val="99"/>
    <w:rsid w:val="00973D47"/>
    <w:pPr>
      <w:widowControl w:val="0"/>
      <w:autoSpaceDE w:val="0"/>
      <w:autoSpaceDN w:val="0"/>
      <w:adjustRightInd w:val="0"/>
      <w:spacing w:before="120" w:after="0" w:line="240" w:lineRule="auto"/>
    </w:pPr>
    <w:rPr>
      <w:rFonts w:ascii="Trebuchet MS" w:eastAsia="Times New Roman" w:hAnsi="Trebuchet MS" w:cs="Times New Roman"/>
      <w:sz w:val="24"/>
      <w:szCs w:val="24"/>
    </w:rPr>
  </w:style>
  <w:style w:type="character" w:customStyle="1" w:styleId="UnresolvedMention1">
    <w:name w:val="Unresolved Mention1"/>
    <w:basedOn w:val="DefaultParagraphFont"/>
    <w:uiPriority w:val="99"/>
    <w:semiHidden/>
    <w:unhideWhenUsed/>
    <w:rsid w:val="00B92A71"/>
    <w:rPr>
      <w:color w:val="808080"/>
      <w:shd w:val="clear" w:color="auto" w:fill="E6E6E6"/>
    </w:rPr>
  </w:style>
  <w:style w:type="character" w:customStyle="1" w:styleId="UnresolvedMention2">
    <w:name w:val="Unresolved Mention2"/>
    <w:basedOn w:val="DefaultParagraphFont"/>
    <w:uiPriority w:val="99"/>
    <w:semiHidden/>
    <w:unhideWhenUsed/>
    <w:rsid w:val="00FB4632"/>
    <w:rPr>
      <w:color w:val="808080"/>
      <w:shd w:val="clear" w:color="auto" w:fill="E6E6E6"/>
    </w:rPr>
  </w:style>
  <w:style w:type="paragraph" w:styleId="Caption">
    <w:name w:val="caption"/>
    <w:basedOn w:val="Normal"/>
    <w:next w:val="Normal"/>
    <w:uiPriority w:val="35"/>
    <w:semiHidden/>
    <w:unhideWhenUsed/>
    <w:qFormat/>
    <w:rsid w:val="009C6F49"/>
    <w:pPr>
      <w:spacing w:line="240" w:lineRule="auto"/>
    </w:pPr>
    <w:rPr>
      <w:i/>
      <w:iCs/>
      <w:color w:val="1F497D" w:themeColor="text2"/>
      <w:sz w:val="18"/>
      <w:szCs w:val="18"/>
    </w:rPr>
  </w:style>
  <w:style w:type="character" w:customStyle="1" w:styleId="author">
    <w:name w:val="author"/>
    <w:basedOn w:val="DefaultParagraphFont"/>
    <w:rsid w:val="004D7331"/>
  </w:style>
  <w:style w:type="character" w:customStyle="1" w:styleId="articletitle">
    <w:name w:val="articletitle"/>
    <w:basedOn w:val="DefaultParagraphFont"/>
    <w:rsid w:val="004D7331"/>
  </w:style>
  <w:style w:type="character" w:customStyle="1" w:styleId="pubyear">
    <w:name w:val="pubyear"/>
    <w:basedOn w:val="DefaultParagraphFont"/>
    <w:rsid w:val="004D7331"/>
  </w:style>
  <w:style w:type="character" w:customStyle="1" w:styleId="vol">
    <w:name w:val="vol"/>
    <w:basedOn w:val="DefaultParagraphFont"/>
    <w:rsid w:val="004D7331"/>
  </w:style>
  <w:style w:type="character" w:customStyle="1" w:styleId="pagefirst">
    <w:name w:val="pagefirst"/>
    <w:basedOn w:val="DefaultParagraphFont"/>
    <w:rsid w:val="004D7331"/>
  </w:style>
  <w:style w:type="character" w:customStyle="1" w:styleId="pagelast">
    <w:name w:val="pagelast"/>
    <w:basedOn w:val="DefaultParagraphFont"/>
    <w:rsid w:val="004D7331"/>
  </w:style>
  <w:style w:type="character" w:styleId="UnresolvedMention">
    <w:name w:val="Unresolved Mention"/>
    <w:basedOn w:val="DefaultParagraphFont"/>
    <w:uiPriority w:val="99"/>
    <w:semiHidden/>
    <w:unhideWhenUsed/>
    <w:rsid w:val="002B5303"/>
    <w:rPr>
      <w:color w:val="808080"/>
      <w:shd w:val="clear" w:color="auto" w:fill="E6E6E6"/>
    </w:rPr>
  </w:style>
  <w:style w:type="character" w:customStyle="1" w:styleId="bullet">
    <w:name w:val="bullet"/>
    <w:basedOn w:val="DefaultParagraphFont"/>
    <w:rsid w:val="00205265"/>
  </w:style>
  <w:style w:type="character" w:styleId="HTMLCite">
    <w:name w:val="HTML Cite"/>
    <w:basedOn w:val="DefaultParagraphFont"/>
    <w:uiPriority w:val="99"/>
    <w:semiHidden/>
    <w:unhideWhenUsed/>
    <w:rsid w:val="00205265"/>
    <w:rPr>
      <w:i/>
      <w:iCs/>
    </w:rPr>
  </w:style>
  <w:style w:type="character" w:customStyle="1" w:styleId="journaltitle">
    <w:name w:val="journaltitle"/>
    <w:basedOn w:val="DefaultParagraphFont"/>
    <w:rsid w:val="00205265"/>
  </w:style>
  <w:style w:type="character" w:customStyle="1" w:styleId="openurl">
    <w:name w:val="openurl"/>
    <w:basedOn w:val="DefaultParagraphFont"/>
    <w:rsid w:val="00205265"/>
  </w:style>
  <w:style w:type="character" w:customStyle="1" w:styleId="citedissue">
    <w:name w:val="citedissue"/>
    <w:basedOn w:val="DefaultParagraphFont"/>
    <w:rsid w:val="00205265"/>
  </w:style>
  <w:style w:type="paragraph" w:customStyle="1" w:styleId="Default">
    <w:name w:val="Default"/>
    <w:rsid w:val="0003513D"/>
    <w:pPr>
      <w:autoSpaceDE w:val="0"/>
      <w:autoSpaceDN w:val="0"/>
      <w:adjustRightInd w:val="0"/>
      <w:spacing w:after="0" w:line="240" w:lineRule="auto"/>
    </w:pPr>
    <w:rPr>
      <w:rFonts w:ascii="Code" w:hAnsi="Code" w:cs="Cod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57685">
      <w:bodyDiv w:val="1"/>
      <w:marLeft w:val="0"/>
      <w:marRight w:val="0"/>
      <w:marTop w:val="0"/>
      <w:marBottom w:val="0"/>
      <w:divBdr>
        <w:top w:val="none" w:sz="0" w:space="0" w:color="auto"/>
        <w:left w:val="none" w:sz="0" w:space="0" w:color="auto"/>
        <w:bottom w:val="none" w:sz="0" w:space="0" w:color="auto"/>
        <w:right w:val="none" w:sz="0" w:space="0" w:color="auto"/>
      </w:divBdr>
    </w:div>
    <w:div w:id="40322631">
      <w:bodyDiv w:val="1"/>
      <w:marLeft w:val="0"/>
      <w:marRight w:val="0"/>
      <w:marTop w:val="0"/>
      <w:marBottom w:val="0"/>
      <w:divBdr>
        <w:top w:val="none" w:sz="0" w:space="0" w:color="auto"/>
        <w:left w:val="none" w:sz="0" w:space="0" w:color="auto"/>
        <w:bottom w:val="none" w:sz="0" w:space="0" w:color="auto"/>
        <w:right w:val="none" w:sz="0" w:space="0" w:color="auto"/>
      </w:divBdr>
      <w:divsChild>
        <w:div w:id="1354841859">
          <w:marLeft w:val="0"/>
          <w:marRight w:val="0"/>
          <w:marTop w:val="0"/>
          <w:marBottom w:val="0"/>
          <w:divBdr>
            <w:top w:val="none" w:sz="0" w:space="0" w:color="auto"/>
            <w:left w:val="none" w:sz="0" w:space="0" w:color="auto"/>
            <w:bottom w:val="none" w:sz="0" w:space="0" w:color="auto"/>
            <w:right w:val="none" w:sz="0" w:space="0" w:color="auto"/>
          </w:divBdr>
        </w:div>
        <w:div w:id="1574582665">
          <w:marLeft w:val="0"/>
          <w:marRight w:val="0"/>
          <w:marTop w:val="0"/>
          <w:marBottom w:val="0"/>
          <w:divBdr>
            <w:top w:val="none" w:sz="0" w:space="0" w:color="auto"/>
            <w:left w:val="none" w:sz="0" w:space="0" w:color="auto"/>
            <w:bottom w:val="none" w:sz="0" w:space="0" w:color="auto"/>
            <w:right w:val="none" w:sz="0" w:space="0" w:color="auto"/>
          </w:divBdr>
        </w:div>
        <w:div w:id="1344674193">
          <w:marLeft w:val="0"/>
          <w:marRight w:val="0"/>
          <w:marTop w:val="0"/>
          <w:marBottom w:val="0"/>
          <w:divBdr>
            <w:top w:val="none" w:sz="0" w:space="0" w:color="auto"/>
            <w:left w:val="none" w:sz="0" w:space="0" w:color="auto"/>
            <w:bottom w:val="none" w:sz="0" w:space="0" w:color="auto"/>
            <w:right w:val="none" w:sz="0" w:space="0" w:color="auto"/>
          </w:divBdr>
        </w:div>
        <w:div w:id="1540388551">
          <w:marLeft w:val="0"/>
          <w:marRight w:val="0"/>
          <w:marTop w:val="0"/>
          <w:marBottom w:val="0"/>
          <w:divBdr>
            <w:top w:val="none" w:sz="0" w:space="0" w:color="auto"/>
            <w:left w:val="none" w:sz="0" w:space="0" w:color="auto"/>
            <w:bottom w:val="none" w:sz="0" w:space="0" w:color="auto"/>
            <w:right w:val="none" w:sz="0" w:space="0" w:color="auto"/>
          </w:divBdr>
        </w:div>
        <w:div w:id="1647473129">
          <w:marLeft w:val="0"/>
          <w:marRight w:val="0"/>
          <w:marTop w:val="0"/>
          <w:marBottom w:val="0"/>
          <w:divBdr>
            <w:top w:val="none" w:sz="0" w:space="0" w:color="auto"/>
            <w:left w:val="none" w:sz="0" w:space="0" w:color="auto"/>
            <w:bottom w:val="none" w:sz="0" w:space="0" w:color="auto"/>
            <w:right w:val="none" w:sz="0" w:space="0" w:color="auto"/>
          </w:divBdr>
        </w:div>
        <w:div w:id="374505125">
          <w:marLeft w:val="0"/>
          <w:marRight w:val="0"/>
          <w:marTop w:val="0"/>
          <w:marBottom w:val="0"/>
          <w:divBdr>
            <w:top w:val="none" w:sz="0" w:space="0" w:color="auto"/>
            <w:left w:val="none" w:sz="0" w:space="0" w:color="auto"/>
            <w:bottom w:val="none" w:sz="0" w:space="0" w:color="auto"/>
            <w:right w:val="none" w:sz="0" w:space="0" w:color="auto"/>
          </w:divBdr>
        </w:div>
        <w:div w:id="944382785">
          <w:marLeft w:val="0"/>
          <w:marRight w:val="0"/>
          <w:marTop w:val="0"/>
          <w:marBottom w:val="0"/>
          <w:divBdr>
            <w:top w:val="none" w:sz="0" w:space="0" w:color="auto"/>
            <w:left w:val="none" w:sz="0" w:space="0" w:color="auto"/>
            <w:bottom w:val="none" w:sz="0" w:space="0" w:color="auto"/>
            <w:right w:val="none" w:sz="0" w:space="0" w:color="auto"/>
          </w:divBdr>
        </w:div>
        <w:div w:id="349263499">
          <w:marLeft w:val="0"/>
          <w:marRight w:val="0"/>
          <w:marTop w:val="0"/>
          <w:marBottom w:val="0"/>
          <w:divBdr>
            <w:top w:val="none" w:sz="0" w:space="0" w:color="auto"/>
            <w:left w:val="none" w:sz="0" w:space="0" w:color="auto"/>
            <w:bottom w:val="none" w:sz="0" w:space="0" w:color="auto"/>
            <w:right w:val="none" w:sz="0" w:space="0" w:color="auto"/>
          </w:divBdr>
        </w:div>
        <w:div w:id="1060058649">
          <w:marLeft w:val="0"/>
          <w:marRight w:val="0"/>
          <w:marTop w:val="0"/>
          <w:marBottom w:val="0"/>
          <w:divBdr>
            <w:top w:val="none" w:sz="0" w:space="0" w:color="auto"/>
            <w:left w:val="none" w:sz="0" w:space="0" w:color="auto"/>
            <w:bottom w:val="none" w:sz="0" w:space="0" w:color="auto"/>
            <w:right w:val="none" w:sz="0" w:space="0" w:color="auto"/>
          </w:divBdr>
        </w:div>
        <w:div w:id="1755273819">
          <w:marLeft w:val="0"/>
          <w:marRight w:val="0"/>
          <w:marTop w:val="0"/>
          <w:marBottom w:val="0"/>
          <w:divBdr>
            <w:top w:val="none" w:sz="0" w:space="0" w:color="auto"/>
            <w:left w:val="none" w:sz="0" w:space="0" w:color="auto"/>
            <w:bottom w:val="none" w:sz="0" w:space="0" w:color="auto"/>
            <w:right w:val="none" w:sz="0" w:space="0" w:color="auto"/>
          </w:divBdr>
        </w:div>
        <w:div w:id="97722361">
          <w:marLeft w:val="0"/>
          <w:marRight w:val="0"/>
          <w:marTop w:val="0"/>
          <w:marBottom w:val="0"/>
          <w:divBdr>
            <w:top w:val="none" w:sz="0" w:space="0" w:color="auto"/>
            <w:left w:val="none" w:sz="0" w:space="0" w:color="auto"/>
            <w:bottom w:val="none" w:sz="0" w:space="0" w:color="auto"/>
            <w:right w:val="none" w:sz="0" w:space="0" w:color="auto"/>
          </w:divBdr>
        </w:div>
        <w:div w:id="923758521">
          <w:marLeft w:val="0"/>
          <w:marRight w:val="0"/>
          <w:marTop w:val="0"/>
          <w:marBottom w:val="0"/>
          <w:divBdr>
            <w:top w:val="none" w:sz="0" w:space="0" w:color="auto"/>
            <w:left w:val="none" w:sz="0" w:space="0" w:color="auto"/>
            <w:bottom w:val="none" w:sz="0" w:space="0" w:color="auto"/>
            <w:right w:val="none" w:sz="0" w:space="0" w:color="auto"/>
          </w:divBdr>
        </w:div>
        <w:div w:id="886643871">
          <w:marLeft w:val="0"/>
          <w:marRight w:val="0"/>
          <w:marTop w:val="0"/>
          <w:marBottom w:val="0"/>
          <w:divBdr>
            <w:top w:val="none" w:sz="0" w:space="0" w:color="auto"/>
            <w:left w:val="none" w:sz="0" w:space="0" w:color="auto"/>
            <w:bottom w:val="none" w:sz="0" w:space="0" w:color="auto"/>
            <w:right w:val="none" w:sz="0" w:space="0" w:color="auto"/>
          </w:divBdr>
        </w:div>
        <w:div w:id="216357845">
          <w:marLeft w:val="0"/>
          <w:marRight w:val="0"/>
          <w:marTop w:val="0"/>
          <w:marBottom w:val="0"/>
          <w:divBdr>
            <w:top w:val="none" w:sz="0" w:space="0" w:color="auto"/>
            <w:left w:val="none" w:sz="0" w:space="0" w:color="auto"/>
            <w:bottom w:val="none" w:sz="0" w:space="0" w:color="auto"/>
            <w:right w:val="none" w:sz="0" w:space="0" w:color="auto"/>
          </w:divBdr>
        </w:div>
        <w:div w:id="409617267">
          <w:marLeft w:val="0"/>
          <w:marRight w:val="0"/>
          <w:marTop w:val="0"/>
          <w:marBottom w:val="0"/>
          <w:divBdr>
            <w:top w:val="none" w:sz="0" w:space="0" w:color="auto"/>
            <w:left w:val="none" w:sz="0" w:space="0" w:color="auto"/>
            <w:bottom w:val="none" w:sz="0" w:space="0" w:color="auto"/>
            <w:right w:val="none" w:sz="0" w:space="0" w:color="auto"/>
          </w:divBdr>
        </w:div>
        <w:div w:id="577404267">
          <w:marLeft w:val="0"/>
          <w:marRight w:val="0"/>
          <w:marTop w:val="0"/>
          <w:marBottom w:val="0"/>
          <w:divBdr>
            <w:top w:val="none" w:sz="0" w:space="0" w:color="auto"/>
            <w:left w:val="none" w:sz="0" w:space="0" w:color="auto"/>
            <w:bottom w:val="none" w:sz="0" w:space="0" w:color="auto"/>
            <w:right w:val="none" w:sz="0" w:space="0" w:color="auto"/>
          </w:divBdr>
        </w:div>
        <w:div w:id="469595166">
          <w:marLeft w:val="0"/>
          <w:marRight w:val="0"/>
          <w:marTop w:val="0"/>
          <w:marBottom w:val="0"/>
          <w:divBdr>
            <w:top w:val="none" w:sz="0" w:space="0" w:color="auto"/>
            <w:left w:val="none" w:sz="0" w:space="0" w:color="auto"/>
            <w:bottom w:val="none" w:sz="0" w:space="0" w:color="auto"/>
            <w:right w:val="none" w:sz="0" w:space="0" w:color="auto"/>
          </w:divBdr>
        </w:div>
        <w:div w:id="1603731544">
          <w:marLeft w:val="0"/>
          <w:marRight w:val="0"/>
          <w:marTop w:val="0"/>
          <w:marBottom w:val="0"/>
          <w:divBdr>
            <w:top w:val="none" w:sz="0" w:space="0" w:color="auto"/>
            <w:left w:val="none" w:sz="0" w:space="0" w:color="auto"/>
            <w:bottom w:val="none" w:sz="0" w:space="0" w:color="auto"/>
            <w:right w:val="none" w:sz="0" w:space="0" w:color="auto"/>
          </w:divBdr>
        </w:div>
        <w:div w:id="629674234">
          <w:marLeft w:val="0"/>
          <w:marRight w:val="0"/>
          <w:marTop w:val="0"/>
          <w:marBottom w:val="0"/>
          <w:divBdr>
            <w:top w:val="none" w:sz="0" w:space="0" w:color="auto"/>
            <w:left w:val="none" w:sz="0" w:space="0" w:color="auto"/>
            <w:bottom w:val="none" w:sz="0" w:space="0" w:color="auto"/>
            <w:right w:val="none" w:sz="0" w:space="0" w:color="auto"/>
          </w:divBdr>
        </w:div>
        <w:div w:id="1331061324">
          <w:marLeft w:val="0"/>
          <w:marRight w:val="0"/>
          <w:marTop w:val="0"/>
          <w:marBottom w:val="0"/>
          <w:divBdr>
            <w:top w:val="none" w:sz="0" w:space="0" w:color="auto"/>
            <w:left w:val="none" w:sz="0" w:space="0" w:color="auto"/>
            <w:bottom w:val="none" w:sz="0" w:space="0" w:color="auto"/>
            <w:right w:val="none" w:sz="0" w:space="0" w:color="auto"/>
          </w:divBdr>
        </w:div>
        <w:div w:id="497964293">
          <w:marLeft w:val="0"/>
          <w:marRight w:val="0"/>
          <w:marTop w:val="0"/>
          <w:marBottom w:val="0"/>
          <w:divBdr>
            <w:top w:val="none" w:sz="0" w:space="0" w:color="auto"/>
            <w:left w:val="none" w:sz="0" w:space="0" w:color="auto"/>
            <w:bottom w:val="none" w:sz="0" w:space="0" w:color="auto"/>
            <w:right w:val="none" w:sz="0" w:space="0" w:color="auto"/>
          </w:divBdr>
        </w:div>
        <w:div w:id="1001198401">
          <w:marLeft w:val="0"/>
          <w:marRight w:val="0"/>
          <w:marTop w:val="0"/>
          <w:marBottom w:val="0"/>
          <w:divBdr>
            <w:top w:val="none" w:sz="0" w:space="0" w:color="auto"/>
            <w:left w:val="none" w:sz="0" w:space="0" w:color="auto"/>
            <w:bottom w:val="none" w:sz="0" w:space="0" w:color="auto"/>
            <w:right w:val="none" w:sz="0" w:space="0" w:color="auto"/>
          </w:divBdr>
        </w:div>
        <w:div w:id="608582073">
          <w:marLeft w:val="0"/>
          <w:marRight w:val="0"/>
          <w:marTop w:val="0"/>
          <w:marBottom w:val="0"/>
          <w:divBdr>
            <w:top w:val="none" w:sz="0" w:space="0" w:color="auto"/>
            <w:left w:val="none" w:sz="0" w:space="0" w:color="auto"/>
            <w:bottom w:val="none" w:sz="0" w:space="0" w:color="auto"/>
            <w:right w:val="none" w:sz="0" w:space="0" w:color="auto"/>
          </w:divBdr>
        </w:div>
      </w:divsChild>
    </w:div>
    <w:div w:id="270171051">
      <w:bodyDiv w:val="1"/>
      <w:marLeft w:val="0"/>
      <w:marRight w:val="0"/>
      <w:marTop w:val="0"/>
      <w:marBottom w:val="0"/>
      <w:divBdr>
        <w:top w:val="none" w:sz="0" w:space="0" w:color="auto"/>
        <w:left w:val="none" w:sz="0" w:space="0" w:color="auto"/>
        <w:bottom w:val="none" w:sz="0" w:space="0" w:color="auto"/>
        <w:right w:val="none" w:sz="0" w:space="0" w:color="auto"/>
      </w:divBdr>
    </w:div>
    <w:div w:id="303001797">
      <w:bodyDiv w:val="1"/>
      <w:marLeft w:val="0"/>
      <w:marRight w:val="0"/>
      <w:marTop w:val="0"/>
      <w:marBottom w:val="0"/>
      <w:divBdr>
        <w:top w:val="none" w:sz="0" w:space="0" w:color="auto"/>
        <w:left w:val="none" w:sz="0" w:space="0" w:color="auto"/>
        <w:bottom w:val="none" w:sz="0" w:space="0" w:color="auto"/>
        <w:right w:val="none" w:sz="0" w:space="0" w:color="auto"/>
      </w:divBdr>
    </w:div>
    <w:div w:id="381950328">
      <w:bodyDiv w:val="1"/>
      <w:marLeft w:val="0"/>
      <w:marRight w:val="0"/>
      <w:marTop w:val="0"/>
      <w:marBottom w:val="0"/>
      <w:divBdr>
        <w:top w:val="none" w:sz="0" w:space="0" w:color="auto"/>
        <w:left w:val="none" w:sz="0" w:space="0" w:color="auto"/>
        <w:bottom w:val="none" w:sz="0" w:space="0" w:color="auto"/>
        <w:right w:val="none" w:sz="0" w:space="0" w:color="auto"/>
      </w:divBdr>
    </w:div>
    <w:div w:id="411198811">
      <w:bodyDiv w:val="1"/>
      <w:marLeft w:val="0"/>
      <w:marRight w:val="0"/>
      <w:marTop w:val="0"/>
      <w:marBottom w:val="0"/>
      <w:divBdr>
        <w:top w:val="none" w:sz="0" w:space="0" w:color="auto"/>
        <w:left w:val="none" w:sz="0" w:space="0" w:color="auto"/>
        <w:bottom w:val="none" w:sz="0" w:space="0" w:color="auto"/>
        <w:right w:val="none" w:sz="0" w:space="0" w:color="auto"/>
      </w:divBdr>
      <w:divsChild>
        <w:div w:id="1720280802">
          <w:marLeft w:val="0"/>
          <w:marRight w:val="0"/>
          <w:marTop w:val="0"/>
          <w:marBottom w:val="0"/>
          <w:divBdr>
            <w:top w:val="none" w:sz="0" w:space="0" w:color="auto"/>
            <w:left w:val="none" w:sz="0" w:space="0" w:color="auto"/>
            <w:bottom w:val="none" w:sz="0" w:space="0" w:color="auto"/>
            <w:right w:val="none" w:sz="0" w:space="0" w:color="auto"/>
          </w:divBdr>
          <w:divsChild>
            <w:div w:id="1440415923">
              <w:marLeft w:val="0"/>
              <w:marRight w:val="0"/>
              <w:marTop w:val="900"/>
              <w:marBottom w:val="0"/>
              <w:divBdr>
                <w:top w:val="none" w:sz="0" w:space="0" w:color="auto"/>
                <w:left w:val="none" w:sz="0" w:space="0" w:color="auto"/>
                <w:bottom w:val="none" w:sz="0" w:space="0" w:color="auto"/>
                <w:right w:val="none" w:sz="0" w:space="0" w:color="auto"/>
              </w:divBdr>
              <w:divsChild>
                <w:div w:id="665983177">
                  <w:marLeft w:val="0"/>
                  <w:marRight w:val="0"/>
                  <w:marTop w:val="0"/>
                  <w:marBottom w:val="0"/>
                  <w:divBdr>
                    <w:top w:val="none" w:sz="0" w:space="0" w:color="auto"/>
                    <w:left w:val="none" w:sz="0" w:space="0" w:color="auto"/>
                    <w:bottom w:val="none" w:sz="0" w:space="0" w:color="auto"/>
                    <w:right w:val="none" w:sz="0" w:space="0" w:color="auto"/>
                  </w:divBdr>
                  <w:divsChild>
                    <w:div w:id="1581020179">
                      <w:marLeft w:val="0"/>
                      <w:marRight w:val="0"/>
                      <w:marTop w:val="0"/>
                      <w:marBottom w:val="0"/>
                      <w:divBdr>
                        <w:top w:val="none" w:sz="0" w:space="0" w:color="auto"/>
                        <w:left w:val="none" w:sz="0" w:space="0" w:color="auto"/>
                        <w:bottom w:val="none" w:sz="0" w:space="0" w:color="auto"/>
                        <w:right w:val="none" w:sz="0" w:space="0" w:color="auto"/>
                      </w:divBdr>
                      <w:divsChild>
                        <w:div w:id="1548250509">
                          <w:marLeft w:val="0"/>
                          <w:marRight w:val="0"/>
                          <w:marTop w:val="0"/>
                          <w:marBottom w:val="0"/>
                          <w:divBdr>
                            <w:top w:val="none" w:sz="0" w:space="0" w:color="auto"/>
                            <w:left w:val="none" w:sz="0" w:space="0" w:color="auto"/>
                            <w:bottom w:val="none" w:sz="0" w:space="0" w:color="auto"/>
                            <w:right w:val="none" w:sz="0" w:space="0" w:color="auto"/>
                          </w:divBdr>
                          <w:divsChild>
                            <w:div w:id="1679962001">
                              <w:marLeft w:val="0"/>
                              <w:marRight w:val="0"/>
                              <w:marTop w:val="0"/>
                              <w:marBottom w:val="0"/>
                              <w:divBdr>
                                <w:top w:val="none" w:sz="0" w:space="0" w:color="auto"/>
                                <w:left w:val="none" w:sz="0" w:space="0" w:color="auto"/>
                                <w:bottom w:val="none" w:sz="0" w:space="0" w:color="auto"/>
                                <w:right w:val="none" w:sz="0" w:space="0" w:color="auto"/>
                              </w:divBdr>
                              <w:divsChild>
                                <w:div w:id="673340398">
                                  <w:marLeft w:val="0"/>
                                  <w:marRight w:val="0"/>
                                  <w:marTop w:val="0"/>
                                  <w:marBottom w:val="0"/>
                                  <w:divBdr>
                                    <w:top w:val="none" w:sz="0" w:space="0" w:color="auto"/>
                                    <w:left w:val="none" w:sz="0" w:space="0" w:color="auto"/>
                                    <w:bottom w:val="none" w:sz="0" w:space="0" w:color="auto"/>
                                    <w:right w:val="none" w:sz="0" w:space="0" w:color="auto"/>
                                  </w:divBdr>
                                  <w:divsChild>
                                    <w:div w:id="2094231554">
                                      <w:marLeft w:val="0"/>
                                      <w:marRight w:val="0"/>
                                      <w:marTop w:val="0"/>
                                      <w:marBottom w:val="0"/>
                                      <w:divBdr>
                                        <w:top w:val="none" w:sz="0" w:space="0" w:color="auto"/>
                                        <w:left w:val="none" w:sz="0" w:space="0" w:color="auto"/>
                                        <w:bottom w:val="none" w:sz="0" w:space="0" w:color="auto"/>
                                        <w:right w:val="none" w:sz="0" w:space="0" w:color="auto"/>
                                      </w:divBdr>
                                      <w:divsChild>
                                        <w:div w:id="1393192921">
                                          <w:marLeft w:val="0"/>
                                          <w:marRight w:val="0"/>
                                          <w:marTop w:val="15"/>
                                          <w:marBottom w:val="0"/>
                                          <w:divBdr>
                                            <w:top w:val="none" w:sz="0" w:space="0" w:color="auto"/>
                                            <w:left w:val="none" w:sz="0" w:space="0" w:color="auto"/>
                                            <w:bottom w:val="none" w:sz="0" w:space="0" w:color="auto"/>
                                            <w:right w:val="none" w:sz="0" w:space="0" w:color="auto"/>
                                          </w:divBdr>
                                          <w:divsChild>
                                            <w:div w:id="797719408">
                                              <w:marLeft w:val="0"/>
                                              <w:marRight w:val="0"/>
                                              <w:marTop w:val="0"/>
                                              <w:marBottom w:val="0"/>
                                              <w:divBdr>
                                                <w:top w:val="none" w:sz="0" w:space="0" w:color="auto"/>
                                                <w:left w:val="none" w:sz="0" w:space="0" w:color="auto"/>
                                                <w:bottom w:val="none" w:sz="0" w:space="0" w:color="auto"/>
                                                <w:right w:val="none" w:sz="0" w:space="0" w:color="auto"/>
                                              </w:divBdr>
                                              <w:divsChild>
                                                <w:div w:id="1609968715">
                                                  <w:marLeft w:val="0"/>
                                                  <w:marRight w:val="0"/>
                                                  <w:marTop w:val="0"/>
                                                  <w:marBottom w:val="0"/>
                                                  <w:divBdr>
                                                    <w:top w:val="none" w:sz="0" w:space="0" w:color="auto"/>
                                                    <w:left w:val="none" w:sz="0" w:space="0" w:color="auto"/>
                                                    <w:bottom w:val="none" w:sz="0" w:space="0" w:color="auto"/>
                                                    <w:right w:val="none" w:sz="0" w:space="0" w:color="auto"/>
                                                  </w:divBdr>
                                                </w:div>
                                                <w:div w:id="133117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7560487">
      <w:bodyDiv w:val="1"/>
      <w:marLeft w:val="0"/>
      <w:marRight w:val="0"/>
      <w:marTop w:val="0"/>
      <w:marBottom w:val="0"/>
      <w:divBdr>
        <w:top w:val="none" w:sz="0" w:space="0" w:color="auto"/>
        <w:left w:val="none" w:sz="0" w:space="0" w:color="auto"/>
        <w:bottom w:val="none" w:sz="0" w:space="0" w:color="auto"/>
        <w:right w:val="none" w:sz="0" w:space="0" w:color="auto"/>
      </w:divBdr>
    </w:div>
    <w:div w:id="429469459">
      <w:bodyDiv w:val="1"/>
      <w:marLeft w:val="0"/>
      <w:marRight w:val="0"/>
      <w:marTop w:val="0"/>
      <w:marBottom w:val="0"/>
      <w:divBdr>
        <w:top w:val="none" w:sz="0" w:space="0" w:color="auto"/>
        <w:left w:val="none" w:sz="0" w:space="0" w:color="auto"/>
        <w:bottom w:val="none" w:sz="0" w:space="0" w:color="auto"/>
        <w:right w:val="none" w:sz="0" w:space="0" w:color="auto"/>
      </w:divBdr>
    </w:div>
    <w:div w:id="49256905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47912361">
      <w:bodyDiv w:val="1"/>
      <w:marLeft w:val="0"/>
      <w:marRight w:val="0"/>
      <w:marTop w:val="0"/>
      <w:marBottom w:val="0"/>
      <w:divBdr>
        <w:top w:val="none" w:sz="0" w:space="0" w:color="auto"/>
        <w:left w:val="none" w:sz="0" w:space="0" w:color="auto"/>
        <w:bottom w:val="none" w:sz="0" w:space="0" w:color="auto"/>
        <w:right w:val="none" w:sz="0" w:space="0" w:color="auto"/>
      </w:divBdr>
      <w:divsChild>
        <w:div w:id="1593778947">
          <w:marLeft w:val="0"/>
          <w:marRight w:val="0"/>
          <w:marTop w:val="0"/>
          <w:marBottom w:val="0"/>
          <w:divBdr>
            <w:top w:val="none" w:sz="0" w:space="0" w:color="auto"/>
            <w:left w:val="none" w:sz="0" w:space="0" w:color="auto"/>
            <w:bottom w:val="none" w:sz="0" w:space="0" w:color="auto"/>
            <w:right w:val="none" w:sz="0" w:space="0" w:color="auto"/>
          </w:divBdr>
        </w:div>
        <w:div w:id="1266228027">
          <w:marLeft w:val="0"/>
          <w:marRight w:val="0"/>
          <w:marTop w:val="0"/>
          <w:marBottom w:val="0"/>
          <w:divBdr>
            <w:top w:val="none" w:sz="0" w:space="0" w:color="auto"/>
            <w:left w:val="none" w:sz="0" w:space="0" w:color="auto"/>
            <w:bottom w:val="none" w:sz="0" w:space="0" w:color="auto"/>
            <w:right w:val="none" w:sz="0" w:space="0" w:color="auto"/>
          </w:divBdr>
        </w:div>
        <w:div w:id="773478212">
          <w:marLeft w:val="0"/>
          <w:marRight w:val="0"/>
          <w:marTop w:val="0"/>
          <w:marBottom w:val="0"/>
          <w:divBdr>
            <w:top w:val="none" w:sz="0" w:space="0" w:color="auto"/>
            <w:left w:val="none" w:sz="0" w:space="0" w:color="auto"/>
            <w:bottom w:val="none" w:sz="0" w:space="0" w:color="auto"/>
            <w:right w:val="none" w:sz="0" w:space="0" w:color="auto"/>
          </w:divBdr>
        </w:div>
        <w:div w:id="1982732542">
          <w:marLeft w:val="0"/>
          <w:marRight w:val="0"/>
          <w:marTop w:val="0"/>
          <w:marBottom w:val="0"/>
          <w:divBdr>
            <w:top w:val="none" w:sz="0" w:space="0" w:color="auto"/>
            <w:left w:val="none" w:sz="0" w:space="0" w:color="auto"/>
            <w:bottom w:val="none" w:sz="0" w:space="0" w:color="auto"/>
            <w:right w:val="none" w:sz="0" w:space="0" w:color="auto"/>
          </w:divBdr>
        </w:div>
        <w:div w:id="1420247738">
          <w:marLeft w:val="0"/>
          <w:marRight w:val="0"/>
          <w:marTop w:val="0"/>
          <w:marBottom w:val="0"/>
          <w:divBdr>
            <w:top w:val="none" w:sz="0" w:space="0" w:color="auto"/>
            <w:left w:val="none" w:sz="0" w:space="0" w:color="auto"/>
            <w:bottom w:val="none" w:sz="0" w:space="0" w:color="auto"/>
            <w:right w:val="none" w:sz="0" w:space="0" w:color="auto"/>
          </w:divBdr>
        </w:div>
        <w:div w:id="64035219">
          <w:marLeft w:val="0"/>
          <w:marRight w:val="0"/>
          <w:marTop w:val="0"/>
          <w:marBottom w:val="0"/>
          <w:divBdr>
            <w:top w:val="none" w:sz="0" w:space="0" w:color="auto"/>
            <w:left w:val="none" w:sz="0" w:space="0" w:color="auto"/>
            <w:bottom w:val="none" w:sz="0" w:space="0" w:color="auto"/>
            <w:right w:val="none" w:sz="0" w:space="0" w:color="auto"/>
          </w:divBdr>
        </w:div>
        <w:div w:id="621038942">
          <w:marLeft w:val="0"/>
          <w:marRight w:val="0"/>
          <w:marTop w:val="0"/>
          <w:marBottom w:val="0"/>
          <w:divBdr>
            <w:top w:val="none" w:sz="0" w:space="0" w:color="auto"/>
            <w:left w:val="none" w:sz="0" w:space="0" w:color="auto"/>
            <w:bottom w:val="none" w:sz="0" w:space="0" w:color="auto"/>
            <w:right w:val="none" w:sz="0" w:space="0" w:color="auto"/>
          </w:divBdr>
        </w:div>
        <w:div w:id="879974243">
          <w:marLeft w:val="0"/>
          <w:marRight w:val="0"/>
          <w:marTop w:val="0"/>
          <w:marBottom w:val="0"/>
          <w:divBdr>
            <w:top w:val="none" w:sz="0" w:space="0" w:color="auto"/>
            <w:left w:val="none" w:sz="0" w:space="0" w:color="auto"/>
            <w:bottom w:val="none" w:sz="0" w:space="0" w:color="auto"/>
            <w:right w:val="none" w:sz="0" w:space="0" w:color="auto"/>
          </w:divBdr>
        </w:div>
        <w:div w:id="83379398">
          <w:marLeft w:val="0"/>
          <w:marRight w:val="0"/>
          <w:marTop w:val="0"/>
          <w:marBottom w:val="0"/>
          <w:divBdr>
            <w:top w:val="none" w:sz="0" w:space="0" w:color="auto"/>
            <w:left w:val="none" w:sz="0" w:space="0" w:color="auto"/>
            <w:bottom w:val="none" w:sz="0" w:space="0" w:color="auto"/>
            <w:right w:val="none" w:sz="0" w:space="0" w:color="auto"/>
          </w:divBdr>
        </w:div>
        <w:div w:id="2085906755">
          <w:marLeft w:val="0"/>
          <w:marRight w:val="0"/>
          <w:marTop w:val="0"/>
          <w:marBottom w:val="0"/>
          <w:divBdr>
            <w:top w:val="none" w:sz="0" w:space="0" w:color="auto"/>
            <w:left w:val="none" w:sz="0" w:space="0" w:color="auto"/>
            <w:bottom w:val="none" w:sz="0" w:space="0" w:color="auto"/>
            <w:right w:val="none" w:sz="0" w:space="0" w:color="auto"/>
          </w:divBdr>
        </w:div>
        <w:div w:id="1362972807">
          <w:marLeft w:val="0"/>
          <w:marRight w:val="0"/>
          <w:marTop w:val="0"/>
          <w:marBottom w:val="0"/>
          <w:divBdr>
            <w:top w:val="none" w:sz="0" w:space="0" w:color="auto"/>
            <w:left w:val="none" w:sz="0" w:space="0" w:color="auto"/>
            <w:bottom w:val="none" w:sz="0" w:space="0" w:color="auto"/>
            <w:right w:val="none" w:sz="0" w:space="0" w:color="auto"/>
          </w:divBdr>
        </w:div>
        <w:div w:id="1590001594">
          <w:marLeft w:val="0"/>
          <w:marRight w:val="0"/>
          <w:marTop w:val="0"/>
          <w:marBottom w:val="0"/>
          <w:divBdr>
            <w:top w:val="none" w:sz="0" w:space="0" w:color="auto"/>
            <w:left w:val="none" w:sz="0" w:space="0" w:color="auto"/>
            <w:bottom w:val="none" w:sz="0" w:space="0" w:color="auto"/>
            <w:right w:val="none" w:sz="0" w:space="0" w:color="auto"/>
          </w:divBdr>
        </w:div>
        <w:div w:id="841042622">
          <w:marLeft w:val="0"/>
          <w:marRight w:val="0"/>
          <w:marTop w:val="0"/>
          <w:marBottom w:val="0"/>
          <w:divBdr>
            <w:top w:val="none" w:sz="0" w:space="0" w:color="auto"/>
            <w:left w:val="none" w:sz="0" w:space="0" w:color="auto"/>
            <w:bottom w:val="none" w:sz="0" w:space="0" w:color="auto"/>
            <w:right w:val="none" w:sz="0" w:space="0" w:color="auto"/>
          </w:divBdr>
        </w:div>
        <w:div w:id="2142576968">
          <w:marLeft w:val="0"/>
          <w:marRight w:val="0"/>
          <w:marTop w:val="0"/>
          <w:marBottom w:val="0"/>
          <w:divBdr>
            <w:top w:val="none" w:sz="0" w:space="0" w:color="auto"/>
            <w:left w:val="none" w:sz="0" w:space="0" w:color="auto"/>
            <w:bottom w:val="none" w:sz="0" w:space="0" w:color="auto"/>
            <w:right w:val="none" w:sz="0" w:space="0" w:color="auto"/>
          </w:divBdr>
        </w:div>
        <w:div w:id="1259946441">
          <w:marLeft w:val="0"/>
          <w:marRight w:val="0"/>
          <w:marTop w:val="0"/>
          <w:marBottom w:val="0"/>
          <w:divBdr>
            <w:top w:val="none" w:sz="0" w:space="0" w:color="auto"/>
            <w:left w:val="none" w:sz="0" w:space="0" w:color="auto"/>
            <w:bottom w:val="none" w:sz="0" w:space="0" w:color="auto"/>
            <w:right w:val="none" w:sz="0" w:space="0" w:color="auto"/>
          </w:divBdr>
        </w:div>
        <w:div w:id="1153259167">
          <w:marLeft w:val="0"/>
          <w:marRight w:val="0"/>
          <w:marTop w:val="0"/>
          <w:marBottom w:val="0"/>
          <w:divBdr>
            <w:top w:val="none" w:sz="0" w:space="0" w:color="auto"/>
            <w:left w:val="none" w:sz="0" w:space="0" w:color="auto"/>
            <w:bottom w:val="none" w:sz="0" w:space="0" w:color="auto"/>
            <w:right w:val="none" w:sz="0" w:space="0" w:color="auto"/>
          </w:divBdr>
        </w:div>
        <w:div w:id="641421537">
          <w:marLeft w:val="0"/>
          <w:marRight w:val="0"/>
          <w:marTop w:val="0"/>
          <w:marBottom w:val="0"/>
          <w:divBdr>
            <w:top w:val="none" w:sz="0" w:space="0" w:color="auto"/>
            <w:left w:val="none" w:sz="0" w:space="0" w:color="auto"/>
            <w:bottom w:val="none" w:sz="0" w:space="0" w:color="auto"/>
            <w:right w:val="none" w:sz="0" w:space="0" w:color="auto"/>
          </w:divBdr>
        </w:div>
        <w:div w:id="1932354421">
          <w:marLeft w:val="0"/>
          <w:marRight w:val="0"/>
          <w:marTop w:val="0"/>
          <w:marBottom w:val="0"/>
          <w:divBdr>
            <w:top w:val="none" w:sz="0" w:space="0" w:color="auto"/>
            <w:left w:val="none" w:sz="0" w:space="0" w:color="auto"/>
            <w:bottom w:val="none" w:sz="0" w:space="0" w:color="auto"/>
            <w:right w:val="none" w:sz="0" w:space="0" w:color="auto"/>
          </w:divBdr>
        </w:div>
        <w:div w:id="474763509">
          <w:marLeft w:val="0"/>
          <w:marRight w:val="0"/>
          <w:marTop w:val="0"/>
          <w:marBottom w:val="0"/>
          <w:divBdr>
            <w:top w:val="none" w:sz="0" w:space="0" w:color="auto"/>
            <w:left w:val="none" w:sz="0" w:space="0" w:color="auto"/>
            <w:bottom w:val="none" w:sz="0" w:space="0" w:color="auto"/>
            <w:right w:val="none" w:sz="0" w:space="0" w:color="auto"/>
          </w:divBdr>
        </w:div>
        <w:div w:id="2028553735">
          <w:marLeft w:val="0"/>
          <w:marRight w:val="0"/>
          <w:marTop w:val="0"/>
          <w:marBottom w:val="0"/>
          <w:divBdr>
            <w:top w:val="none" w:sz="0" w:space="0" w:color="auto"/>
            <w:left w:val="none" w:sz="0" w:space="0" w:color="auto"/>
            <w:bottom w:val="none" w:sz="0" w:space="0" w:color="auto"/>
            <w:right w:val="none" w:sz="0" w:space="0" w:color="auto"/>
          </w:divBdr>
        </w:div>
        <w:div w:id="522943486">
          <w:marLeft w:val="0"/>
          <w:marRight w:val="0"/>
          <w:marTop w:val="0"/>
          <w:marBottom w:val="0"/>
          <w:divBdr>
            <w:top w:val="none" w:sz="0" w:space="0" w:color="auto"/>
            <w:left w:val="none" w:sz="0" w:space="0" w:color="auto"/>
            <w:bottom w:val="none" w:sz="0" w:space="0" w:color="auto"/>
            <w:right w:val="none" w:sz="0" w:space="0" w:color="auto"/>
          </w:divBdr>
        </w:div>
        <w:div w:id="1646818924">
          <w:marLeft w:val="0"/>
          <w:marRight w:val="0"/>
          <w:marTop w:val="0"/>
          <w:marBottom w:val="0"/>
          <w:divBdr>
            <w:top w:val="none" w:sz="0" w:space="0" w:color="auto"/>
            <w:left w:val="none" w:sz="0" w:space="0" w:color="auto"/>
            <w:bottom w:val="none" w:sz="0" w:space="0" w:color="auto"/>
            <w:right w:val="none" w:sz="0" w:space="0" w:color="auto"/>
          </w:divBdr>
        </w:div>
        <w:div w:id="1149056051">
          <w:marLeft w:val="0"/>
          <w:marRight w:val="0"/>
          <w:marTop w:val="0"/>
          <w:marBottom w:val="0"/>
          <w:divBdr>
            <w:top w:val="none" w:sz="0" w:space="0" w:color="auto"/>
            <w:left w:val="none" w:sz="0" w:space="0" w:color="auto"/>
            <w:bottom w:val="none" w:sz="0" w:space="0" w:color="auto"/>
            <w:right w:val="none" w:sz="0" w:space="0" w:color="auto"/>
          </w:divBdr>
        </w:div>
      </w:divsChild>
    </w:div>
    <w:div w:id="585111158">
      <w:bodyDiv w:val="1"/>
      <w:marLeft w:val="0"/>
      <w:marRight w:val="0"/>
      <w:marTop w:val="0"/>
      <w:marBottom w:val="0"/>
      <w:divBdr>
        <w:top w:val="none" w:sz="0" w:space="0" w:color="auto"/>
        <w:left w:val="none" w:sz="0" w:space="0" w:color="auto"/>
        <w:bottom w:val="none" w:sz="0" w:space="0" w:color="auto"/>
        <w:right w:val="none" w:sz="0" w:space="0" w:color="auto"/>
      </w:divBdr>
    </w:div>
    <w:div w:id="588391103">
      <w:bodyDiv w:val="1"/>
      <w:marLeft w:val="0"/>
      <w:marRight w:val="0"/>
      <w:marTop w:val="0"/>
      <w:marBottom w:val="0"/>
      <w:divBdr>
        <w:top w:val="none" w:sz="0" w:space="0" w:color="auto"/>
        <w:left w:val="none" w:sz="0" w:space="0" w:color="auto"/>
        <w:bottom w:val="none" w:sz="0" w:space="0" w:color="auto"/>
        <w:right w:val="none" w:sz="0" w:space="0" w:color="auto"/>
      </w:divBdr>
      <w:divsChild>
        <w:div w:id="1867987519">
          <w:marLeft w:val="0"/>
          <w:marRight w:val="0"/>
          <w:marTop w:val="0"/>
          <w:marBottom w:val="0"/>
          <w:divBdr>
            <w:top w:val="none" w:sz="0" w:space="0" w:color="auto"/>
            <w:left w:val="none" w:sz="0" w:space="0" w:color="auto"/>
            <w:bottom w:val="none" w:sz="0" w:space="0" w:color="auto"/>
            <w:right w:val="none" w:sz="0" w:space="0" w:color="auto"/>
          </w:divBdr>
          <w:divsChild>
            <w:div w:id="2143038079">
              <w:marLeft w:val="0"/>
              <w:marRight w:val="0"/>
              <w:marTop w:val="225"/>
              <w:marBottom w:val="0"/>
              <w:divBdr>
                <w:top w:val="none" w:sz="0" w:space="0" w:color="auto"/>
                <w:left w:val="none" w:sz="0" w:space="0" w:color="auto"/>
                <w:bottom w:val="none" w:sz="0" w:space="0" w:color="auto"/>
                <w:right w:val="none" w:sz="0" w:space="0" w:color="auto"/>
              </w:divBdr>
            </w:div>
          </w:divsChild>
        </w:div>
        <w:div w:id="1935505742">
          <w:marLeft w:val="0"/>
          <w:marRight w:val="0"/>
          <w:marTop w:val="0"/>
          <w:marBottom w:val="0"/>
          <w:divBdr>
            <w:top w:val="none" w:sz="0" w:space="0" w:color="auto"/>
            <w:left w:val="none" w:sz="0" w:space="0" w:color="auto"/>
            <w:bottom w:val="none" w:sz="0" w:space="0" w:color="auto"/>
            <w:right w:val="none" w:sz="0" w:space="0" w:color="auto"/>
          </w:divBdr>
          <w:divsChild>
            <w:div w:id="344673098">
              <w:marLeft w:val="0"/>
              <w:marRight w:val="0"/>
              <w:marTop w:val="225"/>
              <w:marBottom w:val="0"/>
              <w:divBdr>
                <w:top w:val="none" w:sz="0" w:space="0" w:color="auto"/>
                <w:left w:val="none" w:sz="0" w:space="0" w:color="auto"/>
                <w:bottom w:val="none" w:sz="0" w:space="0" w:color="auto"/>
                <w:right w:val="none" w:sz="0" w:space="0" w:color="auto"/>
              </w:divBdr>
            </w:div>
          </w:divsChild>
        </w:div>
        <w:div w:id="1413548107">
          <w:marLeft w:val="0"/>
          <w:marRight w:val="0"/>
          <w:marTop w:val="0"/>
          <w:marBottom w:val="0"/>
          <w:divBdr>
            <w:top w:val="none" w:sz="0" w:space="0" w:color="auto"/>
            <w:left w:val="none" w:sz="0" w:space="0" w:color="auto"/>
            <w:bottom w:val="none" w:sz="0" w:space="0" w:color="auto"/>
            <w:right w:val="none" w:sz="0" w:space="0" w:color="auto"/>
          </w:divBdr>
        </w:div>
      </w:divsChild>
    </w:div>
    <w:div w:id="624893799">
      <w:bodyDiv w:val="1"/>
      <w:marLeft w:val="0"/>
      <w:marRight w:val="0"/>
      <w:marTop w:val="0"/>
      <w:marBottom w:val="0"/>
      <w:divBdr>
        <w:top w:val="none" w:sz="0" w:space="0" w:color="auto"/>
        <w:left w:val="none" w:sz="0" w:space="0" w:color="auto"/>
        <w:bottom w:val="none" w:sz="0" w:space="0" w:color="auto"/>
        <w:right w:val="none" w:sz="0" w:space="0" w:color="auto"/>
      </w:divBdr>
    </w:div>
    <w:div w:id="681933603">
      <w:bodyDiv w:val="1"/>
      <w:marLeft w:val="0"/>
      <w:marRight w:val="0"/>
      <w:marTop w:val="0"/>
      <w:marBottom w:val="0"/>
      <w:divBdr>
        <w:top w:val="none" w:sz="0" w:space="0" w:color="auto"/>
        <w:left w:val="none" w:sz="0" w:space="0" w:color="auto"/>
        <w:bottom w:val="none" w:sz="0" w:space="0" w:color="auto"/>
        <w:right w:val="none" w:sz="0" w:space="0" w:color="auto"/>
      </w:divBdr>
      <w:divsChild>
        <w:div w:id="1986160183">
          <w:marLeft w:val="0"/>
          <w:marRight w:val="0"/>
          <w:marTop w:val="0"/>
          <w:marBottom w:val="0"/>
          <w:divBdr>
            <w:top w:val="none" w:sz="0" w:space="0" w:color="auto"/>
            <w:left w:val="none" w:sz="0" w:space="0" w:color="auto"/>
            <w:bottom w:val="none" w:sz="0" w:space="0" w:color="auto"/>
            <w:right w:val="none" w:sz="0" w:space="0" w:color="auto"/>
          </w:divBdr>
        </w:div>
        <w:div w:id="1740403061">
          <w:marLeft w:val="0"/>
          <w:marRight w:val="0"/>
          <w:marTop w:val="0"/>
          <w:marBottom w:val="0"/>
          <w:divBdr>
            <w:top w:val="none" w:sz="0" w:space="0" w:color="auto"/>
            <w:left w:val="none" w:sz="0" w:space="0" w:color="auto"/>
            <w:bottom w:val="none" w:sz="0" w:space="0" w:color="auto"/>
            <w:right w:val="none" w:sz="0" w:space="0" w:color="auto"/>
          </w:divBdr>
        </w:div>
        <w:div w:id="1036195905">
          <w:marLeft w:val="0"/>
          <w:marRight w:val="0"/>
          <w:marTop w:val="0"/>
          <w:marBottom w:val="0"/>
          <w:divBdr>
            <w:top w:val="none" w:sz="0" w:space="0" w:color="auto"/>
            <w:left w:val="none" w:sz="0" w:space="0" w:color="auto"/>
            <w:bottom w:val="none" w:sz="0" w:space="0" w:color="auto"/>
            <w:right w:val="none" w:sz="0" w:space="0" w:color="auto"/>
          </w:divBdr>
        </w:div>
        <w:div w:id="145635282">
          <w:marLeft w:val="0"/>
          <w:marRight w:val="0"/>
          <w:marTop w:val="0"/>
          <w:marBottom w:val="0"/>
          <w:divBdr>
            <w:top w:val="none" w:sz="0" w:space="0" w:color="auto"/>
            <w:left w:val="none" w:sz="0" w:space="0" w:color="auto"/>
            <w:bottom w:val="none" w:sz="0" w:space="0" w:color="auto"/>
            <w:right w:val="none" w:sz="0" w:space="0" w:color="auto"/>
          </w:divBdr>
        </w:div>
        <w:div w:id="345134450">
          <w:marLeft w:val="0"/>
          <w:marRight w:val="0"/>
          <w:marTop w:val="0"/>
          <w:marBottom w:val="0"/>
          <w:divBdr>
            <w:top w:val="none" w:sz="0" w:space="0" w:color="auto"/>
            <w:left w:val="none" w:sz="0" w:space="0" w:color="auto"/>
            <w:bottom w:val="none" w:sz="0" w:space="0" w:color="auto"/>
            <w:right w:val="none" w:sz="0" w:space="0" w:color="auto"/>
          </w:divBdr>
        </w:div>
        <w:div w:id="656301266">
          <w:marLeft w:val="0"/>
          <w:marRight w:val="0"/>
          <w:marTop w:val="0"/>
          <w:marBottom w:val="0"/>
          <w:divBdr>
            <w:top w:val="none" w:sz="0" w:space="0" w:color="auto"/>
            <w:left w:val="none" w:sz="0" w:space="0" w:color="auto"/>
            <w:bottom w:val="none" w:sz="0" w:space="0" w:color="auto"/>
            <w:right w:val="none" w:sz="0" w:space="0" w:color="auto"/>
          </w:divBdr>
        </w:div>
        <w:div w:id="2118215114">
          <w:marLeft w:val="0"/>
          <w:marRight w:val="0"/>
          <w:marTop w:val="0"/>
          <w:marBottom w:val="0"/>
          <w:divBdr>
            <w:top w:val="none" w:sz="0" w:space="0" w:color="auto"/>
            <w:left w:val="none" w:sz="0" w:space="0" w:color="auto"/>
            <w:bottom w:val="none" w:sz="0" w:space="0" w:color="auto"/>
            <w:right w:val="none" w:sz="0" w:space="0" w:color="auto"/>
          </w:divBdr>
        </w:div>
        <w:div w:id="687952322">
          <w:marLeft w:val="0"/>
          <w:marRight w:val="0"/>
          <w:marTop w:val="0"/>
          <w:marBottom w:val="0"/>
          <w:divBdr>
            <w:top w:val="none" w:sz="0" w:space="0" w:color="auto"/>
            <w:left w:val="none" w:sz="0" w:space="0" w:color="auto"/>
            <w:bottom w:val="none" w:sz="0" w:space="0" w:color="auto"/>
            <w:right w:val="none" w:sz="0" w:space="0" w:color="auto"/>
          </w:divBdr>
        </w:div>
        <w:div w:id="449590649">
          <w:marLeft w:val="0"/>
          <w:marRight w:val="0"/>
          <w:marTop w:val="0"/>
          <w:marBottom w:val="0"/>
          <w:divBdr>
            <w:top w:val="none" w:sz="0" w:space="0" w:color="auto"/>
            <w:left w:val="none" w:sz="0" w:space="0" w:color="auto"/>
            <w:bottom w:val="none" w:sz="0" w:space="0" w:color="auto"/>
            <w:right w:val="none" w:sz="0" w:space="0" w:color="auto"/>
          </w:divBdr>
        </w:div>
        <w:div w:id="137307868">
          <w:marLeft w:val="0"/>
          <w:marRight w:val="0"/>
          <w:marTop w:val="0"/>
          <w:marBottom w:val="0"/>
          <w:divBdr>
            <w:top w:val="none" w:sz="0" w:space="0" w:color="auto"/>
            <w:left w:val="none" w:sz="0" w:space="0" w:color="auto"/>
            <w:bottom w:val="none" w:sz="0" w:space="0" w:color="auto"/>
            <w:right w:val="none" w:sz="0" w:space="0" w:color="auto"/>
          </w:divBdr>
        </w:div>
        <w:div w:id="1486777109">
          <w:marLeft w:val="0"/>
          <w:marRight w:val="0"/>
          <w:marTop w:val="0"/>
          <w:marBottom w:val="0"/>
          <w:divBdr>
            <w:top w:val="none" w:sz="0" w:space="0" w:color="auto"/>
            <w:left w:val="none" w:sz="0" w:space="0" w:color="auto"/>
            <w:bottom w:val="none" w:sz="0" w:space="0" w:color="auto"/>
            <w:right w:val="none" w:sz="0" w:space="0" w:color="auto"/>
          </w:divBdr>
        </w:div>
        <w:div w:id="434204887">
          <w:marLeft w:val="0"/>
          <w:marRight w:val="0"/>
          <w:marTop w:val="0"/>
          <w:marBottom w:val="0"/>
          <w:divBdr>
            <w:top w:val="none" w:sz="0" w:space="0" w:color="auto"/>
            <w:left w:val="none" w:sz="0" w:space="0" w:color="auto"/>
            <w:bottom w:val="none" w:sz="0" w:space="0" w:color="auto"/>
            <w:right w:val="none" w:sz="0" w:space="0" w:color="auto"/>
          </w:divBdr>
        </w:div>
        <w:div w:id="251816955">
          <w:marLeft w:val="0"/>
          <w:marRight w:val="0"/>
          <w:marTop w:val="0"/>
          <w:marBottom w:val="0"/>
          <w:divBdr>
            <w:top w:val="none" w:sz="0" w:space="0" w:color="auto"/>
            <w:left w:val="none" w:sz="0" w:space="0" w:color="auto"/>
            <w:bottom w:val="none" w:sz="0" w:space="0" w:color="auto"/>
            <w:right w:val="none" w:sz="0" w:space="0" w:color="auto"/>
          </w:divBdr>
        </w:div>
        <w:div w:id="579411025">
          <w:marLeft w:val="0"/>
          <w:marRight w:val="0"/>
          <w:marTop w:val="0"/>
          <w:marBottom w:val="0"/>
          <w:divBdr>
            <w:top w:val="none" w:sz="0" w:space="0" w:color="auto"/>
            <w:left w:val="none" w:sz="0" w:space="0" w:color="auto"/>
            <w:bottom w:val="none" w:sz="0" w:space="0" w:color="auto"/>
            <w:right w:val="none" w:sz="0" w:space="0" w:color="auto"/>
          </w:divBdr>
        </w:div>
        <w:div w:id="1475488198">
          <w:marLeft w:val="0"/>
          <w:marRight w:val="0"/>
          <w:marTop w:val="0"/>
          <w:marBottom w:val="0"/>
          <w:divBdr>
            <w:top w:val="none" w:sz="0" w:space="0" w:color="auto"/>
            <w:left w:val="none" w:sz="0" w:space="0" w:color="auto"/>
            <w:bottom w:val="none" w:sz="0" w:space="0" w:color="auto"/>
            <w:right w:val="none" w:sz="0" w:space="0" w:color="auto"/>
          </w:divBdr>
        </w:div>
        <w:div w:id="550386881">
          <w:marLeft w:val="0"/>
          <w:marRight w:val="0"/>
          <w:marTop w:val="0"/>
          <w:marBottom w:val="0"/>
          <w:divBdr>
            <w:top w:val="none" w:sz="0" w:space="0" w:color="auto"/>
            <w:left w:val="none" w:sz="0" w:space="0" w:color="auto"/>
            <w:bottom w:val="none" w:sz="0" w:space="0" w:color="auto"/>
            <w:right w:val="none" w:sz="0" w:space="0" w:color="auto"/>
          </w:divBdr>
        </w:div>
        <w:div w:id="1389918452">
          <w:marLeft w:val="0"/>
          <w:marRight w:val="0"/>
          <w:marTop w:val="0"/>
          <w:marBottom w:val="0"/>
          <w:divBdr>
            <w:top w:val="none" w:sz="0" w:space="0" w:color="auto"/>
            <w:left w:val="none" w:sz="0" w:space="0" w:color="auto"/>
            <w:bottom w:val="none" w:sz="0" w:space="0" w:color="auto"/>
            <w:right w:val="none" w:sz="0" w:space="0" w:color="auto"/>
          </w:divBdr>
        </w:div>
        <w:div w:id="1370834974">
          <w:marLeft w:val="0"/>
          <w:marRight w:val="0"/>
          <w:marTop w:val="0"/>
          <w:marBottom w:val="0"/>
          <w:divBdr>
            <w:top w:val="none" w:sz="0" w:space="0" w:color="auto"/>
            <w:left w:val="none" w:sz="0" w:space="0" w:color="auto"/>
            <w:bottom w:val="none" w:sz="0" w:space="0" w:color="auto"/>
            <w:right w:val="none" w:sz="0" w:space="0" w:color="auto"/>
          </w:divBdr>
        </w:div>
        <w:div w:id="889464293">
          <w:marLeft w:val="0"/>
          <w:marRight w:val="0"/>
          <w:marTop w:val="0"/>
          <w:marBottom w:val="0"/>
          <w:divBdr>
            <w:top w:val="none" w:sz="0" w:space="0" w:color="auto"/>
            <w:left w:val="none" w:sz="0" w:space="0" w:color="auto"/>
            <w:bottom w:val="none" w:sz="0" w:space="0" w:color="auto"/>
            <w:right w:val="none" w:sz="0" w:space="0" w:color="auto"/>
          </w:divBdr>
        </w:div>
        <w:div w:id="1133912513">
          <w:marLeft w:val="0"/>
          <w:marRight w:val="0"/>
          <w:marTop w:val="0"/>
          <w:marBottom w:val="0"/>
          <w:divBdr>
            <w:top w:val="none" w:sz="0" w:space="0" w:color="auto"/>
            <w:left w:val="none" w:sz="0" w:space="0" w:color="auto"/>
            <w:bottom w:val="none" w:sz="0" w:space="0" w:color="auto"/>
            <w:right w:val="none" w:sz="0" w:space="0" w:color="auto"/>
          </w:divBdr>
        </w:div>
        <w:div w:id="1851212885">
          <w:marLeft w:val="0"/>
          <w:marRight w:val="0"/>
          <w:marTop w:val="0"/>
          <w:marBottom w:val="0"/>
          <w:divBdr>
            <w:top w:val="none" w:sz="0" w:space="0" w:color="auto"/>
            <w:left w:val="none" w:sz="0" w:space="0" w:color="auto"/>
            <w:bottom w:val="none" w:sz="0" w:space="0" w:color="auto"/>
            <w:right w:val="none" w:sz="0" w:space="0" w:color="auto"/>
          </w:divBdr>
        </w:div>
        <w:div w:id="521017363">
          <w:marLeft w:val="0"/>
          <w:marRight w:val="0"/>
          <w:marTop w:val="0"/>
          <w:marBottom w:val="0"/>
          <w:divBdr>
            <w:top w:val="none" w:sz="0" w:space="0" w:color="auto"/>
            <w:left w:val="none" w:sz="0" w:space="0" w:color="auto"/>
            <w:bottom w:val="none" w:sz="0" w:space="0" w:color="auto"/>
            <w:right w:val="none" w:sz="0" w:space="0" w:color="auto"/>
          </w:divBdr>
        </w:div>
        <w:div w:id="678122590">
          <w:marLeft w:val="0"/>
          <w:marRight w:val="0"/>
          <w:marTop w:val="0"/>
          <w:marBottom w:val="0"/>
          <w:divBdr>
            <w:top w:val="none" w:sz="0" w:space="0" w:color="auto"/>
            <w:left w:val="none" w:sz="0" w:space="0" w:color="auto"/>
            <w:bottom w:val="none" w:sz="0" w:space="0" w:color="auto"/>
            <w:right w:val="none" w:sz="0" w:space="0" w:color="auto"/>
          </w:divBdr>
        </w:div>
        <w:div w:id="776021371">
          <w:marLeft w:val="0"/>
          <w:marRight w:val="0"/>
          <w:marTop w:val="0"/>
          <w:marBottom w:val="0"/>
          <w:divBdr>
            <w:top w:val="none" w:sz="0" w:space="0" w:color="auto"/>
            <w:left w:val="none" w:sz="0" w:space="0" w:color="auto"/>
            <w:bottom w:val="none" w:sz="0" w:space="0" w:color="auto"/>
            <w:right w:val="none" w:sz="0" w:space="0" w:color="auto"/>
          </w:divBdr>
        </w:div>
        <w:div w:id="12072141">
          <w:marLeft w:val="0"/>
          <w:marRight w:val="0"/>
          <w:marTop w:val="0"/>
          <w:marBottom w:val="0"/>
          <w:divBdr>
            <w:top w:val="none" w:sz="0" w:space="0" w:color="auto"/>
            <w:left w:val="none" w:sz="0" w:space="0" w:color="auto"/>
            <w:bottom w:val="none" w:sz="0" w:space="0" w:color="auto"/>
            <w:right w:val="none" w:sz="0" w:space="0" w:color="auto"/>
          </w:divBdr>
        </w:div>
        <w:div w:id="659505041">
          <w:marLeft w:val="0"/>
          <w:marRight w:val="0"/>
          <w:marTop w:val="0"/>
          <w:marBottom w:val="0"/>
          <w:divBdr>
            <w:top w:val="none" w:sz="0" w:space="0" w:color="auto"/>
            <w:left w:val="none" w:sz="0" w:space="0" w:color="auto"/>
            <w:bottom w:val="none" w:sz="0" w:space="0" w:color="auto"/>
            <w:right w:val="none" w:sz="0" w:space="0" w:color="auto"/>
          </w:divBdr>
        </w:div>
        <w:div w:id="918176406">
          <w:marLeft w:val="0"/>
          <w:marRight w:val="0"/>
          <w:marTop w:val="0"/>
          <w:marBottom w:val="0"/>
          <w:divBdr>
            <w:top w:val="none" w:sz="0" w:space="0" w:color="auto"/>
            <w:left w:val="none" w:sz="0" w:space="0" w:color="auto"/>
            <w:bottom w:val="none" w:sz="0" w:space="0" w:color="auto"/>
            <w:right w:val="none" w:sz="0" w:space="0" w:color="auto"/>
          </w:divBdr>
        </w:div>
        <w:div w:id="580607945">
          <w:marLeft w:val="0"/>
          <w:marRight w:val="0"/>
          <w:marTop w:val="0"/>
          <w:marBottom w:val="0"/>
          <w:divBdr>
            <w:top w:val="none" w:sz="0" w:space="0" w:color="auto"/>
            <w:left w:val="none" w:sz="0" w:space="0" w:color="auto"/>
            <w:bottom w:val="none" w:sz="0" w:space="0" w:color="auto"/>
            <w:right w:val="none" w:sz="0" w:space="0" w:color="auto"/>
          </w:divBdr>
        </w:div>
        <w:div w:id="1395855345">
          <w:marLeft w:val="0"/>
          <w:marRight w:val="0"/>
          <w:marTop w:val="0"/>
          <w:marBottom w:val="0"/>
          <w:divBdr>
            <w:top w:val="none" w:sz="0" w:space="0" w:color="auto"/>
            <w:left w:val="none" w:sz="0" w:space="0" w:color="auto"/>
            <w:bottom w:val="none" w:sz="0" w:space="0" w:color="auto"/>
            <w:right w:val="none" w:sz="0" w:space="0" w:color="auto"/>
          </w:divBdr>
        </w:div>
        <w:div w:id="563180617">
          <w:marLeft w:val="0"/>
          <w:marRight w:val="0"/>
          <w:marTop w:val="0"/>
          <w:marBottom w:val="0"/>
          <w:divBdr>
            <w:top w:val="none" w:sz="0" w:space="0" w:color="auto"/>
            <w:left w:val="none" w:sz="0" w:space="0" w:color="auto"/>
            <w:bottom w:val="none" w:sz="0" w:space="0" w:color="auto"/>
            <w:right w:val="none" w:sz="0" w:space="0" w:color="auto"/>
          </w:divBdr>
        </w:div>
        <w:div w:id="1238831834">
          <w:marLeft w:val="0"/>
          <w:marRight w:val="0"/>
          <w:marTop w:val="0"/>
          <w:marBottom w:val="0"/>
          <w:divBdr>
            <w:top w:val="none" w:sz="0" w:space="0" w:color="auto"/>
            <w:left w:val="none" w:sz="0" w:space="0" w:color="auto"/>
            <w:bottom w:val="none" w:sz="0" w:space="0" w:color="auto"/>
            <w:right w:val="none" w:sz="0" w:space="0" w:color="auto"/>
          </w:divBdr>
        </w:div>
        <w:div w:id="1284456637">
          <w:marLeft w:val="0"/>
          <w:marRight w:val="0"/>
          <w:marTop w:val="0"/>
          <w:marBottom w:val="0"/>
          <w:divBdr>
            <w:top w:val="none" w:sz="0" w:space="0" w:color="auto"/>
            <w:left w:val="none" w:sz="0" w:space="0" w:color="auto"/>
            <w:bottom w:val="none" w:sz="0" w:space="0" w:color="auto"/>
            <w:right w:val="none" w:sz="0" w:space="0" w:color="auto"/>
          </w:divBdr>
        </w:div>
        <w:div w:id="818034618">
          <w:marLeft w:val="0"/>
          <w:marRight w:val="0"/>
          <w:marTop w:val="0"/>
          <w:marBottom w:val="0"/>
          <w:divBdr>
            <w:top w:val="none" w:sz="0" w:space="0" w:color="auto"/>
            <w:left w:val="none" w:sz="0" w:space="0" w:color="auto"/>
            <w:bottom w:val="none" w:sz="0" w:space="0" w:color="auto"/>
            <w:right w:val="none" w:sz="0" w:space="0" w:color="auto"/>
          </w:divBdr>
        </w:div>
        <w:div w:id="7871337">
          <w:marLeft w:val="0"/>
          <w:marRight w:val="0"/>
          <w:marTop w:val="0"/>
          <w:marBottom w:val="0"/>
          <w:divBdr>
            <w:top w:val="none" w:sz="0" w:space="0" w:color="auto"/>
            <w:left w:val="none" w:sz="0" w:space="0" w:color="auto"/>
            <w:bottom w:val="none" w:sz="0" w:space="0" w:color="auto"/>
            <w:right w:val="none" w:sz="0" w:space="0" w:color="auto"/>
          </w:divBdr>
        </w:div>
        <w:div w:id="759521632">
          <w:marLeft w:val="0"/>
          <w:marRight w:val="0"/>
          <w:marTop w:val="0"/>
          <w:marBottom w:val="0"/>
          <w:divBdr>
            <w:top w:val="none" w:sz="0" w:space="0" w:color="auto"/>
            <w:left w:val="none" w:sz="0" w:space="0" w:color="auto"/>
            <w:bottom w:val="none" w:sz="0" w:space="0" w:color="auto"/>
            <w:right w:val="none" w:sz="0" w:space="0" w:color="auto"/>
          </w:divBdr>
        </w:div>
        <w:div w:id="1312829928">
          <w:marLeft w:val="0"/>
          <w:marRight w:val="0"/>
          <w:marTop w:val="0"/>
          <w:marBottom w:val="0"/>
          <w:divBdr>
            <w:top w:val="none" w:sz="0" w:space="0" w:color="auto"/>
            <w:left w:val="none" w:sz="0" w:space="0" w:color="auto"/>
            <w:bottom w:val="none" w:sz="0" w:space="0" w:color="auto"/>
            <w:right w:val="none" w:sz="0" w:space="0" w:color="auto"/>
          </w:divBdr>
        </w:div>
        <w:div w:id="537545859">
          <w:marLeft w:val="0"/>
          <w:marRight w:val="0"/>
          <w:marTop w:val="0"/>
          <w:marBottom w:val="0"/>
          <w:divBdr>
            <w:top w:val="none" w:sz="0" w:space="0" w:color="auto"/>
            <w:left w:val="none" w:sz="0" w:space="0" w:color="auto"/>
            <w:bottom w:val="none" w:sz="0" w:space="0" w:color="auto"/>
            <w:right w:val="none" w:sz="0" w:space="0" w:color="auto"/>
          </w:divBdr>
        </w:div>
        <w:div w:id="1820488922">
          <w:marLeft w:val="0"/>
          <w:marRight w:val="0"/>
          <w:marTop w:val="0"/>
          <w:marBottom w:val="0"/>
          <w:divBdr>
            <w:top w:val="none" w:sz="0" w:space="0" w:color="auto"/>
            <w:left w:val="none" w:sz="0" w:space="0" w:color="auto"/>
            <w:bottom w:val="none" w:sz="0" w:space="0" w:color="auto"/>
            <w:right w:val="none" w:sz="0" w:space="0" w:color="auto"/>
          </w:divBdr>
        </w:div>
        <w:div w:id="2036732793">
          <w:marLeft w:val="0"/>
          <w:marRight w:val="0"/>
          <w:marTop w:val="0"/>
          <w:marBottom w:val="0"/>
          <w:divBdr>
            <w:top w:val="none" w:sz="0" w:space="0" w:color="auto"/>
            <w:left w:val="none" w:sz="0" w:space="0" w:color="auto"/>
            <w:bottom w:val="none" w:sz="0" w:space="0" w:color="auto"/>
            <w:right w:val="none" w:sz="0" w:space="0" w:color="auto"/>
          </w:divBdr>
        </w:div>
        <w:div w:id="186648732">
          <w:marLeft w:val="0"/>
          <w:marRight w:val="0"/>
          <w:marTop w:val="0"/>
          <w:marBottom w:val="0"/>
          <w:divBdr>
            <w:top w:val="none" w:sz="0" w:space="0" w:color="auto"/>
            <w:left w:val="none" w:sz="0" w:space="0" w:color="auto"/>
            <w:bottom w:val="none" w:sz="0" w:space="0" w:color="auto"/>
            <w:right w:val="none" w:sz="0" w:space="0" w:color="auto"/>
          </w:divBdr>
        </w:div>
        <w:div w:id="1114054098">
          <w:marLeft w:val="0"/>
          <w:marRight w:val="0"/>
          <w:marTop w:val="0"/>
          <w:marBottom w:val="0"/>
          <w:divBdr>
            <w:top w:val="none" w:sz="0" w:space="0" w:color="auto"/>
            <w:left w:val="none" w:sz="0" w:space="0" w:color="auto"/>
            <w:bottom w:val="none" w:sz="0" w:space="0" w:color="auto"/>
            <w:right w:val="none" w:sz="0" w:space="0" w:color="auto"/>
          </w:divBdr>
        </w:div>
        <w:div w:id="129445279">
          <w:marLeft w:val="0"/>
          <w:marRight w:val="0"/>
          <w:marTop w:val="0"/>
          <w:marBottom w:val="0"/>
          <w:divBdr>
            <w:top w:val="none" w:sz="0" w:space="0" w:color="auto"/>
            <w:left w:val="none" w:sz="0" w:space="0" w:color="auto"/>
            <w:bottom w:val="none" w:sz="0" w:space="0" w:color="auto"/>
            <w:right w:val="none" w:sz="0" w:space="0" w:color="auto"/>
          </w:divBdr>
        </w:div>
        <w:div w:id="979115865">
          <w:marLeft w:val="0"/>
          <w:marRight w:val="0"/>
          <w:marTop w:val="0"/>
          <w:marBottom w:val="0"/>
          <w:divBdr>
            <w:top w:val="none" w:sz="0" w:space="0" w:color="auto"/>
            <w:left w:val="none" w:sz="0" w:space="0" w:color="auto"/>
            <w:bottom w:val="none" w:sz="0" w:space="0" w:color="auto"/>
            <w:right w:val="none" w:sz="0" w:space="0" w:color="auto"/>
          </w:divBdr>
        </w:div>
        <w:div w:id="783420970">
          <w:marLeft w:val="0"/>
          <w:marRight w:val="0"/>
          <w:marTop w:val="0"/>
          <w:marBottom w:val="0"/>
          <w:divBdr>
            <w:top w:val="none" w:sz="0" w:space="0" w:color="auto"/>
            <w:left w:val="none" w:sz="0" w:space="0" w:color="auto"/>
            <w:bottom w:val="none" w:sz="0" w:space="0" w:color="auto"/>
            <w:right w:val="none" w:sz="0" w:space="0" w:color="auto"/>
          </w:divBdr>
        </w:div>
        <w:div w:id="1713536408">
          <w:marLeft w:val="0"/>
          <w:marRight w:val="0"/>
          <w:marTop w:val="0"/>
          <w:marBottom w:val="0"/>
          <w:divBdr>
            <w:top w:val="none" w:sz="0" w:space="0" w:color="auto"/>
            <w:left w:val="none" w:sz="0" w:space="0" w:color="auto"/>
            <w:bottom w:val="none" w:sz="0" w:space="0" w:color="auto"/>
            <w:right w:val="none" w:sz="0" w:space="0" w:color="auto"/>
          </w:divBdr>
        </w:div>
        <w:div w:id="1668289987">
          <w:marLeft w:val="0"/>
          <w:marRight w:val="0"/>
          <w:marTop w:val="0"/>
          <w:marBottom w:val="0"/>
          <w:divBdr>
            <w:top w:val="none" w:sz="0" w:space="0" w:color="auto"/>
            <w:left w:val="none" w:sz="0" w:space="0" w:color="auto"/>
            <w:bottom w:val="none" w:sz="0" w:space="0" w:color="auto"/>
            <w:right w:val="none" w:sz="0" w:space="0" w:color="auto"/>
          </w:divBdr>
        </w:div>
        <w:div w:id="1462042942">
          <w:marLeft w:val="0"/>
          <w:marRight w:val="0"/>
          <w:marTop w:val="0"/>
          <w:marBottom w:val="0"/>
          <w:divBdr>
            <w:top w:val="none" w:sz="0" w:space="0" w:color="auto"/>
            <w:left w:val="none" w:sz="0" w:space="0" w:color="auto"/>
            <w:bottom w:val="none" w:sz="0" w:space="0" w:color="auto"/>
            <w:right w:val="none" w:sz="0" w:space="0" w:color="auto"/>
          </w:divBdr>
        </w:div>
      </w:divsChild>
    </w:div>
    <w:div w:id="691417724">
      <w:bodyDiv w:val="1"/>
      <w:marLeft w:val="0"/>
      <w:marRight w:val="0"/>
      <w:marTop w:val="0"/>
      <w:marBottom w:val="0"/>
      <w:divBdr>
        <w:top w:val="none" w:sz="0" w:space="0" w:color="auto"/>
        <w:left w:val="none" w:sz="0" w:space="0" w:color="auto"/>
        <w:bottom w:val="none" w:sz="0" w:space="0" w:color="auto"/>
        <w:right w:val="none" w:sz="0" w:space="0" w:color="auto"/>
      </w:divBdr>
    </w:div>
    <w:div w:id="735055432">
      <w:bodyDiv w:val="1"/>
      <w:marLeft w:val="0"/>
      <w:marRight w:val="0"/>
      <w:marTop w:val="0"/>
      <w:marBottom w:val="0"/>
      <w:divBdr>
        <w:top w:val="none" w:sz="0" w:space="0" w:color="auto"/>
        <w:left w:val="none" w:sz="0" w:space="0" w:color="auto"/>
        <w:bottom w:val="none" w:sz="0" w:space="0" w:color="auto"/>
        <w:right w:val="none" w:sz="0" w:space="0" w:color="auto"/>
      </w:divBdr>
    </w:div>
    <w:div w:id="76785232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
    <w:div w:id="830947371">
      <w:bodyDiv w:val="1"/>
      <w:marLeft w:val="0"/>
      <w:marRight w:val="0"/>
      <w:marTop w:val="0"/>
      <w:marBottom w:val="0"/>
      <w:divBdr>
        <w:top w:val="none" w:sz="0" w:space="0" w:color="auto"/>
        <w:left w:val="none" w:sz="0" w:space="0" w:color="auto"/>
        <w:bottom w:val="none" w:sz="0" w:space="0" w:color="auto"/>
        <w:right w:val="none" w:sz="0" w:space="0" w:color="auto"/>
      </w:divBdr>
    </w:div>
    <w:div w:id="893853425">
      <w:bodyDiv w:val="1"/>
      <w:marLeft w:val="0"/>
      <w:marRight w:val="0"/>
      <w:marTop w:val="0"/>
      <w:marBottom w:val="0"/>
      <w:divBdr>
        <w:top w:val="none" w:sz="0" w:space="0" w:color="auto"/>
        <w:left w:val="none" w:sz="0" w:space="0" w:color="auto"/>
        <w:bottom w:val="none" w:sz="0" w:space="0" w:color="auto"/>
        <w:right w:val="none" w:sz="0" w:space="0" w:color="auto"/>
      </w:divBdr>
    </w:div>
    <w:div w:id="923295415">
      <w:bodyDiv w:val="1"/>
      <w:marLeft w:val="0"/>
      <w:marRight w:val="0"/>
      <w:marTop w:val="0"/>
      <w:marBottom w:val="0"/>
      <w:divBdr>
        <w:top w:val="none" w:sz="0" w:space="0" w:color="auto"/>
        <w:left w:val="none" w:sz="0" w:space="0" w:color="auto"/>
        <w:bottom w:val="none" w:sz="0" w:space="0" w:color="auto"/>
        <w:right w:val="none" w:sz="0" w:space="0" w:color="auto"/>
      </w:divBdr>
    </w:div>
    <w:div w:id="926811331">
      <w:bodyDiv w:val="1"/>
      <w:marLeft w:val="0"/>
      <w:marRight w:val="0"/>
      <w:marTop w:val="0"/>
      <w:marBottom w:val="0"/>
      <w:divBdr>
        <w:top w:val="none" w:sz="0" w:space="0" w:color="auto"/>
        <w:left w:val="none" w:sz="0" w:space="0" w:color="auto"/>
        <w:bottom w:val="none" w:sz="0" w:space="0" w:color="auto"/>
        <w:right w:val="none" w:sz="0" w:space="0" w:color="auto"/>
      </w:divBdr>
      <w:divsChild>
        <w:div w:id="1700471143">
          <w:marLeft w:val="0"/>
          <w:marRight w:val="0"/>
          <w:marTop w:val="0"/>
          <w:marBottom w:val="0"/>
          <w:divBdr>
            <w:top w:val="none" w:sz="0" w:space="0" w:color="auto"/>
            <w:left w:val="none" w:sz="0" w:space="0" w:color="auto"/>
            <w:bottom w:val="none" w:sz="0" w:space="0" w:color="auto"/>
            <w:right w:val="none" w:sz="0" w:space="0" w:color="auto"/>
          </w:divBdr>
          <w:divsChild>
            <w:div w:id="1610549281">
              <w:marLeft w:val="0"/>
              <w:marRight w:val="0"/>
              <w:marTop w:val="225"/>
              <w:marBottom w:val="0"/>
              <w:divBdr>
                <w:top w:val="none" w:sz="0" w:space="0" w:color="auto"/>
                <w:left w:val="none" w:sz="0" w:space="0" w:color="auto"/>
                <w:bottom w:val="none" w:sz="0" w:space="0" w:color="auto"/>
                <w:right w:val="none" w:sz="0" w:space="0" w:color="auto"/>
              </w:divBdr>
            </w:div>
          </w:divsChild>
        </w:div>
        <w:div w:id="958489705">
          <w:marLeft w:val="0"/>
          <w:marRight w:val="0"/>
          <w:marTop w:val="0"/>
          <w:marBottom w:val="0"/>
          <w:divBdr>
            <w:top w:val="none" w:sz="0" w:space="0" w:color="auto"/>
            <w:left w:val="none" w:sz="0" w:space="0" w:color="auto"/>
            <w:bottom w:val="none" w:sz="0" w:space="0" w:color="auto"/>
            <w:right w:val="none" w:sz="0" w:space="0" w:color="auto"/>
          </w:divBdr>
          <w:divsChild>
            <w:div w:id="106856375">
              <w:marLeft w:val="0"/>
              <w:marRight w:val="0"/>
              <w:marTop w:val="225"/>
              <w:marBottom w:val="0"/>
              <w:divBdr>
                <w:top w:val="none" w:sz="0" w:space="0" w:color="auto"/>
                <w:left w:val="none" w:sz="0" w:space="0" w:color="auto"/>
                <w:bottom w:val="none" w:sz="0" w:space="0" w:color="auto"/>
                <w:right w:val="none" w:sz="0" w:space="0" w:color="auto"/>
              </w:divBdr>
            </w:div>
          </w:divsChild>
        </w:div>
        <w:div w:id="1251503210">
          <w:marLeft w:val="0"/>
          <w:marRight w:val="0"/>
          <w:marTop w:val="0"/>
          <w:marBottom w:val="0"/>
          <w:divBdr>
            <w:top w:val="none" w:sz="0" w:space="0" w:color="auto"/>
            <w:left w:val="none" w:sz="0" w:space="0" w:color="auto"/>
            <w:bottom w:val="none" w:sz="0" w:space="0" w:color="auto"/>
            <w:right w:val="none" w:sz="0" w:space="0" w:color="auto"/>
          </w:divBdr>
          <w:divsChild>
            <w:div w:id="899902020">
              <w:marLeft w:val="0"/>
              <w:marRight w:val="0"/>
              <w:marTop w:val="225"/>
              <w:marBottom w:val="0"/>
              <w:divBdr>
                <w:top w:val="none" w:sz="0" w:space="0" w:color="auto"/>
                <w:left w:val="none" w:sz="0" w:space="0" w:color="auto"/>
                <w:bottom w:val="none" w:sz="0" w:space="0" w:color="auto"/>
                <w:right w:val="none" w:sz="0" w:space="0" w:color="auto"/>
              </w:divBdr>
            </w:div>
          </w:divsChild>
        </w:div>
        <w:div w:id="1134180878">
          <w:marLeft w:val="0"/>
          <w:marRight w:val="0"/>
          <w:marTop w:val="0"/>
          <w:marBottom w:val="0"/>
          <w:divBdr>
            <w:top w:val="none" w:sz="0" w:space="0" w:color="auto"/>
            <w:left w:val="none" w:sz="0" w:space="0" w:color="auto"/>
            <w:bottom w:val="none" w:sz="0" w:space="0" w:color="auto"/>
            <w:right w:val="none" w:sz="0" w:space="0" w:color="auto"/>
          </w:divBdr>
        </w:div>
      </w:divsChild>
    </w:div>
    <w:div w:id="996953546">
      <w:bodyDiv w:val="1"/>
      <w:marLeft w:val="0"/>
      <w:marRight w:val="0"/>
      <w:marTop w:val="0"/>
      <w:marBottom w:val="0"/>
      <w:divBdr>
        <w:top w:val="none" w:sz="0" w:space="0" w:color="auto"/>
        <w:left w:val="none" w:sz="0" w:space="0" w:color="auto"/>
        <w:bottom w:val="none" w:sz="0" w:space="0" w:color="auto"/>
        <w:right w:val="none" w:sz="0" w:space="0" w:color="auto"/>
      </w:divBdr>
    </w:div>
    <w:div w:id="1005593400">
      <w:bodyDiv w:val="1"/>
      <w:marLeft w:val="0"/>
      <w:marRight w:val="0"/>
      <w:marTop w:val="0"/>
      <w:marBottom w:val="0"/>
      <w:divBdr>
        <w:top w:val="none" w:sz="0" w:space="0" w:color="auto"/>
        <w:left w:val="none" w:sz="0" w:space="0" w:color="auto"/>
        <w:bottom w:val="none" w:sz="0" w:space="0" w:color="auto"/>
        <w:right w:val="none" w:sz="0" w:space="0" w:color="auto"/>
      </w:divBdr>
    </w:div>
    <w:div w:id="1005740403">
      <w:bodyDiv w:val="1"/>
      <w:marLeft w:val="0"/>
      <w:marRight w:val="0"/>
      <w:marTop w:val="0"/>
      <w:marBottom w:val="0"/>
      <w:divBdr>
        <w:top w:val="none" w:sz="0" w:space="0" w:color="auto"/>
        <w:left w:val="none" w:sz="0" w:space="0" w:color="auto"/>
        <w:bottom w:val="none" w:sz="0" w:space="0" w:color="auto"/>
        <w:right w:val="none" w:sz="0" w:space="0" w:color="auto"/>
      </w:divBdr>
    </w:div>
    <w:div w:id="1031803244">
      <w:bodyDiv w:val="1"/>
      <w:marLeft w:val="0"/>
      <w:marRight w:val="0"/>
      <w:marTop w:val="0"/>
      <w:marBottom w:val="0"/>
      <w:divBdr>
        <w:top w:val="none" w:sz="0" w:space="0" w:color="auto"/>
        <w:left w:val="none" w:sz="0" w:space="0" w:color="auto"/>
        <w:bottom w:val="none" w:sz="0" w:space="0" w:color="auto"/>
        <w:right w:val="none" w:sz="0" w:space="0" w:color="auto"/>
      </w:divBdr>
      <w:divsChild>
        <w:div w:id="1428503257">
          <w:marLeft w:val="0"/>
          <w:marRight w:val="0"/>
          <w:marTop w:val="0"/>
          <w:marBottom w:val="0"/>
          <w:divBdr>
            <w:top w:val="none" w:sz="0" w:space="0" w:color="auto"/>
            <w:left w:val="none" w:sz="0" w:space="0" w:color="auto"/>
            <w:bottom w:val="none" w:sz="0" w:space="0" w:color="auto"/>
            <w:right w:val="none" w:sz="0" w:space="0" w:color="auto"/>
          </w:divBdr>
          <w:divsChild>
            <w:div w:id="1418791979">
              <w:marLeft w:val="0"/>
              <w:marRight w:val="0"/>
              <w:marTop w:val="900"/>
              <w:marBottom w:val="0"/>
              <w:divBdr>
                <w:top w:val="none" w:sz="0" w:space="0" w:color="auto"/>
                <w:left w:val="none" w:sz="0" w:space="0" w:color="auto"/>
                <w:bottom w:val="none" w:sz="0" w:space="0" w:color="auto"/>
                <w:right w:val="none" w:sz="0" w:space="0" w:color="auto"/>
              </w:divBdr>
              <w:divsChild>
                <w:div w:id="1119033474">
                  <w:marLeft w:val="0"/>
                  <w:marRight w:val="0"/>
                  <w:marTop w:val="0"/>
                  <w:marBottom w:val="0"/>
                  <w:divBdr>
                    <w:top w:val="none" w:sz="0" w:space="0" w:color="auto"/>
                    <w:left w:val="none" w:sz="0" w:space="0" w:color="auto"/>
                    <w:bottom w:val="none" w:sz="0" w:space="0" w:color="auto"/>
                    <w:right w:val="none" w:sz="0" w:space="0" w:color="auto"/>
                  </w:divBdr>
                  <w:divsChild>
                    <w:div w:id="1995258932">
                      <w:marLeft w:val="0"/>
                      <w:marRight w:val="0"/>
                      <w:marTop w:val="0"/>
                      <w:marBottom w:val="0"/>
                      <w:divBdr>
                        <w:top w:val="none" w:sz="0" w:space="0" w:color="auto"/>
                        <w:left w:val="none" w:sz="0" w:space="0" w:color="auto"/>
                        <w:bottom w:val="none" w:sz="0" w:space="0" w:color="auto"/>
                        <w:right w:val="none" w:sz="0" w:space="0" w:color="auto"/>
                      </w:divBdr>
                      <w:divsChild>
                        <w:div w:id="634454129">
                          <w:marLeft w:val="0"/>
                          <w:marRight w:val="0"/>
                          <w:marTop w:val="0"/>
                          <w:marBottom w:val="0"/>
                          <w:divBdr>
                            <w:top w:val="none" w:sz="0" w:space="0" w:color="auto"/>
                            <w:left w:val="none" w:sz="0" w:space="0" w:color="auto"/>
                            <w:bottom w:val="none" w:sz="0" w:space="0" w:color="auto"/>
                            <w:right w:val="none" w:sz="0" w:space="0" w:color="auto"/>
                          </w:divBdr>
                          <w:divsChild>
                            <w:div w:id="1671562301">
                              <w:marLeft w:val="0"/>
                              <w:marRight w:val="0"/>
                              <w:marTop w:val="0"/>
                              <w:marBottom w:val="0"/>
                              <w:divBdr>
                                <w:top w:val="none" w:sz="0" w:space="0" w:color="auto"/>
                                <w:left w:val="none" w:sz="0" w:space="0" w:color="auto"/>
                                <w:bottom w:val="none" w:sz="0" w:space="0" w:color="auto"/>
                                <w:right w:val="none" w:sz="0" w:space="0" w:color="auto"/>
                              </w:divBdr>
                              <w:divsChild>
                                <w:div w:id="1494106629">
                                  <w:marLeft w:val="0"/>
                                  <w:marRight w:val="0"/>
                                  <w:marTop w:val="0"/>
                                  <w:marBottom w:val="0"/>
                                  <w:divBdr>
                                    <w:top w:val="none" w:sz="0" w:space="0" w:color="auto"/>
                                    <w:left w:val="none" w:sz="0" w:space="0" w:color="auto"/>
                                    <w:bottom w:val="none" w:sz="0" w:space="0" w:color="auto"/>
                                    <w:right w:val="none" w:sz="0" w:space="0" w:color="auto"/>
                                  </w:divBdr>
                                  <w:divsChild>
                                    <w:div w:id="1844396572">
                                      <w:marLeft w:val="0"/>
                                      <w:marRight w:val="0"/>
                                      <w:marTop w:val="0"/>
                                      <w:marBottom w:val="0"/>
                                      <w:divBdr>
                                        <w:top w:val="none" w:sz="0" w:space="0" w:color="auto"/>
                                        <w:left w:val="none" w:sz="0" w:space="0" w:color="auto"/>
                                        <w:bottom w:val="none" w:sz="0" w:space="0" w:color="auto"/>
                                        <w:right w:val="none" w:sz="0" w:space="0" w:color="auto"/>
                                      </w:divBdr>
                                      <w:divsChild>
                                        <w:div w:id="1986399052">
                                          <w:marLeft w:val="0"/>
                                          <w:marRight w:val="0"/>
                                          <w:marTop w:val="15"/>
                                          <w:marBottom w:val="0"/>
                                          <w:divBdr>
                                            <w:top w:val="none" w:sz="0" w:space="0" w:color="auto"/>
                                            <w:left w:val="none" w:sz="0" w:space="0" w:color="auto"/>
                                            <w:bottom w:val="none" w:sz="0" w:space="0" w:color="auto"/>
                                            <w:right w:val="none" w:sz="0" w:space="0" w:color="auto"/>
                                          </w:divBdr>
                                          <w:divsChild>
                                            <w:div w:id="760755690">
                                              <w:marLeft w:val="0"/>
                                              <w:marRight w:val="0"/>
                                              <w:marTop w:val="0"/>
                                              <w:marBottom w:val="0"/>
                                              <w:divBdr>
                                                <w:top w:val="none" w:sz="0" w:space="0" w:color="auto"/>
                                                <w:left w:val="none" w:sz="0" w:space="0" w:color="auto"/>
                                                <w:bottom w:val="none" w:sz="0" w:space="0" w:color="auto"/>
                                                <w:right w:val="none" w:sz="0" w:space="0" w:color="auto"/>
                                              </w:divBdr>
                                              <w:divsChild>
                                                <w:div w:id="1824542761">
                                                  <w:marLeft w:val="0"/>
                                                  <w:marRight w:val="0"/>
                                                  <w:marTop w:val="0"/>
                                                  <w:marBottom w:val="0"/>
                                                  <w:divBdr>
                                                    <w:top w:val="none" w:sz="0" w:space="0" w:color="auto"/>
                                                    <w:left w:val="none" w:sz="0" w:space="0" w:color="auto"/>
                                                    <w:bottom w:val="none" w:sz="0" w:space="0" w:color="auto"/>
                                                    <w:right w:val="none" w:sz="0" w:space="0" w:color="auto"/>
                                                  </w:divBdr>
                                                </w:div>
                                                <w:div w:id="1289820556">
                                                  <w:marLeft w:val="0"/>
                                                  <w:marRight w:val="0"/>
                                                  <w:marTop w:val="0"/>
                                                  <w:marBottom w:val="0"/>
                                                  <w:divBdr>
                                                    <w:top w:val="none" w:sz="0" w:space="0" w:color="auto"/>
                                                    <w:left w:val="none" w:sz="0" w:space="0" w:color="auto"/>
                                                    <w:bottom w:val="none" w:sz="0" w:space="0" w:color="auto"/>
                                                    <w:right w:val="none" w:sz="0" w:space="0" w:color="auto"/>
                                                  </w:divBdr>
                                                </w:div>
                                                <w:div w:id="620458745">
                                                  <w:marLeft w:val="0"/>
                                                  <w:marRight w:val="0"/>
                                                  <w:marTop w:val="0"/>
                                                  <w:marBottom w:val="0"/>
                                                  <w:divBdr>
                                                    <w:top w:val="none" w:sz="0" w:space="0" w:color="auto"/>
                                                    <w:left w:val="none" w:sz="0" w:space="0" w:color="auto"/>
                                                    <w:bottom w:val="none" w:sz="0" w:space="0" w:color="auto"/>
                                                    <w:right w:val="none" w:sz="0" w:space="0" w:color="auto"/>
                                                  </w:divBdr>
                                                </w:div>
                                                <w:div w:id="1390104573">
                                                  <w:marLeft w:val="0"/>
                                                  <w:marRight w:val="0"/>
                                                  <w:marTop w:val="0"/>
                                                  <w:marBottom w:val="0"/>
                                                  <w:divBdr>
                                                    <w:top w:val="none" w:sz="0" w:space="0" w:color="auto"/>
                                                    <w:left w:val="none" w:sz="0" w:space="0" w:color="auto"/>
                                                    <w:bottom w:val="none" w:sz="0" w:space="0" w:color="auto"/>
                                                    <w:right w:val="none" w:sz="0" w:space="0" w:color="auto"/>
                                                  </w:divBdr>
                                                </w:div>
                                                <w:div w:id="1049645840">
                                                  <w:marLeft w:val="0"/>
                                                  <w:marRight w:val="0"/>
                                                  <w:marTop w:val="0"/>
                                                  <w:marBottom w:val="0"/>
                                                  <w:divBdr>
                                                    <w:top w:val="none" w:sz="0" w:space="0" w:color="auto"/>
                                                    <w:left w:val="none" w:sz="0" w:space="0" w:color="auto"/>
                                                    <w:bottom w:val="none" w:sz="0" w:space="0" w:color="auto"/>
                                                    <w:right w:val="none" w:sz="0" w:space="0" w:color="auto"/>
                                                  </w:divBdr>
                                                </w:div>
                                                <w:div w:id="810094190">
                                                  <w:marLeft w:val="0"/>
                                                  <w:marRight w:val="0"/>
                                                  <w:marTop w:val="0"/>
                                                  <w:marBottom w:val="0"/>
                                                  <w:divBdr>
                                                    <w:top w:val="none" w:sz="0" w:space="0" w:color="auto"/>
                                                    <w:left w:val="none" w:sz="0" w:space="0" w:color="auto"/>
                                                    <w:bottom w:val="none" w:sz="0" w:space="0" w:color="auto"/>
                                                    <w:right w:val="none" w:sz="0" w:space="0" w:color="auto"/>
                                                  </w:divBdr>
                                                </w:div>
                                                <w:div w:id="203952589">
                                                  <w:marLeft w:val="0"/>
                                                  <w:marRight w:val="0"/>
                                                  <w:marTop w:val="0"/>
                                                  <w:marBottom w:val="0"/>
                                                  <w:divBdr>
                                                    <w:top w:val="none" w:sz="0" w:space="0" w:color="auto"/>
                                                    <w:left w:val="none" w:sz="0" w:space="0" w:color="auto"/>
                                                    <w:bottom w:val="none" w:sz="0" w:space="0" w:color="auto"/>
                                                    <w:right w:val="none" w:sz="0" w:space="0" w:color="auto"/>
                                                  </w:divBdr>
                                                </w:div>
                                                <w:div w:id="50541798">
                                                  <w:marLeft w:val="0"/>
                                                  <w:marRight w:val="0"/>
                                                  <w:marTop w:val="0"/>
                                                  <w:marBottom w:val="0"/>
                                                  <w:divBdr>
                                                    <w:top w:val="none" w:sz="0" w:space="0" w:color="auto"/>
                                                    <w:left w:val="none" w:sz="0" w:space="0" w:color="auto"/>
                                                    <w:bottom w:val="none" w:sz="0" w:space="0" w:color="auto"/>
                                                    <w:right w:val="none" w:sz="0" w:space="0" w:color="auto"/>
                                                  </w:divBdr>
                                                </w:div>
                                                <w:div w:id="1713068267">
                                                  <w:marLeft w:val="0"/>
                                                  <w:marRight w:val="0"/>
                                                  <w:marTop w:val="0"/>
                                                  <w:marBottom w:val="0"/>
                                                  <w:divBdr>
                                                    <w:top w:val="none" w:sz="0" w:space="0" w:color="auto"/>
                                                    <w:left w:val="none" w:sz="0" w:space="0" w:color="auto"/>
                                                    <w:bottom w:val="none" w:sz="0" w:space="0" w:color="auto"/>
                                                    <w:right w:val="none" w:sz="0" w:space="0" w:color="auto"/>
                                                  </w:divBdr>
                                                </w:div>
                                                <w:div w:id="1608661476">
                                                  <w:marLeft w:val="0"/>
                                                  <w:marRight w:val="0"/>
                                                  <w:marTop w:val="0"/>
                                                  <w:marBottom w:val="0"/>
                                                  <w:divBdr>
                                                    <w:top w:val="none" w:sz="0" w:space="0" w:color="auto"/>
                                                    <w:left w:val="none" w:sz="0" w:space="0" w:color="auto"/>
                                                    <w:bottom w:val="none" w:sz="0" w:space="0" w:color="auto"/>
                                                    <w:right w:val="none" w:sz="0" w:space="0" w:color="auto"/>
                                                  </w:divBdr>
                                                </w:div>
                                                <w:div w:id="2040204071">
                                                  <w:marLeft w:val="0"/>
                                                  <w:marRight w:val="0"/>
                                                  <w:marTop w:val="0"/>
                                                  <w:marBottom w:val="0"/>
                                                  <w:divBdr>
                                                    <w:top w:val="none" w:sz="0" w:space="0" w:color="auto"/>
                                                    <w:left w:val="none" w:sz="0" w:space="0" w:color="auto"/>
                                                    <w:bottom w:val="none" w:sz="0" w:space="0" w:color="auto"/>
                                                    <w:right w:val="none" w:sz="0" w:space="0" w:color="auto"/>
                                                  </w:divBdr>
                                                </w:div>
                                                <w:div w:id="1834055943">
                                                  <w:marLeft w:val="0"/>
                                                  <w:marRight w:val="0"/>
                                                  <w:marTop w:val="0"/>
                                                  <w:marBottom w:val="0"/>
                                                  <w:divBdr>
                                                    <w:top w:val="none" w:sz="0" w:space="0" w:color="auto"/>
                                                    <w:left w:val="none" w:sz="0" w:space="0" w:color="auto"/>
                                                    <w:bottom w:val="none" w:sz="0" w:space="0" w:color="auto"/>
                                                    <w:right w:val="none" w:sz="0" w:space="0" w:color="auto"/>
                                                  </w:divBdr>
                                                </w:div>
                                                <w:div w:id="626090055">
                                                  <w:marLeft w:val="0"/>
                                                  <w:marRight w:val="0"/>
                                                  <w:marTop w:val="0"/>
                                                  <w:marBottom w:val="0"/>
                                                  <w:divBdr>
                                                    <w:top w:val="none" w:sz="0" w:space="0" w:color="auto"/>
                                                    <w:left w:val="none" w:sz="0" w:space="0" w:color="auto"/>
                                                    <w:bottom w:val="none" w:sz="0" w:space="0" w:color="auto"/>
                                                    <w:right w:val="none" w:sz="0" w:space="0" w:color="auto"/>
                                                  </w:divBdr>
                                                </w:div>
                                                <w:div w:id="369427711">
                                                  <w:marLeft w:val="0"/>
                                                  <w:marRight w:val="0"/>
                                                  <w:marTop w:val="0"/>
                                                  <w:marBottom w:val="0"/>
                                                  <w:divBdr>
                                                    <w:top w:val="none" w:sz="0" w:space="0" w:color="auto"/>
                                                    <w:left w:val="none" w:sz="0" w:space="0" w:color="auto"/>
                                                    <w:bottom w:val="none" w:sz="0" w:space="0" w:color="auto"/>
                                                    <w:right w:val="none" w:sz="0" w:space="0" w:color="auto"/>
                                                  </w:divBdr>
                                                </w:div>
                                                <w:div w:id="703140537">
                                                  <w:marLeft w:val="0"/>
                                                  <w:marRight w:val="0"/>
                                                  <w:marTop w:val="0"/>
                                                  <w:marBottom w:val="0"/>
                                                  <w:divBdr>
                                                    <w:top w:val="none" w:sz="0" w:space="0" w:color="auto"/>
                                                    <w:left w:val="none" w:sz="0" w:space="0" w:color="auto"/>
                                                    <w:bottom w:val="none" w:sz="0" w:space="0" w:color="auto"/>
                                                    <w:right w:val="none" w:sz="0" w:space="0" w:color="auto"/>
                                                  </w:divBdr>
                                                </w:div>
                                                <w:div w:id="1413818248">
                                                  <w:marLeft w:val="0"/>
                                                  <w:marRight w:val="0"/>
                                                  <w:marTop w:val="0"/>
                                                  <w:marBottom w:val="0"/>
                                                  <w:divBdr>
                                                    <w:top w:val="none" w:sz="0" w:space="0" w:color="auto"/>
                                                    <w:left w:val="none" w:sz="0" w:space="0" w:color="auto"/>
                                                    <w:bottom w:val="none" w:sz="0" w:space="0" w:color="auto"/>
                                                    <w:right w:val="none" w:sz="0" w:space="0" w:color="auto"/>
                                                  </w:divBdr>
                                                </w:div>
                                                <w:div w:id="587740109">
                                                  <w:marLeft w:val="0"/>
                                                  <w:marRight w:val="0"/>
                                                  <w:marTop w:val="0"/>
                                                  <w:marBottom w:val="0"/>
                                                  <w:divBdr>
                                                    <w:top w:val="none" w:sz="0" w:space="0" w:color="auto"/>
                                                    <w:left w:val="none" w:sz="0" w:space="0" w:color="auto"/>
                                                    <w:bottom w:val="none" w:sz="0" w:space="0" w:color="auto"/>
                                                    <w:right w:val="none" w:sz="0" w:space="0" w:color="auto"/>
                                                  </w:divBdr>
                                                </w:div>
                                                <w:div w:id="1475566957">
                                                  <w:marLeft w:val="0"/>
                                                  <w:marRight w:val="0"/>
                                                  <w:marTop w:val="0"/>
                                                  <w:marBottom w:val="0"/>
                                                  <w:divBdr>
                                                    <w:top w:val="none" w:sz="0" w:space="0" w:color="auto"/>
                                                    <w:left w:val="none" w:sz="0" w:space="0" w:color="auto"/>
                                                    <w:bottom w:val="none" w:sz="0" w:space="0" w:color="auto"/>
                                                    <w:right w:val="none" w:sz="0" w:space="0" w:color="auto"/>
                                                  </w:divBdr>
                                                </w:div>
                                                <w:div w:id="915631822">
                                                  <w:marLeft w:val="0"/>
                                                  <w:marRight w:val="0"/>
                                                  <w:marTop w:val="0"/>
                                                  <w:marBottom w:val="0"/>
                                                  <w:divBdr>
                                                    <w:top w:val="none" w:sz="0" w:space="0" w:color="auto"/>
                                                    <w:left w:val="none" w:sz="0" w:space="0" w:color="auto"/>
                                                    <w:bottom w:val="none" w:sz="0" w:space="0" w:color="auto"/>
                                                    <w:right w:val="none" w:sz="0" w:space="0" w:color="auto"/>
                                                  </w:divBdr>
                                                </w:div>
                                                <w:div w:id="2044934904">
                                                  <w:marLeft w:val="0"/>
                                                  <w:marRight w:val="0"/>
                                                  <w:marTop w:val="0"/>
                                                  <w:marBottom w:val="0"/>
                                                  <w:divBdr>
                                                    <w:top w:val="none" w:sz="0" w:space="0" w:color="auto"/>
                                                    <w:left w:val="none" w:sz="0" w:space="0" w:color="auto"/>
                                                    <w:bottom w:val="none" w:sz="0" w:space="0" w:color="auto"/>
                                                    <w:right w:val="none" w:sz="0" w:space="0" w:color="auto"/>
                                                  </w:divBdr>
                                                </w:div>
                                                <w:div w:id="1758283397">
                                                  <w:marLeft w:val="0"/>
                                                  <w:marRight w:val="0"/>
                                                  <w:marTop w:val="0"/>
                                                  <w:marBottom w:val="0"/>
                                                  <w:divBdr>
                                                    <w:top w:val="none" w:sz="0" w:space="0" w:color="auto"/>
                                                    <w:left w:val="none" w:sz="0" w:space="0" w:color="auto"/>
                                                    <w:bottom w:val="none" w:sz="0" w:space="0" w:color="auto"/>
                                                    <w:right w:val="none" w:sz="0" w:space="0" w:color="auto"/>
                                                  </w:divBdr>
                                                </w:div>
                                                <w:div w:id="1796408142">
                                                  <w:marLeft w:val="0"/>
                                                  <w:marRight w:val="0"/>
                                                  <w:marTop w:val="0"/>
                                                  <w:marBottom w:val="0"/>
                                                  <w:divBdr>
                                                    <w:top w:val="none" w:sz="0" w:space="0" w:color="auto"/>
                                                    <w:left w:val="none" w:sz="0" w:space="0" w:color="auto"/>
                                                    <w:bottom w:val="none" w:sz="0" w:space="0" w:color="auto"/>
                                                    <w:right w:val="none" w:sz="0" w:space="0" w:color="auto"/>
                                                  </w:divBdr>
                                                </w:div>
                                                <w:div w:id="1261140034">
                                                  <w:marLeft w:val="0"/>
                                                  <w:marRight w:val="0"/>
                                                  <w:marTop w:val="0"/>
                                                  <w:marBottom w:val="0"/>
                                                  <w:divBdr>
                                                    <w:top w:val="none" w:sz="0" w:space="0" w:color="auto"/>
                                                    <w:left w:val="none" w:sz="0" w:space="0" w:color="auto"/>
                                                    <w:bottom w:val="none" w:sz="0" w:space="0" w:color="auto"/>
                                                    <w:right w:val="none" w:sz="0" w:space="0" w:color="auto"/>
                                                  </w:divBdr>
                                                </w:div>
                                                <w:div w:id="980310010">
                                                  <w:marLeft w:val="0"/>
                                                  <w:marRight w:val="0"/>
                                                  <w:marTop w:val="0"/>
                                                  <w:marBottom w:val="0"/>
                                                  <w:divBdr>
                                                    <w:top w:val="none" w:sz="0" w:space="0" w:color="auto"/>
                                                    <w:left w:val="none" w:sz="0" w:space="0" w:color="auto"/>
                                                    <w:bottom w:val="none" w:sz="0" w:space="0" w:color="auto"/>
                                                    <w:right w:val="none" w:sz="0" w:space="0" w:color="auto"/>
                                                  </w:divBdr>
                                                </w:div>
                                                <w:div w:id="868183553">
                                                  <w:marLeft w:val="0"/>
                                                  <w:marRight w:val="0"/>
                                                  <w:marTop w:val="0"/>
                                                  <w:marBottom w:val="0"/>
                                                  <w:divBdr>
                                                    <w:top w:val="none" w:sz="0" w:space="0" w:color="auto"/>
                                                    <w:left w:val="none" w:sz="0" w:space="0" w:color="auto"/>
                                                    <w:bottom w:val="none" w:sz="0" w:space="0" w:color="auto"/>
                                                    <w:right w:val="none" w:sz="0" w:space="0" w:color="auto"/>
                                                  </w:divBdr>
                                                </w:div>
                                                <w:div w:id="917445009">
                                                  <w:marLeft w:val="0"/>
                                                  <w:marRight w:val="0"/>
                                                  <w:marTop w:val="0"/>
                                                  <w:marBottom w:val="0"/>
                                                  <w:divBdr>
                                                    <w:top w:val="none" w:sz="0" w:space="0" w:color="auto"/>
                                                    <w:left w:val="none" w:sz="0" w:space="0" w:color="auto"/>
                                                    <w:bottom w:val="none" w:sz="0" w:space="0" w:color="auto"/>
                                                    <w:right w:val="none" w:sz="0" w:space="0" w:color="auto"/>
                                                  </w:divBdr>
                                                </w:div>
                                                <w:div w:id="1466849706">
                                                  <w:marLeft w:val="0"/>
                                                  <w:marRight w:val="0"/>
                                                  <w:marTop w:val="0"/>
                                                  <w:marBottom w:val="0"/>
                                                  <w:divBdr>
                                                    <w:top w:val="none" w:sz="0" w:space="0" w:color="auto"/>
                                                    <w:left w:val="none" w:sz="0" w:space="0" w:color="auto"/>
                                                    <w:bottom w:val="none" w:sz="0" w:space="0" w:color="auto"/>
                                                    <w:right w:val="none" w:sz="0" w:space="0" w:color="auto"/>
                                                  </w:divBdr>
                                                </w:div>
                                                <w:div w:id="1691949705">
                                                  <w:marLeft w:val="0"/>
                                                  <w:marRight w:val="0"/>
                                                  <w:marTop w:val="0"/>
                                                  <w:marBottom w:val="0"/>
                                                  <w:divBdr>
                                                    <w:top w:val="none" w:sz="0" w:space="0" w:color="auto"/>
                                                    <w:left w:val="none" w:sz="0" w:space="0" w:color="auto"/>
                                                    <w:bottom w:val="none" w:sz="0" w:space="0" w:color="auto"/>
                                                    <w:right w:val="none" w:sz="0" w:space="0" w:color="auto"/>
                                                  </w:divBdr>
                                                </w:div>
                                                <w:div w:id="2022393670">
                                                  <w:marLeft w:val="0"/>
                                                  <w:marRight w:val="0"/>
                                                  <w:marTop w:val="0"/>
                                                  <w:marBottom w:val="0"/>
                                                  <w:divBdr>
                                                    <w:top w:val="none" w:sz="0" w:space="0" w:color="auto"/>
                                                    <w:left w:val="none" w:sz="0" w:space="0" w:color="auto"/>
                                                    <w:bottom w:val="none" w:sz="0" w:space="0" w:color="auto"/>
                                                    <w:right w:val="none" w:sz="0" w:space="0" w:color="auto"/>
                                                  </w:divBdr>
                                                </w:div>
                                                <w:div w:id="1894731888">
                                                  <w:marLeft w:val="0"/>
                                                  <w:marRight w:val="0"/>
                                                  <w:marTop w:val="0"/>
                                                  <w:marBottom w:val="0"/>
                                                  <w:divBdr>
                                                    <w:top w:val="none" w:sz="0" w:space="0" w:color="auto"/>
                                                    <w:left w:val="none" w:sz="0" w:space="0" w:color="auto"/>
                                                    <w:bottom w:val="none" w:sz="0" w:space="0" w:color="auto"/>
                                                    <w:right w:val="none" w:sz="0" w:space="0" w:color="auto"/>
                                                  </w:divBdr>
                                                </w:div>
                                                <w:div w:id="1729456046">
                                                  <w:marLeft w:val="0"/>
                                                  <w:marRight w:val="0"/>
                                                  <w:marTop w:val="0"/>
                                                  <w:marBottom w:val="0"/>
                                                  <w:divBdr>
                                                    <w:top w:val="none" w:sz="0" w:space="0" w:color="auto"/>
                                                    <w:left w:val="none" w:sz="0" w:space="0" w:color="auto"/>
                                                    <w:bottom w:val="none" w:sz="0" w:space="0" w:color="auto"/>
                                                    <w:right w:val="none" w:sz="0" w:space="0" w:color="auto"/>
                                                  </w:divBdr>
                                                </w:div>
                                                <w:div w:id="834498160">
                                                  <w:marLeft w:val="0"/>
                                                  <w:marRight w:val="0"/>
                                                  <w:marTop w:val="0"/>
                                                  <w:marBottom w:val="0"/>
                                                  <w:divBdr>
                                                    <w:top w:val="none" w:sz="0" w:space="0" w:color="auto"/>
                                                    <w:left w:val="none" w:sz="0" w:space="0" w:color="auto"/>
                                                    <w:bottom w:val="none" w:sz="0" w:space="0" w:color="auto"/>
                                                    <w:right w:val="none" w:sz="0" w:space="0" w:color="auto"/>
                                                  </w:divBdr>
                                                </w:div>
                                                <w:div w:id="17944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3872057">
      <w:bodyDiv w:val="1"/>
      <w:marLeft w:val="0"/>
      <w:marRight w:val="0"/>
      <w:marTop w:val="0"/>
      <w:marBottom w:val="0"/>
      <w:divBdr>
        <w:top w:val="none" w:sz="0" w:space="0" w:color="auto"/>
        <w:left w:val="none" w:sz="0" w:space="0" w:color="auto"/>
        <w:bottom w:val="none" w:sz="0" w:space="0" w:color="auto"/>
        <w:right w:val="none" w:sz="0" w:space="0" w:color="auto"/>
      </w:divBdr>
    </w:div>
    <w:div w:id="1062754652">
      <w:bodyDiv w:val="1"/>
      <w:marLeft w:val="0"/>
      <w:marRight w:val="0"/>
      <w:marTop w:val="0"/>
      <w:marBottom w:val="0"/>
      <w:divBdr>
        <w:top w:val="none" w:sz="0" w:space="0" w:color="auto"/>
        <w:left w:val="none" w:sz="0" w:space="0" w:color="auto"/>
        <w:bottom w:val="none" w:sz="0" w:space="0" w:color="auto"/>
        <w:right w:val="none" w:sz="0" w:space="0" w:color="auto"/>
      </w:divBdr>
    </w:div>
    <w:div w:id="1076823843">
      <w:bodyDiv w:val="1"/>
      <w:marLeft w:val="0"/>
      <w:marRight w:val="0"/>
      <w:marTop w:val="0"/>
      <w:marBottom w:val="0"/>
      <w:divBdr>
        <w:top w:val="none" w:sz="0" w:space="0" w:color="auto"/>
        <w:left w:val="none" w:sz="0" w:space="0" w:color="auto"/>
        <w:bottom w:val="none" w:sz="0" w:space="0" w:color="auto"/>
        <w:right w:val="none" w:sz="0" w:space="0" w:color="auto"/>
      </w:divBdr>
    </w:div>
    <w:div w:id="1178739329">
      <w:bodyDiv w:val="1"/>
      <w:marLeft w:val="0"/>
      <w:marRight w:val="0"/>
      <w:marTop w:val="0"/>
      <w:marBottom w:val="0"/>
      <w:divBdr>
        <w:top w:val="none" w:sz="0" w:space="0" w:color="auto"/>
        <w:left w:val="none" w:sz="0" w:space="0" w:color="auto"/>
        <w:bottom w:val="none" w:sz="0" w:space="0" w:color="auto"/>
        <w:right w:val="none" w:sz="0" w:space="0" w:color="auto"/>
      </w:divBdr>
    </w:div>
    <w:div w:id="1186479208">
      <w:bodyDiv w:val="1"/>
      <w:marLeft w:val="0"/>
      <w:marRight w:val="0"/>
      <w:marTop w:val="0"/>
      <w:marBottom w:val="0"/>
      <w:divBdr>
        <w:top w:val="none" w:sz="0" w:space="0" w:color="auto"/>
        <w:left w:val="none" w:sz="0" w:space="0" w:color="auto"/>
        <w:bottom w:val="none" w:sz="0" w:space="0" w:color="auto"/>
        <w:right w:val="none" w:sz="0" w:space="0" w:color="auto"/>
      </w:divBdr>
    </w:div>
    <w:div w:id="1245068098">
      <w:bodyDiv w:val="1"/>
      <w:marLeft w:val="0"/>
      <w:marRight w:val="0"/>
      <w:marTop w:val="0"/>
      <w:marBottom w:val="0"/>
      <w:divBdr>
        <w:top w:val="none" w:sz="0" w:space="0" w:color="auto"/>
        <w:left w:val="none" w:sz="0" w:space="0" w:color="auto"/>
        <w:bottom w:val="none" w:sz="0" w:space="0" w:color="auto"/>
        <w:right w:val="none" w:sz="0" w:space="0" w:color="auto"/>
      </w:divBdr>
    </w:div>
    <w:div w:id="1275408623">
      <w:bodyDiv w:val="1"/>
      <w:marLeft w:val="0"/>
      <w:marRight w:val="0"/>
      <w:marTop w:val="0"/>
      <w:marBottom w:val="0"/>
      <w:divBdr>
        <w:top w:val="none" w:sz="0" w:space="0" w:color="auto"/>
        <w:left w:val="none" w:sz="0" w:space="0" w:color="auto"/>
        <w:bottom w:val="none" w:sz="0" w:space="0" w:color="auto"/>
        <w:right w:val="none" w:sz="0" w:space="0" w:color="auto"/>
      </w:divBdr>
    </w:div>
    <w:div w:id="1302349203">
      <w:bodyDiv w:val="1"/>
      <w:marLeft w:val="0"/>
      <w:marRight w:val="0"/>
      <w:marTop w:val="0"/>
      <w:marBottom w:val="0"/>
      <w:divBdr>
        <w:top w:val="none" w:sz="0" w:space="0" w:color="auto"/>
        <w:left w:val="none" w:sz="0" w:space="0" w:color="auto"/>
        <w:bottom w:val="none" w:sz="0" w:space="0" w:color="auto"/>
        <w:right w:val="none" w:sz="0" w:space="0" w:color="auto"/>
      </w:divBdr>
      <w:divsChild>
        <w:div w:id="332878429">
          <w:marLeft w:val="0"/>
          <w:marRight w:val="0"/>
          <w:marTop w:val="0"/>
          <w:marBottom w:val="0"/>
          <w:divBdr>
            <w:top w:val="none" w:sz="0" w:space="0" w:color="auto"/>
            <w:left w:val="none" w:sz="0" w:space="0" w:color="auto"/>
            <w:bottom w:val="none" w:sz="0" w:space="0" w:color="auto"/>
            <w:right w:val="none" w:sz="0" w:space="0" w:color="auto"/>
          </w:divBdr>
          <w:divsChild>
            <w:div w:id="918056615">
              <w:marLeft w:val="0"/>
              <w:marRight w:val="0"/>
              <w:marTop w:val="900"/>
              <w:marBottom w:val="0"/>
              <w:divBdr>
                <w:top w:val="none" w:sz="0" w:space="0" w:color="auto"/>
                <w:left w:val="none" w:sz="0" w:space="0" w:color="auto"/>
                <w:bottom w:val="none" w:sz="0" w:space="0" w:color="auto"/>
                <w:right w:val="none" w:sz="0" w:space="0" w:color="auto"/>
              </w:divBdr>
              <w:divsChild>
                <w:div w:id="1314139581">
                  <w:marLeft w:val="0"/>
                  <w:marRight w:val="0"/>
                  <w:marTop w:val="0"/>
                  <w:marBottom w:val="0"/>
                  <w:divBdr>
                    <w:top w:val="none" w:sz="0" w:space="0" w:color="auto"/>
                    <w:left w:val="none" w:sz="0" w:space="0" w:color="auto"/>
                    <w:bottom w:val="none" w:sz="0" w:space="0" w:color="auto"/>
                    <w:right w:val="none" w:sz="0" w:space="0" w:color="auto"/>
                  </w:divBdr>
                  <w:divsChild>
                    <w:div w:id="34352633">
                      <w:marLeft w:val="0"/>
                      <w:marRight w:val="0"/>
                      <w:marTop w:val="0"/>
                      <w:marBottom w:val="0"/>
                      <w:divBdr>
                        <w:top w:val="none" w:sz="0" w:space="0" w:color="auto"/>
                        <w:left w:val="none" w:sz="0" w:space="0" w:color="auto"/>
                        <w:bottom w:val="none" w:sz="0" w:space="0" w:color="auto"/>
                        <w:right w:val="none" w:sz="0" w:space="0" w:color="auto"/>
                      </w:divBdr>
                      <w:divsChild>
                        <w:div w:id="1088232837">
                          <w:marLeft w:val="0"/>
                          <w:marRight w:val="0"/>
                          <w:marTop w:val="0"/>
                          <w:marBottom w:val="0"/>
                          <w:divBdr>
                            <w:top w:val="none" w:sz="0" w:space="0" w:color="auto"/>
                            <w:left w:val="none" w:sz="0" w:space="0" w:color="auto"/>
                            <w:bottom w:val="none" w:sz="0" w:space="0" w:color="auto"/>
                            <w:right w:val="none" w:sz="0" w:space="0" w:color="auto"/>
                          </w:divBdr>
                          <w:divsChild>
                            <w:div w:id="1205604491">
                              <w:marLeft w:val="0"/>
                              <w:marRight w:val="0"/>
                              <w:marTop w:val="0"/>
                              <w:marBottom w:val="0"/>
                              <w:divBdr>
                                <w:top w:val="none" w:sz="0" w:space="0" w:color="auto"/>
                                <w:left w:val="none" w:sz="0" w:space="0" w:color="auto"/>
                                <w:bottom w:val="none" w:sz="0" w:space="0" w:color="auto"/>
                                <w:right w:val="none" w:sz="0" w:space="0" w:color="auto"/>
                              </w:divBdr>
                              <w:divsChild>
                                <w:div w:id="2027948585">
                                  <w:marLeft w:val="0"/>
                                  <w:marRight w:val="0"/>
                                  <w:marTop w:val="0"/>
                                  <w:marBottom w:val="0"/>
                                  <w:divBdr>
                                    <w:top w:val="none" w:sz="0" w:space="0" w:color="auto"/>
                                    <w:left w:val="none" w:sz="0" w:space="0" w:color="auto"/>
                                    <w:bottom w:val="none" w:sz="0" w:space="0" w:color="auto"/>
                                    <w:right w:val="none" w:sz="0" w:space="0" w:color="auto"/>
                                  </w:divBdr>
                                  <w:divsChild>
                                    <w:div w:id="894585417">
                                      <w:marLeft w:val="0"/>
                                      <w:marRight w:val="0"/>
                                      <w:marTop w:val="0"/>
                                      <w:marBottom w:val="0"/>
                                      <w:divBdr>
                                        <w:top w:val="none" w:sz="0" w:space="0" w:color="auto"/>
                                        <w:left w:val="none" w:sz="0" w:space="0" w:color="auto"/>
                                        <w:bottom w:val="none" w:sz="0" w:space="0" w:color="auto"/>
                                        <w:right w:val="none" w:sz="0" w:space="0" w:color="auto"/>
                                      </w:divBdr>
                                      <w:divsChild>
                                        <w:div w:id="1591549685">
                                          <w:marLeft w:val="0"/>
                                          <w:marRight w:val="0"/>
                                          <w:marTop w:val="15"/>
                                          <w:marBottom w:val="0"/>
                                          <w:divBdr>
                                            <w:top w:val="none" w:sz="0" w:space="0" w:color="auto"/>
                                            <w:left w:val="none" w:sz="0" w:space="0" w:color="auto"/>
                                            <w:bottom w:val="none" w:sz="0" w:space="0" w:color="auto"/>
                                            <w:right w:val="none" w:sz="0" w:space="0" w:color="auto"/>
                                          </w:divBdr>
                                          <w:divsChild>
                                            <w:div w:id="397553032">
                                              <w:marLeft w:val="0"/>
                                              <w:marRight w:val="0"/>
                                              <w:marTop w:val="0"/>
                                              <w:marBottom w:val="0"/>
                                              <w:divBdr>
                                                <w:top w:val="none" w:sz="0" w:space="0" w:color="auto"/>
                                                <w:left w:val="none" w:sz="0" w:space="0" w:color="auto"/>
                                                <w:bottom w:val="none" w:sz="0" w:space="0" w:color="auto"/>
                                                <w:right w:val="none" w:sz="0" w:space="0" w:color="auto"/>
                                              </w:divBdr>
                                              <w:divsChild>
                                                <w:div w:id="1520120241">
                                                  <w:marLeft w:val="0"/>
                                                  <w:marRight w:val="0"/>
                                                  <w:marTop w:val="0"/>
                                                  <w:marBottom w:val="0"/>
                                                  <w:divBdr>
                                                    <w:top w:val="none" w:sz="0" w:space="0" w:color="auto"/>
                                                    <w:left w:val="none" w:sz="0" w:space="0" w:color="auto"/>
                                                    <w:bottom w:val="none" w:sz="0" w:space="0" w:color="auto"/>
                                                    <w:right w:val="none" w:sz="0" w:space="0" w:color="auto"/>
                                                  </w:divBdr>
                                                </w:div>
                                                <w:div w:id="1822843063">
                                                  <w:marLeft w:val="0"/>
                                                  <w:marRight w:val="0"/>
                                                  <w:marTop w:val="0"/>
                                                  <w:marBottom w:val="0"/>
                                                  <w:divBdr>
                                                    <w:top w:val="none" w:sz="0" w:space="0" w:color="auto"/>
                                                    <w:left w:val="none" w:sz="0" w:space="0" w:color="auto"/>
                                                    <w:bottom w:val="none" w:sz="0" w:space="0" w:color="auto"/>
                                                    <w:right w:val="none" w:sz="0" w:space="0" w:color="auto"/>
                                                  </w:divBdr>
                                                </w:div>
                                                <w:div w:id="1679624185">
                                                  <w:marLeft w:val="0"/>
                                                  <w:marRight w:val="0"/>
                                                  <w:marTop w:val="0"/>
                                                  <w:marBottom w:val="0"/>
                                                  <w:divBdr>
                                                    <w:top w:val="none" w:sz="0" w:space="0" w:color="auto"/>
                                                    <w:left w:val="none" w:sz="0" w:space="0" w:color="auto"/>
                                                    <w:bottom w:val="none" w:sz="0" w:space="0" w:color="auto"/>
                                                    <w:right w:val="none" w:sz="0" w:space="0" w:color="auto"/>
                                                  </w:divBdr>
                                                </w:div>
                                                <w:div w:id="1481074547">
                                                  <w:marLeft w:val="0"/>
                                                  <w:marRight w:val="0"/>
                                                  <w:marTop w:val="0"/>
                                                  <w:marBottom w:val="0"/>
                                                  <w:divBdr>
                                                    <w:top w:val="none" w:sz="0" w:space="0" w:color="auto"/>
                                                    <w:left w:val="none" w:sz="0" w:space="0" w:color="auto"/>
                                                    <w:bottom w:val="none" w:sz="0" w:space="0" w:color="auto"/>
                                                    <w:right w:val="none" w:sz="0" w:space="0" w:color="auto"/>
                                                  </w:divBdr>
                                                </w:div>
                                                <w:div w:id="1042481190">
                                                  <w:marLeft w:val="0"/>
                                                  <w:marRight w:val="0"/>
                                                  <w:marTop w:val="0"/>
                                                  <w:marBottom w:val="0"/>
                                                  <w:divBdr>
                                                    <w:top w:val="none" w:sz="0" w:space="0" w:color="auto"/>
                                                    <w:left w:val="none" w:sz="0" w:space="0" w:color="auto"/>
                                                    <w:bottom w:val="none" w:sz="0" w:space="0" w:color="auto"/>
                                                    <w:right w:val="none" w:sz="0" w:space="0" w:color="auto"/>
                                                  </w:divBdr>
                                                </w:div>
                                                <w:div w:id="1271015283">
                                                  <w:marLeft w:val="0"/>
                                                  <w:marRight w:val="0"/>
                                                  <w:marTop w:val="0"/>
                                                  <w:marBottom w:val="0"/>
                                                  <w:divBdr>
                                                    <w:top w:val="none" w:sz="0" w:space="0" w:color="auto"/>
                                                    <w:left w:val="none" w:sz="0" w:space="0" w:color="auto"/>
                                                    <w:bottom w:val="none" w:sz="0" w:space="0" w:color="auto"/>
                                                    <w:right w:val="none" w:sz="0" w:space="0" w:color="auto"/>
                                                  </w:divBdr>
                                                </w:div>
                                                <w:div w:id="1834838255">
                                                  <w:marLeft w:val="0"/>
                                                  <w:marRight w:val="0"/>
                                                  <w:marTop w:val="0"/>
                                                  <w:marBottom w:val="0"/>
                                                  <w:divBdr>
                                                    <w:top w:val="none" w:sz="0" w:space="0" w:color="auto"/>
                                                    <w:left w:val="none" w:sz="0" w:space="0" w:color="auto"/>
                                                    <w:bottom w:val="none" w:sz="0" w:space="0" w:color="auto"/>
                                                    <w:right w:val="none" w:sz="0" w:space="0" w:color="auto"/>
                                                  </w:divBdr>
                                                </w:div>
                                                <w:div w:id="1027024372">
                                                  <w:marLeft w:val="0"/>
                                                  <w:marRight w:val="0"/>
                                                  <w:marTop w:val="0"/>
                                                  <w:marBottom w:val="0"/>
                                                  <w:divBdr>
                                                    <w:top w:val="none" w:sz="0" w:space="0" w:color="auto"/>
                                                    <w:left w:val="none" w:sz="0" w:space="0" w:color="auto"/>
                                                    <w:bottom w:val="none" w:sz="0" w:space="0" w:color="auto"/>
                                                    <w:right w:val="none" w:sz="0" w:space="0" w:color="auto"/>
                                                  </w:divBdr>
                                                </w:div>
                                                <w:div w:id="572664267">
                                                  <w:marLeft w:val="0"/>
                                                  <w:marRight w:val="0"/>
                                                  <w:marTop w:val="0"/>
                                                  <w:marBottom w:val="0"/>
                                                  <w:divBdr>
                                                    <w:top w:val="none" w:sz="0" w:space="0" w:color="auto"/>
                                                    <w:left w:val="none" w:sz="0" w:space="0" w:color="auto"/>
                                                    <w:bottom w:val="none" w:sz="0" w:space="0" w:color="auto"/>
                                                    <w:right w:val="none" w:sz="0" w:space="0" w:color="auto"/>
                                                  </w:divBdr>
                                                </w:div>
                                                <w:div w:id="1663116393">
                                                  <w:marLeft w:val="0"/>
                                                  <w:marRight w:val="0"/>
                                                  <w:marTop w:val="0"/>
                                                  <w:marBottom w:val="0"/>
                                                  <w:divBdr>
                                                    <w:top w:val="none" w:sz="0" w:space="0" w:color="auto"/>
                                                    <w:left w:val="none" w:sz="0" w:space="0" w:color="auto"/>
                                                    <w:bottom w:val="none" w:sz="0" w:space="0" w:color="auto"/>
                                                    <w:right w:val="none" w:sz="0" w:space="0" w:color="auto"/>
                                                  </w:divBdr>
                                                </w:div>
                                                <w:div w:id="1566794176">
                                                  <w:marLeft w:val="0"/>
                                                  <w:marRight w:val="0"/>
                                                  <w:marTop w:val="0"/>
                                                  <w:marBottom w:val="0"/>
                                                  <w:divBdr>
                                                    <w:top w:val="none" w:sz="0" w:space="0" w:color="auto"/>
                                                    <w:left w:val="none" w:sz="0" w:space="0" w:color="auto"/>
                                                    <w:bottom w:val="none" w:sz="0" w:space="0" w:color="auto"/>
                                                    <w:right w:val="none" w:sz="0" w:space="0" w:color="auto"/>
                                                  </w:divBdr>
                                                </w:div>
                                                <w:div w:id="801536709">
                                                  <w:marLeft w:val="0"/>
                                                  <w:marRight w:val="0"/>
                                                  <w:marTop w:val="0"/>
                                                  <w:marBottom w:val="0"/>
                                                  <w:divBdr>
                                                    <w:top w:val="none" w:sz="0" w:space="0" w:color="auto"/>
                                                    <w:left w:val="none" w:sz="0" w:space="0" w:color="auto"/>
                                                    <w:bottom w:val="none" w:sz="0" w:space="0" w:color="auto"/>
                                                    <w:right w:val="none" w:sz="0" w:space="0" w:color="auto"/>
                                                  </w:divBdr>
                                                </w:div>
                                                <w:div w:id="311642871">
                                                  <w:marLeft w:val="0"/>
                                                  <w:marRight w:val="0"/>
                                                  <w:marTop w:val="0"/>
                                                  <w:marBottom w:val="0"/>
                                                  <w:divBdr>
                                                    <w:top w:val="none" w:sz="0" w:space="0" w:color="auto"/>
                                                    <w:left w:val="none" w:sz="0" w:space="0" w:color="auto"/>
                                                    <w:bottom w:val="none" w:sz="0" w:space="0" w:color="auto"/>
                                                    <w:right w:val="none" w:sz="0" w:space="0" w:color="auto"/>
                                                  </w:divBdr>
                                                </w:div>
                                                <w:div w:id="1917745428">
                                                  <w:marLeft w:val="0"/>
                                                  <w:marRight w:val="0"/>
                                                  <w:marTop w:val="0"/>
                                                  <w:marBottom w:val="0"/>
                                                  <w:divBdr>
                                                    <w:top w:val="none" w:sz="0" w:space="0" w:color="auto"/>
                                                    <w:left w:val="none" w:sz="0" w:space="0" w:color="auto"/>
                                                    <w:bottom w:val="none" w:sz="0" w:space="0" w:color="auto"/>
                                                    <w:right w:val="none" w:sz="0" w:space="0" w:color="auto"/>
                                                  </w:divBdr>
                                                </w:div>
                                                <w:div w:id="244731145">
                                                  <w:marLeft w:val="0"/>
                                                  <w:marRight w:val="0"/>
                                                  <w:marTop w:val="0"/>
                                                  <w:marBottom w:val="0"/>
                                                  <w:divBdr>
                                                    <w:top w:val="none" w:sz="0" w:space="0" w:color="auto"/>
                                                    <w:left w:val="none" w:sz="0" w:space="0" w:color="auto"/>
                                                    <w:bottom w:val="none" w:sz="0" w:space="0" w:color="auto"/>
                                                    <w:right w:val="none" w:sz="0" w:space="0" w:color="auto"/>
                                                  </w:divBdr>
                                                </w:div>
                                                <w:div w:id="2070493151">
                                                  <w:marLeft w:val="0"/>
                                                  <w:marRight w:val="0"/>
                                                  <w:marTop w:val="0"/>
                                                  <w:marBottom w:val="0"/>
                                                  <w:divBdr>
                                                    <w:top w:val="none" w:sz="0" w:space="0" w:color="auto"/>
                                                    <w:left w:val="none" w:sz="0" w:space="0" w:color="auto"/>
                                                    <w:bottom w:val="none" w:sz="0" w:space="0" w:color="auto"/>
                                                    <w:right w:val="none" w:sz="0" w:space="0" w:color="auto"/>
                                                  </w:divBdr>
                                                </w:div>
                                                <w:div w:id="235240522">
                                                  <w:marLeft w:val="0"/>
                                                  <w:marRight w:val="0"/>
                                                  <w:marTop w:val="0"/>
                                                  <w:marBottom w:val="0"/>
                                                  <w:divBdr>
                                                    <w:top w:val="none" w:sz="0" w:space="0" w:color="auto"/>
                                                    <w:left w:val="none" w:sz="0" w:space="0" w:color="auto"/>
                                                    <w:bottom w:val="none" w:sz="0" w:space="0" w:color="auto"/>
                                                    <w:right w:val="none" w:sz="0" w:space="0" w:color="auto"/>
                                                  </w:divBdr>
                                                </w:div>
                                                <w:div w:id="1182207976">
                                                  <w:marLeft w:val="0"/>
                                                  <w:marRight w:val="0"/>
                                                  <w:marTop w:val="0"/>
                                                  <w:marBottom w:val="0"/>
                                                  <w:divBdr>
                                                    <w:top w:val="none" w:sz="0" w:space="0" w:color="auto"/>
                                                    <w:left w:val="none" w:sz="0" w:space="0" w:color="auto"/>
                                                    <w:bottom w:val="none" w:sz="0" w:space="0" w:color="auto"/>
                                                    <w:right w:val="none" w:sz="0" w:space="0" w:color="auto"/>
                                                  </w:divBdr>
                                                </w:div>
                                                <w:div w:id="1256866775">
                                                  <w:marLeft w:val="0"/>
                                                  <w:marRight w:val="0"/>
                                                  <w:marTop w:val="0"/>
                                                  <w:marBottom w:val="0"/>
                                                  <w:divBdr>
                                                    <w:top w:val="none" w:sz="0" w:space="0" w:color="auto"/>
                                                    <w:left w:val="none" w:sz="0" w:space="0" w:color="auto"/>
                                                    <w:bottom w:val="none" w:sz="0" w:space="0" w:color="auto"/>
                                                    <w:right w:val="none" w:sz="0" w:space="0" w:color="auto"/>
                                                  </w:divBdr>
                                                </w:div>
                                                <w:div w:id="696538853">
                                                  <w:marLeft w:val="0"/>
                                                  <w:marRight w:val="0"/>
                                                  <w:marTop w:val="0"/>
                                                  <w:marBottom w:val="0"/>
                                                  <w:divBdr>
                                                    <w:top w:val="none" w:sz="0" w:space="0" w:color="auto"/>
                                                    <w:left w:val="none" w:sz="0" w:space="0" w:color="auto"/>
                                                    <w:bottom w:val="none" w:sz="0" w:space="0" w:color="auto"/>
                                                    <w:right w:val="none" w:sz="0" w:space="0" w:color="auto"/>
                                                  </w:divBdr>
                                                </w:div>
                                                <w:div w:id="632246796">
                                                  <w:marLeft w:val="0"/>
                                                  <w:marRight w:val="0"/>
                                                  <w:marTop w:val="0"/>
                                                  <w:marBottom w:val="0"/>
                                                  <w:divBdr>
                                                    <w:top w:val="none" w:sz="0" w:space="0" w:color="auto"/>
                                                    <w:left w:val="none" w:sz="0" w:space="0" w:color="auto"/>
                                                    <w:bottom w:val="none" w:sz="0" w:space="0" w:color="auto"/>
                                                    <w:right w:val="none" w:sz="0" w:space="0" w:color="auto"/>
                                                  </w:divBdr>
                                                </w:div>
                                                <w:div w:id="774595336">
                                                  <w:marLeft w:val="0"/>
                                                  <w:marRight w:val="0"/>
                                                  <w:marTop w:val="0"/>
                                                  <w:marBottom w:val="0"/>
                                                  <w:divBdr>
                                                    <w:top w:val="none" w:sz="0" w:space="0" w:color="auto"/>
                                                    <w:left w:val="none" w:sz="0" w:space="0" w:color="auto"/>
                                                    <w:bottom w:val="none" w:sz="0" w:space="0" w:color="auto"/>
                                                    <w:right w:val="none" w:sz="0" w:space="0" w:color="auto"/>
                                                  </w:divBdr>
                                                </w:div>
                                                <w:div w:id="1226449782">
                                                  <w:marLeft w:val="0"/>
                                                  <w:marRight w:val="0"/>
                                                  <w:marTop w:val="0"/>
                                                  <w:marBottom w:val="0"/>
                                                  <w:divBdr>
                                                    <w:top w:val="none" w:sz="0" w:space="0" w:color="auto"/>
                                                    <w:left w:val="none" w:sz="0" w:space="0" w:color="auto"/>
                                                    <w:bottom w:val="none" w:sz="0" w:space="0" w:color="auto"/>
                                                    <w:right w:val="none" w:sz="0" w:space="0" w:color="auto"/>
                                                  </w:divBdr>
                                                </w:div>
                                                <w:div w:id="85347770">
                                                  <w:marLeft w:val="0"/>
                                                  <w:marRight w:val="0"/>
                                                  <w:marTop w:val="0"/>
                                                  <w:marBottom w:val="0"/>
                                                  <w:divBdr>
                                                    <w:top w:val="none" w:sz="0" w:space="0" w:color="auto"/>
                                                    <w:left w:val="none" w:sz="0" w:space="0" w:color="auto"/>
                                                    <w:bottom w:val="none" w:sz="0" w:space="0" w:color="auto"/>
                                                    <w:right w:val="none" w:sz="0" w:space="0" w:color="auto"/>
                                                  </w:divBdr>
                                                </w:div>
                                                <w:div w:id="1859469967">
                                                  <w:marLeft w:val="0"/>
                                                  <w:marRight w:val="0"/>
                                                  <w:marTop w:val="0"/>
                                                  <w:marBottom w:val="0"/>
                                                  <w:divBdr>
                                                    <w:top w:val="none" w:sz="0" w:space="0" w:color="auto"/>
                                                    <w:left w:val="none" w:sz="0" w:space="0" w:color="auto"/>
                                                    <w:bottom w:val="none" w:sz="0" w:space="0" w:color="auto"/>
                                                    <w:right w:val="none" w:sz="0" w:space="0" w:color="auto"/>
                                                  </w:divBdr>
                                                </w:div>
                                                <w:div w:id="148788073">
                                                  <w:marLeft w:val="0"/>
                                                  <w:marRight w:val="0"/>
                                                  <w:marTop w:val="0"/>
                                                  <w:marBottom w:val="0"/>
                                                  <w:divBdr>
                                                    <w:top w:val="none" w:sz="0" w:space="0" w:color="auto"/>
                                                    <w:left w:val="none" w:sz="0" w:space="0" w:color="auto"/>
                                                    <w:bottom w:val="none" w:sz="0" w:space="0" w:color="auto"/>
                                                    <w:right w:val="none" w:sz="0" w:space="0" w:color="auto"/>
                                                  </w:divBdr>
                                                </w:div>
                                                <w:div w:id="2047020020">
                                                  <w:marLeft w:val="0"/>
                                                  <w:marRight w:val="0"/>
                                                  <w:marTop w:val="0"/>
                                                  <w:marBottom w:val="0"/>
                                                  <w:divBdr>
                                                    <w:top w:val="none" w:sz="0" w:space="0" w:color="auto"/>
                                                    <w:left w:val="none" w:sz="0" w:space="0" w:color="auto"/>
                                                    <w:bottom w:val="none" w:sz="0" w:space="0" w:color="auto"/>
                                                    <w:right w:val="none" w:sz="0" w:space="0" w:color="auto"/>
                                                  </w:divBdr>
                                                </w:div>
                                                <w:div w:id="190268831">
                                                  <w:marLeft w:val="0"/>
                                                  <w:marRight w:val="0"/>
                                                  <w:marTop w:val="0"/>
                                                  <w:marBottom w:val="0"/>
                                                  <w:divBdr>
                                                    <w:top w:val="none" w:sz="0" w:space="0" w:color="auto"/>
                                                    <w:left w:val="none" w:sz="0" w:space="0" w:color="auto"/>
                                                    <w:bottom w:val="none" w:sz="0" w:space="0" w:color="auto"/>
                                                    <w:right w:val="none" w:sz="0" w:space="0" w:color="auto"/>
                                                  </w:divBdr>
                                                </w:div>
                                                <w:div w:id="269165414">
                                                  <w:marLeft w:val="0"/>
                                                  <w:marRight w:val="0"/>
                                                  <w:marTop w:val="0"/>
                                                  <w:marBottom w:val="0"/>
                                                  <w:divBdr>
                                                    <w:top w:val="none" w:sz="0" w:space="0" w:color="auto"/>
                                                    <w:left w:val="none" w:sz="0" w:space="0" w:color="auto"/>
                                                    <w:bottom w:val="none" w:sz="0" w:space="0" w:color="auto"/>
                                                    <w:right w:val="none" w:sz="0" w:space="0" w:color="auto"/>
                                                  </w:divBdr>
                                                </w:div>
                                                <w:div w:id="150143880">
                                                  <w:marLeft w:val="0"/>
                                                  <w:marRight w:val="0"/>
                                                  <w:marTop w:val="0"/>
                                                  <w:marBottom w:val="0"/>
                                                  <w:divBdr>
                                                    <w:top w:val="none" w:sz="0" w:space="0" w:color="auto"/>
                                                    <w:left w:val="none" w:sz="0" w:space="0" w:color="auto"/>
                                                    <w:bottom w:val="none" w:sz="0" w:space="0" w:color="auto"/>
                                                    <w:right w:val="none" w:sz="0" w:space="0" w:color="auto"/>
                                                  </w:divBdr>
                                                </w:div>
                                                <w:div w:id="1856188813">
                                                  <w:marLeft w:val="0"/>
                                                  <w:marRight w:val="0"/>
                                                  <w:marTop w:val="0"/>
                                                  <w:marBottom w:val="0"/>
                                                  <w:divBdr>
                                                    <w:top w:val="none" w:sz="0" w:space="0" w:color="auto"/>
                                                    <w:left w:val="none" w:sz="0" w:space="0" w:color="auto"/>
                                                    <w:bottom w:val="none" w:sz="0" w:space="0" w:color="auto"/>
                                                    <w:right w:val="none" w:sz="0" w:space="0" w:color="auto"/>
                                                  </w:divBdr>
                                                </w:div>
                                                <w:div w:id="340475598">
                                                  <w:marLeft w:val="0"/>
                                                  <w:marRight w:val="0"/>
                                                  <w:marTop w:val="0"/>
                                                  <w:marBottom w:val="0"/>
                                                  <w:divBdr>
                                                    <w:top w:val="none" w:sz="0" w:space="0" w:color="auto"/>
                                                    <w:left w:val="none" w:sz="0" w:space="0" w:color="auto"/>
                                                    <w:bottom w:val="none" w:sz="0" w:space="0" w:color="auto"/>
                                                    <w:right w:val="none" w:sz="0" w:space="0" w:color="auto"/>
                                                  </w:divBdr>
                                                </w:div>
                                                <w:div w:id="1841502079">
                                                  <w:marLeft w:val="0"/>
                                                  <w:marRight w:val="0"/>
                                                  <w:marTop w:val="0"/>
                                                  <w:marBottom w:val="0"/>
                                                  <w:divBdr>
                                                    <w:top w:val="none" w:sz="0" w:space="0" w:color="auto"/>
                                                    <w:left w:val="none" w:sz="0" w:space="0" w:color="auto"/>
                                                    <w:bottom w:val="none" w:sz="0" w:space="0" w:color="auto"/>
                                                    <w:right w:val="none" w:sz="0" w:space="0" w:color="auto"/>
                                                  </w:divBdr>
                                                </w:div>
                                                <w:div w:id="1836610825">
                                                  <w:marLeft w:val="0"/>
                                                  <w:marRight w:val="0"/>
                                                  <w:marTop w:val="0"/>
                                                  <w:marBottom w:val="0"/>
                                                  <w:divBdr>
                                                    <w:top w:val="none" w:sz="0" w:space="0" w:color="auto"/>
                                                    <w:left w:val="none" w:sz="0" w:space="0" w:color="auto"/>
                                                    <w:bottom w:val="none" w:sz="0" w:space="0" w:color="auto"/>
                                                    <w:right w:val="none" w:sz="0" w:space="0" w:color="auto"/>
                                                  </w:divBdr>
                                                </w:div>
                                                <w:div w:id="304044082">
                                                  <w:marLeft w:val="0"/>
                                                  <w:marRight w:val="0"/>
                                                  <w:marTop w:val="0"/>
                                                  <w:marBottom w:val="0"/>
                                                  <w:divBdr>
                                                    <w:top w:val="none" w:sz="0" w:space="0" w:color="auto"/>
                                                    <w:left w:val="none" w:sz="0" w:space="0" w:color="auto"/>
                                                    <w:bottom w:val="none" w:sz="0" w:space="0" w:color="auto"/>
                                                    <w:right w:val="none" w:sz="0" w:space="0" w:color="auto"/>
                                                  </w:divBdr>
                                                </w:div>
                                                <w:div w:id="111872946">
                                                  <w:marLeft w:val="0"/>
                                                  <w:marRight w:val="0"/>
                                                  <w:marTop w:val="0"/>
                                                  <w:marBottom w:val="0"/>
                                                  <w:divBdr>
                                                    <w:top w:val="none" w:sz="0" w:space="0" w:color="auto"/>
                                                    <w:left w:val="none" w:sz="0" w:space="0" w:color="auto"/>
                                                    <w:bottom w:val="none" w:sz="0" w:space="0" w:color="auto"/>
                                                    <w:right w:val="none" w:sz="0" w:space="0" w:color="auto"/>
                                                  </w:divBdr>
                                                </w:div>
                                                <w:div w:id="1103962108">
                                                  <w:marLeft w:val="0"/>
                                                  <w:marRight w:val="0"/>
                                                  <w:marTop w:val="0"/>
                                                  <w:marBottom w:val="0"/>
                                                  <w:divBdr>
                                                    <w:top w:val="none" w:sz="0" w:space="0" w:color="auto"/>
                                                    <w:left w:val="none" w:sz="0" w:space="0" w:color="auto"/>
                                                    <w:bottom w:val="none" w:sz="0" w:space="0" w:color="auto"/>
                                                    <w:right w:val="none" w:sz="0" w:space="0" w:color="auto"/>
                                                  </w:divBdr>
                                                </w:div>
                                                <w:div w:id="663168913">
                                                  <w:marLeft w:val="0"/>
                                                  <w:marRight w:val="0"/>
                                                  <w:marTop w:val="0"/>
                                                  <w:marBottom w:val="0"/>
                                                  <w:divBdr>
                                                    <w:top w:val="none" w:sz="0" w:space="0" w:color="auto"/>
                                                    <w:left w:val="none" w:sz="0" w:space="0" w:color="auto"/>
                                                    <w:bottom w:val="none" w:sz="0" w:space="0" w:color="auto"/>
                                                    <w:right w:val="none" w:sz="0" w:space="0" w:color="auto"/>
                                                  </w:divBdr>
                                                </w:div>
                                                <w:div w:id="2124883501">
                                                  <w:marLeft w:val="0"/>
                                                  <w:marRight w:val="0"/>
                                                  <w:marTop w:val="0"/>
                                                  <w:marBottom w:val="0"/>
                                                  <w:divBdr>
                                                    <w:top w:val="none" w:sz="0" w:space="0" w:color="auto"/>
                                                    <w:left w:val="none" w:sz="0" w:space="0" w:color="auto"/>
                                                    <w:bottom w:val="none" w:sz="0" w:space="0" w:color="auto"/>
                                                    <w:right w:val="none" w:sz="0" w:space="0" w:color="auto"/>
                                                  </w:divBdr>
                                                </w:div>
                                                <w:div w:id="777650678">
                                                  <w:marLeft w:val="0"/>
                                                  <w:marRight w:val="0"/>
                                                  <w:marTop w:val="0"/>
                                                  <w:marBottom w:val="0"/>
                                                  <w:divBdr>
                                                    <w:top w:val="none" w:sz="0" w:space="0" w:color="auto"/>
                                                    <w:left w:val="none" w:sz="0" w:space="0" w:color="auto"/>
                                                    <w:bottom w:val="none" w:sz="0" w:space="0" w:color="auto"/>
                                                    <w:right w:val="none" w:sz="0" w:space="0" w:color="auto"/>
                                                  </w:divBdr>
                                                </w:div>
                                                <w:div w:id="1106121189">
                                                  <w:marLeft w:val="0"/>
                                                  <w:marRight w:val="0"/>
                                                  <w:marTop w:val="0"/>
                                                  <w:marBottom w:val="0"/>
                                                  <w:divBdr>
                                                    <w:top w:val="none" w:sz="0" w:space="0" w:color="auto"/>
                                                    <w:left w:val="none" w:sz="0" w:space="0" w:color="auto"/>
                                                    <w:bottom w:val="none" w:sz="0" w:space="0" w:color="auto"/>
                                                    <w:right w:val="none" w:sz="0" w:space="0" w:color="auto"/>
                                                  </w:divBdr>
                                                </w:div>
                                                <w:div w:id="244385771">
                                                  <w:marLeft w:val="0"/>
                                                  <w:marRight w:val="0"/>
                                                  <w:marTop w:val="0"/>
                                                  <w:marBottom w:val="0"/>
                                                  <w:divBdr>
                                                    <w:top w:val="none" w:sz="0" w:space="0" w:color="auto"/>
                                                    <w:left w:val="none" w:sz="0" w:space="0" w:color="auto"/>
                                                    <w:bottom w:val="none" w:sz="0" w:space="0" w:color="auto"/>
                                                    <w:right w:val="none" w:sz="0" w:space="0" w:color="auto"/>
                                                  </w:divBdr>
                                                </w:div>
                                                <w:div w:id="997617139">
                                                  <w:marLeft w:val="0"/>
                                                  <w:marRight w:val="0"/>
                                                  <w:marTop w:val="0"/>
                                                  <w:marBottom w:val="0"/>
                                                  <w:divBdr>
                                                    <w:top w:val="none" w:sz="0" w:space="0" w:color="auto"/>
                                                    <w:left w:val="none" w:sz="0" w:space="0" w:color="auto"/>
                                                    <w:bottom w:val="none" w:sz="0" w:space="0" w:color="auto"/>
                                                    <w:right w:val="none" w:sz="0" w:space="0" w:color="auto"/>
                                                  </w:divBdr>
                                                </w:div>
                                                <w:div w:id="769551005">
                                                  <w:marLeft w:val="0"/>
                                                  <w:marRight w:val="0"/>
                                                  <w:marTop w:val="0"/>
                                                  <w:marBottom w:val="0"/>
                                                  <w:divBdr>
                                                    <w:top w:val="none" w:sz="0" w:space="0" w:color="auto"/>
                                                    <w:left w:val="none" w:sz="0" w:space="0" w:color="auto"/>
                                                    <w:bottom w:val="none" w:sz="0" w:space="0" w:color="auto"/>
                                                    <w:right w:val="none" w:sz="0" w:space="0" w:color="auto"/>
                                                  </w:divBdr>
                                                </w:div>
                                                <w:div w:id="916478449">
                                                  <w:marLeft w:val="0"/>
                                                  <w:marRight w:val="0"/>
                                                  <w:marTop w:val="0"/>
                                                  <w:marBottom w:val="0"/>
                                                  <w:divBdr>
                                                    <w:top w:val="none" w:sz="0" w:space="0" w:color="auto"/>
                                                    <w:left w:val="none" w:sz="0" w:space="0" w:color="auto"/>
                                                    <w:bottom w:val="none" w:sz="0" w:space="0" w:color="auto"/>
                                                    <w:right w:val="none" w:sz="0" w:space="0" w:color="auto"/>
                                                  </w:divBdr>
                                                </w:div>
                                                <w:div w:id="176699957">
                                                  <w:marLeft w:val="0"/>
                                                  <w:marRight w:val="0"/>
                                                  <w:marTop w:val="0"/>
                                                  <w:marBottom w:val="0"/>
                                                  <w:divBdr>
                                                    <w:top w:val="none" w:sz="0" w:space="0" w:color="auto"/>
                                                    <w:left w:val="none" w:sz="0" w:space="0" w:color="auto"/>
                                                    <w:bottom w:val="none" w:sz="0" w:space="0" w:color="auto"/>
                                                    <w:right w:val="none" w:sz="0" w:space="0" w:color="auto"/>
                                                  </w:divBdr>
                                                </w:div>
                                                <w:div w:id="747580260">
                                                  <w:marLeft w:val="0"/>
                                                  <w:marRight w:val="0"/>
                                                  <w:marTop w:val="0"/>
                                                  <w:marBottom w:val="0"/>
                                                  <w:divBdr>
                                                    <w:top w:val="none" w:sz="0" w:space="0" w:color="auto"/>
                                                    <w:left w:val="none" w:sz="0" w:space="0" w:color="auto"/>
                                                    <w:bottom w:val="none" w:sz="0" w:space="0" w:color="auto"/>
                                                    <w:right w:val="none" w:sz="0" w:space="0" w:color="auto"/>
                                                  </w:divBdr>
                                                </w:div>
                                                <w:div w:id="81815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4220351">
      <w:bodyDiv w:val="1"/>
      <w:marLeft w:val="0"/>
      <w:marRight w:val="0"/>
      <w:marTop w:val="0"/>
      <w:marBottom w:val="0"/>
      <w:divBdr>
        <w:top w:val="none" w:sz="0" w:space="0" w:color="auto"/>
        <w:left w:val="none" w:sz="0" w:space="0" w:color="auto"/>
        <w:bottom w:val="none" w:sz="0" w:space="0" w:color="auto"/>
        <w:right w:val="none" w:sz="0" w:space="0" w:color="auto"/>
      </w:divBdr>
    </w:div>
    <w:div w:id="1319578033">
      <w:bodyDiv w:val="1"/>
      <w:marLeft w:val="0"/>
      <w:marRight w:val="0"/>
      <w:marTop w:val="0"/>
      <w:marBottom w:val="0"/>
      <w:divBdr>
        <w:top w:val="none" w:sz="0" w:space="0" w:color="auto"/>
        <w:left w:val="none" w:sz="0" w:space="0" w:color="auto"/>
        <w:bottom w:val="none" w:sz="0" w:space="0" w:color="auto"/>
        <w:right w:val="none" w:sz="0" w:space="0" w:color="auto"/>
      </w:divBdr>
    </w:div>
    <w:div w:id="1349984328">
      <w:bodyDiv w:val="1"/>
      <w:marLeft w:val="0"/>
      <w:marRight w:val="0"/>
      <w:marTop w:val="0"/>
      <w:marBottom w:val="0"/>
      <w:divBdr>
        <w:top w:val="none" w:sz="0" w:space="0" w:color="auto"/>
        <w:left w:val="none" w:sz="0" w:space="0" w:color="auto"/>
        <w:bottom w:val="none" w:sz="0" w:space="0" w:color="auto"/>
        <w:right w:val="none" w:sz="0" w:space="0" w:color="auto"/>
      </w:divBdr>
    </w:div>
    <w:div w:id="1351252362">
      <w:bodyDiv w:val="1"/>
      <w:marLeft w:val="0"/>
      <w:marRight w:val="0"/>
      <w:marTop w:val="0"/>
      <w:marBottom w:val="0"/>
      <w:divBdr>
        <w:top w:val="none" w:sz="0" w:space="0" w:color="auto"/>
        <w:left w:val="none" w:sz="0" w:space="0" w:color="auto"/>
        <w:bottom w:val="none" w:sz="0" w:space="0" w:color="auto"/>
        <w:right w:val="none" w:sz="0" w:space="0" w:color="auto"/>
      </w:divBdr>
      <w:divsChild>
        <w:div w:id="1495144535">
          <w:marLeft w:val="0"/>
          <w:marRight w:val="0"/>
          <w:marTop w:val="0"/>
          <w:marBottom w:val="0"/>
          <w:divBdr>
            <w:top w:val="none" w:sz="0" w:space="0" w:color="auto"/>
            <w:left w:val="none" w:sz="0" w:space="0" w:color="auto"/>
            <w:bottom w:val="none" w:sz="0" w:space="0" w:color="auto"/>
            <w:right w:val="none" w:sz="0" w:space="0" w:color="auto"/>
          </w:divBdr>
          <w:divsChild>
            <w:div w:id="2045133717">
              <w:marLeft w:val="0"/>
              <w:marRight w:val="0"/>
              <w:marTop w:val="225"/>
              <w:marBottom w:val="0"/>
              <w:divBdr>
                <w:top w:val="none" w:sz="0" w:space="0" w:color="auto"/>
                <w:left w:val="none" w:sz="0" w:space="0" w:color="auto"/>
                <w:bottom w:val="none" w:sz="0" w:space="0" w:color="auto"/>
                <w:right w:val="none" w:sz="0" w:space="0" w:color="auto"/>
              </w:divBdr>
            </w:div>
          </w:divsChild>
        </w:div>
        <w:div w:id="1474256071">
          <w:marLeft w:val="0"/>
          <w:marRight w:val="0"/>
          <w:marTop w:val="0"/>
          <w:marBottom w:val="0"/>
          <w:divBdr>
            <w:top w:val="none" w:sz="0" w:space="0" w:color="auto"/>
            <w:left w:val="none" w:sz="0" w:space="0" w:color="auto"/>
            <w:bottom w:val="none" w:sz="0" w:space="0" w:color="auto"/>
            <w:right w:val="none" w:sz="0" w:space="0" w:color="auto"/>
          </w:divBdr>
        </w:div>
      </w:divsChild>
    </w:div>
    <w:div w:id="1354382827">
      <w:bodyDiv w:val="1"/>
      <w:marLeft w:val="0"/>
      <w:marRight w:val="0"/>
      <w:marTop w:val="0"/>
      <w:marBottom w:val="0"/>
      <w:divBdr>
        <w:top w:val="none" w:sz="0" w:space="0" w:color="auto"/>
        <w:left w:val="none" w:sz="0" w:space="0" w:color="auto"/>
        <w:bottom w:val="none" w:sz="0" w:space="0" w:color="auto"/>
        <w:right w:val="none" w:sz="0" w:space="0" w:color="auto"/>
      </w:divBdr>
      <w:divsChild>
        <w:div w:id="622931761">
          <w:marLeft w:val="0"/>
          <w:marRight w:val="0"/>
          <w:marTop w:val="0"/>
          <w:marBottom w:val="0"/>
          <w:divBdr>
            <w:top w:val="none" w:sz="0" w:space="0" w:color="auto"/>
            <w:left w:val="none" w:sz="0" w:space="0" w:color="auto"/>
            <w:bottom w:val="none" w:sz="0" w:space="0" w:color="auto"/>
            <w:right w:val="none" w:sz="0" w:space="0" w:color="auto"/>
          </w:divBdr>
        </w:div>
        <w:div w:id="80756197">
          <w:marLeft w:val="0"/>
          <w:marRight w:val="0"/>
          <w:marTop w:val="0"/>
          <w:marBottom w:val="0"/>
          <w:divBdr>
            <w:top w:val="none" w:sz="0" w:space="0" w:color="auto"/>
            <w:left w:val="none" w:sz="0" w:space="0" w:color="auto"/>
            <w:bottom w:val="none" w:sz="0" w:space="0" w:color="auto"/>
            <w:right w:val="none" w:sz="0" w:space="0" w:color="auto"/>
          </w:divBdr>
        </w:div>
        <w:div w:id="568731122">
          <w:marLeft w:val="0"/>
          <w:marRight w:val="0"/>
          <w:marTop w:val="0"/>
          <w:marBottom w:val="0"/>
          <w:divBdr>
            <w:top w:val="none" w:sz="0" w:space="0" w:color="auto"/>
            <w:left w:val="none" w:sz="0" w:space="0" w:color="auto"/>
            <w:bottom w:val="none" w:sz="0" w:space="0" w:color="auto"/>
            <w:right w:val="none" w:sz="0" w:space="0" w:color="auto"/>
          </w:divBdr>
        </w:div>
        <w:div w:id="1266229586">
          <w:marLeft w:val="0"/>
          <w:marRight w:val="0"/>
          <w:marTop w:val="0"/>
          <w:marBottom w:val="0"/>
          <w:divBdr>
            <w:top w:val="none" w:sz="0" w:space="0" w:color="auto"/>
            <w:left w:val="none" w:sz="0" w:space="0" w:color="auto"/>
            <w:bottom w:val="none" w:sz="0" w:space="0" w:color="auto"/>
            <w:right w:val="none" w:sz="0" w:space="0" w:color="auto"/>
          </w:divBdr>
        </w:div>
        <w:div w:id="1692106676">
          <w:marLeft w:val="0"/>
          <w:marRight w:val="0"/>
          <w:marTop w:val="0"/>
          <w:marBottom w:val="0"/>
          <w:divBdr>
            <w:top w:val="none" w:sz="0" w:space="0" w:color="auto"/>
            <w:left w:val="none" w:sz="0" w:space="0" w:color="auto"/>
            <w:bottom w:val="none" w:sz="0" w:space="0" w:color="auto"/>
            <w:right w:val="none" w:sz="0" w:space="0" w:color="auto"/>
          </w:divBdr>
        </w:div>
        <w:div w:id="1126898349">
          <w:marLeft w:val="0"/>
          <w:marRight w:val="0"/>
          <w:marTop w:val="0"/>
          <w:marBottom w:val="0"/>
          <w:divBdr>
            <w:top w:val="none" w:sz="0" w:space="0" w:color="auto"/>
            <w:left w:val="none" w:sz="0" w:space="0" w:color="auto"/>
            <w:bottom w:val="none" w:sz="0" w:space="0" w:color="auto"/>
            <w:right w:val="none" w:sz="0" w:space="0" w:color="auto"/>
          </w:divBdr>
        </w:div>
        <w:div w:id="1691488365">
          <w:marLeft w:val="0"/>
          <w:marRight w:val="0"/>
          <w:marTop w:val="0"/>
          <w:marBottom w:val="0"/>
          <w:divBdr>
            <w:top w:val="none" w:sz="0" w:space="0" w:color="auto"/>
            <w:left w:val="none" w:sz="0" w:space="0" w:color="auto"/>
            <w:bottom w:val="none" w:sz="0" w:space="0" w:color="auto"/>
            <w:right w:val="none" w:sz="0" w:space="0" w:color="auto"/>
          </w:divBdr>
        </w:div>
        <w:div w:id="1155418513">
          <w:marLeft w:val="0"/>
          <w:marRight w:val="0"/>
          <w:marTop w:val="0"/>
          <w:marBottom w:val="0"/>
          <w:divBdr>
            <w:top w:val="none" w:sz="0" w:space="0" w:color="auto"/>
            <w:left w:val="none" w:sz="0" w:space="0" w:color="auto"/>
            <w:bottom w:val="none" w:sz="0" w:space="0" w:color="auto"/>
            <w:right w:val="none" w:sz="0" w:space="0" w:color="auto"/>
          </w:divBdr>
        </w:div>
      </w:divsChild>
    </w:div>
    <w:div w:id="1414664169">
      <w:bodyDiv w:val="1"/>
      <w:marLeft w:val="0"/>
      <w:marRight w:val="0"/>
      <w:marTop w:val="0"/>
      <w:marBottom w:val="0"/>
      <w:divBdr>
        <w:top w:val="none" w:sz="0" w:space="0" w:color="auto"/>
        <w:left w:val="none" w:sz="0" w:space="0" w:color="auto"/>
        <w:bottom w:val="none" w:sz="0" w:space="0" w:color="auto"/>
        <w:right w:val="none" w:sz="0" w:space="0" w:color="auto"/>
      </w:divBdr>
      <w:divsChild>
        <w:div w:id="1532260462">
          <w:marLeft w:val="0"/>
          <w:marRight w:val="0"/>
          <w:marTop w:val="0"/>
          <w:marBottom w:val="0"/>
          <w:divBdr>
            <w:top w:val="none" w:sz="0" w:space="0" w:color="auto"/>
            <w:left w:val="none" w:sz="0" w:space="0" w:color="auto"/>
            <w:bottom w:val="none" w:sz="0" w:space="0" w:color="auto"/>
            <w:right w:val="none" w:sz="0" w:space="0" w:color="auto"/>
          </w:divBdr>
          <w:divsChild>
            <w:div w:id="284704114">
              <w:marLeft w:val="0"/>
              <w:marRight w:val="0"/>
              <w:marTop w:val="900"/>
              <w:marBottom w:val="0"/>
              <w:divBdr>
                <w:top w:val="none" w:sz="0" w:space="0" w:color="auto"/>
                <w:left w:val="none" w:sz="0" w:space="0" w:color="auto"/>
                <w:bottom w:val="none" w:sz="0" w:space="0" w:color="auto"/>
                <w:right w:val="none" w:sz="0" w:space="0" w:color="auto"/>
              </w:divBdr>
              <w:divsChild>
                <w:div w:id="725422415">
                  <w:marLeft w:val="0"/>
                  <w:marRight w:val="0"/>
                  <w:marTop w:val="0"/>
                  <w:marBottom w:val="0"/>
                  <w:divBdr>
                    <w:top w:val="none" w:sz="0" w:space="0" w:color="auto"/>
                    <w:left w:val="none" w:sz="0" w:space="0" w:color="auto"/>
                    <w:bottom w:val="none" w:sz="0" w:space="0" w:color="auto"/>
                    <w:right w:val="none" w:sz="0" w:space="0" w:color="auto"/>
                  </w:divBdr>
                  <w:divsChild>
                    <w:div w:id="311176840">
                      <w:marLeft w:val="0"/>
                      <w:marRight w:val="0"/>
                      <w:marTop w:val="0"/>
                      <w:marBottom w:val="0"/>
                      <w:divBdr>
                        <w:top w:val="none" w:sz="0" w:space="0" w:color="auto"/>
                        <w:left w:val="none" w:sz="0" w:space="0" w:color="auto"/>
                        <w:bottom w:val="none" w:sz="0" w:space="0" w:color="auto"/>
                        <w:right w:val="none" w:sz="0" w:space="0" w:color="auto"/>
                      </w:divBdr>
                      <w:divsChild>
                        <w:div w:id="128516340">
                          <w:marLeft w:val="0"/>
                          <w:marRight w:val="0"/>
                          <w:marTop w:val="0"/>
                          <w:marBottom w:val="0"/>
                          <w:divBdr>
                            <w:top w:val="none" w:sz="0" w:space="0" w:color="auto"/>
                            <w:left w:val="none" w:sz="0" w:space="0" w:color="auto"/>
                            <w:bottom w:val="none" w:sz="0" w:space="0" w:color="auto"/>
                            <w:right w:val="none" w:sz="0" w:space="0" w:color="auto"/>
                          </w:divBdr>
                          <w:divsChild>
                            <w:div w:id="466895203">
                              <w:marLeft w:val="0"/>
                              <w:marRight w:val="0"/>
                              <w:marTop w:val="0"/>
                              <w:marBottom w:val="0"/>
                              <w:divBdr>
                                <w:top w:val="none" w:sz="0" w:space="0" w:color="auto"/>
                                <w:left w:val="none" w:sz="0" w:space="0" w:color="auto"/>
                                <w:bottom w:val="none" w:sz="0" w:space="0" w:color="auto"/>
                                <w:right w:val="none" w:sz="0" w:space="0" w:color="auto"/>
                              </w:divBdr>
                              <w:divsChild>
                                <w:div w:id="215941668">
                                  <w:marLeft w:val="0"/>
                                  <w:marRight w:val="0"/>
                                  <w:marTop w:val="0"/>
                                  <w:marBottom w:val="0"/>
                                  <w:divBdr>
                                    <w:top w:val="none" w:sz="0" w:space="0" w:color="auto"/>
                                    <w:left w:val="none" w:sz="0" w:space="0" w:color="auto"/>
                                    <w:bottom w:val="none" w:sz="0" w:space="0" w:color="auto"/>
                                    <w:right w:val="none" w:sz="0" w:space="0" w:color="auto"/>
                                  </w:divBdr>
                                  <w:divsChild>
                                    <w:div w:id="1506893484">
                                      <w:marLeft w:val="0"/>
                                      <w:marRight w:val="0"/>
                                      <w:marTop w:val="0"/>
                                      <w:marBottom w:val="0"/>
                                      <w:divBdr>
                                        <w:top w:val="none" w:sz="0" w:space="0" w:color="auto"/>
                                        <w:left w:val="none" w:sz="0" w:space="0" w:color="auto"/>
                                        <w:bottom w:val="none" w:sz="0" w:space="0" w:color="auto"/>
                                        <w:right w:val="none" w:sz="0" w:space="0" w:color="auto"/>
                                      </w:divBdr>
                                      <w:divsChild>
                                        <w:div w:id="1773549134">
                                          <w:marLeft w:val="0"/>
                                          <w:marRight w:val="0"/>
                                          <w:marTop w:val="15"/>
                                          <w:marBottom w:val="0"/>
                                          <w:divBdr>
                                            <w:top w:val="none" w:sz="0" w:space="0" w:color="auto"/>
                                            <w:left w:val="none" w:sz="0" w:space="0" w:color="auto"/>
                                            <w:bottom w:val="none" w:sz="0" w:space="0" w:color="auto"/>
                                            <w:right w:val="none" w:sz="0" w:space="0" w:color="auto"/>
                                          </w:divBdr>
                                          <w:divsChild>
                                            <w:div w:id="496188623">
                                              <w:marLeft w:val="0"/>
                                              <w:marRight w:val="0"/>
                                              <w:marTop w:val="0"/>
                                              <w:marBottom w:val="0"/>
                                              <w:divBdr>
                                                <w:top w:val="none" w:sz="0" w:space="0" w:color="auto"/>
                                                <w:left w:val="none" w:sz="0" w:space="0" w:color="auto"/>
                                                <w:bottom w:val="none" w:sz="0" w:space="0" w:color="auto"/>
                                                <w:right w:val="none" w:sz="0" w:space="0" w:color="auto"/>
                                              </w:divBdr>
                                              <w:divsChild>
                                                <w:div w:id="1821578856">
                                                  <w:marLeft w:val="0"/>
                                                  <w:marRight w:val="0"/>
                                                  <w:marTop w:val="0"/>
                                                  <w:marBottom w:val="0"/>
                                                  <w:divBdr>
                                                    <w:top w:val="none" w:sz="0" w:space="0" w:color="auto"/>
                                                    <w:left w:val="none" w:sz="0" w:space="0" w:color="auto"/>
                                                    <w:bottom w:val="none" w:sz="0" w:space="0" w:color="auto"/>
                                                    <w:right w:val="none" w:sz="0" w:space="0" w:color="auto"/>
                                                  </w:divBdr>
                                                </w:div>
                                                <w:div w:id="841314164">
                                                  <w:marLeft w:val="0"/>
                                                  <w:marRight w:val="0"/>
                                                  <w:marTop w:val="0"/>
                                                  <w:marBottom w:val="0"/>
                                                  <w:divBdr>
                                                    <w:top w:val="none" w:sz="0" w:space="0" w:color="auto"/>
                                                    <w:left w:val="none" w:sz="0" w:space="0" w:color="auto"/>
                                                    <w:bottom w:val="none" w:sz="0" w:space="0" w:color="auto"/>
                                                    <w:right w:val="none" w:sz="0" w:space="0" w:color="auto"/>
                                                  </w:divBdr>
                                                </w:div>
                                                <w:div w:id="1715958631">
                                                  <w:marLeft w:val="0"/>
                                                  <w:marRight w:val="0"/>
                                                  <w:marTop w:val="0"/>
                                                  <w:marBottom w:val="0"/>
                                                  <w:divBdr>
                                                    <w:top w:val="none" w:sz="0" w:space="0" w:color="auto"/>
                                                    <w:left w:val="none" w:sz="0" w:space="0" w:color="auto"/>
                                                    <w:bottom w:val="none" w:sz="0" w:space="0" w:color="auto"/>
                                                    <w:right w:val="none" w:sz="0" w:space="0" w:color="auto"/>
                                                  </w:divBdr>
                                                </w:div>
                                                <w:div w:id="1914311807">
                                                  <w:marLeft w:val="0"/>
                                                  <w:marRight w:val="0"/>
                                                  <w:marTop w:val="0"/>
                                                  <w:marBottom w:val="0"/>
                                                  <w:divBdr>
                                                    <w:top w:val="none" w:sz="0" w:space="0" w:color="auto"/>
                                                    <w:left w:val="none" w:sz="0" w:space="0" w:color="auto"/>
                                                    <w:bottom w:val="none" w:sz="0" w:space="0" w:color="auto"/>
                                                    <w:right w:val="none" w:sz="0" w:space="0" w:color="auto"/>
                                                  </w:divBdr>
                                                </w:div>
                                                <w:div w:id="1495222497">
                                                  <w:marLeft w:val="0"/>
                                                  <w:marRight w:val="0"/>
                                                  <w:marTop w:val="0"/>
                                                  <w:marBottom w:val="0"/>
                                                  <w:divBdr>
                                                    <w:top w:val="none" w:sz="0" w:space="0" w:color="auto"/>
                                                    <w:left w:val="none" w:sz="0" w:space="0" w:color="auto"/>
                                                    <w:bottom w:val="none" w:sz="0" w:space="0" w:color="auto"/>
                                                    <w:right w:val="none" w:sz="0" w:space="0" w:color="auto"/>
                                                  </w:divBdr>
                                                </w:div>
                                                <w:div w:id="2125614808">
                                                  <w:marLeft w:val="0"/>
                                                  <w:marRight w:val="0"/>
                                                  <w:marTop w:val="0"/>
                                                  <w:marBottom w:val="0"/>
                                                  <w:divBdr>
                                                    <w:top w:val="none" w:sz="0" w:space="0" w:color="auto"/>
                                                    <w:left w:val="none" w:sz="0" w:space="0" w:color="auto"/>
                                                    <w:bottom w:val="none" w:sz="0" w:space="0" w:color="auto"/>
                                                    <w:right w:val="none" w:sz="0" w:space="0" w:color="auto"/>
                                                  </w:divBdr>
                                                </w:div>
                                                <w:div w:id="1293751774">
                                                  <w:marLeft w:val="0"/>
                                                  <w:marRight w:val="0"/>
                                                  <w:marTop w:val="0"/>
                                                  <w:marBottom w:val="0"/>
                                                  <w:divBdr>
                                                    <w:top w:val="none" w:sz="0" w:space="0" w:color="auto"/>
                                                    <w:left w:val="none" w:sz="0" w:space="0" w:color="auto"/>
                                                    <w:bottom w:val="none" w:sz="0" w:space="0" w:color="auto"/>
                                                    <w:right w:val="none" w:sz="0" w:space="0" w:color="auto"/>
                                                  </w:divBdr>
                                                </w:div>
                                                <w:div w:id="2138991495">
                                                  <w:marLeft w:val="0"/>
                                                  <w:marRight w:val="0"/>
                                                  <w:marTop w:val="0"/>
                                                  <w:marBottom w:val="0"/>
                                                  <w:divBdr>
                                                    <w:top w:val="none" w:sz="0" w:space="0" w:color="auto"/>
                                                    <w:left w:val="none" w:sz="0" w:space="0" w:color="auto"/>
                                                    <w:bottom w:val="none" w:sz="0" w:space="0" w:color="auto"/>
                                                    <w:right w:val="none" w:sz="0" w:space="0" w:color="auto"/>
                                                  </w:divBdr>
                                                </w:div>
                                                <w:div w:id="1077048328">
                                                  <w:marLeft w:val="0"/>
                                                  <w:marRight w:val="0"/>
                                                  <w:marTop w:val="0"/>
                                                  <w:marBottom w:val="0"/>
                                                  <w:divBdr>
                                                    <w:top w:val="none" w:sz="0" w:space="0" w:color="auto"/>
                                                    <w:left w:val="none" w:sz="0" w:space="0" w:color="auto"/>
                                                    <w:bottom w:val="none" w:sz="0" w:space="0" w:color="auto"/>
                                                    <w:right w:val="none" w:sz="0" w:space="0" w:color="auto"/>
                                                  </w:divBdr>
                                                </w:div>
                                                <w:div w:id="168524022">
                                                  <w:marLeft w:val="0"/>
                                                  <w:marRight w:val="0"/>
                                                  <w:marTop w:val="0"/>
                                                  <w:marBottom w:val="0"/>
                                                  <w:divBdr>
                                                    <w:top w:val="none" w:sz="0" w:space="0" w:color="auto"/>
                                                    <w:left w:val="none" w:sz="0" w:space="0" w:color="auto"/>
                                                    <w:bottom w:val="none" w:sz="0" w:space="0" w:color="auto"/>
                                                    <w:right w:val="none" w:sz="0" w:space="0" w:color="auto"/>
                                                  </w:divBdr>
                                                </w:div>
                                                <w:div w:id="767968446">
                                                  <w:marLeft w:val="0"/>
                                                  <w:marRight w:val="0"/>
                                                  <w:marTop w:val="0"/>
                                                  <w:marBottom w:val="0"/>
                                                  <w:divBdr>
                                                    <w:top w:val="none" w:sz="0" w:space="0" w:color="auto"/>
                                                    <w:left w:val="none" w:sz="0" w:space="0" w:color="auto"/>
                                                    <w:bottom w:val="none" w:sz="0" w:space="0" w:color="auto"/>
                                                    <w:right w:val="none" w:sz="0" w:space="0" w:color="auto"/>
                                                  </w:divBdr>
                                                </w:div>
                                                <w:div w:id="1356999348">
                                                  <w:marLeft w:val="0"/>
                                                  <w:marRight w:val="0"/>
                                                  <w:marTop w:val="0"/>
                                                  <w:marBottom w:val="0"/>
                                                  <w:divBdr>
                                                    <w:top w:val="none" w:sz="0" w:space="0" w:color="auto"/>
                                                    <w:left w:val="none" w:sz="0" w:space="0" w:color="auto"/>
                                                    <w:bottom w:val="none" w:sz="0" w:space="0" w:color="auto"/>
                                                    <w:right w:val="none" w:sz="0" w:space="0" w:color="auto"/>
                                                  </w:divBdr>
                                                </w:div>
                                                <w:div w:id="1198548710">
                                                  <w:marLeft w:val="0"/>
                                                  <w:marRight w:val="0"/>
                                                  <w:marTop w:val="0"/>
                                                  <w:marBottom w:val="0"/>
                                                  <w:divBdr>
                                                    <w:top w:val="none" w:sz="0" w:space="0" w:color="auto"/>
                                                    <w:left w:val="none" w:sz="0" w:space="0" w:color="auto"/>
                                                    <w:bottom w:val="none" w:sz="0" w:space="0" w:color="auto"/>
                                                    <w:right w:val="none" w:sz="0" w:space="0" w:color="auto"/>
                                                  </w:divBdr>
                                                </w:div>
                                                <w:div w:id="552928203">
                                                  <w:marLeft w:val="0"/>
                                                  <w:marRight w:val="0"/>
                                                  <w:marTop w:val="0"/>
                                                  <w:marBottom w:val="0"/>
                                                  <w:divBdr>
                                                    <w:top w:val="none" w:sz="0" w:space="0" w:color="auto"/>
                                                    <w:left w:val="none" w:sz="0" w:space="0" w:color="auto"/>
                                                    <w:bottom w:val="none" w:sz="0" w:space="0" w:color="auto"/>
                                                    <w:right w:val="none" w:sz="0" w:space="0" w:color="auto"/>
                                                  </w:divBdr>
                                                </w:div>
                                                <w:div w:id="242646762">
                                                  <w:marLeft w:val="0"/>
                                                  <w:marRight w:val="0"/>
                                                  <w:marTop w:val="0"/>
                                                  <w:marBottom w:val="0"/>
                                                  <w:divBdr>
                                                    <w:top w:val="none" w:sz="0" w:space="0" w:color="auto"/>
                                                    <w:left w:val="none" w:sz="0" w:space="0" w:color="auto"/>
                                                    <w:bottom w:val="none" w:sz="0" w:space="0" w:color="auto"/>
                                                    <w:right w:val="none" w:sz="0" w:space="0" w:color="auto"/>
                                                  </w:divBdr>
                                                </w:div>
                                                <w:div w:id="2139370844">
                                                  <w:marLeft w:val="0"/>
                                                  <w:marRight w:val="0"/>
                                                  <w:marTop w:val="0"/>
                                                  <w:marBottom w:val="0"/>
                                                  <w:divBdr>
                                                    <w:top w:val="none" w:sz="0" w:space="0" w:color="auto"/>
                                                    <w:left w:val="none" w:sz="0" w:space="0" w:color="auto"/>
                                                    <w:bottom w:val="none" w:sz="0" w:space="0" w:color="auto"/>
                                                    <w:right w:val="none" w:sz="0" w:space="0" w:color="auto"/>
                                                  </w:divBdr>
                                                </w:div>
                                                <w:div w:id="663435372">
                                                  <w:marLeft w:val="0"/>
                                                  <w:marRight w:val="0"/>
                                                  <w:marTop w:val="0"/>
                                                  <w:marBottom w:val="0"/>
                                                  <w:divBdr>
                                                    <w:top w:val="none" w:sz="0" w:space="0" w:color="auto"/>
                                                    <w:left w:val="none" w:sz="0" w:space="0" w:color="auto"/>
                                                    <w:bottom w:val="none" w:sz="0" w:space="0" w:color="auto"/>
                                                    <w:right w:val="none" w:sz="0" w:space="0" w:color="auto"/>
                                                  </w:divBdr>
                                                </w:div>
                                                <w:div w:id="247812508">
                                                  <w:marLeft w:val="0"/>
                                                  <w:marRight w:val="0"/>
                                                  <w:marTop w:val="0"/>
                                                  <w:marBottom w:val="0"/>
                                                  <w:divBdr>
                                                    <w:top w:val="none" w:sz="0" w:space="0" w:color="auto"/>
                                                    <w:left w:val="none" w:sz="0" w:space="0" w:color="auto"/>
                                                    <w:bottom w:val="none" w:sz="0" w:space="0" w:color="auto"/>
                                                    <w:right w:val="none" w:sz="0" w:space="0" w:color="auto"/>
                                                  </w:divBdr>
                                                </w:div>
                                                <w:div w:id="1899196960">
                                                  <w:marLeft w:val="0"/>
                                                  <w:marRight w:val="0"/>
                                                  <w:marTop w:val="0"/>
                                                  <w:marBottom w:val="0"/>
                                                  <w:divBdr>
                                                    <w:top w:val="none" w:sz="0" w:space="0" w:color="auto"/>
                                                    <w:left w:val="none" w:sz="0" w:space="0" w:color="auto"/>
                                                    <w:bottom w:val="none" w:sz="0" w:space="0" w:color="auto"/>
                                                    <w:right w:val="none" w:sz="0" w:space="0" w:color="auto"/>
                                                  </w:divBdr>
                                                </w:div>
                                                <w:div w:id="1362322462">
                                                  <w:marLeft w:val="0"/>
                                                  <w:marRight w:val="0"/>
                                                  <w:marTop w:val="0"/>
                                                  <w:marBottom w:val="0"/>
                                                  <w:divBdr>
                                                    <w:top w:val="none" w:sz="0" w:space="0" w:color="auto"/>
                                                    <w:left w:val="none" w:sz="0" w:space="0" w:color="auto"/>
                                                    <w:bottom w:val="none" w:sz="0" w:space="0" w:color="auto"/>
                                                    <w:right w:val="none" w:sz="0" w:space="0" w:color="auto"/>
                                                  </w:divBdr>
                                                </w:div>
                                                <w:div w:id="1735854447">
                                                  <w:marLeft w:val="0"/>
                                                  <w:marRight w:val="0"/>
                                                  <w:marTop w:val="0"/>
                                                  <w:marBottom w:val="0"/>
                                                  <w:divBdr>
                                                    <w:top w:val="none" w:sz="0" w:space="0" w:color="auto"/>
                                                    <w:left w:val="none" w:sz="0" w:space="0" w:color="auto"/>
                                                    <w:bottom w:val="none" w:sz="0" w:space="0" w:color="auto"/>
                                                    <w:right w:val="none" w:sz="0" w:space="0" w:color="auto"/>
                                                  </w:divBdr>
                                                </w:div>
                                                <w:div w:id="2067337270">
                                                  <w:marLeft w:val="0"/>
                                                  <w:marRight w:val="0"/>
                                                  <w:marTop w:val="0"/>
                                                  <w:marBottom w:val="0"/>
                                                  <w:divBdr>
                                                    <w:top w:val="none" w:sz="0" w:space="0" w:color="auto"/>
                                                    <w:left w:val="none" w:sz="0" w:space="0" w:color="auto"/>
                                                    <w:bottom w:val="none" w:sz="0" w:space="0" w:color="auto"/>
                                                    <w:right w:val="none" w:sz="0" w:space="0" w:color="auto"/>
                                                  </w:divBdr>
                                                </w:div>
                                                <w:div w:id="115803304">
                                                  <w:marLeft w:val="0"/>
                                                  <w:marRight w:val="0"/>
                                                  <w:marTop w:val="0"/>
                                                  <w:marBottom w:val="0"/>
                                                  <w:divBdr>
                                                    <w:top w:val="none" w:sz="0" w:space="0" w:color="auto"/>
                                                    <w:left w:val="none" w:sz="0" w:space="0" w:color="auto"/>
                                                    <w:bottom w:val="none" w:sz="0" w:space="0" w:color="auto"/>
                                                    <w:right w:val="none" w:sz="0" w:space="0" w:color="auto"/>
                                                  </w:divBdr>
                                                </w:div>
                                                <w:div w:id="878199559">
                                                  <w:marLeft w:val="0"/>
                                                  <w:marRight w:val="0"/>
                                                  <w:marTop w:val="0"/>
                                                  <w:marBottom w:val="0"/>
                                                  <w:divBdr>
                                                    <w:top w:val="none" w:sz="0" w:space="0" w:color="auto"/>
                                                    <w:left w:val="none" w:sz="0" w:space="0" w:color="auto"/>
                                                    <w:bottom w:val="none" w:sz="0" w:space="0" w:color="auto"/>
                                                    <w:right w:val="none" w:sz="0" w:space="0" w:color="auto"/>
                                                  </w:divBdr>
                                                </w:div>
                                                <w:div w:id="78989390">
                                                  <w:marLeft w:val="0"/>
                                                  <w:marRight w:val="0"/>
                                                  <w:marTop w:val="0"/>
                                                  <w:marBottom w:val="0"/>
                                                  <w:divBdr>
                                                    <w:top w:val="none" w:sz="0" w:space="0" w:color="auto"/>
                                                    <w:left w:val="none" w:sz="0" w:space="0" w:color="auto"/>
                                                    <w:bottom w:val="none" w:sz="0" w:space="0" w:color="auto"/>
                                                    <w:right w:val="none" w:sz="0" w:space="0" w:color="auto"/>
                                                  </w:divBdr>
                                                </w:div>
                                                <w:div w:id="2117867151">
                                                  <w:marLeft w:val="0"/>
                                                  <w:marRight w:val="0"/>
                                                  <w:marTop w:val="0"/>
                                                  <w:marBottom w:val="0"/>
                                                  <w:divBdr>
                                                    <w:top w:val="none" w:sz="0" w:space="0" w:color="auto"/>
                                                    <w:left w:val="none" w:sz="0" w:space="0" w:color="auto"/>
                                                    <w:bottom w:val="none" w:sz="0" w:space="0" w:color="auto"/>
                                                    <w:right w:val="none" w:sz="0" w:space="0" w:color="auto"/>
                                                  </w:divBdr>
                                                </w:div>
                                                <w:div w:id="2115201454">
                                                  <w:marLeft w:val="0"/>
                                                  <w:marRight w:val="0"/>
                                                  <w:marTop w:val="0"/>
                                                  <w:marBottom w:val="0"/>
                                                  <w:divBdr>
                                                    <w:top w:val="none" w:sz="0" w:space="0" w:color="auto"/>
                                                    <w:left w:val="none" w:sz="0" w:space="0" w:color="auto"/>
                                                    <w:bottom w:val="none" w:sz="0" w:space="0" w:color="auto"/>
                                                    <w:right w:val="none" w:sz="0" w:space="0" w:color="auto"/>
                                                  </w:divBdr>
                                                </w:div>
                                                <w:div w:id="1309937025">
                                                  <w:marLeft w:val="0"/>
                                                  <w:marRight w:val="0"/>
                                                  <w:marTop w:val="0"/>
                                                  <w:marBottom w:val="0"/>
                                                  <w:divBdr>
                                                    <w:top w:val="none" w:sz="0" w:space="0" w:color="auto"/>
                                                    <w:left w:val="none" w:sz="0" w:space="0" w:color="auto"/>
                                                    <w:bottom w:val="none" w:sz="0" w:space="0" w:color="auto"/>
                                                    <w:right w:val="none" w:sz="0" w:space="0" w:color="auto"/>
                                                  </w:divBdr>
                                                </w:div>
                                                <w:div w:id="490415794">
                                                  <w:marLeft w:val="0"/>
                                                  <w:marRight w:val="0"/>
                                                  <w:marTop w:val="0"/>
                                                  <w:marBottom w:val="0"/>
                                                  <w:divBdr>
                                                    <w:top w:val="none" w:sz="0" w:space="0" w:color="auto"/>
                                                    <w:left w:val="none" w:sz="0" w:space="0" w:color="auto"/>
                                                    <w:bottom w:val="none" w:sz="0" w:space="0" w:color="auto"/>
                                                    <w:right w:val="none" w:sz="0" w:space="0" w:color="auto"/>
                                                  </w:divBdr>
                                                </w:div>
                                                <w:div w:id="281151269">
                                                  <w:marLeft w:val="0"/>
                                                  <w:marRight w:val="0"/>
                                                  <w:marTop w:val="0"/>
                                                  <w:marBottom w:val="0"/>
                                                  <w:divBdr>
                                                    <w:top w:val="none" w:sz="0" w:space="0" w:color="auto"/>
                                                    <w:left w:val="none" w:sz="0" w:space="0" w:color="auto"/>
                                                    <w:bottom w:val="none" w:sz="0" w:space="0" w:color="auto"/>
                                                    <w:right w:val="none" w:sz="0" w:space="0" w:color="auto"/>
                                                  </w:divBdr>
                                                </w:div>
                                                <w:div w:id="809899911">
                                                  <w:marLeft w:val="0"/>
                                                  <w:marRight w:val="0"/>
                                                  <w:marTop w:val="0"/>
                                                  <w:marBottom w:val="0"/>
                                                  <w:divBdr>
                                                    <w:top w:val="none" w:sz="0" w:space="0" w:color="auto"/>
                                                    <w:left w:val="none" w:sz="0" w:space="0" w:color="auto"/>
                                                    <w:bottom w:val="none" w:sz="0" w:space="0" w:color="auto"/>
                                                    <w:right w:val="none" w:sz="0" w:space="0" w:color="auto"/>
                                                  </w:divBdr>
                                                </w:div>
                                                <w:div w:id="628316712">
                                                  <w:marLeft w:val="0"/>
                                                  <w:marRight w:val="0"/>
                                                  <w:marTop w:val="0"/>
                                                  <w:marBottom w:val="0"/>
                                                  <w:divBdr>
                                                    <w:top w:val="none" w:sz="0" w:space="0" w:color="auto"/>
                                                    <w:left w:val="none" w:sz="0" w:space="0" w:color="auto"/>
                                                    <w:bottom w:val="none" w:sz="0" w:space="0" w:color="auto"/>
                                                    <w:right w:val="none" w:sz="0" w:space="0" w:color="auto"/>
                                                  </w:divBdr>
                                                </w:div>
                                                <w:div w:id="125535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4347863">
      <w:bodyDiv w:val="1"/>
      <w:marLeft w:val="0"/>
      <w:marRight w:val="0"/>
      <w:marTop w:val="0"/>
      <w:marBottom w:val="0"/>
      <w:divBdr>
        <w:top w:val="none" w:sz="0" w:space="0" w:color="auto"/>
        <w:left w:val="none" w:sz="0" w:space="0" w:color="auto"/>
        <w:bottom w:val="none" w:sz="0" w:space="0" w:color="auto"/>
        <w:right w:val="none" w:sz="0" w:space="0" w:color="auto"/>
      </w:divBdr>
    </w:div>
    <w:div w:id="1498500813">
      <w:bodyDiv w:val="1"/>
      <w:marLeft w:val="0"/>
      <w:marRight w:val="0"/>
      <w:marTop w:val="0"/>
      <w:marBottom w:val="0"/>
      <w:divBdr>
        <w:top w:val="none" w:sz="0" w:space="0" w:color="auto"/>
        <w:left w:val="none" w:sz="0" w:space="0" w:color="auto"/>
        <w:bottom w:val="none" w:sz="0" w:space="0" w:color="auto"/>
        <w:right w:val="none" w:sz="0" w:space="0" w:color="auto"/>
      </w:divBdr>
    </w:div>
    <w:div w:id="1549025251">
      <w:bodyDiv w:val="1"/>
      <w:marLeft w:val="0"/>
      <w:marRight w:val="0"/>
      <w:marTop w:val="0"/>
      <w:marBottom w:val="0"/>
      <w:divBdr>
        <w:top w:val="none" w:sz="0" w:space="0" w:color="auto"/>
        <w:left w:val="none" w:sz="0" w:space="0" w:color="auto"/>
        <w:bottom w:val="none" w:sz="0" w:space="0" w:color="auto"/>
        <w:right w:val="none" w:sz="0" w:space="0" w:color="auto"/>
      </w:divBdr>
      <w:divsChild>
        <w:div w:id="245460852">
          <w:marLeft w:val="0"/>
          <w:marRight w:val="0"/>
          <w:marTop w:val="0"/>
          <w:marBottom w:val="0"/>
          <w:divBdr>
            <w:top w:val="none" w:sz="0" w:space="0" w:color="auto"/>
            <w:left w:val="none" w:sz="0" w:space="0" w:color="auto"/>
            <w:bottom w:val="none" w:sz="0" w:space="0" w:color="auto"/>
            <w:right w:val="none" w:sz="0" w:space="0" w:color="auto"/>
          </w:divBdr>
          <w:divsChild>
            <w:div w:id="307326617">
              <w:marLeft w:val="0"/>
              <w:marRight w:val="0"/>
              <w:marTop w:val="0"/>
              <w:marBottom w:val="0"/>
              <w:divBdr>
                <w:top w:val="none" w:sz="0" w:space="0" w:color="auto"/>
                <w:left w:val="none" w:sz="0" w:space="0" w:color="auto"/>
                <w:bottom w:val="none" w:sz="0" w:space="0" w:color="auto"/>
                <w:right w:val="none" w:sz="0" w:space="0" w:color="auto"/>
              </w:divBdr>
              <w:divsChild>
                <w:div w:id="32802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803118">
      <w:bodyDiv w:val="1"/>
      <w:marLeft w:val="0"/>
      <w:marRight w:val="0"/>
      <w:marTop w:val="0"/>
      <w:marBottom w:val="0"/>
      <w:divBdr>
        <w:top w:val="none" w:sz="0" w:space="0" w:color="auto"/>
        <w:left w:val="none" w:sz="0" w:space="0" w:color="auto"/>
        <w:bottom w:val="none" w:sz="0" w:space="0" w:color="auto"/>
        <w:right w:val="none" w:sz="0" w:space="0" w:color="auto"/>
      </w:divBdr>
    </w:div>
    <w:div w:id="1612013441">
      <w:bodyDiv w:val="1"/>
      <w:marLeft w:val="0"/>
      <w:marRight w:val="0"/>
      <w:marTop w:val="0"/>
      <w:marBottom w:val="0"/>
      <w:divBdr>
        <w:top w:val="none" w:sz="0" w:space="0" w:color="auto"/>
        <w:left w:val="none" w:sz="0" w:space="0" w:color="auto"/>
        <w:bottom w:val="none" w:sz="0" w:space="0" w:color="auto"/>
        <w:right w:val="none" w:sz="0" w:space="0" w:color="auto"/>
      </w:divBdr>
    </w:div>
    <w:div w:id="1631395971">
      <w:bodyDiv w:val="1"/>
      <w:marLeft w:val="0"/>
      <w:marRight w:val="0"/>
      <w:marTop w:val="0"/>
      <w:marBottom w:val="0"/>
      <w:divBdr>
        <w:top w:val="none" w:sz="0" w:space="0" w:color="auto"/>
        <w:left w:val="none" w:sz="0" w:space="0" w:color="auto"/>
        <w:bottom w:val="none" w:sz="0" w:space="0" w:color="auto"/>
        <w:right w:val="none" w:sz="0" w:space="0" w:color="auto"/>
      </w:divBdr>
    </w:div>
    <w:div w:id="1728340839">
      <w:bodyDiv w:val="1"/>
      <w:marLeft w:val="0"/>
      <w:marRight w:val="0"/>
      <w:marTop w:val="0"/>
      <w:marBottom w:val="0"/>
      <w:divBdr>
        <w:top w:val="none" w:sz="0" w:space="0" w:color="auto"/>
        <w:left w:val="none" w:sz="0" w:space="0" w:color="auto"/>
        <w:bottom w:val="none" w:sz="0" w:space="0" w:color="auto"/>
        <w:right w:val="none" w:sz="0" w:space="0" w:color="auto"/>
      </w:divBdr>
      <w:divsChild>
        <w:div w:id="27146573">
          <w:marLeft w:val="0"/>
          <w:marRight w:val="0"/>
          <w:marTop w:val="0"/>
          <w:marBottom w:val="0"/>
          <w:divBdr>
            <w:top w:val="none" w:sz="0" w:space="0" w:color="auto"/>
            <w:left w:val="none" w:sz="0" w:space="0" w:color="auto"/>
            <w:bottom w:val="none" w:sz="0" w:space="0" w:color="auto"/>
            <w:right w:val="none" w:sz="0" w:space="0" w:color="auto"/>
          </w:divBdr>
          <w:divsChild>
            <w:div w:id="158693604">
              <w:marLeft w:val="0"/>
              <w:marRight w:val="0"/>
              <w:marTop w:val="900"/>
              <w:marBottom w:val="0"/>
              <w:divBdr>
                <w:top w:val="none" w:sz="0" w:space="0" w:color="auto"/>
                <w:left w:val="none" w:sz="0" w:space="0" w:color="auto"/>
                <w:bottom w:val="none" w:sz="0" w:space="0" w:color="auto"/>
                <w:right w:val="none" w:sz="0" w:space="0" w:color="auto"/>
              </w:divBdr>
              <w:divsChild>
                <w:div w:id="1469975336">
                  <w:marLeft w:val="0"/>
                  <w:marRight w:val="0"/>
                  <w:marTop w:val="0"/>
                  <w:marBottom w:val="0"/>
                  <w:divBdr>
                    <w:top w:val="none" w:sz="0" w:space="0" w:color="auto"/>
                    <w:left w:val="none" w:sz="0" w:space="0" w:color="auto"/>
                    <w:bottom w:val="none" w:sz="0" w:space="0" w:color="auto"/>
                    <w:right w:val="none" w:sz="0" w:space="0" w:color="auto"/>
                  </w:divBdr>
                  <w:divsChild>
                    <w:div w:id="1043795117">
                      <w:marLeft w:val="0"/>
                      <w:marRight w:val="0"/>
                      <w:marTop w:val="0"/>
                      <w:marBottom w:val="0"/>
                      <w:divBdr>
                        <w:top w:val="none" w:sz="0" w:space="0" w:color="auto"/>
                        <w:left w:val="none" w:sz="0" w:space="0" w:color="auto"/>
                        <w:bottom w:val="none" w:sz="0" w:space="0" w:color="auto"/>
                        <w:right w:val="none" w:sz="0" w:space="0" w:color="auto"/>
                      </w:divBdr>
                      <w:divsChild>
                        <w:div w:id="1162308207">
                          <w:marLeft w:val="0"/>
                          <w:marRight w:val="0"/>
                          <w:marTop w:val="0"/>
                          <w:marBottom w:val="0"/>
                          <w:divBdr>
                            <w:top w:val="none" w:sz="0" w:space="0" w:color="auto"/>
                            <w:left w:val="none" w:sz="0" w:space="0" w:color="auto"/>
                            <w:bottom w:val="none" w:sz="0" w:space="0" w:color="auto"/>
                            <w:right w:val="none" w:sz="0" w:space="0" w:color="auto"/>
                          </w:divBdr>
                          <w:divsChild>
                            <w:div w:id="1669749231">
                              <w:marLeft w:val="0"/>
                              <w:marRight w:val="0"/>
                              <w:marTop w:val="0"/>
                              <w:marBottom w:val="0"/>
                              <w:divBdr>
                                <w:top w:val="none" w:sz="0" w:space="0" w:color="auto"/>
                                <w:left w:val="none" w:sz="0" w:space="0" w:color="auto"/>
                                <w:bottom w:val="none" w:sz="0" w:space="0" w:color="auto"/>
                                <w:right w:val="none" w:sz="0" w:space="0" w:color="auto"/>
                              </w:divBdr>
                              <w:divsChild>
                                <w:div w:id="2040665716">
                                  <w:marLeft w:val="0"/>
                                  <w:marRight w:val="0"/>
                                  <w:marTop w:val="0"/>
                                  <w:marBottom w:val="0"/>
                                  <w:divBdr>
                                    <w:top w:val="none" w:sz="0" w:space="0" w:color="auto"/>
                                    <w:left w:val="none" w:sz="0" w:space="0" w:color="auto"/>
                                    <w:bottom w:val="none" w:sz="0" w:space="0" w:color="auto"/>
                                    <w:right w:val="none" w:sz="0" w:space="0" w:color="auto"/>
                                  </w:divBdr>
                                  <w:divsChild>
                                    <w:div w:id="1382049572">
                                      <w:marLeft w:val="0"/>
                                      <w:marRight w:val="0"/>
                                      <w:marTop w:val="0"/>
                                      <w:marBottom w:val="0"/>
                                      <w:divBdr>
                                        <w:top w:val="none" w:sz="0" w:space="0" w:color="auto"/>
                                        <w:left w:val="none" w:sz="0" w:space="0" w:color="auto"/>
                                        <w:bottom w:val="none" w:sz="0" w:space="0" w:color="auto"/>
                                        <w:right w:val="none" w:sz="0" w:space="0" w:color="auto"/>
                                      </w:divBdr>
                                      <w:divsChild>
                                        <w:div w:id="580723473">
                                          <w:marLeft w:val="0"/>
                                          <w:marRight w:val="0"/>
                                          <w:marTop w:val="15"/>
                                          <w:marBottom w:val="0"/>
                                          <w:divBdr>
                                            <w:top w:val="none" w:sz="0" w:space="0" w:color="auto"/>
                                            <w:left w:val="none" w:sz="0" w:space="0" w:color="auto"/>
                                            <w:bottom w:val="none" w:sz="0" w:space="0" w:color="auto"/>
                                            <w:right w:val="none" w:sz="0" w:space="0" w:color="auto"/>
                                          </w:divBdr>
                                          <w:divsChild>
                                            <w:div w:id="1064452071">
                                              <w:marLeft w:val="0"/>
                                              <w:marRight w:val="0"/>
                                              <w:marTop w:val="0"/>
                                              <w:marBottom w:val="0"/>
                                              <w:divBdr>
                                                <w:top w:val="none" w:sz="0" w:space="0" w:color="auto"/>
                                                <w:left w:val="none" w:sz="0" w:space="0" w:color="auto"/>
                                                <w:bottom w:val="none" w:sz="0" w:space="0" w:color="auto"/>
                                                <w:right w:val="none" w:sz="0" w:space="0" w:color="auto"/>
                                              </w:divBdr>
                                              <w:divsChild>
                                                <w:div w:id="1268197466">
                                                  <w:marLeft w:val="0"/>
                                                  <w:marRight w:val="0"/>
                                                  <w:marTop w:val="0"/>
                                                  <w:marBottom w:val="0"/>
                                                  <w:divBdr>
                                                    <w:top w:val="none" w:sz="0" w:space="0" w:color="auto"/>
                                                    <w:left w:val="none" w:sz="0" w:space="0" w:color="auto"/>
                                                    <w:bottom w:val="none" w:sz="0" w:space="0" w:color="auto"/>
                                                    <w:right w:val="none" w:sz="0" w:space="0" w:color="auto"/>
                                                  </w:divBdr>
                                                </w:div>
                                                <w:div w:id="410547953">
                                                  <w:marLeft w:val="0"/>
                                                  <w:marRight w:val="0"/>
                                                  <w:marTop w:val="0"/>
                                                  <w:marBottom w:val="0"/>
                                                  <w:divBdr>
                                                    <w:top w:val="none" w:sz="0" w:space="0" w:color="auto"/>
                                                    <w:left w:val="none" w:sz="0" w:space="0" w:color="auto"/>
                                                    <w:bottom w:val="none" w:sz="0" w:space="0" w:color="auto"/>
                                                    <w:right w:val="none" w:sz="0" w:space="0" w:color="auto"/>
                                                  </w:divBdr>
                                                </w:div>
                                                <w:div w:id="912739457">
                                                  <w:marLeft w:val="0"/>
                                                  <w:marRight w:val="0"/>
                                                  <w:marTop w:val="0"/>
                                                  <w:marBottom w:val="0"/>
                                                  <w:divBdr>
                                                    <w:top w:val="none" w:sz="0" w:space="0" w:color="auto"/>
                                                    <w:left w:val="none" w:sz="0" w:space="0" w:color="auto"/>
                                                    <w:bottom w:val="none" w:sz="0" w:space="0" w:color="auto"/>
                                                    <w:right w:val="none" w:sz="0" w:space="0" w:color="auto"/>
                                                  </w:divBdr>
                                                </w:div>
                                                <w:div w:id="144586826">
                                                  <w:marLeft w:val="0"/>
                                                  <w:marRight w:val="0"/>
                                                  <w:marTop w:val="0"/>
                                                  <w:marBottom w:val="0"/>
                                                  <w:divBdr>
                                                    <w:top w:val="none" w:sz="0" w:space="0" w:color="auto"/>
                                                    <w:left w:val="none" w:sz="0" w:space="0" w:color="auto"/>
                                                    <w:bottom w:val="none" w:sz="0" w:space="0" w:color="auto"/>
                                                    <w:right w:val="none" w:sz="0" w:space="0" w:color="auto"/>
                                                  </w:divBdr>
                                                </w:div>
                                                <w:div w:id="408113733">
                                                  <w:marLeft w:val="0"/>
                                                  <w:marRight w:val="0"/>
                                                  <w:marTop w:val="0"/>
                                                  <w:marBottom w:val="0"/>
                                                  <w:divBdr>
                                                    <w:top w:val="none" w:sz="0" w:space="0" w:color="auto"/>
                                                    <w:left w:val="none" w:sz="0" w:space="0" w:color="auto"/>
                                                    <w:bottom w:val="none" w:sz="0" w:space="0" w:color="auto"/>
                                                    <w:right w:val="none" w:sz="0" w:space="0" w:color="auto"/>
                                                  </w:divBdr>
                                                </w:div>
                                                <w:div w:id="1326008279">
                                                  <w:marLeft w:val="0"/>
                                                  <w:marRight w:val="0"/>
                                                  <w:marTop w:val="0"/>
                                                  <w:marBottom w:val="0"/>
                                                  <w:divBdr>
                                                    <w:top w:val="none" w:sz="0" w:space="0" w:color="auto"/>
                                                    <w:left w:val="none" w:sz="0" w:space="0" w:color="auto"/>
                                                    <w:bottom w:val="none" w:sz="0" w:space="0" w:color="auto"/>
                                                    <w:right w:val="none" w:sz="0" w:space="0" w:color="auto"/>
                                                  </w:divBdr>
                                                </w:div>
                                                <w:div w:id="524904331">
                                                  <w:marLeft w:val="0"/>
                                                  <w:marRight w:val="0"/>
                                                  <w:marTop w:val="0"/>
                                                  <w:marBottom w:val="0"/>
                                                  <w:divBdr>
                                                    <w:top w:val="none" w:sz="0" w:space="0" w:color="auto"/>
                                                    <w:left w:val="none" w:sz="0" w:space="0" w:color="auto"/>
                                                    <w:bottom w:val="none" w:sz="0" w:space="0" w:color="auto"/>
                                                    <w:right w:val="none" w:sz="0" w:space="0" w:color="auto"/>
                                                  </w:divBdr>
                                                </w:div>
                                                <w:div w:id="1713192246">
                                                  <w:marLeft w:val="0"/>
                                                  <w:marRight w:val="0"/>
                                                  <w:marTop w:val="0"/>
                                                  <w:marBottom w:val="0"/>
                                                  <w:divBdr>
                                                    <w:top w:val="none" w:sz="0" w:space="0" w:color="auto"/>
                                                    <w:left w:val="none" w:sz="0" w:space="0" w:color="auto"/>
                                                    <w:bottom w:val="none" w:sz="0" w:space="0" w:color="auto"/>
                                                    <w:right w:val="none" w:sz="0" w:space="0" w:color="auto"/>
                                                  </w:divBdr>
                                                </w:div>
                                                <w:div w:id="1301809029">
                                                  <w:marLeft w:val="0"/>
                                                  <w:marRight w:val="0"/>
                                                  <w:marTop w:val="0"/>
                                                  <w:marBottom w:val="0"/>
                                                  <w:divBdr>
                                                    <w:top w:val="none" w:sz="0" w:space="0" w:color="auto"/>
                                                    <w:left w:val="none" w:sz="0" w:space="0" w:color="auto"/>
                                                    <w:bottom w:val="none" w:sz="0" w:space="0" w:color="auto"/>
                                                    <w:right w:val="none" w:sz="0" w:space="0" w:color="auto"/>
                                                  </w:divBdr>
                                                </w:div>
                                                <w:div w:id="25181946">
                                                  <w:marLeft w:val="0"/>
                                                  <w:marRight w:val="0"/>
                                                  <w:marTop w:val="0"/>
                                                  <w:marBottom w:val="0"/>
                                                  <w:divBdr>
                                                    <w:top w:val="none" w:sz="0" w:space="0" w:color="auto"/>
                                                    <w:left w:val="none" w:sz="0" w:space="0" w:color="auto"/>
                                                    <w:bottom w:val="none" w:sz="0" w:space="0" w:color="auto"/>
                                                    <w:right w:val="none" w:sz="0" w:space="0" w:color="auto"/>
                                                  </w:divBdr>
                                                </w:div>
                                                <w:div w:id="365914570">
                                                  <w:marLeft w:val="0"/>
                                                  <w:marRight w:val="0"/>
                                                  <w:marTop w:val="0"/>
                                                  <w:marBottom w:val="0"/>
                                                  <w:divBdr>
                                                    <w:top w:val="none" w:sz="0" w:space="0" w:color="auto"/>
                                                    <w:left w:val="none" w:sz="0" w:space="0" w:color="auto"/>
                                                    <w:bottom w:val="none" w:sz="0" w:space="0" w:color="auto"/>
                                                    <w:right w:val="none" w:sz="0" w:space="0" w:color="auto"/>
                                                  </w:divBdr>
                                                </w:div>
                                                <w:div w:id="595864929">
                                                  <w:marLeft w:val="0"/>
                                                  <w:marRight w:val="0"/>
                                                  <w:marTop w:val="0"/>
                                                  <w:marBottom w:val="0"/>
                                                  <w:divBdr>
                                                    <w:top w:val="none" w:sz="0" w:space="0" w:color="auto"/>
                                                    <w:left w:val="none" w:sz="0" w:space="0" w:color="auto"/>
                                                    <w:bottom w:val="none" w:sz="0" w:space="0" w:color="auto"/>
                                                    <w:right w:val="none" w:sz="0" w:space="0" w:color="auto"/>
                                                  </w:divBdr>
                                                </w:div>
                                                <w:div w:id="1845321903">
                                                  <w:marLeft w:val="0"/>
                                                  <w:marRight w:val="0"/>
                                                  <w:marTop w:val="0"/>
                                                  <w:marBottom w:val="0"/>
                                                  <w:divBdr>
                                                    <w:top w:val="none" w:sz="0" w:space="0" w:color="auto"/>
                                                    <w:left w:val="none" w:sz="0" w:space="0" w:color="auto"/>
                                                    <w:bottom w:val="none" w:sz="0" w:space="0" w:color="auto"/>
                                                    <w:right w:val="none" w:sz="0" w:space="0" w:color="auto"/>
                                                  </w:divBdr>
                                                </w:div>
                                                <w:div w:id="776414882">
                                                  <w:marLeft w:val="0"/>
                                                  <w:marRight w:val="0"/>
                                                  <w:marTop w:val="0"/>
                                                  <w:marBottom w:val="0"/>
                                                  <w:divBdr>
                                                    <w:top w:val="none" w:sz="0" w:space="0" w:color="auto"/>
                                                    <w:left w:val="none" w:sz="0" w:space="0" w:color="auto"/>
                                                    <w:bottom w:val="none" w:sz="0" w:space="0" w:color="auto"/>
                                                    <w:right w:val="none" w:sz="0" w:space="0" w:color="auto"/>
                                                  </w:divBdr>
                                                </w:div>
                                                <w:div w:id="877812768">
                                                  <w:marLeft w:val="0"/>
                                                  <w:marRight w:val="0"/>
                                                  <w:marTop w:val="0"/>
                                                  <w:marBottom w:val="0"/>
                                                  <w:divBdr>
                                                    <w:top w:val="none" w:sz="0" w:space="0" w:color="auto"/>
                                                    <w:left w:val="none" w:sz="0" w:space="0" w:color="auto"/>
                                                    <w:bottom w:val="none" w:sz="0" w:space="0" w:color="auto"/>
                                                    <w:right w:val="none" w:sz="0" w:space="0" w:color="auto"/>
                                                  </w:divBdr>
                                                </w:div>
                                                <w:div w:id="1640914909">
                                                  <w:marLeft w:val="0"/>
                                                  <w:marRight w:val="0"/>
                                                  <w:marTop w:val="0"/>
                                                  <w:marBottom w:val="0"/>
                                                  <w:divBdr>
                                                    <w:top w:val="none" w:sz="0" w:space="0" w:color="auto"/>
                                                    <w:left w:val="none" w:sz="0" w:space="0" w:color="auto"/>
                                                    <w:bottom w:val="none" w:sz="0" w:space="0" w:color="auto"/>
                                                    <w:right w:val="none" w:sz="0" w:space="0" w:color="auto"/>
                                                  </w:divBdr>
                                                </w:div>
                                                <w:div w:id="1327171581">
                                                  <w:marLeft w:val="0"/>
                                                  <w:marRight w:val="0"/>
                                                  <w:marTop w:val="0"/>
                                                  <w:marBottom w:val="0"/>
                                                  <w:divBdr>
                                                    <w:top w:val="none" w:sz="0" w:space="0" w:color="auto"/>
                                                    <w:left w:val="none" w:sz="0" w:space="0" w:color="auto"/>
                                                    <w:bottom w:val="none" w:sz="0" w:space="0" w:color="auto"/>
                                                    <w:right w:val="none" w:sz="0" w:space="0" w:color="auto"/>
                                                  </w:divBdr>
                                                </w:div>
                                                <w:div w:id="2016223864">
                                                  <w:marLeft w:val="0"/>
                                                  <w:marRight w:val="0"/>
                                                  <w:marTop w:val="0"/>
                                                  <w:marBottom w:val="0"/>
                                                  <w:divBdr>
                                                    <w:top w:val="none" w:sz="0" w:space="0" w:color="auto"/>
                                                    <w:left w:val="none" w:sz="0" w:space="0" w:color="auto"/>
                                                    <w:bottom w:val="none" w:sz="0" w:space="0" w:color="auto"/>
                                                    <w:right w:val="none" w:sz="0" w:space="0" w:color="auto"/>
                                                  </w:divBdr>
                                                </w:div>
                                                <w:div w:id="1883784994">
                                                  <w:marLeft w:val="0"/>
                                                  <w:marRight w:val="0"/>
                                                  <w:marTop w:val="0"/>
                                                  <w:marBottom w:val="0"/>
                                                  <w:divBdr>
                                                    <w:top w:val="none" w:sz="0" w:space="0" w:color="auto"/>
                                                    <w:left w:val="none" w:sz="0" w:space="0" w:color="auto"/>
                                                    <w:bottom w:val="none" w:sz="0" w:space="0" w:color="auto"/>
                                                    <w:right w:val="none" w:sz="0" w:space="0" w:color="auto"/>
                                                  </w:divBdr>
                                                </w:div>
                                                <w:div w:id="220478998">
                                                  <w:marLeft w:val="0"/>
                                                  <w:marRight w:val="0"/>
                                                  <w:marTop w:val="0"/>
                                                  <w:marBottom w:val="0"/>
                                                  <w:divBdr>
                                                    <w:top w:val="none" w:sz="0" w:space="0" w:color="auto"/>
                                                    <w:left w:val="none" w:sz="0" w:space="0" w:color="auto"/>
                                                    <w:bottom w:val="none" w:sz="0" w:space="0" w:color="auto"/>
                                                    <w:right w:val="none" w:sz="0" w:space="0" w:color="auto"/>
                                                  </w:divBdr>
                                                </w:div>
                                                <w:div w:id="1964192226">
                                                  <w:marLeft w:val="0"/>
                                                  <w:marRight w:val="0"/>
                                                  <w:marTop w:val="0"/>
                                                  <w:marBottom w:val="0"/>
                                                  <w:divBdr>
                                                    <w:top w:val="none" w:sz="0" w:space="0" w:color="auto"/>
                                                    <w:left w:val="none" w:sz="0" w:space="0" w:color="auto"/>
                                                    <w:bottom w:val="none" w:sz="0" w:space="0" w:color="auto"/>
                                                    <w:right w:val="none" w:sz="0" w:space="0" w:color="auto"/>
                                                  </w:divBdr>
                                                </w:div>
                                                <w:div w:id="1161000253">
                                                  <w:marLeft w:val="0"/>
                                                  <w:marRight w:val="0"/>
                                                  <w:marTop w:val="0"/>
                                                  <w:marBottom w:val="0"/>
                                                  <w:divBdr>
                                                    <w:top w:val="none" w:sz="0" w:space="0" w:color="auto"/>
                                                    <w:left w:val="none" w:sz="0" w:space="0" w:color="auto"/>
                                                    <w:bottom w:val="none" w:sz="0" w:space="0" w:color="auto"/>
                                                    <w:right w:val="none" w:sz="0" w:space="0" w:color="auto"/>
                                                  </w:divBdr>
                                                </w:div>
                                                <w:div w:id="1467431499">
                                                  <w:marLeft w:val="0"/>
                                                  <w:marRight w:val="0"/>
                                                  <w:marTop w:val="0"/>
                                                  <w:marBottom w:val="0"/>
                                                  <w:divBdr>
                                                    <w:top w:val="none" w:sz="0" w:space="0" w:color="auto"/>
                                                    <w:left w:val="none" w:sz="0" w:space="0" w:color="auto"/>
                                                    <w:bottom w:val="none" w:sz="0" w:space="0" w:color="auto"/>
                                                    <w:right w:val="none" w:sz="0" w:space="0" w:color="auto"/>
                                                  </w:divBdr>
                                                </w:div>
                                                <w:div w:id="1717657539">
                                                  <w:marLeft w:val="0"/>
                                                  <w:marRight w:val="0"/>
                                                  <w:marTop w:val="0"/>
                                                  <w:marBottom w:val="0"/>
                                                  <w:divBdr>
                                                    <w:top w:val="none" w:sz="0" w:space="0" w:color="auto"/>
                                                    <w:left w:val="none" w:sz="0" w:space="0" w:color="auto"/>
                                                    <w:bottom w:val="none" w:sz="0" w:space="0" w:color="auto"/>
                                                    <w:right w:val="none" w:sz="0" w:space="0" w:color="auto"/>
                                                  </w:divBdr>
                                                </w:div>
                                                <w:div w:id="1531919929">
                                                  <w:marLeft w:val="0"/>
                                                  <w:marRight w:val="0"/>
                                                  <w:marTop w:val="0"/>
                                                  <w:marBottom w:val="0"/>
                                                  <w:divBdr>
                                                    <w:top w:val="none" w:sz="0" w:space="0" w:color="auto"/>
                                                    <w:left w:val="none" w:sz="0" w:space="0" w:color="auto"/>
                                                    <w:bottom w:val="none" w:sz="0" w:space="0" w:color="auto"/>
                                                    <w:right w:val="none" w:sz="0" w:space="0" w:color="auto"/>
                                                  </w:divBdr>
                                                </w:div>
                                                <w:div w:id="651375044">
                                                  <w:marLeft w:val="0"/>
                                                  <w:marRight w:val="0"/>
                                                  <w:marTop w:val="0"/>
                                                  <w:marBottom w:val="0"/>
                                                  <w:divBdr>
                                                    <w:top w:val="none" w:sz="0" w:space="0" w:color="auto"/>
                                                    <w:left w:val="none" w:sz="0" w:space="0" w:color="auto"/>
                                                    <w:bottom w:val="none" w:sz="0" w:space="0" w:color="auto"/>
                                                    <w:right w:val="none" w:sz="0" w:space="0" w:color="auto"/>
                                                  </w:divBdr>
                                                </w:div>
                                                <w:div w:id="891384057">
                                                  <w:marLeft w:val="0"/>
                                                  <w:marRight w:val="0"/>
                                                  <w:marTop w:val="0"/>
                                                  <w:marBottom w:val="0"/>
                                                  <w:divBdr>
                                                    <w:top w:val="none" w:sz="0" w:space="0" w:color="auto"/>
                                                    <w:left w:val="none" w:sz="0" w:space="0" w:color="auto"/>
                                                    <w:bottom w:val="none" w:sz="0" w:space="0" w:color="auto"/>
                                                    <w:right w:val="none" w:sz="0" w:space="0" w:color="auto"/>
                                                  </w:divBdr>
                                                </w:div>
                                                <w:div w:id="644513093">
                                                  <w:marLeft w:val="0"/>
                                                  <w:marRight w:val="0"/>
                                                  <w:marTop w:val="0"/>
                                                  <w:marBottom w:val="0"/>
                                                  <w:divBdr>
                                                    <w:top w:val="none" w:sz="0" w:space="0" w:color="auto"/>
                                                    <w:left w:val="none" w:sz="0" w:space="0" w:color="auto"/>
                                                    <w:bottom w:val="none" w:sz="0" w:space="0" w:color="auto"/>
                                                    <w:right w:val="none" w:sz="0" w:space="0" w:color="auto"/>
                                                  </w:divBdr>
                                                </w:div>
                                                <w:div w:id="2025671005">
                                                  <w:marLeft w:val="0"/>
                                                  <w:marRight w:val="0"/>
                                                  <w:marTop w:val="0"/>
                                                  <w:marBottom w:val="0"/>
                                                  <w:divBdr>
                                                    <w:top w:val="none" w:sz="0" w:space="0" w:color="auto"/>
                                                    <w:left w:val="none" w:sz="0" w:space="0" w:color="auto"/>
                                                    <w:bottom w:val="none" w:sz="0" w:space="0" w:color="auto"/>
                                                    <w:right w:val="none" w:sz="0" w:space="0" w:color="auto"/>
                                                  </w:divBdr>
                                                </w:div>
                                                <w:div w:id="569576775">
                                                  <w:marLeft w:val="0"/>
                                                  <w:marRight w:val="0"/>
                                                  <w:marTop w:val="0"/>
                                                  <w:marBottom w:val="0"/>
                                                  <w:divBdr>
                                                    <w:top w:val="none" w:sz="0" w:space="0" w:color="auto"/>
                                                    <w:left w:val="none" w:sz="0" w:space="0" w:color="auto"/>
                                                    <w:bottom w:val="none" w:sz="0" w:space="0" w:color="auto"/>
                                                    <w:right w:val="none" w:sz="0" w:space="0" w:color="auto"/>
                                                  </w:divBdr>
                                                </w:div>
                                                <w:div w:id="1482888857">
                                                  <w:marLeft w:val="0"/>
                                                  <w:marRight w:val="0"/>
                                                  <w:marTop w:val="0"/>
                                                  <w:marBottom w:val="0"/>
                                                  <w:divBdr>
                                                    <w:top w:val="none" w:sz="0" w:space="0" w:color="auto"/>
                                                    <w:left w:val="none" w:sz="0" w:space="0" w:color="auto"/>
                                                    <w:bottom w:val="none" w:sz="0" w:space="0" w:color="auto"/>
                                                    <w:right w:val="none" w:sz="0" w:space="0" w:color="auto"/>
                                                  </w:divBdr>
                                                </w:div>
                                                <w:div w:id="1777630303">
                                                  <w:marLeft w:val="0"/>
                                                  <w:marRight w:val="0"/>
                                                  <w:marTop w:val="0"/>
                                                  <w:marBottom w:val="0"/>
                                                  <w:divBdr>
                                                    <w:top w:val="none" w:sz="0" w:space="0" w:color="auto"/>
                                                    <w:left w:val="none" w:sz="0" w:space="0" w:color="auto"/>
                                                    <w:bottom w:val="none" w:sz="0" w:space="0" w:color="auto"/>
                                                    <w:right w:val="none" w:sz="0" w:space="0" w:color="auto"/>
                                                  </w:divBdr>
                                                </w:div>
                                                <w:div w:id="105468015">
                                                  <w:marLeft w:val="0"/>
                                                  <w:marRight w:val="0"/>
                                                  <w:marTop w:val="0"/>
                                                  <w:marBottom w:val="0"/>
                                                  <w:divBdr>
                                                    <w:top w:val="none" w:sz="0" w:space="0" w:color="auto"/>
                                                    <w:left w:val="none" w:sz="0" w:space="0" w:color="auto"/>
                                                    <w:bottom w:val="none" w:sz="0" w:space="0" w:color="auto"/>
                                                    <w:right w:val="none" w:sz="0" w:space="0" w:color="auto"/>
                                                  </w:divBdr>
                                                </w:div>
                                                <w:div w:id="1273778631">
                                                  <w:marLeft w:val="0"/>
                                                  <w:marRight w:val="0"/>
                                                  <w:marTop w:val="0"/>
                                                  <w:marBottom w:val="0"/>
                                                  <w:divBdr>
                                                    <w:top w:val="none" w:sz="0" w:space="0" w:color="auto"/>
                                                    <w:left w:val="none" w:sz="0" w:space="0" w:color="auto"/>
                                                    <w:bottom w:val="none" w:sz="0" w:space="0" w:color="auto"/>
                                                    <w:right w:val="none" w:sz="0" w:space="0" w:color="auto"/>
                                                  </w:divBdr>
                                                </w:div>
                                                <w:div w:id="1765803048">
                                                  <w:marLeft w:val="0"/>
                                                  <w:marRight w:val="0"/>
                                                  <w:marTop w:val="0"/>
                                                  <w:marBottom w:val="0"/>
                                                  <w:divBdr>
                                                    <w:top w:val="none" w:sz="0" w:space="0" w:color="auto"/>
                                                    <w:left w:val="none" w:sz="0" w:space="0" w:color="auto"/>
                                                    <w:bottom w:val="none" w:sz="0" w:space="0" w:color="auto"/>
                                                    <w:right w:val="none" w:sz="0" w:space="0" w:color="auto"/>
                                                  </w:divBdr>
                                                </w:div>
                                                <w:div w:id="113132703">
                                                  <w:marLeft w:val="0"/>
                                                  <w:marRight w:val="0"/>
                                                  <w:marTop w:val="0"/>
                                                  <w:marBottom w:val="0"/>
                                                  <w:divBdr>
                                                    <w:top w:val="none" w:sz="0" w:space="0" w:color="auto"/>
                                                    <w:left w:val="none" w:sz="0" w:space="0" w:color="auto"/>
                                                    <w:bottom w:val="none" w:sz="0" w:space="0" w:color="auto"/>
                                                    <w:right w:val="none" w:sz="0" w:space="0" w:color="auto"/>
                                                  </w:divBdr>
                                                </w:div>
                                                <w:div w:id="642658474">
                                                  <w:marLeft w:val="0"/>
                                                  <w:marRight w:val="0"/>
                                                  <w:marTop w:val="0"/>
                                                  <w:marBottom w:val="0"/>
                                                  <w:divBdr>
                                                    <w:top w:val="none" w:sz="0" w:space="0" w:color="auto"/>
                                                    <w:left w:val="none" w:sz="0" w:space="0" w:color="auto"/>
                                                    <w:bottom w:val="none" w:sz="0" w:space="0" w:color="auto"/>
                                                    <w:right w:val="none" w:sz="0" w:space="0" w:color="auto"/>
                                                  </w:divBdr>
                                                </w:div>
                                                <w:div w:id="2003387010">
                                                  <w:marLeft w:val="0"/>
                                                  <w:marRight w:val="0"/>
                                                  <w:marTop w:val="0"/>
                                                  <w:marBottom w:val="0"/>
                                                  <w:divBdr>
                                                    <w:top w:val="none" w:sz="0" w:space="0" w:color="auto"/>
                                                    <w:left w:val="none" w:sz="0" w:space="0" w:color="auto"/>
                                                    <w:bottom w:val="none" w:sz="0" w:space="0" w:color="auto"/>
                                                    <w:right w:val="none" w:sz="0" w:space="0" w:color="auto"/>
                                                  </w:divBdr>
                                                </w:div>
                                                <w:div w:id="580795508">
                                                  <w:marLeft w:val="0"/>
                                                  <w:marRight w:val="0"/>
                                                  <w:marTop w:val="0"/>
                                                  <w:marBottom w:val="0"/>
                                                  <w:divBdr>
                                                    <w:top w:val="none" w:sz="0" w:space="0" w:color="auto"/>
                                                    <w:left w:val="none" w:sz="0" w:space="0" w:color="auto"/>
                                                    <w:bottom w:val="none" w:sz="0" w:space="0" w:color="auto"/>
                                                    <w:right w:val="none" w:sz="0" w:space="0" w:color="auto"/>
                                                  </w:divBdr>
                                                </w:div>
                                                <w:div w:id="1482039477">
                                                  <w:marLeft w:val="0"/>
                                                  <w:marRight w:val="0"/>
                                                  <w:marTop w:val="0"/>
                                                  <w:marBottom w:val="0"/>
                                                  <w:divBdr>
                                                    <w:top w:val="none" w:sz="0" w:space="0" w:color="auto"/>
                                                    <w:left w:val="none" w:sz="0" w:space="0" w:color="auto"/>
                                                    <w:bottom w:val="none" w:sz="0" w:space="0" w:color="auto"/>
                                                    <w:right w:val="none" w:sz="0" w:space="0" w:color="auto"/>
                                                  </w:divBdr>
                                                </w:div>
                                                <w:div w:id="1054158474">
                                                  <w:marLeft w:val="0"/>
                                                  <w:marRight w:val="0"/>
                                                  <w:marTop w:val="0"/>
                                                  <w:marBottom w:val="0"/>
                                                  <w:divBdr>
                                                    <w:top w:val="none" w:sz="0" w:space="0" w:color="auto"/>
                                                    <w:left w:val="none" w:sz="0" w:space="0" w:color="auto"/>
                                                    <w:bottom w:val="none" w:sz="0" w:space="0" w:color="auto"/>
                                                    <w:right w:val="none" w:sz="0" w:space="0" w:color="auto"/>
                                                  </w:divBdr>
                                                </w:div>
                                                <w:div w:id="2089115853">
                                                  <w:marLeft w:val="0"/>
                                                  <w:marRight w:val="0"/>
                                                  <w:marTop w:val="0"/>
                                                  <w:marBottom w:val="0"/>
                                                  <w:divBdr>
                                                    <w:top w:val="none" w:sz="0" w:space="0" w:color="auto"/>
                                                    <w:left w:val="none" w:sz="0" w:space="0" w:color="auto"/>
                                                    <w:bottom w:val="none" w:sz="0" w:space="0" w:color="auto"/>
                                                    <w:right w:val="none" w:sz="0" w:space="0" w:color="auto"/>
                                                  </w:divBdr>
                                                </w:div>
                                                <w:div w:id="927350420">
                                                  <w:marLeft w:val="0"/>
                                                  <w:marRight w:val="0"/>
                                                  <w:marTop w:val="0"/>
                                                  <w:marBottom w:val="0"/>
                                                  <w:divBdr>
                                                    <w:top w:val="none" w:sz="0" w:space="0" w:color="auto"/>
                                                    <w:left w:val="none" w:sz="0" w:space="0" w:color="auto"/>
                                                    <w:bottom w:val="none" w:sz="0" w:space="0" w:color="auto"/>
                                                    <w:right w:val="none" w:sz="0" w:space="0" w:color="auto"/>
                                                  </w:divBdr>
                                                </w:div>
                                                <w:div w:id="1462771532">
                                                  <w:marLeft w:val="0"/>
                                                  <w:marRight w:val="0"/>
                                                  <w:marTop w:val="0"/>
                                                  <w:marBottom w:val="0"/>
                                                  <w:divBdr>
                                                    <w:top w:val="none" w:sz="0" w:space="0" w:color="auto"/>
                                                    <w:left w:val="none" w:sz="0" w:space="0" w:color="auto"/>
                                                    <w:bottom w:val="none" w:sz="0" w:space="0" w:color="auto"/>
                                                    <w:right w:val="none" w:sz="0" w:space="0" w:color="auto"/>
                                                  </w:divBdr>
                                                </w:div>
                                                <w:div w:id="808133185">
                                                  <w:marLeft w:val="0"/>
                                                  <w:marRight w:val="0"/>
                                                  <w:marTop w:val="0"/>
                                                  <w:marBottom w:val="0"/>
                                                  <w:divBdr>
                                                    <w:top w:val="none" w:sz="0" w:space="0" w:color="auto"/>
                                                    <w:left w:val="none" w:sz="0" w:space="0" w:color="auto"/>
                                                    <w:bottom w:val="none" w:sz="0" w:space="0" w:color="auto"/>
                                                    <w:right w:val="none" w:sz="0" w:space="0" w:color="auto"/>
                                                  </w:divBdr>
                                                </w:div>
                                                <w:div w:id="804348175">
                                                  <w:marLeft w:val="0"/>
                                                  <w:marRight w:val="0"/>
                                                  <w:marTop w:val="0"/>
                                                  <w:marBottom w:val="0"/>
                                                  <w:divBdr>
                                                    <w:top w:val="none" w:sz="0" w:space="0" w:color="auto"/>
                                                    <w:left w:val="none" w:sz="0" w:space="0" w:color="auto"/>
                                                    <w:bottom w:val="none" w:sz="0" w:space="0" w:color="auto"/>
                                                    <w:right w:val="none" w:sz="0" w:space="0" w:color="auto"/>
                                                  </w:divBdr>
                                                </w:div>
                                                <w:div w:id="662120897">
                                                  <w:marLeft w:val="0"/>
                                                  <w:marRight w:val="0"/>
                                                  <w:marTop w:val="0"/>
                                                  <w:marBottom w:val="0"/>
                                                  <w:divBdr>
                                                    <w:top w:val="none" w:sz="0" w:space="0" w:color="auto"/>
                                                    <w:left w:val="none" w:sz="0" w:space="0" w:color="auto"/>
                                                    <w:bottom w:val="none" w:sz="0" w:space="0" w:color="auto"/>
                                                    <w:right w:val="none" w:sz="0" w:space="0" w:color="auto"/>
                                                  </w:divBdr>
                                                </w:div>
                                                <w:div w:id="201984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9189659">
      <w:bodyDiv w:val="1"/>
      <w:marLeft w:val="0"/>
      <w:marRight w:val="0"/>
      <w:marTop w:val="0"/>
      <w:marBottom w:val="0"/>
      <w:divBdr>
        <w:top w:val="none" w:sz="0" w:space="0" w:color="auto"/>
        <w:left w:val="none" w:sz="0" w:space="0" w:color="auto"/>
        <w:bottom w:val="none" w:sz="0" w:space="0" w:color="auto"/>
        <w:right w:val="none" w:sz="0" w:space="0" w:color="auto"/>
      </w:divBdr>
    </w:div>
    <w:div w:id="1738477883">
      <w:bodyDiv w:val="1"/>
      <w:marLeft w:val="0"/>
      <w:marRight w:val="0"/>
      <w:marTop w:val="0"/>
      <w:marBottom w:val="0"/>
      <w:divBdr>
        <w:top w:val="none" w:sz="0" w:space="0" w:color="auto"/>
        <w:left w:val="none" w:sz="0" w:space="0" w:color="auto"/>
        <w:bottom w:val="none" w:sz="0" w:space="0" w:color="auto"/>
        <w:right w:val="none" w:sz="0" w:space="0" w:color="auto"/>
      </w:divBdr>
    </w:div>
    <w:div w:id="1743454953">
      <w:bodyDiv w:val="1"/>
      <w:marLeft w:val="0"/>
      <w:marRight w:val="0"/>
      <w:marTop w:val="0"/>
      <w:marBottom w:val="0"/>
      <w:divBdr>
        <w:top w:val="none" w:sz="0" w:space="0" w:color="auto"/>
        <w:left w:val="none" w:sz="0" w:space="0" w:color="auto"/>
        <w:bottom w:val="none" w:sz="0" w:space="0" w:color="auto"/>
        <w:right w:val="none" w:sz="0" w:space="0" w:color="auto"/>
      </w:divBdr>
    </w:div>
    <w:div w:id="1747997970">
      <w:bodyDiv w:val="1"/>
      <w:marLeft w:val="0"/>
      <w:marRight w:val="0"/>
      <w:marTop w:val="0"/>
      <w:marBottom w:val="0"/>
      <w:divBdr>
        <w:top w:val="none" w:sz="0" w:space="0" w:color="auto"/>
        <w:left w:val="none" w:sz="0" w:space="0" w:color="auto"/>
        <w:bottom w:val="none" w:sz="0" w:space="0" w:color="auto"/>
        <w:right w:val="none" w:sz="0" w:space="0" w:color="auto"/>
      </w:divBdr>
      <w:divsChild>
        <w:div w:id="1106465826">
          <w:marLeft w:val="0"/>
          <w:marRight w:val="0"/>
          <w:marTop w:val="0"/>
          <w:marBottom w:val="0"/>
          <w:divBdr>
            <w:top w:val="none" w:sz="0" w:space="0" w:color="auto"/>
            <w:left w:val="none" w:sz="0" w:space="0" w:color="auto"/>
            <w:bottom w:val="none" w:sz="0" w:space="0" w:color="auto"/>
            <w:right w:val="none" w:sz="0" w:space="0" w:color="auto"/>
          </w:divBdr>
        </w:div>
        <w:div w:id="1330525915">
          <w:marLeft w:val="0"/>
          <w:marRight w:val="0"/>
          <w:marTop w:val="0"/>
          <w:marBottom w:val="0"/>
          <w:divBdr>
            <w:top w:val="none" w:sz="0" w:space="0" w:color="auto"/>
            <w:left w:val="none" w:sz="0" w:space="0" w:color="auto"/>
            <w:bottom w:val="none" w:sz="0" w:space="0" w:color="auto"/>
            <w:right w:val="none" w:sz="0" w:space="0" w:color="auto"/>
          </w:divBdr>
        </w:div>
        <w:div w:id="311176951">
          <w:marLeft w:val="0"/>
          <w:marRight w:val="0"/>
          <w:marTop w:val="0"/>
          <w:marBottom w:val="0"/>
          <w:divBdr>
            <w:top w:val="none" w:sz="0" w:space="0" w:color="auto"/>
            <w:left w:val="none" w:sz="0" w:space="0" w:color="auto"/>
            <w:bottom w:val="none" w:sz="0" w:space="0" w:color="auto"/>
            <w:right w:val="none" w:sz="0" w:space="0" w:color="auto"/>
          </w:divBdr>
        </w:div>
        <w:div w:id="1398556553">
          <w:marLeft w:val="0"/>
          <w:marRight w:val="0"/>
          <w:marTop w:val="0"/>
          <w:marBottom w:val="0"/>
          <w:divBdr>
            <w:top w:val="none" w:sz="0" w:space="0" w:color="auto"/>
            <w:left w:val="none" w:sz="0" w:space="0" w:color="auto"/>
            <w:bottom w:val="none" w:sz="0" w:space="0" w:color="auto"/>
            <w:right w:val="none" w:sz="0" w:space="0" w:color="auto"/>
          </w:divBdr>
        </w:div>
        <w:div w:id="1953702542">
          <w:marLeft w:val="0"/>
          <w:marRight w:val="0"/>
          <w:marTop w:val="0"/>
          <w:marBottom w:val="0"/>
          <w:divBdr>
            <w:top w:val="none" w:sz="0" w:space="0" w:color="auto"/>
            <w:left w:val="none" w:sz="0" w:space="0" w:color="auto"/>
            <w:bottom w:val="none" w:sz="0" w:space="0" w:color="auto"/>
            <w:right w:val="none" w:sz="0" w:space="0" w:color="auto"/>
          </w:divBdr>
        </w:div>
        <w:div w:id="735124034">
          <w:marLeft w:val="0"/>
          <w:marRight w:val="0"/>
          <w:marTop w:val="0"/>
          <w:marBottom w:val="0"/>
          <w:divBdr>
            <w:top w:val="none" w:sz="0" w:space="0" w:color="auto"/>
            <w:left w:val="none" w:sz="0" w:space="0" w:color="auto"/>
            <w:bottom w:val="none" w:sz="0" w:space="0" w:color="auto"/>
            <w:right w:val="none" w:sz="0" w:space="0" w:color="auto"/>
          </w:divBdr>
        </w:div>
        <w:div w:id="1642806435">
          <w:marLeft w:val="0"/>
          <w:marRight w:val="0"/>
          <w:marTop w:val="0"/>
          <w:marBottom w:val="0"/>
          <w:divBdr>
            <w:top w:val="none" w:sz="0" w:space="0" w:color="auto"/>
            <w:left w:val="none" w:sz="0" w:space="0" w:color="auto"/>
            <w:bottom w:val="none" w:sz="0" w:space="0" w:color="auto"/>
            <w:right w:val="none" w:sz="0" w:space="0" w:color="auto"/>
          </w:divBdr>
        </w:div>
        <w:div w:id="1399862799">
          <w:marLeft w:val="0"/>
          <w:marRight w:val="0"/>
          <w:marTop w:val="0"/>
          <w:marBottom w:val="0"/>
          <w:divBdr>
            <w:top w:val="none" w:sz="0" w:space="0" w:color="auto"/>
            <w:left w:val="none" w:sz="0" w:space="0" w:color="auto"/>
            <w:bottom w:val="none" w:sz="0" w:space="0" w:color="auto"/>
            <w:right w:val="none" w:sz="0" w:space="0" w:color="auto"/>
          </w:divBdr>
        </w:div>
      </w:divsChild>
    </w:div>
    <w:div w:id="1749301933">
      <w:bodyDiv w:val="1"/>
      <w:marLeft w:val="0"/>
      <w:marRight w:val="0"/>
      <w:marTop w:val="0"/>
      <w:marBottom w:val="0"/>
      <w:divBdr>
        <w:top w:val="none" w:sz="0" w:space="0" w:color="auto"/>
        <w:left w:val="none" w:sz="0" w:space="0" w:color="auto"/>
        <w:bottom w:val="none" w:sz="0" w:space="0" w:color="auto"/>
        <w:right w:val="none" w:sz="0" w:space="0" w:color="auto"/>
      </w:divBdr>
    </w:div>
    <w:div w:id="1774350980">
      <w:bodyDiv w:val="1"/>
      <w:marLeft w:val="0"/>
      <w:marRight w:val="0"/>
      <w:marTop w:val="0"/>
      <w:marBottom w:val="0"/>
      <w:divBdr>
        <w:top w:val="none" w:sz="0" w:space="0" w:color="auto"/>
        <w:left w:val="none" w:sz="0" w:space="0" w:color="auto"/>
        <w:bottom w:val="none" w:sz="0" w:space="0" w:color="auto"/>
        <w:right w:val="none" w:sz="0" w:space="0" w:color="auto"/>
      </w:divBdr>
    </w:div>
    <w:div w:id="1778990042">
      <w:bodyDiv w:val="1"/>
      <w:marLeft w:val="0"/>
      <w:marRight w:val="0"/>
      <w:marTop w:val="0"/>
      <w:marBottom w:val="0"/>
      <w:divBdr>
        <w:top w:val="none" w:sz="0" w:space="0" w:color="auto"/>
        <w:left w:val="none" w:sz="0" w:space="0" w:color="auto"/>
        <w:bottom w:val="none" w:sz="0" w:space="0" w:color="auto"/>
        <w:right w:val="none" w:sz="0" w:space="0" w:color="auto"/>
      </w:divBdr>
      <w:divsChild>
        <w:div w:id="1809275523">
          <w:marLeft w:val="0"/>
          <w:marRight w:val="0"/>
          <w:marTop w:val="0"/>
          <w:marBottom w:val="0"/>
          <w:divBdr>
            <w:top w:val="none" w:sz="0" w:space="0" w:color="auto"/>
            <w:left w:val="none" w:sz="0" w:space="0" w:color="auto"/>
            <w:bottom w:val="none" w:sz="0" w:space="0" w:color="auto"/>
            <w:right w:val="none" w:sz="0" w:space="0" w:color="auto"/>
          </w:divBdr>
          <w:divsChild>
            <w:div w:id="127935330">
              <w:marLeft w:val="0"/>
              <w:marRight w:val="0"/>
              <w:marTop w:val="900"/>
              <w:marBottom w:val="0"/>
              <w:divBdr>
                <w:top w:val="none" w:sz="0" w:space="0" w:color="auto"/>
                <w:left w:val="none" w:sz="0" w:space="0" w:color="auto"/>
                <w:bottom w:val="none" w:sz="0" w:space="0" w:color="auto"/>
                <w:right w:val="none" w:sz="0" w:space="0" w:color="auto"/>
              </w:divBdr>
              <w:divsChild>
                <w:div w:id="2095544302">
                  <w:marLeft w:val="0"/>
                  <w:marRight w:val="0"/>
                  <w:marTop w:val="0"/>
                  <w:marBottom w:val="0"/>
                  <w:divBdr>
                    <w:top w:val="none" w:sz="0" w:space="0" w:color="auto"/>
                    <w:left w:val="none" w:sz="0" w:space="0" w:color="auto"/>
                    <w:bottom w:val="none" w:sz="0" w:space="0" w:color="auto"/>
                    <w:right w:val="none" w:sz="0" w:space="0" w:color="auto"/>
                  </w:divBdr>
                  <w:divsChild>
                    <w:div w:id="2005739589">
                      <w:marLeft w:val="0"/>
                      <w:marRight w:val="0"/>
                      <w:marTop w:val="0"/>
                      <w:marBottom w:val="0"/>
                      <w:divBdr>
                        <w:top w:val="none" w:sz="0" w:space="0" w:color="auto"/>
                        <w:left w:val="none" w:sz="0" w:space="0" w:color="auto"/>
                        <w:bottom w:val="none" w:sz="0" w:space="0" w:color="auto"/>
                        <w:right w:val="none" w:sz="0" w:space="0" w:color="auto"/>
                      </w:divBdr>
                      <w:divsChild>
                        <w:div w:id="1840151904">
                          <w:marLeft w:val="0"/>
                          <w:marRight w:val="0"/>
                          <w:marTop w:val="0"/>
                          <w:marBottom w:val="0"/>
                          <w:divBdr>
                            <w:top w:val="none" w:sz="0" w:space="0" w:color="auto"/>
                            <w:left w:val="none" w:sz="0" w:space="0" w:color="auto"/>
                            <w:bottom w:val="none" w:sz="0" w:space="0" w:color="auto"/>
                            <w:right w:val="none" w:sz="0" w:space="0" w:color="auto"/>
                          </w:divBdr>
                          <w:divsChild>
                            <w:div w:id="1984382784">
                              <w:marLeft w:val="0"/>
                              <w:marRight w:val="0"/>
                              <w:marTop w:val="0"/>
                              <w:marBottom w:val="0"/>
                              <w:divBdr>
                                <w:top w:val="none" w:sz="0" w:space="0" w:color="auto"/>
                                <w:left w:val="none" w:sz="0" w:space="0" w:color="auto"/>
                                <w:bottom w:val="none" w:sz="0" w:space="0" w:color="auto"/>
                                <w:right w:val="none" w:sz="0" w:space="0" w:color="auto"/>
                              </w:divBdr>
                              <w:divsChild>
                                <w:div w:id="1209562840">
                                  <w:marLeft w:val="0"/>
                                  <w:marRight w:val="0"/>
                                  <w:marTop w:val="0"/>
                                  <w:marBottom w:val="0"/>
                                  <w:divBdr>
                                    <w:top w:val="none" w:sz="0" w:space="0" w:color="auto"/>
                                    <w:left w:val="none" w:sz="0" w:space="0" w:color="auto"/>
                                    <w:bottom w:val="none" w:sz="0" w:space="0" w:color="auto"/>
                                    <w:right w:val="none" w:sz="0" w:space="0" w:color="auto"/>
                                  </w:divBdr>
                                  <w:divsChild>
                                    <w:div w:id="1021123257">
                                      <w:marLeft w:val="0"/>
                                      <w:marRight w:val="0"/>
                                      <w:marTop w:val="0"/>
                                      <w:marBottom w:val="0"/>
                                      <w:divBdr>
                                        <w:top w:val="none" w:sz="0" w:space="0" w:color="auto"/>
                                        <w:left w:val="none" w:sz="0" w:space="0" w:color="auto"/>
                                        <w:bottom w:val="none" w:sz="0" w:space="0" w:color="auto"/>
                                        <w:right w:val="none" w:sz="0" w:space="0" w:color="auto"/>
                                      </w:divBdr>
                                      <w:divsChild>
                                        <w:div w:id="250741625">
                                          <w:marLeft w:val="0"/>
                                          <w:marRight w:val="0"/>
                                          <w:marTop w:val="15"/>
                                          <w:marBottom w:val="0"/>
                                          <w:divBdr>
                                            <w:top w:val="none" w:sz="0" w:space="0" w:color="auto"/>
                                            <w:left w:val="none" w:sz="0" w:space="0" w:color="auto"/>
                                            <w:bottom w:val="none" w:sz="0" w:space="0" w:color="auto"/>
                                            <w:right w:val="none" w:sz="0" w:space="0" w:color="auto"/>
                                          </w:divBdr>
                                          <w:divsChild>
                                            <w:div w:id="961571898">
                                              <w:marLeft w:val="0"/>
                                              <w:marRight w:val="0"/>
                                              <w:marTop w:val="0"/>
                                              <w:marBottom w:val="0"/>
                                              <w:divBdr>
                                                <w:top w:val="none" w:sz="0" w:space="0" w:color="auto"/>
                                                <w:left w:val="none" w:sz="0" w:space="0" w:color="auto"/>
                                                <w:bottom w:val="none" w:sz="0" w:space="0" w:color="auto"/>
                                                <w:right w:val="none" w:sz="0" w:space="0" w:color="auto"/>
                                              </w:divBdr>
                                              <w:divsChild>
                                                <w:div w:id="574389980">
                                                  <w:marLeft w:val="0"/>
                                                  <w:marRight w:val="0"/>
                                                  <w:marTop w:val="0"/>
                                                  <w:marBottom w:val="0"/>
                                                  <w:divBdr>
                                                    <w:top w:val="none" w:sz="0" w:space="0" w:color="auto"/>
                                                    <w:left w:val="none" w:sz="0" w:space="0" w:color="auto"/>
                                                    <w:bottom w:val="none" w:sz="0" w:space="0" w:color="auto"/>
                                                    <w:right w:val="none" w:sz="0" w:space="0" w:color="auto"/>
                                                  </w:divBdr>
                                                </w:div>
                                                <w:div w:id="1807352623">
                                                  <w:marLeft w:val="0"/>
                                                  <w:marRight w:val="0"/>
                                                  <w:marTop w:val="0"/>
                                                  <w:marBottom w:val="0"/>
                                                  <w:divBdr>
                                                    <w:top w:val="none" w:sz="0" w:space="0" w:color="auto"/>
                                                    <w:left w:val="none" w:sz="0" w:space="0" w:color="auto"/>
                                                    <w:bottom w:val="none" w:sz="0" w:space="0" w:color="auto"/>
                                                    <w:right w:val="none" w:sz="0" w:space="0" w:color="auto"/>
                                                  </w:divBdr>
                                                </w:div>
                                                <w:div w:id="777337733">
                                                  <w:marLeft w:val="0"/>
                                                  <w:marRight w:val="0"/>
                                                  <w:marTop w:val="0"/>
                                                  <w:marBottom w:val="0"/>
                                                  <w:divBdr>
                                                    <w:top w:val="none" w:sz="0" w:space="0" w:color="auto"/>
                                                    <w:left w:val="none" w:sz="0" w:space="0" w:color="auto"/>
                                                    <w:bottom w:val="none" w:sz="0" w:space="0" w:color="auto"/>
                                                    <w:right w:val="none" w:sz="0" w:space="0" w:color="auto"/>
                                                  </w:divBdr>
                                                </w:div>
                                                <w:div w:id="1958872879">
                                                  <w:marLeft w:val="0"/>
                                                  <w:marRight w:val="0"/>
                                                  <w:marTop w:val="0"/>
                                                  <w:marBottom w:val="0"/>
                                                  <w:divBdr>
                                                    <w:top w:val="none" w:sz="0" w:space="0" w:color="auto"/>
                                                    <w:left w:val="none" w:sz="0" w:space="0" w:color="auto"/>
                                                    <w:bottom w:val="none" w:sz="0" w:space="0" w:color="auto"/>
                                                    <w:right w:val="none" w:sz="0" w:space="0" w:color="auto"/>
                                                  </w:divBdr>
                                                </w:div>
                                                <w:div w:id="433867275">
                                                  <w:marLeft w:val="0"/>
                                                  <w:marRight w:val="0"/>
                                                  <w:marTop w:val="0"/>
                                                  <w:marBottom w:val="0"/>
                                                  <w:divBdr>
                                                    <w:top w:val="none" w:sz="0" w:space="0" w:color="auto"/>
                                                    <w:left w:val="none" w:sz="0" w:space="0" w:color="auto"/>
                                                    <w:bottom w:val="none" w:sz="0" w:space="0" w:color="auto"/>
                                                    <w:right w:val="none" w:sz="0" w:space="0" w:color="auto"/>
                                                  </w:divBdr>
                                                </w:div>
                                                <w:div w:id="657539366">
                                                  <w:marLeft w:val="0"/>
                                                  <w:marRight w:val="0"/>
                                                  <w:marTop w:val="0"/>
                                                  <w:marBottom w:val="0"/>
                                                  <w:divBdr>
                                                    <w:top w:val="none" w:sz="0" w:space="0" w:color="auto"/>
                                                    <w:left w:val="none" w:sz="0" w:space="0" w:color="auto"/>
                                                    <w:bottom w:val="none" w:sz="0" w:space="0" w:color="auto"/>
                                                    <w:right w:val="none" w:sz="0" w:space="0" w:color="auto"/>
                                                  </w:divBdr>
                                                </w:div>
                                                <w:div w:id="2093693638">
                                                  <w:marLeft w:val="0"/>
                                                  <w:marRight w:val="0"/>
                                                  <w:marTop w:val="0"/>
                                                  <w:marBottom w:val="0"/>
                                                  <w:divBdr>
                                                    <w:top w:val="none" w:sz="0" w:space="0" w:color="auto"/>
                                                    <w:left w:val="none" w:sz="0" w:space="0" w:color="auto"/>
                                                    <w:bottom w:val="none" w:sz="0" w:space="0" w:color="auto"/>
                                                    <w:right w:val="none" w:sz="0" w:space="0" w:color="auto"/>
                                                  </w:divBdr>
                                                </w:div>
                                                <w:div w:id="1292638110">
                                                  <w:marLeft w:val="0"/>
                                                  <w:marRight w:val="0"/>
                                                  <w:marTop w:val="0"/>
                                                  <w:marBottom w:val="0"/>
                                                  <w:divBdr>
                                                    <w:top w:val="none" w:sz="0" w:space="0" w:color="auto"/>
                                                    <w:left w:val="none" w:sz="0" w:space="0" w:color="auto"/>
                                                    <w:bottom w:val="none" w:sz="0" w:space="0" w:color="auto"/>
                                                    <w:right w:val="none" w:sz="0" w:space="0" w:color="auto"/>
                                                  </w:divBdr>
                                                </w:div>
                                                <w:div w:id="623538423">
                                                  <w:marLeft w:val="0"/>
                                                  <w:marRight w:val="0"/>
                                                  <w:marTop w:val="0"/>
                                                  <w:marBottom w:val="0"/>
                                                  <w:divBdr>
                                                    <w:top w:val="none" w:sz="0" w:space="0" w:color="auto"/>
                                                    <w:left w:val="none" w:sz="0" w:space="0" w:color="auto"/>
                                                    <w:bottom w:val="none" w:sz="0" w:space="0" w:color="auto"/>
                                                    <w:right w:val="none" w:sz="0" w:space="0" w:color="auto"/>
                                                  </w:divBdr>
                                                </w:div>
                                                <w:div w:id="1641298819">
                                                  <w:marLeft w:val="0"/>
                                                  <w:marRight w:val="0"/>
                                                  <w:marTop w:val="0"/>
                                                  <w:marBottom w:val="0"/>
                                                  <w:divBdr>
                                                    <w:top w:val="none" w:sz="0" w:space="0" w:color="auto"/>
                                                    <w:left w:val="none" w:sz="0" w:space="0" w:color="auto"/>
                                                    <w:bottom w:val="none" w:sz="0" w:space="0" w:color="auto"/>
                                                    <w:right w:val="none" w:sz="0" w:space="0" w:color="auto"/>
                                                  </w:divBdr>
                                                </w:div>
                                                <w:div w:id="597176073">
                                                  <w:marLeft w:val="0"/>
                                                  <w:marRight w:val="0"/>
                                                  <w:marTop w:val="0"/>
                                                  <w:marBottom w:val="0"/>
                                                  <w:divBdr>
                                                    <w:top w:val="none" w:sz="0" w:space="0" w:color="auto"/>
                                                    <w:left w:val="none" w:sz="0" w:space="0" w:color="auto"/>
                                                    <w:bottom w:val="none" w:sz="0" w:space="0" w:color="auto"/>
                                                    <w:right w:val="none" w:sz="0" w:space="0" w:color="auto"/>
                                                  </w:divBdr>
                                                </w:div>
                                                <w:div w:id="2147311477">
                                                  <w:marLeft w:val="0"/>
                                                  <w:marRight w:val="0"/>
                                                  <w:marTop w:val="0"/>
                                                  <w:marBottom w:val="0"/>
                                                  <w:divBdr>
                                                    <w:top w:val="none" w:sz="0" w:space="0" w:color="auto"/>
                                                    <w:left w:val="none" w:sz="0" w:space="0" w:color="auto"/>
                                                    <w:bottom w:val="none" w:sz="0" w:space="0" w:color="auto"/>
                                                    <w:right w:val="none" w:sz="0" w:space="0" w:color="auto"/>
                                                  </w:divBdr>
                                                </w:div>
                                                <w:div w:id="765419021">
                                                  <w:marLeft w:val="0"/>
                                                  <w:marRight w:val="0"/>
                                                  <w:marTop w:val="0"/>
                                                  <w:marBottom w:val="0"/>
                                                  <w:divBdr>
                                                    <w:top w:val="none" w:sz="0" w:space="0" w:color="auto"/>
                                                    <w:left w:val="none" w:sz="0" w:space="0" w:color="auto"/>
                                                    <w:bottom w:val="none" w:sz="0" w:space="0" w:color="auto"/>
                                                    <w:right w:val="none" w:sz="0" w:space="0" w:color="auto"/>
                                                  </w:divBdr>
                                                </w:div>
                                                <w:div w:id="1053189626">
                                                  <w:marLeft w:val="0"/>
                                                  <w:marRight w:val="0"/>
                                                  <w:marTop w:val="0"/>
                                                  <w:marBottom w:val="0"/>
                                                  <w:divBdr>
                                                    <w:top w:val="none" w:sz="0" w:space="0" w:color="auto"/>
                                                    <w:left w:val="none" w:sz="0" w:space="0" w:color="auto"/>
                                                    <w:bottom w:val="none" w:sz="0" w:space="0" w:color="auto"/>
                                                    <w:right w:val="none" w:sz="0" w:space="0" w:color="auto"/>
                                                  </w:divBdr>
                                                </w:div>
                                                <w:div w:id="1016032533">
                                                  <w:marLeft w:val="0"/>
                                                  <w:marRight w:val="0"/>
                                                  <w:marTop w:val="0"/>
                                                  <w:marBottom w:val="0"/>
                                                  <w:divBdr>
                                                    <w:top w:val="none" w:sz="0" w:space="0" w:color="auto"/>
                                                    <w:left w:val="none" w:sz="0" w:space="0" w:color="auto"/>
                                                    <w:bottom w:val="none" w:sz="0" w:space="0" w:color="auto"/>
                                                    <w:right w:val="none" w:sz="0" w:space="0" w:color="auto"/>
                                                  </w:divBdr>
                                                </w:div>
                                                <w:div w:id="1657537344">
                                                  <w:marLeft w:val="0"/>
                                                  <w:marRight w:val="0"/>
                                                  <w:marTop w:val="0"/>
                                                  <w:marBottom w:val="0"/>
                                                  <w:divBdr>
                                                    <w:top w:val="none" w:sz="0" w:space="0" w:color="auto"/>
                                                    <w:left w:val="none" w:sz="0" w:space="0" w:color="auto"/>
                                                    <w:bottom w:val="none" w:sz="0" w:space="0" w:color="auto"/>
                                                    <w:right w:val="none" w:sz="0" w:space="0" w:color="auto"/>
                                                  </w:divBdr>
                                                </w:div>
                                                <w:div w:id="1028066061">
                                                  <w:marLeft w:val="0"/>
                                                  <w:marRight w:val="0"/>
                                                  <w:marTop w:val="0"/>
                                                  <w:marBottom w:val="0"/>
                                                  <w:divBdr>
                                                    <w:top w:val="none" w:sz="0" w:space="0" w:color="auto"/>
                                                    <w:left w:val="none" w:sz="0" w:space="0" w:color="auto"/>
                                                    <w:bottom w:val="none" w:sz="0" w:space="0" w:color="auto"/>
                                                    <w:right w:val="none" w:sz="0" w:space="0" w:color="auto"/>
                                                  </w:divBdr>
                                                </w:div>
                                                <w:div w:id="225534183">
                                                  <w:marLeft w:val="0"/>
                                                  <w:marRight w:val="0"/>
                                                  <w:marTop w:val="0"/>
                                                  <w:marBottom w:val="0"/>
                                                  <w:divBdr>
                                                    <w:top w:val="none" w:sz="0" w:space="0" w:color="auto"/>
                                                    <w:left w:val="none" w:sz="0" w:space="0" w:color="auto"/>
                                                    <w:bottom w:val="none" w:sz="0" w:space="0" w:color="auto"/>
                                                    <w:right w:val="none" w:sz="0" w:space="0" w:color="auto"/>
                                                  </w:divBdr>
                                                </w:div>
                                                <w:div w:id="339699268">
                                                  <w:marLeft w:val="0"/>
                                                  <w:marRight w:val="0"/>
                                                  <w:marTop w:val="0"/>
                                                  <w:marBottom w:val="0"/>
                                                  <w:divBdr>
                                                    <w:top w:val="none" w:sz="0" w:space="0" w:color="auto"/>
                                                    <w:left w:val="none" w:sz="0" w:space="0" w:color="auto"/>
                                                    <w:bottom w:val="none" w:sz="0" w:space="0" w:color="auto"/>
                                                    <w:right w:val="none" w:sz="0" w:space="0" w:color="auto"/>
                                                  </w:divBdr>
                                                </w:div>
                                                <w:div w:id="1400637006">
                                                  <w:marLeft w:val="0"/>
                                                  <w:marRight w:val="0"/>
                                                  <w:marTop w:val="0"/>
                                                  <w:marBottom w:val="0"/>
                                                  <w:divBdr>
                                                    <w:top w:val="none" w:sz="0" w:space="0" w:color="auto"/>
                                                    <w:left w:val="none" w:sz="0" w:space="0" w:color="auto"/>
                                                    <w:bottom w:val="none" w:sz="0" w:space="0" w:color="auto"/>
                                                    <w:right w:val="none" w:sz="0" w:space="0" w:color="auto"/>
                                                  </w:divBdr>
                                                </w:div>
                                                <w:div w:id="2011643109">
                                                  <w:marLeft w:val="0"/>
                                                  <w:marRight w:val="0"/>
                                                  <w:marTop w:val="0"/>
                                                  <w:marBottom w:val="0"/>
                                                  <w:divBdr>
                                                    <w:top w:val="none" w:sz="0" w:space="0" w:color="auto"/>
                                                    <w:left w:val="none" w:sz="0" w:space="0" w:color="auto"/>
                                                    <w:bottom w:val="none" w:sz="0" w:space="0" w:color="auto"/>
                                                    <w:right w:val="none" w:sz="0" w:space="0" w:color="auto"/>
                                                  </w:divBdr>
                                                </w:div>
                                                <w:div w:id="1078751067">
                                                  <w:marLeft w:val="0"/>
                                                  <w:marRight w:val="0"/>
                                                  <w:marTop w:val="0"/>
                                                  <w:marBottom w:val="0"/>
                                                  <w:divBdr>
                                                    <w:top w:val="none" w:sz="0" w:space="0" w:color="auto"/>
                                                    <w:left w:val="none" w:sz="0" w:space="0" w:color="auto"/>
                                                    <w:bottom w:val="none" w:sz="0" w:space="0" w:color="auto"/>
                                                    <w:right w:val="none" w:sz="0" w:space="0" w:color="auto"/>
                                                  </w:divBdr>
                                                </w:div>
                                                <w:div w:id="235361621">
                                                  <w:marLeft w:val="0"/>
                                                  <w:marRight w:val="0"/>
                                                  <w:marTop w:val="0"/>
                                                  <w:marBottom w:val="0"/>
                                                  <w:divBdr>
                                                    <w:top w:val="none" w:sz="0" w:space="0" w:color="auto"/>
                                                    <w:left w:val="none" w:sz="0" w:space="0" w:color="auto"/>
                                                    <w:bottom w:val="none" w:sz="0" w:space="0" w:color="auto"/>
                                                    <w:right w:val="none" w:sz="0" w:space="0" w:color="auto"/>
                                                  </w:divBdr>
                                                </w:div>
                                                <w:div w:id="1344672838">
                                                  <w:marLeft w:val="0"/>
                                                  <w:marRight w:val="0"/>
                                                  <w:marTop w:val="0"/>
                                                  <w:marBottom w:val="0"/>
                                                  <w:divBdr>
                                                    <w:top w:val="none" w:sz="0" w:space="0" w:color="auto"/>
                                                    <w:left w:val="none" w:sz="0" w:space="0" w:color="auto"/>
                                                    <w:bottom w:val="none" w:sz="0" w:space="0" w:color="auto"/>
                                                    <w:right w:val="none" w:sz="0" w:space="0" w:color="auto"/>
                                                  </w:divBdr>
                                                </w:div>
                                                <w:div w:id="1022823122">
                                                  <w:marLeft w:val="0"/>
                                                  <w:marRight w:val="0"/>
                                                  <w:marTop w:val="0"/>
                                                  <w:marBottom w:val="0"/>
                                                  <w:divBdr>
                                                    <w:top w:val="none" w:sz="0" w:space="0" w:color="auto"/>
                                                    <w:left w:val="none" w:sz="0" w:space="0" w:color="auto"/>
                                                    <w:bottom w:val="none" w:sz="0" w:space="0" w:color="auto"/>
                                                    <w:right w:val="none" w:sz="0" w:space="0" w:color="auto"/>
                                                  </w:divBdr>
                                                </w:div>
                                                <w:div w:id="654574026">
                                                  <w:marLeft w:val="0"/>
                                                  <w:marRight w:val="0"/>
                                                  <w:marTop w:val="0"/>
                                                  <w:marBottom w:val="0"/>
                                                  <w:divBdr>
                                                    <w:top w:val="none" w:sz="0" w:space="0" w:color="auto"/>
                                                    <w:left w:val="none" w:sz="0" w:space="0" w:color="auto"/>
                                                    <w:bottom w:val="none" w:sz="0" w:space="0" w:color="auto"/>
                                                    <w:right w:val="none" w:sz="0" w:space="0" w:color="auto"/>
                                                  </w:divBdr>
                                                </w:div>
                                                <w:div w:id="496655806">
                                                  <w:marLeft w:val="0"/>
                                                  <w:marRight w:val="0"/>
                                                  <w:marTop w:val="0"/>
                                                  <w:marBottom w:val="0"/>
                                                  <w:divBdr>
                                                    <w:top w:val="none" w:sz="0" w:space="0" w:color="auto"/>
                                                    <w:left w:val="none" w:sz="0" w:space="0" w:color="auto"/>
                                                    <w:bottom w:val="none" w:sz="0" w:space="0" w:color="auto"/>
                                                    <w:right w:val="none" w:sz="0" w:space="0" w:color="auto"/>
                                                  </w:divBdr>
                                                </w:div>
                                                <w:div w:id="1996176481">
                                                  <w:marLeft w:val="0"/>
                                                  <w:marRight w:val="0"/>
                                                  <w:marTop w:val="0"/>
                                                  <w:marBottom w:val="0"/>
                                                  <w:divBdr>
                                                    <w:top w:val="none" w:sz="0" w:space="0" w:color="auto"/>
                                                    <w:left w:val="none" w:sz="0" w:space="0" w:color="auto"/>
                                                    <w:bottom w:val="none" w:sz="0" w:space="0" w:color="auto"/>
                                                    <w:right w:val="none" w:sz="0" w:space="0" w:color="auto"/>
                                                  </w:divBdr>
                                                </w:div>
                                                <w:div w:id="1945459553">
                                                  <w:marLeft w:val="0"/>
                                                  <w:marRight w:val="0"/>
                                                  <w:marTop w:val="0"/>
                                                  <w:marBottom w:val="0"/>
                                                  <w:divBdr>
                                                    <w:top w:val="none" w:sz="0" w:space="0" w:color="auto"/>
                                                    <w:left w:val="none" w:sz="0" w:space="0" w:color="auto"/>
                                                    <w:bottom w:val="none" w:sz="0" w:space="0" w:color="auto"/>
                                                    <w:right w:val="none" w:sz="0" w:space="0" w:color="auto"/>
                                                  </w:divBdr>
                                                </w:div>
                                                <w:div w:id="1130249119">
                                                  <w:marLeft w:val="0"/>
                                                  <w:marRight w:val="0"/>
                                                  <w:marTop w:val="0"/>
                                                  <w:marBottom w:val="0"/>
                                                  <w:divBdr>
                                                    <w:top w:val="none" w:sz="0" w:space="0" w:color="auto"/>
                                                    <w:left w:val="none" w:sz="0" w:space="0" w:color="auto"/>
                                                    <w:bottom w:val="none" w:sz="0" w:space="0" w:color="auto"/>
                                                    <w:right w:val="none" w:sz="0" w:space="0" w:color="auto"/>
                                                  </w:divBdr>
                                                </w:div>
                                                <w:div w:id="1639915531">
                                                  <w:marLeft w:val="0"/>
                                                  <w:marRight w:val="0"/>
                                                  <w:marTop w:val="0"/>
                                                  <w:marBottom w:val="0"/>
                                                  <w:divBdr>
                                                    <w:top w:val="none" w:sz="0" w:space="0" w:color="auto"/>
                                                    <w:left w:val="none" w:sz="0" w:space="0" w:color="auto"/>
                                                    <w:bottom w:val="none" w:sz="0" w:space="0" w:color="auto"/>
                                                    <w:right w:val="none" w:sz="0" w:space="0" w:color="auto"/>
                                                  </w:divBdr>
                                                </w:div>
                                                <w:div w:id="1279799109">
                                                  <w:marLeft w:val="0"/>
                                                  <w:marRight w:val="0"/>
                                                  <w:marTop w:val="0"/>
                                                  <w:marBottom w:val="0"/>
                                                  <w:divBdr>
                                                    <w:top w:val="none" w:sz="0" w:space="0" w:color="auto"/>
                                                    <w:left w:val="none" w:sz="0" w:space="0" w:color="auto"/>
                                                    <w:bottom w:val="none" w:sz="0" w:space="0" w:color="auto"/>
                                                    <w:right w:val="none" w:sz="0" w:space="0" w:color="auto"/>
                                                  </w:divBdr>
                                                </w:div>
                                                <w:div w:id="186745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23762015">
      <w:bodyDiv w:val="1"/>
      <w:marLeft w:val="0"/>
      <w:marRight w:val="0"/>
      <w:marTop w:val="0"/>
      <w:marBottom w:val="0"/>
      <w:divBdr>
        <w:top w:val="none" w:sz="0" w:space="0" w:color="auto"/>
        <w:left w:val="none" w:sz="0" w:space="0" w:color="auto"/>
        <w:bottom w:val="none" w:sz="0" w:space="0" w:color="auto"/>
        <w:right w:val="none" w:sz="0" w:space="0" w:color="auto"/>
      </w:divBdr>
    </w:div>
    <w:div w:id="1997879236">
      <w:bodyDiv w:val="1"/>
      <w:marLeft w:val="0"/>
      <w:marRight w:val="0"/>
      <w:marTop w:val="0"/>
      <w:marBottom w:val="0"/>
      <w:divBdr>
        <w:top w:val="none" w:sz="0" w:space="0" w:color="auto"/>
        <w:left w:val="none" w:sz="0" w:space="0" w:color="auto"/>
        <w:bottom w:val="none" w:sz="0" w:space="0" w:color="auto"/>
        <w:right w:val="none" w:sz="0" w:space="0" w:color="auto"/>
      </w:divBdr>
    </w:div>
    <w:div w:id="1998266522">
      <w:bodyDiv w:val="1"/>
      <w:marLeft w:val="0"/>
      <w:marRight w:val="0"/>
      <w:marTop w:val="0"/>
      <w:marBottom w:val="0"/>
      <w:divBdr>
        <w:top w:val="none" w:sz="0" w:space="0" w:color="auto"/>
        <w:left w:val="none" w:sz="0" w:space="0" w:color="auto"/>
        <w:bottom w:val="none" w:sz="0" w:space="0" w:color="auto"/>
        <w:right w:val="none" w:sz="0" w:space="0" w:color="auto"/>
      </w:divBdr>
    </w:div>
    <w:div w:id="2046640635">
      <w:bodyDiv w:val="1"/>
      <w:marLeft w:val="0"/>
      <w:marRight w:val="0"/>
      <w:marTop w:val="0"/>
      <w:marBottom w:val="0"/>
      <w:divBdr>
        <w:top w:val="none" w:sz="0" w:space="0" w:color="auto"/>
        <w:left w:val="none" w:sz="0" w:space="0" w:color="auto"/>
        <w:bottom w:val="none" w:sz="0" w:space="0" w:color="auto"/>
        <w:right w:val="none" w:sz="0" w:space="0" w:color="auto"/>
      </w:divBdr>
    </w:div>
    <w:div w:id="2100057719">
      <w:bodyDiv w:val="1"/>
      <w:marLeft w:val="0"/>
      <w:marRight w:val="0"/>
      <w:marTop w:val="0"/>
      <w:marBottom w:val="0"/>
      <w:divBdr>
        <w:top w:val="none" w:sz="0" w:space="0" w:color="auto"/>
        <w:left w:val="none" w:sz="0" w:space="0" w:color="auto"/>
        <w:bottom w:val="none" w:sz="0" w:space="0" w:color="auto"/>
        <w:right w:val="none" w:sz="0" w:space="0" w:color="auto"/>
      </w:divBdr>
      <w:divsChild>
        <w:div w:id="530991272">
          <w:marLeft w:val="0"/>
          <w:marRight w:val="0"/>
          <w:marTop w:val="0"/>
          <w:marBottom w:val="0"/>
          <w:divBdr>
            <w:top w:val="none" w:sz="0" w:space="0" w:color="auto"/>
            <w:left w:val="none" w:sz="0" w:space="0" w:color="auto"/>
            <w:bottom w:val="none" w:sz="0" w:space="0" w:color="auto"/>
            <w:right w:val="none" w:sz="0" w:space="0" w:color="auto"/>
          </w:divBdr>
        </w:div>
        <w:div w:id="1686052820">
          <w:marLeft w:val="0"/>
          <w:marRight w:val="0"/>
          <w:marTop w:val="0"/>
          <w:marBottom w:val="0"/>
          <w:divBdr>
            <w:top w:val="none" w:sz="0" w:space="0" w:color="auto"/>
            <w:left w:val="none" w:sz="0" w:space="0" w:color="auto"/>
            <w:bottom w:val="none" w:sz="0" w:space="0" w:color="auto"/>
            <w:right w:val="none" w:sz="0" w:space="0" w:color="auto"/>
          </w:divBdr>
        </w:div>
        <w:div w:id="322271956">
          <w:marLeft w:val="0"/>
          <w:marRight w:val="0"/>
          <w:marTop w:val="0"/>
          <w:marBottom w:val="0"/>
          <w:divBdr>
            <w:top w:val="none" w:sz="0" w:space="0" w:color="auto"/>
            <w:left w:val="none" w:sz="0" w:space="0" w:color="auto"/>
            <w:bottom w:val="none" w:sz="0" w:space="0" w:color="auto"/>
            <w:right w:val="none" w:sz="0" w:space="0" w:color="auto"/>
          </w:divBdr>
        </w:div>
        <w:div w:id="881986202">
          <w:marLeft w:val="0"/>
          <w:marRight w:val="0"/>
          <w:marTop w:val="0"/>
          <w:marBottom w:val="0"/>
          <w:divBdr>
            <w:top w:val="none" w:sz="0" w:space="0" w:color="auto"/>
            <w:left w:val="none" w:sz="0" w:space="0" w:color="auto"/>
            <w:bottom w:val="none" w:sz="0" w:space="0" w:color="auto"/>
            <w:right w:val="none" w:sz="0" w:space="0" w:color="auto"/>
          </w:divBdr>
        </w:div>
        <w:div w:id="932518425">
          <w:marLeft w:val="0"/>
          <w:marRight w:val="0"/>
          <w:marTop w:val="0"/>
          <w:marBottom w:val="0"/>
          <w:divBdr>
            <w:top w:val="none" w:sz="0" w:space="0" w:color="auto"/>
            <w:left w:val="none" w:sz="0" w:space="0" w:color="auto"/>
            <w:bottom w:val="none" w:sz="0" w:space="0" w:color="auto"/>
            <w:right w:val="none" w:sz="0" w:space="0" w:color="auto"/>
          </w:divBdr>
        </w:div>
        <w:div w:id="1217742507">
          <w:marLeft w:val="0"/>
          <w:marRight w:val="0"/>
          <w:marTop w:val="0"/>
          <w:marBottom w:val="0"/>
          <w:divBdr>
            <w:top w:val="none" w:sz="0" w:space="0" w:color="auto"/>
            <w:left w:val="none" w:sz="0" w:space="0" w:color="auto"/>
            <w:bottom w:val="none" w:sz="0" w:space="0" w:color="auto"/>
            <w:right w:val="none" w:sz="0" w:space="0" w:color="auto"/>
          </w:divBdr>
        </w:div>
        <w:div w:id="871578232">
          <w:marLeft w:val="0"/>
          <w:marRight w:val="0"/>
          <w:marTop w:val="0"/>
          <w:marBottom w:val="0"/>
          <w:divBdr>
            <w:top w:val="none" w:sz="0" w:space="0" w:color="auto"/>
            <w:left w:val="none" w:sz="0" w:space="0" w:color="auto"/>
            <w:bottom w:val="none" w:sz="0" w:space="0" w:color="auto"/>
            <w:right w:val="none" w:sz="0" w:space="0" w:color="auto"/>
          </w:divBdr>
        </w:div>
        <w:div w:id="772552409">
          <w:marLeft w:val="0"/>
          <w:marRight w:val="0"/>
          <w:marTop w:val="0"/>
          <w:marBottom w:val="0"/>
          <w:divBdr>
            <w:top w:val="none" w:sz="0" w:space="0" w:color="auto"/>
            <w:left w:val="none" w:sz="0" w:space="0" w:color="auto"/>
            <w:bottom w:val="none" w:sz="0" w:space="0" w:color="auto"/>
            <w:right w:val="none" w:sz="0" w:space="0" w:color="auto"/>
          </w:divBdr>
        </w:div>
        <w:div w:id="904294894">
          <w:marLeft w:val="0"/>
          <w:marRight w:val="0"/>
          <w:marTop w:val="0"/>
          <w:marBottom w:val="0"/>
          <w:divBdr>
            <w:top w:val="none" w:sz="0" w:space="0" w:color="auto"/>
            <w:left w:val="none" w:sz="0" w:space="0" w:color="auto"/>
            <w:bottom w:val="none" w:sz="0" w:space="0" w:color="auto"/>
            <w:right w:val="none" w:sz="0" w:space="0" w:color="auto"/>
          </w:divBdr>
        </w:div>
        <w:div w:id="1582449072">
          <w:marLeft w:val="0"/>
          <w:marRight w:val="0"/>
          <w:marTop w:val="0"/>
          <w:marBottom w:val="0"/>
          <w:divBdr>
            <w:top w:val="none" w:sz="0" w:space="0" w:color="auto"/>
            <w:left w:val="none" w:sz="0" w:space="0" w:color="auto"/>
            <w:bottom w:val="none" w:sz="0" w:space="0" w:color="auto"/>
            <w:right w:val="none" w:sz="0" w:space="0" w:color="auto"/>
          </w:divBdr>
        </w:div>
        <w:div w:id="618948254">
          <w:marLeft w:val="0"/>
          <w:marRight w:val="0"/>
          <w:marTop w:val="0"/>
          <w:marBottom w:val="0"/>
          <w:divBdr>
            <w:top w:val="none" w:sz="0" w:space="0" w:color="auto"/>
            <w:left w:val="none" w:sz="0" w:space="0" w:color="auto"/>
            <w:bottom w:val="none" w:sz="0" w:space="0" w:color="auto"/>
            <w:right w:val="none" w:sz="0" w:space="0" w:color="auto"/>
          </w:divBdr>
        </w:div>
        <w:div w:id="1902211520">
          <w:marLeft w:val="0"/>
          <w:marRight w:val="0"/>
          <w:marTop w:val="0"/>
          <w:marBottom w:val="0"/>
          <w:divBdr>
            <w:top w:val="none" w:sz="0" w:space="0" w:color="auto"/>
            <w:left w:val="none" w:sz="0" w:space="0" w:color="auto"/>
            <w:bottom w:val="none" w:sz="0" w:space="0" w:color="auto"/>
            <w:right w:val="none" w:sz="0" w:space="0" w:color="auto"/>
          </w:divBdr>
        </w:div>
        <w:div w:id="1890995924">
          <w:marLeft w:val="0"/>
          <w:marRight w:val="0"/>
          <w:marTop w:val="0"/>
          <w:marBottom w:val="0"/>
          <w:divBdr>
            <w:top w:val="none" w:sz="0" w:space="0" w:color="auto"/>
            <w:left w:val="none" w:sz="0" w:space="0" w:color="auto"/>
            <w:bottom w:val="none" w:sz="0" w:space="0" w:color="auto"/>
            <w:right w:val="none" w:sz="0" w:space="0" w:color="auto"/>
          </w:divBdr>
        </w:div>
        <w:div w:id="889346967">
          <w:marLeft w:val="0"/>
          <w:marRight w:val="0"/>
          <w:marTop w:val="0"/>
          <w:marBottom w:val="0"/>
          <w:divBdr>
            <w:top w:val="none" w:sz="0" w:space="0" w:color="auto"/>
            <w:left w:val="none" w:sz="0" w:space="0" w:color="auto"/>
            <w:bottom w:val="none" w:sz="0" w:space="0" w:color="auto"/>
            <w:right w:val="none" w:sz="0" w:space="0" w:color="auto"/>
          </w:divBdr>
        </w:div>
        <w:div w:id="1302659700">
          <w:marLeft w:val="0"/>
          <w:marRight w:val="0"/>
          <w:marTop w:val="0"/>
          <w:marBottom w:val="0"/>
          <w:divBdr>
            <w:top w:val="none" w:sz="0" w:space="0" w:color="auto"/>
            <w:left w:val="none" w:sz="0" w:space="0" w:color="auto"/>
            <w:bottom w:val="none" w:sz="0" w:space="0" w:color="auto"/>
            <w:right w:val="none" w:sz="0" w:space="0" w:color="auto"/>
          </w:divBdr>
        </w:div>
        <w:div w:id="333843251">
          <w:marLeft w:val="0"/>
          <w:marRight w:val="0"/>
          <w:marTop w:val="0"/>
          <w:marBottom w:val="0"/>
          <w:divBdr>
            <w:top w:val="none" w:sz="0" w:space="0" w:color="auto"/>
            <w:left w:val="none" w:sz="0" w:space="0" w:color="auto"/>
            <w:bottom w:val="none" w:sz="0" w:space="0" w:color="auto"/>
            <w:right w:val="none" w:sz="0" w:space="0" w:color="auto"/>
          </w:divBdr>
        </w:div>
        <w:div w:id="849754068">
          <w:marLeft w:val="0"/>
          <w:marRight w:val="0"/>
          <w:marTop w:val="0"/>
          <w:marBottom w:val="0"/>
          <w:divBdr>
            <w:top w:val="none" w:sz="0" w:space="0" w:color="auto"/>
            <w:left w:val="none" w:sz="0" w:space="0" w:color="auto"/>
            <w:bottom w:val="none" w:sz="0" w:space="0" w:color="auto"/>
            <w:right w:val="none" w:sz="0" w:space="0" w:color="auto"/>
          </w:divBdr>
        </w:div>
        <w:div w:id="1428968238">
          <w:marLeft w:val="0"/>
          <w:marRight w:val="0"/>
          <w:marTop w:val="0"/>
          <w:marBottom w:val="0"/>
          <w:divBdr>
            <w:top w:val="none" w:sz="0" w:space="0" w:color="auto"/>
            <w:left w:val="none" w:sz="0" w:space="0" w:color="auto"/>
            <w:bottom w:val="none" w:sz="0" w:space="0" w:color="auto"/>
            <w:right w:val="none" w:sz="0" w:space="0" w:color="auto"/>
          </w:divBdr>
        </w:div>
        <w:div w:id="601303060">
          <w:marLeft w:val="0"/>
          <w:marRight w:val="0"/>
          <w:marTop w:val="0"/>
          <w:marBottom w:val="0"/>
          <w:divBdr>
            <w:top w:val="none" w:sz="0" w:space="0" w:color="auto"/>
            <w:left w:val="none" w:sz="0" w:space="0" w:color="auto"/>
            <w:bottom w:val="none" w:sz="0" w:space="0" w:color="auto"/>
            <w:right w:val="none" w:sz="0" w:space="0" w:color="auto"/>
          </w:divBdr>
        </w:div>
        <w:div w:id="373772592">
          <w:marLeft w:val="0"/>
          <w:marRight w:val="0"/>
          <w:marTop w:val="0"/>
          <w:marBottom w:val="0"/>
          <w:divBdr>
            <w:top w:val="none" w:sz="0" w:space="0" w:color="auto"/>
            <w:left w:val="none" w:sz="0" w:space="0" w:color="auto"/>
            <w:bottom w:val="none" w:sz="0" w:space="0" w:color="auto"/>
            <w:right w:val="none" w:sz="0" w:space="0" w:color="auto"/>
          </w:divBdr>
        </w:div>
        <w:div w:id="1183325192">
          <w:marLeft w:val="0"/>
          <w:marRight w:val="0"/>
          <w:marTop w:val="0"/>
          <w:marBottom w:val="0"/>
          <w:divBdr>
            <w:top w:val="none" w:sz="0" w:space="0" w:color="auto"/>
            <w:left w:val="none" w:sz="0" w:space="0" w:color="auto"/>
            <w:bottom w:val="none" w:sz="0" w:space="0" w:color="auto"/>
            <w:right w:val="none" w:sz="0" w:space="0" w:color="auto"/>
          </w:divBdr>
        </w:div>
        <w:div w:id="1013394">
          <w:marLeft w:val="0"/>
          <w:marRight w:val="0"/>
          <w:marTop w:val="0"/>
          <w:marBottom w:val="0"/>
          <w:divBdr>
            <w:top w:val="none" w:sz="0" w:space="0" w:color="auto"/>
            <w:left w:val="none" w:sz="0" w:space="0" w:color="auto"/>
            <w:bottom w:val="none" w:sz="0" w:space="0" w:color="auto"/>
            <w:right w:val="none" w:sz="0" w:space="0" w:color="auto"/>
          </w:divBdr>
        </w:div>
        <w:div w:id="1492258081">
          <w:marLeft w:val="0"/>
          <w:marRight w:val="0"/>
          <w:marTop w:val="0"/>
          <w:marBottom w:val="0"/>
          <w:divBdr>
            <w:top w:val="none" w:sz="0" w:space="0" w:color="auto"/>
            <w:left w:val="none" w:sz="0" w:space="0" w:color="auto"/>
            <w:bottom w:val="none" w:sz="0" w:space="0" w:color="auto"/>
            <w:right w:val="none" w:sz="0" w:space="0" w:color="auto"/>
          </w:divBdr>
        </w:div>
        <w:div w:id="738402922">
          <w:marLeft w:val="0"/>
          <w:marRight w:val="0"/>
          <w:marTop w:val="0"/>
          <w:marBottom w:val="0"/>
          <w:divBdr>
            <w:top w:val="none" w:sz="0" w:space="0" w:color="auto"/>
            <w:left w:val="none" w:sz="0" w:space="0" w:color="auto"/>
            <w:bottom w:val="none" w:sz="0" w:space="0" w:color="auto"/>
            <w:right w:val="none" w:sz="0" w:space="0" w:color="auto"/>
          </w:divBdr>
        </w:div>
        <w:div w:id="1438410266">
          <w:marLeft w:val="0"/>
          <w:marRight w:val="0"/>
          <w:marTop w:val="0"/>
          <w:marBottom w:val="0"/>
          <w:divBdr>
            <w:top w:val="none" w:sz="0" w:space="0" w:color="auto"/>
            <w:left w:val="none" w:sz="0" w:space="0" w:color="auto"/>
            <w:bottom w:val="none" w:sz="0" w:space="0" w:color="auto"/>
            <w:right w:val="none" w:sz="0" w:space="0" w:color="auto"/>
          </w:divBdr>
        </w:div>
        <w:div w:id="725377153">
          <w:marLeft w:val="0"/>
          <w:marRight w:val="0"/>
          <w:marTop w:val="0"/>
          <w:marBottom w:val="0"/>
          <w:divBdr>
            <w:top w:val="none" w:sz="0" w:space="0" w:color="auto"/>
            <w:left w:val="none" w:sz="0" w:space="0" w:color="auto"/>
            <w:bottom w:val="none" w:sz="0" w:space="0" w:color="auto"/>
            <w:right w:val="none" w:sz="0" w:space="0" w:color="auto"/>
          </w:divBdr>
        </w:div>
        <w:div w:id="1508783973">
          <w:marLeft w:val="0"/>
          <w:marRight w:val="0"/>
          <w:marTop w:val="0"/>
          <w:marBottom w:val="0"/>
          <w:divBdr>
            <w:top w:val="none" w:sz="0" w:space="0" w:color="auto"/>
            <w:left w:val="none" w:sz="0" w:space="0" w:color="auto"/>
            <w:bottom w:val="none" w:sz="0" w:space="0" w:color="auto"/>
            <w:right w:val="none" w:sz="0" w:space="0" w:color="auto"/>
          </w:divBdr>
        </w:div>
        <w:div w:id="1104107502">
          <w:marLeft w:val="0"/>
          <w:marRight w:val="0"/>
          <w:marTop w:val="0"/>
          <w:marBottom w:val="0"/>
          <w:divBdr>
            <w:top w:val="none" w:sz="0" w:space="0" w:color="auto"/>
            <w:left w:val="none" w:sz="0" w:space="0" w:color="auto"/>
            <w:bottom w:val="none" w:sz="0" w:space="0" w:color="auto"/>
            <w:right w:val="none" w:sz="0" w:space="0" w:color="auto"/>
          </w:divBdr>
        </w:div>
        <w:div w:id="1942449123">
          <w:marLeft w:val="0"/>
          <w:marRight w:val="0"/>
          <w:marTop w:val="0"/>
          <w:marBottom w:val="0"/>
          <w:divBdr>
            <w:top w:val="none" w:sz="0" w:space="0" w:color="auto"/>
            <w:left w:val="none" w:sz="0" w:space="0" w:color="auto"/>
            <w:bottom w:val="none" w:sz="0" w:space="0" w:color="auto"/>
            <w:right w:val="none" w:sz="0" w:space="0" w:color="auto"/>
          </w:divBdr>
        </w:div>
        <w:div w:id="219639274">
          <w:marLeft w:val="0"/>
          <w:marRight w:val="0"/>
          <w:marTop w:val="0"/>
          <w:marBottom w:val="0"/>
          <w:divBdr>
            <w:top w:val="none" w:sz="0" w:space="0" w:color="auto"/>
            <w:left w:val="none" w:sz="0" w:space="0" w:color="auto"/>
            <w:bottom w:val="none" w:sz="0" w:space="0" w:color="auto"/>
            <w:right w:val="none" w:sz="0" w:space="0" w:color="auto"/>
          </w:divBdr>
        </w:div>
        <w:div w:id="1575041457">
          <w:marLeft w:val="0"/>
          <w:marRight w:val="0"/>
          <w:marTop w:val="0"/>
          <w:marBottom w:val="0"/>
          <w:divBdr>
            <w:top w:val="none" w:sz="0" w:space="0" w:color="auto"/>
            <w:left w:val="none" w:sz="0" w:space="0" w:color="auto"/>
            <w:bottom w:val="none" w:sz="0" w:space="0" w:color="auto"/>
            <w:right w:val="none" w:sz="0" w:space="0" w:color="auto"/>
          </w:divBdr>
        </w:div>
        <w:div w:id="1396507474">
          <w:marLeft w:val="0"/>
          <w:marRight w:val="0"/>
          <w:marTop w:val="0"/>
          <w:marBottom w:val="0"/>
          <w:divBdr>
            <w:top w:val="none" w:sz="0" w:space="0" w:color="auto"/>
            <w:left w:val="none" w:sz="0" w:space="0" w:color="auto"/>
            <w:bottom w:val="none" w:sz="0" w:space="0" w:color="auto"/>
            <w:right w:val="none" w:sz="0" w:space="0" w:color="auto"/>
          </w:divBdr>
        </w:div>
        <w:div w:id="1464038851">
          <w:marLeft w:val="0"/>
          <w:marRight w:val="0"/>
          <w:marTop w:val="0"/>
          <w:marBottom w:val="0"/>
          <w:divBdr>
            <w:top w:val="none" w:sz="0" w:space="0" w:color="auto"/>
            <w:left w:val="none" w:sz="0" w:space="0" w:color="auto"/>
            <w:bottom w:val="none" w:sz="0" w:space="0" w:color="auto"/>
            <w:right w:val="none" w:sz="0" w:space="0" w:color="auto"/>
          </w:divBdr>
        </w:div>
        <w:div w:id="1621641877">
          <w:marLeft w:val="0"/>
          <w:marRight w:val="0"/>
          <w:marTop w:val="0"/>
          <w:marBottom w:val="0"/>
          <w:divBdr>
            <w:top w:val="none" w:sz="0" w:space="0" w:color="auto"/>
            <w:left w:val="none" w:sz="0" w:space="0" w:color="auto"/>
            <w:bottom w:val="none" w:sz="0" w:space="0" w:color="auto"/>
            <w:right w:val="none" w:sz="0" w:space="0" w:color="auto"/>
          </w:divBdr>
        </w:div>
        <w:div w:id="1112940592">
          <w:marLeft w:val="0"/>
          <w:marRight w:val="0"/>
          <w:marTop w:val="0"/>
          <w:marBottom w:val="0"/>
          <w:divBdr>
            <w:top w:val="none" w:sz="0" w:space="0" w:color="auto"/>
            <w:left w:val="none" w:sz="0" w:space="0" w:color="auto"/>
            <w:bottom w:val="none" w:sz="0" w:space="0" w:color="auto"/>
            <w:right w:val="none" w:sz="0" w:space="0" w:color="auto"/>
          </w:divBdr>
        </w:div>
        <w:div w:id="1804081028">
          <w:marLeft w:val="0"/>
          <w:marRight w:val="0"/>
          <w:marTop w:val="0"/>
          <w:marBottom w:val="0"/>
          <w:divBdr>
            <w:top w:val="none" w:sz="0" w:space="0" w:color="auto"/>
            <w:left w:val="none" w:sz="0" w:space="0" w:color="auto"/>
            <w:bottom w:val="none" w:sz="0" w:space="0" w:color="auto"/>
            <w:right w:val="none" w:sz="0" w:space="0" w:color="auto"/>
          </w:divBdr>
        </w:div>
        <w:div w:id="978877854">
          <w:marLeft w:val="0"/>
          <w:marRight w:val="0"/>
          <w:marTop w:val="0"/>
          <w:marBottom w:val="0"/>
          <w:divBdr>
            <w:top w:val="none" w:sz="0" w:space="0" w:color="auto"/>
            <w:left w:val="none" w:sz="0" w:space="0" w:color="auto"/>
            <w:bottom w:val="none" w:sz="0" w:space="0" w:color="auto"/>
            <w:right w:val="none" w:sz="0" w:space="0" w:color="auto"/>
          </w:divBdr>
        </w:div>
        <w:div w:id="928587245">
          <w:marLeft w:val="0"/>
          <w:marRight w:val="0"/>
          <w:marTop w:val="0"/>
          <w:marBottom w:val="0"/>
          <w:divBdr>
            <w:top w:val="none" w:sz="0" w:space="0" w:color="auto"/>
            <w:left w:val="none" w:sz="0" w:space="0" w:color="auto"/>
            <w:bottom w:val="none" w:sz="0" w:space="0" w:color="auto"/>
            <w:right w:val="none" w:sz="0" w:space="0" w:color="auto"/>
          </w:divBdr>
        </w:div>
        <w:div w:id="436290739">
          <w:marLeft w:val="0"/>
          <w:marRight w:val="0"/>
          <w:marTop w:val="0"/>
          <w:marBottom w:val="0"/>
          <w:divBdr>
            <w:top w:val="none" w:sz="0" w:space="0" w:color="auto"/>
            <w:left w:val="none" w:sz="0" w:space="0" w:color="auto"/>
            <w:bottom w:val="none" w:sz="0" w:space="0" w:color="auto"/>
            <w:right w:val="none" w:sz="0" w:space="0" w:color="auto"/>
          </w:divBdr>
        </w:div>
        <w:div w:id="757799134">
          <w:marLeft w:val="0"/>
          <w:marRight w:val="0"/>
          <w:marTop w:val="0"/>
          <w:marBottom w:val="0"/>
          <w:divBdr>
            <w:top w:val="none" w:sz="0" w:space="0" w:color="auto"/>
            <w:left w:val="none" w:sz="0" w:space="0" w:color="auto"/>
            <w:bottom w:val="none" w:sz="0" w:space="0" w:color="auto"/>
            <w:right w:val="none" w:sz="0" w:space="0" w:color="auto"/>
          </w:divBdr>
        </w:div>
        <w:div w:id="129791557">
          <w:marLeft w:val="0"/>
          <w:marRight w:val="0"/>
          <w:marTop w:val="0"/>
          <w:marBottom w:val="0"/>
          <w:divBdr>
            <w:top w:val="none" w:sz="0" w:space="0" w:color="auto"/>
            <w:left w:val="none" w:sz="0" w:space="0" w:color="auto"/>
            <w:bottom w:val="none" w:sz="0" w:space="0" w:color="auto"/>
            <w:right w:val="none" w:sz="0" w:space="0" w:color="auto"/>
          </w:divBdr>
        </w:div>
        <w:div w:id="1514341284">
          <w:marLeft w:val="0"/>
          <w:marRight w:val="0"/>
          <w:marTop w:val="0"/>
          <w:marBottom w:val="0"/>
          <w:divBdr>
            <w:top w:val="none" w:sz="0" w:space="0" w:color="auto"/>
            <w:left w:val="none" w:sz="0" w:space="0" w:color="auto"/>
            <w:bottom w:val="none" w:sz="0" w:space="0" w:color="auto"/>
            <w:right w:val="none" w:sz="0" w:space="0" w:color="auto"/>
          </w:divBdr>
        </w:div>
        <w:div w:id="580724426">
          <w:marLeft w:val="0"/>
          <w:marRight w:val="0"/>
          <w:marTop w:val="0"/>
          <w:marBottom w:val="0"/>
          <w:divBdr>
            <w:top w:val="none" w:sz="0" w:space="0" w:color="auto"/>
            <w:left w:val="none" w:sz="0" w:space="0" w:color="auto"/>
            <w:bottom w:val="none" w:sz="0" w:space="0" w:color="auto"/>
            <w:right w:val="none" w:sz="0" w:space="0" w:color="auto"/>
          </w:divBdr>
        </w:div>
        <w:div w:id="868252831">
          <w:marLeft w:val="0"/>
          <w:marRight w:val="0"/>
          <w:marTop w:val="0"/>
          <w:marBottom w:val="0"/>
          <w:divBdr>
            <w:top w:val="none" w:sz="0" w:space="0" w:color="auto"/>
            <w:left w:val="none" w:sz="0" w:space="0" w:color="auto"/>
            <w:bottom w:val="none" w:sz="0" w:space="0" w:color="auto"/>
            <w:right w:val="none" w:sz="0" w:space="0" w:color="auto"/>
          </w:divBdr>
        </w:div>
        <w:div w:id="538129859">
          <w:marLeft w:val="0"/>
          <w:marRight w:val="0"/>
          <w:marTop w:val="0"/>
          <w:marBottom w:val="0"/>
          <w:divBdr>
            <w:top w:val="none" w:sz="0" w:space="0" w:color="auto"/>
            <w:left w:val="none" w:sz="0" w:space="0" w:color="auto"/>
            <w:bottom w:val="none" w:sz="0" w:space="0" w:color="auto"/>
            <w:right w:val="none" w:sz="0" w:space="0" w:color="auto"/>
          </w:divBdr>
        </w:div>
        <w:div w:id="317072583">
          <w:marLeft w:val="0"/>
          <w:marRight w:val="0"/>
          <w:marTop w:val="0"/>
          <w:marBottom w:val="0"/>
          <w:divBdr>
            <w:top w:val="none" w:sz="0" w:space="0" w:color="auto"/>
            <w:left w:val="none" w:sz="0" w:space="0" w:color="auto"/>
            <w:bottom w:val="none" w:sz="0" w:space="0" w:color="auto"/>
            <w:right w:val="none" w:sz="0" w:space="0" w:color="auto"/>
          </w:divBdr>
        </w:div>
        <w:div w:id="104810432">
          <w:marLeft w:val="0"/>
          <w:marRight w:val="0"/>
          <w:marTop w:val="0"/>
          <w:marBottom w:val="0"/>
          <w:divBdr>
            <w:top w:val="none" w:sz="0" w:space="0" w:color="auto"/>
            <w:left w:val="none" w:sz="0" w:space="0" w:color="auto"/>
            <w:bottom w:val="none" w:sz="0" w:space="0" w:color="auto"/>
            <w:right w:val="none" w:sz="0" w:space="0" w:color="auto"/>
          </w:divBdr>
        </w:div>
        <w:div w:id="890768087">
          <w:marLeft w:val="0"/>
          <w:marRight w:val="0"/>
          <w:marTop w:val="0"/>
          <w:marBottom w:val="0"/>
          <w:divBdr>
            <w:top w:val="none" w:sz="0" w:space="0" w:color="auto"/>
            <w:left w:val="none" w:sz="0" w:space="0" w:color="auto"/>
            <w:bottom w:val="none" w:sz="0" w:space="0" w:color="auto"/>
            <w:right w:val="none" w:sz="0" w:space="0" w:color="auto"/>
          </w:divBdr>
        </w:div>
        <w:div w:id="1709379793">
          <w:marLeft w:val="0"/>
          <w:marRight w:val="0"/>
          <w:marTop w:val="0"/>
          <w:marBottom w:val="0"/>
          <w:divBdr>
            <w:top w:val="none" w:sz="0" w:space="0" w:color="auto"/>
            <w:left w:val="none" w:sz="0" w:space="0" w:color="auto"/>
            <w:bottom w:val="none" w:sz="0" w:space="0" w:color="auto"/>
            <w:right w:val="none" w:sz="0" w:space="0" w:color="auto"/>
          </w:divBdr>
        </w:div>
        <w:div w:id="708069502">
          <w:marLeft w:val="0"/>
          <w:marRight w:val="0"/>
          <w:marTop w:val="0"/>
          <w:marBottom w:val="0"/>
          <w:divBdr>
            <w:top w:val="none" w:sz="0" w:space="0" w:color="auto"/>
            <w:left w:val="none" w:sz="0" w:space="0" w:color="auto"/>
            <w:bottom w:val="none" w:sz="0" w:space="0" w:color="auto"/>
            <w:right w:val="none" w:sz="0" w:space="0" w:color="auto"/>
          </w:divBdr>
        </w:div>
        <w:div w:id="557862443">
          <w:marLeft w:val="0"/>
          <w:marRight w:val="0"/>
          <w:marTop w:val="0"/>
          <w:marBottom w:val="0"/>
          <w:divBdr>
            <w:top w:val="none" w:sz="0" w:space="0" w:color="auto"/>
            <w:left w:val="none" w:sz="0" w:space="0" w:color="auto"/>
            <w:bottom w:val="none" w:sz="0" w:space="0" w:color="auto"/>
            <w:right w:val="none" w:sz="0" w:space="0" w:color="auto"/>
          </w:divBdr>
        </w:div>
        <w:div w:id="1581257143">
          <w:marLeft w:val="0"/>
          <w:marRight w:val="0"/>
          <w:marTop w:val="0"/>
          <w:marBottom w:val="0"/>
          <w:divBdr>
            <w:top w:val="none" w:sz="0" w:space="0" w:color="auto"/>
            <w:left w:val="none" w:sz="0" w:space="0" w:color="auto"/>
            <w:bottom w:val="none" w:sz="0" w:space="0" w:color="auto"/>
            <w:right w:val="none" w:sz="0" w:space="0" w:color="auto"/>
          </w:divBdr>
        </w:div>
        <w:div w:id="869343901">
          <w:marLeft w:val="0"/>
          <w:marRight w:val="0"/>
          <w:marTop w:val="0"/>
          <w:marBottom w:val="0"/>
          <w:divBdr>
            <w:top w:val="none" w:sz="0" w:space="0" w:color="auto"/>
            <w:left w:val="none" w:sz="0" w:space="0" w:color="auto"/>
            <w:bottom w:val="none" w:sz="0" w:space="0" w:color="auto"/>
            <w:right w:val="none" w:sz="0" w:space="0" w:color="auto"/>
          </w:divBdr>
        </w:div>
        <w:div w:id="93135248">
          <w:marLeft w:val="0"/>
          <w:marRight w:val="0"/>
          <w:marTop w:val="0"/>
          <w:marBottom w:val="0"/>
          <w:divBdr>
            <w:top w:val="none" w:sz="0" w:space="0" w:color="auto"/>
            <w:left w:val="none" w:sz="0" w:space="0" w:color="auto"/>
            <w:bottom w:val="none" w:sz="0" w:space="0" w:color="auto"/>
            <w:right w:val="none" w:sz="0" w:space="0" w:color="auto"/>
          </w:divBdr>
        </w:div>
        <w:div w:id="897670229">
          <w:marLeft w:val="0"/>
          <w:marRight w:val="0"/>
          <w:marTop w:val="0"/>
          <w:marBottom w:val="0"/>
          <w:divBdr>
            <w:top w:val="none" w:sz="0" w:space="0" w:color="auto"/>
            <w:left w:val="none" w:sz="0" w:space="0" w:color="auto"/>
            <w:bottom w:val="none" w:sz="0" w:space="0" w:color="auto"/>
            <w:right w:val="none" w:sz="0" w:space="0" w:color="auto"/>
          </w:divBdr>
        </w:div>
        <w:div w:id="1271819147">
          <w:marLeft w:val="0"/>
          <w:marRight w:val="0"/>
          <w:marTop w:val="0"/>
          <w:marBottom w:val="0"/>
          <w:divBdr>
            <w:top w:val="none" w:sz="0" w:space="0" w:color="auto"/>
            <w:left w:val="none" w:sz="0" w:space="0" w:color="auto"/>
            <w:bottom w:val="none" w:sz="0" w:space="0" w:color="auto"/>
            <w:right w:val="none" w:sz="0" w:space="0" w:color="auto"/>
          </w:divBdr>
        </w:div>
        <w:div w:id="1222642315">
          <w:marLeft w:val="0"/>
          <w:marRight w:val="0"/>
          <w:marTop w:val="0"/>
          <w:marBottom w:val="0"/>
          <w:divBdr>
            <w:top w:val="none" w:sz="0" w:space="0" w:color="auto"/>
            <w:left w:val="none" w:sz="0" w:space="0" w:color="auto"/>
            <w:bottom w:val="none" w:sz="0" w:space="0" w:color="auto"/>
            <w:right w:val="none" w:sz="0" w:space="0" w:color="auto"/>
          </w:divBdr>
        </w:div>
        <w:div w:id="1925912923">
          <w:marLeft w:val="0"/>
          <w:marRight w:val="0"/>
          <w:marTop w:val="0"/>
          <w:marBottom w:val="0"/>
          <w:divBdr>
            <w:top w:val="none" w:sz="0" w:space="0" w:color="auto"/>
            <w:left w:val="none" w:sz="0" w:space="0" w:color="auto"/>
            <w:bottom w:val="none" w:sz="0" w:space="0" w:color="auto"/>
            <w:right w:val="none" w:sz="0" w:space="0" w:color="auto"/>
          </w:divBdr>
        </w:div>
        <w:div w:id="1506434517">
          <w:marLeft w:val="0"/>
          <w:marRight w:val="0"/>
          <w:marTop w:val="0"/>
          <w:marBottom w:val="0"/>
          <w:divBdr>
            <w:top w:val="none" w:sz="0" w:space="0" w:color="auto"/>
            <w:left w:val="none" w:sz="0" w:space="0" w:color="auto"/>
            <w:bottom w:val="none" w:sz="0" w:space="0" w:color="auto"/>
            <w:right w:val="none" w:sz="0" w:space="0" w:color="auto"/>
          </w:divBdr>
        </w:div>
        <w:div w:id="1714381553">
          <w:marLeft w:val="0"/>
          <w:marRight w:val="0"/>
          <w:marTop w:val="0"/>
          <w:marBottom w:val="0"/>
          <w:divBdr>
            <w:top w:val="none" w:sz="0" w:space="0" w:color="auto"/>
            <w:left w:val="none" w:sz="0" w:space="0" w:color="auto"/>
            <w:bottom w:val="none" w:sz="0" w:space="0" w:color="auto"/>
            <w:right w:val="none" w:sz="0" w:space="0" w:color="auto"/>
          </w:divBdr>
        </w:div>
        <w:div w:id="1761484917">
          <w:marLeft w:val="0"/>
          <w:marRight w:val="0"/>
          <w:marTop w:val="0"/>
          <w:marBottom w:val="0"/>
          <w:divBdr>
            <w:top w:val="none" w:sz="0" w:space="0" w:color="auto"/>
            <w:left w:val="none" w:sz="0" w:space="0" w:color="auto"/>
            <w:bottom w:val="none" w:sz="0" w:space="0" w:color="auto"/>
            <w:right w:val="none" w:sz="0" w:space="0" w:color="auto"/>
          </w:divBdr>
        </w:div>
        <w:div w:id="1086460544">
          <w:marLeft w:val="0"/>
          <w:marRight w:val="0"/>
          <w:marTop w:val="0"/>
          <w:marBottom w:val="0"/>
          <w:divBdr>
            <w:top w:val="none" w:sz="0" w:space="0" w:color="auto"/>
            <w:left w:val="none" w:sz="0" w:space="0" w:color="auto"/>
            <w:bottom w:val="none" w:sz="0" w:space="0" w:color="auto"/>
            <w:right w:val="none" w:sz="0" w:space="0" w:color="auto"/>
          </w:divBdr>
        </w:div>
        <w:div w:id="926881997">
          <w:marLeft w:val="0"/>
          <w:marRight w:val="0"/>
          <w:marTop w:val="0"/>
          <w:marBottom w:val="0"/>
          <w:divBdr>
            <w:top w:val="none" w:sz="0" w:space="0" w:color="auto"/>
            <w:left w:val="none" w:sz="0" w:space="0" w:color="auto"/>
            <w:bottom w:val="none" w:sz="0" w:space="0" w:color="auto"/>
            <w:right w:val="none" w:sz="0" w:space="0" w:color="auto"/>
          </w:divBdr>
        </w:div>
        <w:div w:id="2097046531">
          <w:marLeft w:val="0"/>
          <w:marRight w:val="0"/>
          <w:marTop w:val="0"/>
          <w:marBottom w:val="0"/>
          <w:divBdr>
            <w:top w:val="none" w:sz="0" w:space="0" w:color="auto"/>
            <w:left w:val="none" w:sz="0" w:space="0" w:color="auto"/>
            <w:bottom w:val="none" w:sz="0" w:space="0" w:color="auto"/>
            <w:right w:val="none" w:sz="0" w:space="0" w:color="auto"/>
          </w:divBdr>
        </w:div>
        <w:div w:id="1842696779">
          <w:marLeft w:val="0"/>
          <w:marRight w:val="0"/>
          <w:marTop w:val="0"/>
          <w:marBottom w:val="0"/>
          <w:divBdr>
            <w:top w:val="none" w:sz="0" w:space="0" w:color="auto"/>
            <w:left w:val="none" w:sz="0" w:space="0" w:color="auto"/>
            <w:bottom w:val="none" w:sz="0" w:space="0" w:color="auto"/>
            <w:right w:val="none" w:sz="0" w:space="0" w:color="auto"/>
          </w:divBdr>
        </w:div>
        <w:div w:id="524249454">
          <w:marLeft w:val="0"/>
          <w:marRight w:val="0"/>
          <w:marTop w:val="0"/>
          <w:marBottom w:val="0"/>
          <w:divBdr>
            <w:top w:val="none" w:sz="0" w:space="0" w:color="auto"/>
            <w:left w:val="none" w:sz="0" w:space="0" w:color="auto"/>
            <w:bottom w:val="none" w:sz="0" w:space="0" w:color="auto"/>
            <w:right w:val="none" w:sz="0" w:space="0" w:color="auto"/>
          </w:divBdr>
        </w:div>
        <w:div w:id="1279215335">
          <w:marLeft w:val="0"/>
          <w:marRight w:val="0"/>
          <w:marTop w:val="0"/>
          <w:marBottom w:val="0"/>
          <w:divBdr>
            <w:top w:val="none" w:sz="0" w:space="0" w:color="auto"/>
            <w:left w:val="none" w:sz="0" w:space="0" w:color="auto"/>
            <w:bottom w:val="none" w:sz="0" w:space="0" w:color="auto"/>
            <w:right w:val="none" w:sz="0" w:space="0" w:color="auto"/>
          </w:divBdr>
        </w:div>
        <w:div w:id="482084325">
          <w:marLeft w:val="0"/>
          <w:marRight w:val="0"/>
          <w:marTop w:val="0"/>
          <w:marBottom w:val="0"/>
          <w:divBdr>
            <w:top w:val="none" w:sz="0" w:space="0" w:color="auto"/>
            <w:left w:val="none" w:sz="0" w:space="0" w:color="auto"/>
            <w:bottom w:val="none" w:sz="0" w:space="0" w:color="auto"/>
            <w:right w:val="none" w:sz="0" w:space="0" w:color="auto"/>
          </w:divBdr>
        </w:div>
        <w:div w:id="632444495">
          <w:marLeft w:val="0"/>
          <w:marRight w:val="0"/>
          <w:marTop w:val="0"/>
          <w:marBottom w:val="0"/>
          <w:divBdr>
            <w:top w:val="none" w:sz="0" w:space="0" w:color="auto"/>
            <w:left w:val="none" w:sz="0" w:space="0" w:color="auto"/>
            <w:bottom w:val="none" w:sz="0" w:space="0" w:color="auto"/>
            <w:right w:val="none" w:sz="0" w:space="0" w:color="auto"/>
          </w:divBdr>
        </w:div>
        <w:div w:id="692459004">
          <w:marLeft w:val="0"/>
          <w:marRight w:val="0"/>
          <w:marTop w:val="0"/>
          <w:marBottom w:val="0"/>
          <w:divBdr>
            <w:top w:val="none" w:sz="0" w:space="0" w:color="auto"/>
            <w:left w:val="none" w:sz="0" w:space="0" w:color="auto"/>
            <w:bottom w:val="none" w:sz="0" w:space="0" w:color="auto"/>
            <w:right w:val="none" w:sz="0" w:space="0" w:color="auto"/>
          </w:divBdr>
        </w:div>
        <w:div w:id="1632711268">
          <w:marLeft w:val="0"/>
          <w:marRight w:val="0"/>
          <w:marTop w:val="0"/>
          <w:marBottom w:val="0"/>
          <w:divBdr>
            <w:top w:val="none" w:sz="0" w:space="0" w:color="auto"/>
            <w:left w:val="none" w:sz="0" w:space="0" w:color="auto"/>
            <w:bottom w:val="none" w:sz="0" w:space="0" w:color="auto"/>
            <w:right w:val="none" w:sz="0" w:space="0" w:color="auto"/>
          </w:divBdr>
        </w:div>
        <w:div w:id="973220550">
          <w:marLeft w:val="0"/>
          <w:marRight w:val="0"/>
          <w:marTop w:val="0"/>
          <w:marBottom w:val="0"/>
          <w:divBdr>
            <w:top w:val="none" w:sz="0" w:space="0" w:color="auto"/>
            <w:left w:val="none" w:sz="0" w:space="0" w:color="auto"/>
            <w:bottom w:val="none" w:sz="0" w:space="0" w:color="auto"/>
            <w:right w:val="none" w:sz="0" w:space="0" w:color="auto"/>
          </w:divBdr>
        </w:div>
        <w:div w:id="61609956">
          <w:marLeft w:val="0"/>
          <w:marRight w:val="0"/>
          <w:marTop w:val="0"/>
          <w:marBottom w:val="0"/>
          <w:divBdr>
            <w:top w:val="none" w:sz="0" w:space="0" w:color="auto"/>
            <w:left w:val="none" w:sz="0" w:space="0" w:color="auto"/>
            <w:bottom w:val="none" w:sz="0" w:space="0" w:color="auto"/>
            <w:right w:val="none" w:sz="0" w:space="0" w:color="auto"/>
          </w:divBdr>
        </w:div>
        <w:div w:id="602957665">
          <w:marLeft w:val="0"/>
          <w:marRight w:val="0"/>
          <w:marTop w:val="0"/>
          <w:marBottom w:val="0"/>
          <w:divBdr>
            <w:top w:val="none" w:sz="0" w:space="0" w:color="auto"/>
            <w:left w:val="none" w:sz="0" w:space="0" w:color="auto"/>
            <w:bottom w:val="none" w:sz="0" w:space="0" w:color="auto"/>
            <w:right w:val="none" w:sz="0" w:space="0" w:color="auto"/>
          </w:divBdr>
        </w:div>
        <w:div w:id="772867686">
          <w:marLeft w:val="0"/>
          <w:marRight w:val="0"/>
          <w:marTop w:val="0"/>
          <w:marBottom w:val="0"/>
          <w:divBdr>
            <w:top w:val="none" w:sz="0" w:space="0" w:color="auto"/>
            <w:left w:val="none" w:sz="0" w:space="0" w:color="auto"/>
            <w:bottom w:val="none" w:sz="0" w:space="0" w:color="auto"/>
            <w:right w:val="none" w:sz="0" w:space="0" w:color="auto"/>
          </w:divBdr>
        </w:div>
        <w:div w:id="2060855000">
          <w:marLeft w:val="0"/>
          <w:marRight w:val="0"/>
          <w:marTop w:val="0"/>
          <w:marBottom w:val="0"/>
          <w:divBdr>
            <w:top w:val="none" w:sz="0" w:space="0" w:color="auto"/>
            <w:left w:val="none" w:sz="0" w:space="0" w:color="auto"/>
            <w:bottom w:val="none" w:sz="0" w:space="0" w:color="auto"/>
            <w:right w:val="none" w:sz="0" w:space="0" w:color="auto"/>
          </w:divBdr>
        </w:div>
        <w:div w:id="1241716316">
          <w:marLeft w:val="0"/>
          <w:marRight w:val="0"/>
          <w:marTop w:val="0"/>
          <w:marBottom w:val="0"/>
          <w:divBdr>
            <w:top w:val="none" w:sz="0" w:space="0" w:color="auto"/>
            <w:left w:val="none" w:sz="0" w:space="0" w:color="auto"/>
            <w:bottom w:val="none" w:sz="0" w:space="0" w:color="auto"/>
            <w:right w:val="none" w:sz="0" w:space="0" w:color="auto"/>
          </w:divBdr>
        </w:div>
        <w:div w:id="1464352180">
          <w:marLeft w:val="0"/>
          <w:marRight w:val="0"/>
          <w:marTop w:val="0"/>
          <w:marBottom w:val="0"/>
          <w:divBdr>
            <w:top w:val="none" w:sz="0" w:space="0" w:color="auto"/>
            <w:left w:val="none" w:sz="0" w:space="0" w:color="auto"/>
            <w:bottom w:val="none" w:sz="0" w:space="0" w:color="auto"/>
            <w:right w:val="none" w:sz="0" w:space="0" w:color="auto"/>
          </w:divBdr>
        </w:div>
        <w:div w:id="755856739">
          <w:marLeft w:val="0"/>
          <w:marRight w:val="0"/>
          <w:marTop w:val="0"/>
          <w:marBottom w:val="0"/>
          <w:divBdr>
            <w:top w:val="none" w:sz="0" w:space="0" w:color="auto"/>
            <w:left w:val="none" w:sz="0" w:space="0" w:color="auto"/>
            <w:bottom w:val="none" w:sz="0" w:space="0" w:color="auto"/>
            <w:right w:val="none" w:sz="0" w:space="0" w:color="auto"/>
          </w:divBdr>
        </w:div>
        <w:div w:id="236284641">
          <w:marLeft w:val="0"/>
          <w:marRight w:val="0"/>
          <w:marTop w:val="0"/>
          <w:marBottom w:val="0"/>
          <w:divBdr>
            <w:top w:val="none" w:sz="0" w:space="0" w:color="auto"/>
            <w:left w:val="none" w:sz="0" w:space="0" w:color="auto"/>
            <w:bottom w:val="none" w:sz="0" w:space="0" w:color="auto"/>
            <w:right w:val="none" w:sz="0" w:space="0" w:color="auto"/>
          </w:divBdr>
        </w:div>
        <w:div w:id="1858807266">
          <w:marLeft w:val="0"/>
          <w:marRight w:val="0"/>
          <w:marTop w:val="0"/>
          <w:marBottom w:val="0"/>
          <w:divBdr>
            <w:top w:val="none" w:sz="0" w:space="0" w:color="auto"/>
            <w:left w:val="none" w:sz="0" w:space="0" w:color="auto"/>
            <w:bottom w:val="none" w:sz="0" w:space="0" w:color="auto"/>
            <w:right w:val="none" w:sz="0" w:space="0" w:color="auto"/>
          </w:divBdr>
        </w:div>
        <w:div w:id="1902212391">
          <w:marLeft w:val="0"/>
          <w:marRight w:val="0"/>
          <w:marTop w:val="0"/>
          <w:marBottom w:val="0"/>
          <w:divBdr>
            <w:top w:val="none" w:sz="0" w:space="0" w:color="auto"/>
            <w:left w:val="none" w:sz="0" w:space="0" w:color="auto"/>
            <w:bottom w:val="none" w:sz="0" w:space="0" w:color="auto"/>
            <w:right w:val="none" w:sz="0" w:space="0" w:color="auto"/>
          </w:divBdr>
        </w:div>
        <w:div w:id="103696676">
          <w:marLeft w:val="0"/>
          <w:marRight w:val="0"/>
          <w:marTop w:val="0"/>
          <w:marBottom w:val="0"/>
          <w:divBdr>
            <w:top w:val="none" w:sz="0" w:space="0" w:color="auto"/>
            <w:left w:val="none" w:sz="0" w:space="0" w:color="auto"/>
            <w:bottom w:val="none" w:sz="0" w:space="0" w:color="auto"/>
            <w:right w:val="none" w:sz="0" w:space="0" w:color="auto"/>
          </w:divBdr>
        </w:div>
        <w:div w:id="2075737634">
          <w:marLeft w:val="0"/>
          <w:marRight w:val="0"/>
          <w:marTop w:val="0"/>
          <w:marBottom w:val="0"/>
          <w:divBdr>
            <w:top w:val="none" w:sz="0" w:space="0" w:color="auto"/>
            <w:left w:val="none" w:sz="0" w:space="0" w:color="auto"/>
            <w:bottom w:val="none" w:sz="0" w:space="0" w:color="auto"/>
            <w:right w:val="none" w:sz="0" w:space="0" w:color="auto"/>
          </w:divBdr>
        </w:div>
        <w:div w:id="825165700">
          <w:marLeft w:val="0"/>
          <w:marRight w:val="0"/>
          <w:marTop w:val="0"/>
          <w:marBottom w:val="0"/>
          <w:divBdr>
            <w:top w:val="none" w:sz="0" w:space="0" w:color="auto"/>
            <w:left w:val="none" w:sz="0" w:space="0" w:color="auto"/>
            <w:bottom w:val="none" w:sz="0" w:space="0" w:color="auto"/>
            <w:right w:val="none" w:sz="0" w:space="0" w:color="auto"/>
          </w:divBdr>
        </w:div>
        <w:div w:id="1484925801">
          <w:marLeft w:val="0"/>
          <w:marRight w:val="0"/>
          <w:marTop w:val="0"/>
          <w:marBottom w:val="0"/>
          <w:divBdr>
            <w:top w:val="none" w:sz="0" w:space="0" w:color="auto"/>
            <w:left w:val="none" w:sz="0" w:space="0" w:color="auto"/>
            <w:bottom w:val="none" w:sz="0" w:space="0" w:color="auto"/>
            <w:right w:val="none" w:sz="0" w:space="0" w:color="auto"/>
          </w:divBdr>
        </w:div>
        <w:div w:id="1631790042">
          <w:marLeft w:val="0"/>
          <w:marRight w:val="0"/>
          <w:marTop w:val="0"/>
          <w:marBottom w:val="0"/>
          <w:divBdr>
            <w:top w:val="none" w:sz="0" w:space="0" w:color="auto"/>
            <w:left w:val="none" w:sz="0" w:space="0" w:color="auto"/>
            <w:bottom w:val="none" w:sz="0" w:space="0" w:color="auto"/>
            <w:right w:val="none" w:sz="0" w:space="0" w:color="auto"/>
          </w:divBdr>
        </w:div>
        <w:div w:id="2118331670">
          <w:marLeft w:val="0"/>
          <w:marRight w:val="0"/>
          <w:marTop w:val="0"/>
          <w:marBottom w:val="0"/>
          <w:divBdr>
            <w:top w:val="none" w:sz="0" w:space="0" w:color="auto"/>
            <w:left w:val="none" w:sz="0" w:space="0" w:color="auto"/>
            <w:bottom w:val="none" w:sz="0" w:space="0" w:color="auto"/>
            <w:right w:val="none" w:sz="0" w:space="0" w:color="auto"/>
          </w:divBdr>
        </w:div>
        <w:div w:id="687295657">
          <w:marLeft w:val="0"/>
          <w:marRight w:val="0"/>
          <w:marTop w:val="0"/>
          <w:marBottom w:val="0"/>
          <w:divBdr>
            <w:top w:val="none" w:sz="0" w:space="0" w:color="auto"/>
            <w:left w:val="none" w:sz="0" w:space="0" w:color="auto"/>
            <w:bottom w:val="none" w:sz="0" w:space="0" w:color="auto"/>
            <w:right w:val="none" w:sz="0" w:space="0" w:color="auto"/>
          </w:divBdr>
        </w:div>
        <w:div w:id="232476699">
          <w:marLeft w:val="0"/>
          <w:marRight w:val="0"/>
          <w:marTop w:val="0"/>
          <w:marBottom w:val="0"/>
          <w:divBdr>
            <w:top w:val="none" w:sz="0" w:space="0" w:color="auto"/>
            <w:left w:val="none" w:sz="0" w:space="0" w:color="auto"/>
            <w:bottom w:val="none" w:sz="0" w:space="0" w:color="auto"/>
            <w:right w:val="none" w:sz="0" w:space="0" w:color="auto"/>
          </w:divBdr>
        </w:div>
        <w:div w:id="699665339">
          <w:marLeft w:val="0"/>
          <w:marRight w:val="0"/>
          <w:marTop w:val="0"/>
          <w:marBottom w:val="0"/>
          <w:divBdr>
            <w:top w:val="none" w:sz="0" w:space="0" w:color="auto"/>
            <w:left w:val="none" w:sz="0" w:space="0" w:color="auto"/>
            <w:bottom w:val="none" w:sz="0" w:space="0" w:color="auto"/>
            <w:right w:val="none" w:sz="0" w:space="0" w:color="auto"/>
          </w:divBdr>
        </w:div>
        <w:div w:id="177697933">
          <w:marLeft w:val="0"/>
          <w:marRight w:val="0"/>
          <w:marTop w:val="0"/>
          <w:marBottom w:val="0"/>
          <w:divBdr>
            <w:top w:val="none" w:sz="0" w:space="0" w:color="auto"/>
            <w:left w:val="none" w:sz="0" w:space="0" w:color="auto"/>
            <w:bottom w:val="none" w:sz="0" w:space="0" w:color="auto"/>
            <w:right w:val="none" w:sz="0" w:space="0" w:color="auto"/>
          </w:divBdr>
        </w:div>
        <w:div w:id="1692611626">
          <w:marLeft w:val="0"/>
          <w:marRight w:val="0"/>
          <w:marTop w:val="0"/>
          <w:marBottom w:val="0"/>
          <w:divBdr>
            <w:top w:val="none" w:sz="0" w:space="0" w:color="auto"/>
            <w:left w:val="none" w:sz="0" w:space="0" w:color="auto"/>
            <w:bottom w:val="none" w:sz="0" w:space="0" w:color="auto"/>
            <w:right w:val="none" w:sz="0" w:space="0" w:color="auto"/>
          </w:divBdr>
        </w:div>
        <w:div w:id="1442339464">
          <w:marLeft w:val="0"/>
          <w:marRight w:val="0"/>
          <w:marTop w:val="0"/>
          <w:marBottom w:val="0"/>
          <w:divBdr>
            <w:top w:val="none" w:sz="0" w:space="0" w:color="auto"/>
            <w:left w:val="none" w:sz="0" w:space="0" w:color="auto"/>
            <w:bottom w:val="none" w:sz="0" w:space="0" w:color="auto"/>
            <w:right w:val="none" w:sz="0" w:space="0" w:color="auto"/>
          </w:divBdr>
        </w:div>
        <w:div w:id="962734043">
          <w:marLeft w:val="0"/>
          <w:marRight w:val="0"/>
          <w:marTop w:val="0"/>
          <w:marBottom w:val="0"/>
          <w:divBdr>
            <w:top w:val="none" w:sz="0" w:space="0" w:color="auto"/>
            <w:left w:val="none" w:sz="0" w:space="0" w:color="auto"/>
            <w:bottom w:val="none" w:sz="0" w:space="0" w:color="auto"/>
            <w:right w:val="none" w:sz="0" w:space="0" w:color="auto"/>
          </w:divBdr>
        </w:div>
        <w:div w:id="441265163">
          <w:marLeft w:val="0"/>
          <w:marRight w:val="0"/>
          <w:marTop w:val="0"/>
          <w:marBottom w:val="0"/>
          <w:divBdr>
            <w:top w:val="none" w:sz="0" w:space="0" w:color="auto"/>
            <w:left w:val="none" w:sz="0" w:space="0" w:color="auto"/>
            <w:bottom w:val="none" w:sz="0" w:space="0" w:color="auto"/>
            <w:right w:val="none" w:sz="0" w:space="0" w:color="auto"/>
          </w:divBdr>
        </w:div>
        <w:div w:id="1076585801">
          <w:marLeft w:val="0"/>
          <w:marRight w:val="0"/>
          <w:marTop w:val="0"/>
          <w:marBottom w:val="0"/>
          <w:divBdr>
            <w:top w:val="none" w:sz="0" w:space="0" w:color="auto"/>
            <w:left w:val="none" w:sz="0" w:space="0" w:color="auto"/>
            <w:bottom w:val="none" w:sz="0" w:space="0" w:color="auto"/>
            <w:right w:val="none" w:sz="0" w:space="0" w:color="auto"/>
          </w:divBdr>
        </w:div>
        <w:div w:id="894048037">
          <w:marLeft w:val="0"/>
          <w:marRight w:val="0"/>
          <w:marTop w:val="0"/>
          <w:marBottom w:val="0"/>
          <w:divBdr>
            <w:top w:val="none" w:sz="0" w:space="0" w:color="auto"/>
            <w:left w:val="none" w:sz="0" w:space="0" w:color="auto"/>
            <w:bottom w:val="none" w:sz="0" w:space="0" w:color="auto"/>
            <w:right w:val="none" w:sz="0" w:space="0" w:color="auto"/>
          </w:divBdr>
        </w:div>
        <w:div w:id="1763212931">
          <w:marLeft w:val="0"/>
          <w:marRight w:val="0"/>
          <w:marTop w:val="0"/>
          <w:marBottom w:val="0"/>
          <w:divBdr>
            <w:top w:val="none" w:sz="0" w:space="0" w:color="auto"/>
            <w:left w:val="none" w:sz="0" w:space="0" w:color="auto"/>
            <w:bottom w:val="none" w:sz="0" w:space="0" w:color="auto"/>
            <w:right w:val="none" w:sz="0" w:space="0" w:color="auto"/>
          </w:divBdr>
        </w:div>
        <w:div w:id="273751809">
          <w:marLeft w:val="0"/>
          <w:marRight w:val="0"/>
          <w:marTop w:val="0"/>
          <w:marBottom w:val="0"/>
          <w:divBdr>
            <w:top w:val="none" w:sz="0" w:space="0" w:color="auto"/>
            <w:left w:val="none" w:sz="0" w:space="0" w:color="auto"/>
            <w:bottom w:val="none" w:sz="0" w:space="0" w:color="auto"/>
            <w:right w:val="none" w:sz="0" w:space="0" w:color="auto"/>
          </w:divBdr>
        </w:div>
        <w:div w:id="2083259388">
          <w:marLeft w:val="0"/>
          <w:marRight w:val="0"/>
          <w:marTop w:val="0"/>
          <w:marBottom w:val="0"/>
          <w:divBdr>
            <w:top w:val="none" w:sz="0" w:space="0" w:color="auto"/>
            <w:left w:val="none" w:sz="0" w:space="0" w:color="auto"/>
            <w:bottom w:val="none" w:sz="0" w:space="0" w:color="auto"/>
            <w:right w:val="none" w:sz="0" w:space="0" w:color="auto"/>
          </w:divBdr>
        </w:div>
        <w:div w:id="1642076091">
          <w:marLeft w:val="0"/>
          <w:marRight w:val="0"/>
          <w:marTop w:val="0"/>
          <w:marBottom w:val="0"/>
          <w:divBdr>
            <w:top w:val="none" w:sz="0" w:space="0" w:color="auto"/>
            <w:left w:val="none" w:sz="0" w:space="0" w:color="auto"/>
            <w:bottom w:val="none" w:sz="0" w:space="0" w:color="auto"/>
            <w:right w:val="none" w:sz="0" w:space="0" w:color="auto"/>
          </w:divBdr>
        </w:div>
        <w:div w:id="1970624432">
          <w:marLeft w:val="0"/>
          <w:marRight w:val="0"/>
          <w:marTop w:val="0"/>
          <w:marBottom w:val="0"/>
          <w:divBdr>
            <w:top w:val="none" w:sz="0" w:space="0" w:color="auto"/>
            <w:left w:val="none" w:sz="0" w:space="0" w:color="auto"/>
            <w:bottom w:val="none" w:sz="0" w:space="0" w:color="auto"/>
            <w:right w:val="none" w:sz="0" w:space="0" w:color="auto"/>
          </w:divBdr>
        </w:div>
        <w:div w:id="337077841">
          <w:marLeft w:val="0"/>
          <w:marRight w:val="0"/>
          <w:marTop w:val="0"/>
          <w:marBottom w:val="0"/>
          <w:divBdr>
            <w:top w:val="none" w:sz="0" w:space="0" w:color="auto"/>
            <w:left w:val="none" w:sz="0" w:space="0" w:color="auto"/>
            <w:bottom w:val="none" w:sz="0" w:space="0" w:color="auto"/>
            <w:right w:val="none" w:sz="0" w:space="0" w:color="auto"/>
          </w:divBdr>
        </w:div>
        <w:div w:id="1608538646">
          <w:marLeft w:val="0"/>
          <w:marRight w:val="0"/>
          <w:marTop w:val="0"/>
          <w:marBottom w:val="0"/>
          <w:divBdr>
            <w:top w:val="none" w:sz="0" w:space="0" w:color="auto"/>
            <w:left w:val="none" w:sz="0" w:space="0" w:color="auto"/>
            <w:bottom w:val="none" w:sz="0" w:space="0" w:color="auto"/>
            <w:right w:val="none" w:sz="0" w:space="0" w:color="auto"/>
          </w:divBdr>
        </w:div>
        <w:div w:id="517163817">
          <w:marLeft w:val="0"/>
          <w:marRight w:val="0"/>
          <w:marTop w:val="0"/>
          <w:marBottom w:val="0"/>
          <w:divBdr>
            <w:top w:val="none" w:sz="0" w:space="0" w:color="auto"/>
            <w:left w:val="none" w:sz="0" w:space="0" w:color="auto"/>
            <w:bottom w:val="none" w:sz="0" w:space="0" w:color="auto"/>
            <w:right w:val="none" w:sz="0" w:space="0" w:color="auto"/>
          </w:divBdr>
        </w:div>
        <w:div w:id="1926766668">
          <w:marLeft w:val="0"/>
          <w:marRight w:val="0"/>
          <w:marTop w:val="0"/>
          <w:marBottom w:val="0"/>
          <w:divBdr>
            <w:top w:val="none" w:sz="0" w:space="0" w:color="auto"/>
            <w:left w:val="none" w:sz="0" w:space="0" w:color="auto"/>
            <w:bottom w:val="none" w:sz="0" w:space="0" w:color="auto"/>
            <w:right w:val="none" w:sz="0" w:space="0" w:color="auto"/>
          </w:divBdr>
        </w:div>
        <w:div w:id="39408067">
          <w:marLeft w:val="0"/>
          <w:marRight w:val="0"/>
          <w:marTop w:val="0"/>
          <w:marBottom w:val="0"/>
          <w:divBdr>
            <w:top w:val="none" w:sz="0" w:space="0" w:color="auto"/>
            <w:left w:val="none" w:sz="0" w:space="0" w:color="auto"/>
            <w:bottom w:val="none" w:sz="0" w:space="0" w:color="auto"/>
            <w:right w:val="none" w:sz="0" w:space="0" w:color="auto"/>
          </w:divBdr>
        </w:div>
        <w:div w:id="1024474439">
          <w:marLeft w:val="0"/>
          <w:marRight w:val="0"/>
          <w:marTop w:val="0"/>
          <w:marBottom w:val="0"/>
          <w:divBdr>
            <w:top w:val="none" w:sz="0" w:space="0" w:color="auto"/>
            <w:left w:val="none" w:sz="0" w:space="0" w:color="auto"/>
            <w:bottom w:val="none" w:sz="0" w:space="0" w:color="auto"/>
            <w:right w:val="none" w:sz="0" w:space="0" w:color="auto"/>
          </w:divBdr>
        </w:div>
        <w:div w:id="1777363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and.org/pubs/technical_reports/TR863.html" TargetMode="Externa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6.png"/><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yperlink" Target="https://doi.org/10.1002/sim.7532" TargetMode="External"/><Relationship Id="rId35" Type="http://schemas.openxmlformats.org/officeDocument/2006/relationships/glossaryDocument" Target="glossary/document.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BAE1590FE14543E4AB4861FCC83106C8"/>
        <w:category>
          <w:name w:val="General"/>
          <w:gallery w:val="placeholder"/>
        </w:category>
        <w:types>
          <w:type w:val="bbPlcHdr"/>
        </w:types>
        <w:behaviors>
          <w:behavior w:val="content"/>
        </w:behaviors>
        <w:guid w:val="{73434CDE-A64B-42C8-960B-85AEA9D6BFFA}"/>
      </w:docPartPr>
      <w:docPartBody>
        <w:p w:rsidR="00AC72DE" w:rsidRDefault="00AC72DE" w:rsidP="00AC72DE">
          <w:pPr>
            <w:pStyle w:val="BAE1590FE14543E4AB4861FCC83106C8"/>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de">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566F0"/>
    <w:rsid w:val="00067BEF"/>
    <w:rsid w:val="0007331B"/>
    <w:rsid w:val="000866CC"/>
    <w:rsid w:val="000D19BD"/>
    <w:rsid w:val="00106F91"/>
    <w:rsid w:val="00127222"/>
    <w:rsid w:val="001501A4"/>
    <w:rsid w:val="00160413"/>
    <w:rsid w:val="001736D7"/>
    <w:rsid w:val="00190AF4"/>
    <w:rsid w:val="00191525"/>
    <w:rsid w:val="00194D9B"/>
    <w:rsid w:val="001D50ED"/>
    <w:rsid w:val="001E00E2"/>
    <w:rsid w:val="001E36C0"/>
    <w:rsid w:val="00223FA3"/>
    <w:rsid w:val="002337A6"/>
    <w:rsid w:val="002617AD"/>
    <w:rsid w:val="00294034"/>
    <w:rsid w:val="00294265"/>
    <w:rsid w:val="002A288F"/>
    <w:rsid w:val="002A3969"/>
    <w:rsid w:val="002B4446"/>
    <w:rsid w:val="002B607B"/>
    <w:rsid w:val="002C65A7"/>
    <w:rsid w:val="002F052A"/>
    <w:rsid w:val="00350176"/>
    <w:rsid w:val="003840F0"/>
    <w:rsid w:val="003A009F"/>
    <w:rsid w:val="003A6397"/>
    <w:rsid w:val="003B1580"/>
    <w:rsid w:val="003C0F11"/>
    <w:rsid w:val="003C322D"/>
    <w:rsid w:val="003D5A07"/>
    <w:rsid w:val="003E2CD6"/>
    <w:rsid w:val="003E2F3C"/>
    <w:rsid w:val="00412766"/>
    <w:rsid w:val="00421110"/>
    <w:rsid w:val="00423205"/>
    <w:rsid w:val="00437537"/>
    <w:rsid w:val="00445354"/>
    <w:rsid w:val="0045704E"/>
    <w:rsid w:val="00466678"/>
    <w:rsid w:val="004672F2"/>
    <w:rsid w:val="004703B1"/>
    <w:rsid w:val="00477C7C"/>
    <w:rsid w:val="004850F3"/>
    <w:rsid w:val="004B282A"/>
    <w:rsid w:val="004B331F"/>
    <w:rsid w:val="004B7FBB"/>
    <w:rsid w:val="004D785E"/>
    <w:rsid w:val="004E4048"/>
    <w:rsid w:val="004F51E3"/>
    <w:rsid w:val="00513FC9"/>
    <w:rsid w:val="00515232"/>
    <w:rsid w:val="005166A6"/>
    <w:rsid w:val="0053654E"/>
    <w:rsid w:val="0054183F"/>
    <w:rsid w:val="00541A39"/>
    <w:rsid w:val="00566888"/>
    <w:rsid w:val="00576003"/>
    <w:rsid w:val="005822A7"/>
    <w:rsid w:val="00595011"/>
    <w:rsid w:val="005A2DBE"/>
    <w:rsid w:val="005B723A"/>
    <w:rsid w:val="005C419D"/>
    <w:rsid w:val="005C4C1B"/>
    <w:rsid w:val="00610196"/>
    <w:rsid w:val="00632A7E"/>
    <w:rsid w:val="00632AB6"/>
    <w:rsid w:val="00633A37"/>
    <w:rsid w:val="006341C8"/>
    <w:rsid w:val="00635F6C"/>
    <w:rsid w:val="006821FC"/>
    <w:rsid w:val="006847AC"/>
    <w:rsid w:val="00685EB2"/>
    <w:rsid w:val="00691946"/>
    <w:rsid w:val="00694FFB"/>
    <w:rsid w:val="00696718"/>
    <w:rsid w:val="006C7C2D"/>
    <w:rsid w:val="00730B33"/>
    <w:rsid w:val="00741446"/>
    <w:rsid w:val="0075046E"/>
    <w:rsid w:val="00750BFB"/>
    <w:rsid w:val="00772B2A"/>
    <w:rsid w:val="00781641"/>
    <w:rsid w:val="007905A5"/>
    <w:rsid w:val="00795AE8"/>
    <w:rsid w:val="007A1DBE"/>
    <w:rsid w:val="007A7C27"/>
    <w:rsid w:val="007B3151"/>
    <w:rsid w:val="007C672A"/>
    <w:rsid w:val="007C7448"/>
    <w:rsid w:val="007D4368"/>
    <w:rsid w:val="00822666"/>
    <w:rsid w:val="00823ECC"/>
    <w:rsid w:val="00825B6D"/>
    <w:rsid w:val="00826796"/>
    <w:rsid w:val="008514D1"/>
    <w:rsid w:val="00862F44"/>
    <w:rsid w:val="00863BA9"/>
    <w:rsid w:val="00866C97"/>
    <w:rsid w:val="00892BAA"/>
    <w:rsid w:val="008D64AF"/>
    <w:rsid w:val="008F3FEB"/>
    <w:rsid w:val="009017AE"/>
    <w:rsid w:val="00925C79"/>
    <w:rsid w:val="009449E7"/>
    <w:rsid w:val="009706AA"/>
    <w:rsid w:val="009938F6"/>
    <w:rsid w:val="009A0E13"/>
    <w:rsid w:val="009A164D"/>
    <w:rsid w:val="009C542D"/>
    <w:rsid w:val="009E6118"/>
    <w:rsid w:val="009F43A9"/>
    <w:rsid w:val="00A01A18"/>
    <w:rsid w:val="00A02381"/>
    <w:rsid w:val="00A44B47"/>
    <w:rsid w:val="00A80182"/>
    <w:rsid w:val="00A9050B"/>
    <w:rsid w:val="00A94677"/>
    <w:rsid w:val="00A95183"/>
    <w:rsid w:val="00AB4AF7"/>
    <w:rsid w:val="00AB6D60"/>
    <w:rsid w:val="00AC72DE"/>
    <w:rsid w:val="00AD4F0B"/>
    <w:rsid w:val="00AD7C4F"/>
    <w:rsid w:val="00AE6C18"/>
    <w:rsid w:val="00AF71EF"/>
    <w:rsid w:val="00B12D98"/>
    <w:rsid w:val="00B2758E"/>
    <w:rsid w:val="00B334F9"/>
    <w:rsid w:val="00B445F5"/>
    <w:rsid w:val="00B47132"/>
    <w:rsid w:val="00B51E63"/>
    <w:rsid w:val="00B757FE"/>
    <w:rsid w:val="00B8145F"/>
    <w:rsid w:val="00B87955"/>
    <w:rsid w:val="00BA7529"/>
    <w:rsid w:val="00BB1A41"/>
    <w:rsid w:val="00BD40CB"/>
    <w:rsid w:val="00C14848"/>
    <w:rsid w:val="00C362A2"/>
    <w:rsid w:val="00C47967"/>
    <w:rsid w:val="00C76FE3"/>
    <w:rsid w:val="00C86CBB"/>
    <w:rsid w:val="00C90121"/>
    <w:rsid w:val="00C95CCA"/>
    <w:rsid w:val="00C96E73"/>
    <w:rsid w:val="00CA1FE8"/>
    <w:rsid w:val="00CA344F"/>
    <w:rsid w:val="00CA660C"/>
    <w:rsid w:val="00CD2DE7"/>
    <w:rsid w:val="00CE0362"/>
    <w:rsid w:val="00CF6CAE"/>
    <w:rsid w:val="00D1676E"/>
    <w:rsid w:val="00D41EEB"/>
    <w:rsid w:val="00D87E97"/>
    <w:rsid w:val="00D937F5"/>
    <w:rsid w:val="00D962D4"/>
    <w:rsid w:val="00DC0246"/>
    <w:rsid w:val="00DC4AC6"/>
    <w:rsid w:val="00DE149D"/>
    <w:rsid w:val="00E1218D"/>
    <w:rsid w:val="00E361E1"/>
    <w:rsid w:val="00E57EBF"/>
    <w:rsid w:val="00E638AD"/>
    <w:rsid w:val="00E6518A"/>
    <w:rsid w:val="00E7022C"/>
    <w:rsid w:val="00E72F3D"/>
    <w:rsid w:val="00ED4052"/>
    <w:rsid w:val="00ED5C8E"/>
    <w:rsid w:val="00EE5060"/>
    <w:rsid w:val="00F502AA"/>
    <w:rsid w:val="00F526DB"/>
    <w:rsid w:val="00F540AB"/>
    <w:rsid w:val="00F75DA4"/>
    <w:rsid w:val="00F915BA"/>
    <w:rsid w:val="00F924C7"/>
    <w:rsid w:val="00FC0F36"/>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36C0"/>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BAE1590FE14543E4AB4861FCC83106C8">
    <w:name w:val="BAE1590FE14543E4AB4861FCC83106C8"/>
    <w:rsid w:val="00AC72DE"/>
    <w:pPr>
      <w:spacing w:after="160" w:line="259" w:lineRule="auto"/>
    </w:pPr>
  </w:style>
  <w:style w:type="paragraph" w:customStyle="1" w:styleId="73B8A03FBE6649FBA547C7988F5823B6">
    <w:name w:val="73B8A03FBE6649FBA547C7988F5823B6"/>
    <w:rsid w:val="00AC72D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1496E-2605-4358-BB3F-4728E3C53D8F}">
  <ds:schemaRefs>
    <ds:schemaRef ds:uri="http://schemas.openxmlformats.org/officeDocument/2006/bibliography"/>
  </ds:schemaRefs>
</ds:datastoreItem>
</file>

<file path=customXml/itemProps5.xml><?xml version="1.0" encoding="utf-8"?>
<ds:datastoreItem xmlns:ds="http://schemas.openxmlformats.org/officeDocument/2006/customXml" ds:itemID="{D700C901-3C40-4C03-AF30-8401D54B3554}">
  <ds:schemaRefs>
    <ds:schemaRef ds:uri="836b82f1-340d-495e-85b5-201c5296619a"/>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purl.org/dc/term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32</Pages>
  <Words>12324</Words>
  <Characters>70250</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Sapha Hassan</cp:lastModifiedBy>
  <cp:revision>5</cp:revision>
  <cp:lastPrinted>2020-11-24T18:20:00Z</cp:lastPrinted>
  <dcterms:created xsi:type="dcterms:W3CDTF">2020-11-05T13:26:00Z</dcterms:created>
  <dcterms:modified xsi:type="dcterms:W3CDTF">2020-11-24T21:40:00Z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