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172CFAB6"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336341">
            <w:rPr>
              <w:rStyle w:val="Style1"/>
            </w:rPr>
            <w:t>2977</w:t>
          </w:r>
        </w:sdtContent>
      </w:sdt>
    </w:p>
    <w:p w14:paraId="55B8DA2F" w14:textId="656AEE3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673368945"/>
              <w:placeholder>
                <w:docPart w:val="D56791C9FBCF43C0BBF2223799630708"/>
              </w:placeholder>
            </w:sdtPr>
            <w:sdtEndPr>
              <w:rPr>
                <w:rStyle w:val="DefaultParagraphFont"/>
                <w:noProof/>
                <w:color w:val="auto"/>
              </w:rPr>
            </w:sdtEndPr>
            <w:sdtContent>
              <w:r w:rsidR="00446213" w:rsidRPr="00446213">
                <w:rPr>
                  <w:bCs/>
                  <w:color w:val="0000FF"/>
                </w:rPr>
                <w:t>Hemodialysis Vascular Access: Standardized Fistula Rate</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3666C88D"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04-02T00:00:00Z">
            <w:dateFormat w:val="M/d/yyyy"/>
            <w:lid w:val="en-US"/>
            <w:storeMappedDataAs w:val="dateTime"/>
            <w:calendar w:val="gregorian"/>
          </w:date>
        </w:sdtPr>
        <w:sdtEndPr>
          <w:rPr>
            <w:rStyle w:val="DefaultParagraphFont"/>
            <w:noProof/>
            <w:color w:val="auto"/>
            <w:u w:val="none"/>
          </w:rPr>
        </w:sdtEndPr>
        <w:sdtContent>
          <w:r w:rsidR="00CD78BC">
            <w:rPr>
              <w:rStyle w:val="Style2"/>
            </w:rPr>
            <w:t>4/2/2020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9B3F4A"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9B3F4A"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33373177" w:rsidR="00496AF8" w:rsidRPr="003B1CC5" w:rsidRDefault="009B3F4A" w:rsidP="004E7215">
      <w:pPr>
        <w:rPr>
          <w:bCs/>
        </w:rPr>
      </w:pPr>
      <w:sdt>
        <w:sdtPr>
          <w:rPr>
            <w:bCs/>
            <w:color w:val="0000FF"/>
          </w:rPr>
          <w:id w:val="-720977531"/>
          <w14:checkbox>
            <w14:checked w14:val="1"/>
            <w14:checkedState w14:val="2612" w14:font="MS Gothic"/>
            <w14:uncheckedState w14:val="2610" w14:font="MS Gothic"/>
          </w14:checkbox>
        </w:sdtPr>
        <w:sdtEndPr/>
        <w:sdtContent>
          <w:r w:rsidR="00CD78BC">
            <w:rPr>
              <w:rFonts w:ascii="MS Gothic" w:eastAsia="MS Gothic" w:hAnsi="MS Gothic" w:hint="eastAsia"/>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dtPr>
        <w:sdtEndPr>
          <w:rPr>
            <w:rStyle w:val="DefaultParagraphFont"/>
            <w:rFonts w:cstheme="minorBidi"/>
            <w:bCs/>
            <w:color w:val="auto"/>
            <w:u w:val="none"/>
          </w:rPr>
        </w:sdtEndPr>
        <w:sdtContent>
          <w:sdt>
            <w:sdtPr>
              <w:rPr>
                <w:rStyle w:val="Style2"/>
                <w:rFonts w:cstheme="minorHAnsi"/>
              </w:rPr>
              <w:id w:val="-912235273"/>
            </w:sdtPr>
            <w:sdtEndPr>
              <w:rPr>
                <w:rStyle w:val="DefaultParagraphFont"/>
                <w:rFonts w:cstheme="minorBidi"/>
                <w:bCs/>
                <w:color w:val="auto"/>
                <w:u w:val="none"/>
              </w:rPr>
            </w:sdtEndPr>
            <w:sdtContent>
              <w:r w:rsidR="00446213" w:rsidRPr="00446213">
                <w:rPr>
                  <w:rFonts w:ascii="Calibri" w:eastAsia="SimSun" w:hAnsi="Calibri" w:cs="Times New Roman"/>
                  <w:sz w:val="24"/>
                  <w:szCs w:val="24"/>
                </w:rPr>
                <w:t>standardized fistula rate</w:t>
              </w:r>
            </w:sdtContent>
          </w:sdt>
        </w:sdtContent>
      </w:sdt>
    </w:p>
    <w:p w14:paraId="55B8DA55" w14:textId="77777777" w:rsidR="00D73685" w:rsidRDefault="009B3F4A"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9B3F4A"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9B3F4A"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28425677" w14:textId="6E32503A" w:rsidR="00CD78BC" w:rsidRDefault="00CD78BC" w:rsidP="00CD78BC">
      <w:pPr>
        <w:ind w:left="0" w:firstLine="0"/>
        <w:rPr>
          <w:b/>
          <w:u w:val="single"/>
        </w:rPr>
      </w:pPr>
    </w:p>
    <w:p w14:paraId="58AA8D2F" w14:textId="77777777" w:rsidR="00336341" w:rsidRDefault="00336341" w:rsidP="00336341">
      <w:pPr>
        <w:ind w:left="0" w:firstLine="0"/>
      </w:pPr>
      <w:r w:rsidRPr="00C716E7">
        <w:t xml:space="preserve">Several observational studies have demonstrated an association between type of vascular access used for hemodialysis and patient mortality.  Arteriovenous fistulae (AVF) are associated with the lowest mortality risk while long term catheters have the highest mortality.  Arteriovenous grafts (AVG) have been found to have a risk of death that is higher than AVF but lower than catheters.  </w:t>
      </w:r>
    </w:p>
    <w:p w14:paraId="21F73361" w14:textId="77777777" w:rsidR="00336341" w:rsidRPr="00C716E7" w:rsidRDefault="00336341" w:rsidP="00336341">
      <w:pPr>
        <w:ind w:left="0" w:firstLine="0"/>
      </w:pPr>
    </w:p>
    <w:p w14:paraId="237ADFAA" w14:textId="77777777" w:rsidR="00336341" w:rsidRDefault="00336341" w:rsidP="00336341">
      <w:pPr>
        <w:ind w:left="0" w:firstLine="0"/>
      </w:pPr>
      <w:r w:rsidRPr="00C716E7">
        <w:t xml:space="preserve">The measure focus is the process of </w:t>
      </w:r>
      <w:r>
        <w:t>assessing</w:t>
      </w:r>
      <w:r w:rsidRPr="00C716E7">
        <w:t xml:space="preserve"> AV Fistula use at chronic dialysis facilities.</w:t>
      </w:r>
    </w:p>
    <w:p w14:paraId="3BE344EA" w14:textId="77777777" w:rsidR="00336341" w:rsidRPr="00C716E7" w:rsidRDefault="00336341" w:rsidP="00336341">
      <w:pPr>
        <w:ind w:left="0" w:firstLine="0"/>
      </w:pPr>
    </w:p>
    <w:p w14:paraId="18D79BC7" w14:textId="77777777" w:rsidR="00336341" w:rsidRPr="00C716E7" w:rsidRDefault="00336341" w:rsidP="00336341">
      <w:pPr>
        <w:ind w:left="0" w:firstLine="0"/>
      </w:pPr>
      <w:r w:rsidRPr="00C716E7">
        <w:t>This process leads to improvement in mortality as follows:</w:t>
      </w:r>
    </w:p>
    <w:p w14:paraId="227FE1CF" w14:textId="77777777" w:rsidR="00336341" w:rsidRPr="00C716E7" w:rsidRDefault="00336341" w:rsidP="00336341">
      <w:pPr>
        <w:ind w:left="0" w:firstLine="0"/>
      </w:pPr>
      <w:r w:rsidRPr="00C716E7">
        <w:t>Measure AV Fistula Rate</w:t>
      </w:r>
      <w:r w:rsidRPr="00C716E7">
        <w:sym w:font="Wingdings" w:char="F0E0"/>
      </w:r>
      <w:r w:rsidRPr="00C716E7">
        <w:t xml:space="preserve"> Assess value </w:t>
      </w:r>
      <w:r w:rsidRPr="00C716E7">
        <w:sym w:font="Wingdings" w:char="F0E0"/>
      </w:r>
      <w:r w:rsidRPr="00C716E7">
        <w:t>Identify patients who do not have an AV Fistula</w:t>
      </w:r>
      <w:r w:rsidRPr="00C716E7">
        <w:sym w:font="Wingdings" w:char="F0E0"/>
      </w:r>
      <w:r w:rsidRPr="00C716E7">
        <w:t xml:space="preserve">Evaluation for an AV fistula by a qualified dialysis vascular access provider </w:t>
      </w:r>
      <w:r w:rsidRPr="00C716E7">
        <w:sym w:font="Wingdings" w:char="F0E0"/>
      </w:r>
      <w:r w:rsidRPr="00C716E7">
        <w:t xml:space="preserve">Increase Fistula Rate </w:t>
      </w:r>
      <w:r w:rsidRPr="00C716E7">
        <w:sym w:font="Wingdings" w:char="F0E0"/>
      </w:r>
      <w:r w:rsidRPr="00C716E7">
        <w:t>Lower patient mortality.</w:t>
      </w:r>
    </w:p>
    <w:p w14:paraId="1B3CA434" w14:textId="77777777" w:rsidR="00336341" w:rsidRPr="00336341" w:rsidRDefault="00336341" w:rsidP="00CD78BC">
      <w:pPr>
        <w:ind w:left="0" w:firstLine="0"/>
        <w:rPr>
          <w:b/>
          <w:u w:val="single"/>
        </w:rPr>
      </w:pPr>
    </w:p>
    <w:p w14:paraId="55038438" w14:textId="77777777" w:rsidR="00336341" w:rsidRPr="00336341" w:rsidRDefault="00336341" w:rsidP="00336341">
      <w:pPr>
        <w:ind w:left="432" w:hanging="432"/>
        <w:rPr>
          <w:b/>
          <w:color w:val="C00000"/>
          <w:u w:val="single"/>
        </w:rPr>
      </w:pPr>
      <w:r w:rsidRPr="00336341">
        <w:rPr>
          <w:b/>
          <w:color w:val="C00000"/>
          <w:u w:val="single"/>
        </w:rPr>
        <w:t>2019/2020 Submission</w:t>
      </w:r>
    </w:p>
    <w:p w14:paraId="3A8F2DD6" w14:textId="7558C678" w:rsidR="00446213" w:rsidRPr="00336341" w:rsidRDefault="00446213" w:rsidP="00446213">
      <w:pPr>
        <w:ind w:left="0" w:firstLine="0"/>
        <w:rPr>
          <w:color w:val="C00000"/>
        </w:rPr>
      </w:pPr>
      <w:r w:rsidRPr="00336341">
        <w:rPr>
          <w:color w:val="C00000"/>
        </w:rPr>
        <w:t xml:space="preserve">Several observational studies have demonstrated an association between type of vascular access used for hemodialysis and patient mortality.  Arteriovenous fistulae (AVF) are associated with the lowest mortality risk while long term catheters have the highest mortality.  Arteriovenous grafts (AVG) have been found to have a risk of death that is higher than AVF but lower than catheters.  </w:t>
      </w:r>
    </w:p>
    <w:p w14:paraId="21DE2EDB" w14:textId="77777777" w:rsidR="00446213" w:rsidRPr="00336341" w:rsidRDefault="00446213" w:rsidP="00446213">
      <w:pPr>
        <w:ind w:left="0" w:firstLine="0"/>
        <w:rPr>
          <w:color w:val="C00000"/>
        </w:rPr>
      </w:pPr>
    </w:p>
    <w:p w14:paraId="63B83F4E" w14:textId="77777777" w:rsidR="00446213" w:rsidRPr="00336341" w:rsidRDefault="00446213" w:rsidP="00446213">
      <w:pPr>
        <w:ind w:left="0" w:firstLine="0"/>
        <w:rPr>
          <w:color w:val="C00000"/>
        </w:rPr>
      </w:pPr>
      <w:r w:rsidRPr="00336341">
        <w:rPr>
          <w:color w:val="C00000"/>
        </w:rPr>
        <w:t>The measure focus is the process of assessing AV Fistula use at chronic dialysis facilities.</w:t>
      </w:r>
    </w:p>
    <w:p w14:paraId="2E617292" w14:textId="77777777" w:rsidR="00446213" w:rsidRPr="00336341" w:rsidRDefault="00446213" w:rsidP="00446213">
      <w:pPr>
        <w:ind w:left="0" w:firstLine="0"/>
        <w:rPr>
          <w:color w:val="C00000"/>
        </w:rPr>
      </w:pPr>
    </w:p>
    <w:p w14:paraId="6B751FB5" w14:textId="3B6EB5E2" w:rsidR="00446213" w:rsidRPr="00336341" w:rsidRDefault="00446213" w:rsidP="00446213">
      <w:pPr>
        <w:ind w:left="0" w:firstLine="0"/>
        <w:rPr>
          <w:color w:val="C00000"/>
        </w:rPr>
      </w:pPr>
      <w:r w:rsidRPr="00336341">
        <w:rPr>
          <w:color w:val="C00000"/>
        </w:rPr>
        <w:t xml:space="preserve">This process leads to improvement in </w:t>
      </w:r>
      <w:r w:rsidR="001D412D" w:rsidRPr="00336341">
        <w:rPr>
          <w:color w:val="C00000"/>
        </w:rPr>
        <w:t xml:space="preserve">blood stream infections / </w:t>
      </w:r>
      <w:r w:rsidRPr="00336341">
        <w:rPr>
          <w:color w:val="C00000"/>
        </w:rPr>
        <w:t>mortality as follows:</w:t>
      </w:r>
    </w:p>
    <w:p w14:paraId="074E4656" w14:textId="4D53D353" w:rsidR="00446213" w:rsidRPr="00336341" w:rsidRDefault="00446213" w:rsidP="00446213">
      <w:pPr>
        <w:ind w:left="0" w:firstLine="0"/>
        <w:rPr>
          <w:color w:val="C00000"/>
        </w:rPr>
      </w:pPr>
      <w:r w:rsidRPr="00336341">
        <w:rPr>
          <w:color w:val="C00000"/>
        </w:rPr>
        <w:t>Measure AV Fistula Rate</w:t>
      </w:r>
      <w:r w:rsidRPr="00336341">
        <w:rPr>
          <w:color w:val="C00000"/>
        </w:rPr>
        <w:sym w:font="Wingdings" w:char="F0E0"/>
      </w:r>
      <w:r w:rsidRPr="00336341">
        <w:rPr>
          <w:color w:val="C00000"/>
        </w:rPr>
        <w:t xml:space="preserve"> Assess value </w:t>
      </w:r>
      <w:r w:rsidRPr="00336341">
        <w:rPr>
          <w:color w:val="C00000"/>
        </w:rPr>
        <w:sym w:font="Wingdings" w:char="F0E0"/>
      </w:r>
      <w:r w:rsidRPr="00336341">
        <w:rPr>
          <w:color w:val="C00000"/>
        </w:rPr>
        <w:t>Identify patients who do not have an AV Fistula</w:t>
      </w:r>
      <w:r w:rsidRPr="00336341">
        <w:rPr>
          <w:color w:val="C00000"/>
        </w:rPr>
        <w:sym w:font="Wingdings" w:char="F0E0"/>
      </w:r>
      <w:r w:rsidRPr="00336341">
        <w:rPr>
          <w:color w:val="C00000"/>
        </w:rPr>
        <w:t xml:space="preserve">Evaluation for an AV fistula by a qualified dialysis vascular access provider </w:t>
      </w:r>
      <w:r w:rsidRPr="00336341">
        <w:rPr>
          <w:color w:val="C00000"/>
        </w:rPr>
        <w:sym w:font="Wingdings" w:char="F0E0"/>
      </w:r>
      <w:r w:rsidRPr="00336341">
        <w:rPr>
          <w:color w:val="C00000"/>
        </w:rPr>
        <w:t xml:space="preserve">Increase Fistula Rate </w:t>
      </w:r>
      <w:r w:rsidRPr="00336341">
        <w:rPr>
          <w:color w:val="C00000"/>
        </w:rPr>
        <w:sym w:font="Wingdings" w:char="F0E0"/>
      </w:r>
      <w:r w:rsidRPr="00336341">
        <w:rPr>
          <w:color w:val="C00000"/>
        </w:rPr>
        <w:t xml:space="preserve">Lower patient </w:t>
      </w:r>
      <w:r w:rsidR="001D412D" w:rsidRPr="00336341">
        <w:rPr>
          <w:color w:val="C00000"/>
        </w:rPr>
        <w:t xml:space="preserve">blood stream infection / </w:t>
      </w:r>
      <w:r w:rsidRPr="00336341">
        <w:rPr>
          <w:color w:val="C00000"/>
        </w:rPr>
        <w:t>mortality.</w:t>
      </w:r>
    </w:p>
    <w:p w14:paraId="55B8DA5B" w14:textId="543422B1" w:rsidR="002B06BD" w:rsidRDefault="002B06BD" w:rsidP="002E2177">
      <w:pP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55B8DA5E" w14:textId="521CBF70" w:rsidR="00F90F82" w:rsidRPr="00CD78BC" w:rsidRDefault="00CD78BC" w:rsidP="002E2177">
      <w:pPr>
        <w:ind w:left="432" w:hanging="432"/>
      </w:pPr>
      <w:r w:rsidRPr="00CD78BC">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573AB94C" w:rsidR="00A9011D" w:rsidRPr="00A9011D" w:rsidRDefault="00CD78BC" w:rsidP="00A9011D">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X</w:t>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15BF1783" w:rsidR="00A9011D"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EF5B54F" w14:textId="6A727D61" w:rsidR="008A5FF0" w:rsidRDefault="008A5FF0" w:rsidP="002E2177">
      <w:pPr>
        <w:ind w:left="0" w:firstLine="0"/>
        <w:rPr>
          <w:rFonts w:ascii="Calibri" w:eastAsia="Calibri" w:hAnsi="Calibri" w:cs="Times New Roman"/>
        </w:rPr>
      </w:pPr>
    </w:p>
    <w:p w14:paraId="4540DDC3" w14:textId="3E09157E" w:rsidR="00336341" w:rsidRPr="00336341" w:rsidRDefault="00336341" w:rsidP="002E2177">
      <w:pPr>
        <w:ind w:left="0" w:firstLine="0"/>
        <w:rPr>
          <w:rFonts w:ascii="Calibri" w:eastAsia="Calibri" w:hAnsi="Calibri" w:cs="Times New Roman"/>
          <w:b/>
          <w:color w:val="C00000"/>
          <w:u w:val="single"/>
        </w:rPr>
      </w:pPr>
      <w:r w:rsidRPr="00336341">
        <w:rPr>
          <w:rFonts w:ascii="Calibri" w:eastAsia="Calibri" w:hAnsi="Calibri" w:cs="Times New Roman"/>
          <w:b/>
          <w:color w:val="C00000"/>
          <w:u w:val="single"/>
        </w:rPr>
        <w:t>2019/2020 Submission</w:t>
      </w:r>
    </w:p>
    <w:p w14:paraId="3FA01185" w14:textId="4930F647" w:rsidR="008A5FF0" w:rsidRPr="00336341" w:rsidRDefault="008A5FF0" w:rsidP="008A5FF0">
      <w:pPr>
        <w:ind w:left="0" w:firstLine="0"/>
        <w:rPr>
          <w:iCs/>
          <w:color w:val="C00000"/>
        </w:rPr>
      </w:pPr>
      <w:r w:rsidRPr="00336341">
        <w:rPr>
          <w:iCs/>
          <w:color w:val="C00000"/>
        </w:rPr>
        <w:t>When this measure was originally submitted for NQF endorsement, the evidence to support the measure was based largely on the National Kidney Foundation (NKF) KDOQI Clinical Practice Guideline for Vascular Access published in 2006.  The NKF recently made substantial revisions to these guidelines that were released on 3/12/20.  Please see:</w:t>
      </w:r>
    </w:p>
    <w:p w14:paraId="7ACCEA5D" w14:textId="77777777" w:rsidR="008A5FF0" w:rsidRPr="00336341" w:rsidRDefault="008A5FF0" w:rsidP="008A5FF0">
      <w:pPr>
        <w:ind w:left="720" w:firstLine="0"/>
        <w:rPr>
          <w:iCs/>
          <w:color w:val="C00000"/>
        </w:rPr>
      </w:pPr>
      <w:r w:rsidRPr="00336341">
        <w:rPr>
          <w:iCs/>
          <w:color w:val="C00000"/>
        </w:rPr>
        <w:t xml:space="preserve">Lok CE, Huber TS, Lee T, et al; KDOQI Vascular Access Guideline Work Group. KDOQI clinical practice guideline for vascular access: 2019 update.  Am J Kidney Dis. 2020;75(4)(suppl 2):S1-S164.   </w:t>
      </w:r>
    </w:p>
    <w:p w14:paraId="2247E3D4" w14:textId="77777777" w:rsidR="008A5FF0" w:rsidRPr="00336341" w:rsidRDefault="009B3F4A" w:rsidP="008A5FF0">
      <w:pPr>
        <w:ind w:left="720" w:firstLine="0"/>
        <w:rPr>
          <w:iCs/>
          <w:color w:val="C00000"/>
        </w:rPr>
      </w:pPr>
      <w:hyperlink r:id="rId16" w:history="1">
        <w:r w:rsidR="008A5FF0" w:rsidRPr="00336341">
          <w:rPr>
            <w:rStyle w:val="Hyperlink"/>
            <w:iCs/>
            <w:color w:val="C00000"/>
          </w:rPr>
          <w:t>https://www.ajkd.org/article/S0272-6386(19)31137-0/fulltext</w:t>
        </w:r>
      </w:hyperlink>
      <w:r w:rsidR="008A5FF0" w:rsidRPr="00336341">
        <w:rPr>
          <w:iCs/>
          <w:color w:val="C00000"/>
        </w:rPr>
        <w:t xml:space="preserve"> </w:t>
      </w:r>
    </w:p>
    <w:p w14:paraId="3AFC012D" w14:textId="77777777" w:rsidR="008A5FF0" w:rsidRPr="00336341" w:rsidRDefault="008A5FF0" w:rsidP="008A5FF0">
      <w:pPr>
        <w:ind w:left="0" w:firstLine="0"/>
        <w:rPr>
          <w:iCs/>
          <w:color w:val="C00000"/>
        </w:rPr>
      </w:pPr>
      <w:r w:rsidRPr="00336341">
        <w:rPr>
          <w:iCs/>
          <w:color w:val="C00000"/>
        </w:rPr>
        <w:t>The revised guidelines emphasize a patient-focused approach that recommends the development of an End Stage Kidney Disease (ESKD) Life-Plan, and urges providers to not only consider the current vascular access, but subsequent access needs as well in the context of a comprehensive evaluation of the patient’s lifetime with ESKD.</w:t>
      </w:r>
    </w:p>
    <w:p w14:paraId="70C5E7EC" w14:textId="77777777" w:rsidR="008A5FF0" w:rsidRPr="00336341" w:rsidRDefault="008A5FF0" w:rsidP="008A5FF0">
      <w:pPr>
        <w:ind w:left="0" w:firstLine="0"/>
        <w:rPr>
          <w:iCs/>
          <w:color w:val="C00000"/>
        </w:rPr>
      </w:pPr>
    </w:p>
    <w:p w14:paraId="735F3AFF" w14:textId="77777777" w:rsidR="008A5FF0" w:rsidRPr="00336341" w:rsidRDefault="008A5FF0" w:rsidP="008A5FF0">
      <w:pPr>
        <w:ind w:left="0" w:firstLine="0"/>
        <w:rPr>
          <w:iCs/>
          <w:color w:val="C00000"/>
          <w:u w:val="single"/>
        </w:rPr>
      </w:pPr>
      <w:r w:rsidRPr="00336341">
        <w:rPr>
          <w:iCs/>
          <w:color w:val="C00000"/>
          <w:u w:val="single"/>
        </w:rPr>
        <w:t>Guidelines</w:t>
      </w:r>
    </w:p>
    <w:p w14:paraId="276748FE" w14:textId="77777777" w:rsidR="008A5FF0" w:rsidRPr="00336341" w:rsidRDefault="008A5FF0" w:rsidP="008A5FF0">
      <w:pPr>
        <w:ind w:left="0" w:firstLine="0"/>
        <w:rPr>
          <w:iCs/>
          <w:color w:val="C00000"/>
        </w:rPr>
      </w:pPr>
      <w:r w:rsidRPr="00336341">
        <w:rPr>
          <w:iCs/>
          <w:color w:val="C00000"/>
        </w:rPr>
        <w:t xml:space="preserve">2.1 KDOQI considers it reasonable to have an AV access (AVF or AVG) in a patient requiring HD, when consistent with their ESKD Life-Plan and overall goals of care. (Expert Opinion)  </w:t>
      </w:r>
    </w:p>
    <w:p w14:paraId="4067F198" w14:textId="77777777" w:rsidR="008A5FF0" w:rsidRPr="00336341" w:rsidRDefault="008A5FF0" w:rsidP="008A5FF0">
      <w:pPr>
        <w:ind w:left="0" w:firstLine="0"/>
        <w:rPr>
          <w:iCs/>
          <w:color w:val="C00000"/>
        </w:rPr>
      </w:pPr>
      <w:r w:rsidRPr="00336341">
        <w:rPr>
          <w:iCs/>
          <w:color w:val="C00000"/>
        </w:rPr>
        <w:t>2.2 KDOQI considers it reasonable in valid clinical circumstances to use tunneled CVCs for short-term or long-term durations for incident patients, as follows (Expert Opinion):</w:t>
      </w:r>
    </w:p>
    <w:p w14:paraId="6EAC2C55" w14:textId="77777777" w:rsidR="008A5FF0" w:rsidRPr="00336341" w:rsidRDefault="008A5FF0" w:rsidP="008A5FF0">
      <w:pPr>
        <w:ind w:left="720" w:firstLine="0"/>
        <w:rPr>
          <w:iCs/>
          <w:color w:val="C00000"/>
        </w:rPr>
      </w:pPr>
      <w:r w:rsidRPr="00336341">
        <w:rPr>
          <w:iCs/>
          <w:color w:val="C00000"/>
        </w:rPr>
        <w:t>Long-term or indefinite duration:</w:t>
      </w:r>
    </w:p>
    <w:p w14:paraId="5E2DAA18" w14:textId="77777777" w:rsidR="008A5FF0" w:rsidRPr="00336341" w:rsidRDefault="008A5FF0" w:rsidP="008A5FF0">
      <w:pPr>
        <w:pStyle w:val="ListParagraph"/>
        <w:numPr>
          <w:ilvl w:val="0"/>
          <w:numId w:val="15"/>
        </w:numPr>
        <w:rPr>
          <w:iCs/>
          <w:color w:val="C00000"/>
        </w:rPr>
      </w:pPr>
      <w:r w:rsidRPr="00336341">
        <w:rPr>
          <w:iCs/>
          <w:color w:val="C00000"/>
        </w:rPr>
        <w:t>Multiple prior failed AV accesses with no available options (see anatomic restrictions below)</w:t>
      </w:r>
    </w:p>
    <w:p w14:paraId="18E3463E" w14:textId="77777777" w:rsidR="008A5FF0" w:rsidRPr="00336341" w:rsidRDefault="008A5FF0" w:rsidP="008A5FF0">
      <w:pPr>
        <w:pStyle w:val="ListParagraph"/>
        <w:numPr>
          <w:ilvl w:val="0"/>
          <w:numId w:val="15"/>
        </w:numPr>
        <w:rPr>
          <w:iCs/>
          <w:color w:val="C00000"/>
        </w:rPr>
      </w:pPr>
      <w:r w:rsidRPr="00336341">
        <w:rPr>
          <w:iCs/>
          <w:color w:val="C00000"/>
        </w:rPr>
        <w:t>Valid patient preference whereby use of an AV access would severely limit QOL or achievement of life goals and after the patient has been properly informed of patient-specific risks and benefits of other potential and reasonable access options for that patient (if available)</w:t>
      </w:r>
    </w:p>
    <w:p w14:paraId="620A8519" w14:textId="77777777" w:rsidR="008A5FF0" w:rsidRPr="00336341" w:rsidRDefault="008A5FF0" w:rsidP="008A5FF0">
      <w:pPr>
        <w:pStyle w:val="ListParagraph"/>
        <w:numPr>
          <w:ilvl w:val="0"/>
          <w:numId w:val="15"/>
        </w:numPr>
        <w:rPr>
          <w:iCs/>
          <w:color w:val="C00000"/>
        </w:rPr>
      </w:pPr>
      <w:r w:rsidRPr="00336341">
        <w:rPr>
          <w:iCs/>
          <w:color w:val="C00000"/>
        </w:rPr>
        <w:t>Limited life expectancy</w:t>
      </w:r>
    </w:p>
    <w:p w14:paraId="48A10259" w14:textId="77777777" w:rsidR="008A5FF0" w:rsidRPr="00336341" w:rsidRDefault="008A5FF0" w:rsidP="008A5FF0">
      <w:pPr>
        <w:pStyle w:val="ListParagraph"/>
        <w:numPr>
          <w:ilvl w:val="0"/>
          <w:numId w:val="15"/>
        </w:numPr>
        <w:rPr>
          <w:iCs/>
          <w:color w:val="C00000"/>
        </w:rPr>
      </w:pPr>
      <w:r w:rsidRPr="00336341">
        <w:rPr>
          <w:iCs/>
          <w:color w:val="C00000"/>
        </w:rPr>
        <w:t>Absence of AV access creation options due to a combination of inflow artery and outflow vein problems (eg, severe arterial occlusive disease, noncorrectable central venous outflow occlusion) or in infants/children with prohibitively diminutive vessels</w:t>
      </w:r>
    </w:p>
    <w:p w14:paraId="63E3EA3E" w14:textId="77777777" w:rsidR="008A5FF0" w:rsidRPr="00336341" w:rsidRDefault="008A5FF0" w:rsidP="008A5FF0">
      <w:pPr>
        <w:pStyle w:val="ListParagraph"/>
        <w:numPr>
          <w:ilvl w:val="0"/>
          <w:numId w:val="15"/>
        </w:numPr>
        <w:rPr>
          <w:iCs/>
          <w:color w:val="C00000"/>
        </w:rPr>
      </w:pPr>
      <w:r w:rsidRPr="00336341">
        <w:rPr>
          <w:iCs/>
          <w:color w:val="C00000"/>
        </w:rPr>
        <w:t>Special medical circumstances</w:t>
      </w:r>
    </w:p>
    <w:p w14:paraId="399E4B87" w14:textId="77777777" w:rsidR="008A5FF0" w:rsidRPr="00336341" w:rsidRDefault="008A5FF0" w:rsidP="008A5FF0">
      <w:pPr>
        <w:ind w:left="0" w:firstLine="0"/>
        <w:rPr>
          <w:iCs/>
          <w:color w:val="C00000"/>
        </w:rPr>
      </w:pPr>
      <w:r w:rsidRPr="00336341">
        <w:rPr>
          <w:iCs/>
          <w:color w:val="C00000"/>
        </w:rPr>
        <w:t>2.3 KDOQI suggests an AV access (AVF or AVG) in preference to a CVC in most incident and prevalent HD patients due to the lower infection risk associated with AV access use. (Conditional Recommendation, Low Quality of Evidence)</w:t>
      </w:r>
    </w:p>
    <w:p w14:paraId="08C44F51" w14:textId="77777777" w:rsidR="008A5FF0" w:rsidRPr="00336341" w:rsidRDefault="008A5FF0" w:rsidP="008A5FF0">
      <w:pPr>
        <w:ind w:left="0" w:firstLine="0"/>
        <w:rPr>
          <w:iCs/>
          <w:color w:val="C00000"/>
        </w:rPr>
      </w:pPr>
      <w:r w:rsidRPr="00336341">
        <w:rPr>
          <w:iCs/>
          <w:color w:val="C00000"/>
        </w:rPr>
        <w:t>2.5 KDOQI suggests that if sufficient time and patient circumstances are favorable for a mature, usable AVF, such a functioning AVF is preferred to an AVG in incident HD patients due to fewer longterm vascular access events (eg, thrombosis, loss of primary patency, interventions) associated with unassisted AVF use. (Conditional Recommendation, Low Quality of Evidence)</w:t>
      </w:r>
    </w:p>
    <w:p w14:paraId="6E237EA9" w14:textId="77777777" w:rsidR="008A5FF0" w:rsidRPr="00336341" w:rsidRDefault="008A5FF0" w:rsidP="008A5FF0">
      <w:pPr>
        <w:ind w:left="0" w:firstLine="0"/>
        <w:rPr>
          <w:iCs/>
          <w:color w:val="C00000"/>
        </w:rPr>
      </w:pPr>
      <w:r w:rsidRPr="00336341">
        <w:rPr>
          <w:iCs/>
          <w:color w:val="C00000"/>
        </w:rPr>
        <w:t>2.6 KDOQI suggests that most incident HD patients starting dialysis with a CVC should convert to either an AVF or AVG, if possible, to reduce their risk of infection/bacteremia, infection-related hospitalizations, and adverse consequences. (Conditional Recommendation, Very Low-Moderate Quality of Evidence)</w:t>
      </w:r>
    </w:p>
    <w:p w14:paraId="62BF07FD" w14:textId="77777777" w:rsidR="008A5FF0" w:rsidRPr="00336341" w:rsidRDefault="008A5FF0" w:rsidP="008A5FF0">
      <w:pPr>
        <w:ind w:left="0" w:firstLine="0"/>
        <w:rPr>
          <w:iCs/>
          <w:color w:val="C00000"/>
        </w:rPr>
      </w:pPr>
      <w:r w:rsidRPr="00336341">
        <w:rPr>
          <w:iCs/>
          <w:color w:val="C00000"/>
        </w:rPr>
        <w:t>2.13 KDOQI considers it reasonable that prevalent HD patients use an AV access (AVF or AVG) in preference to a CVC, if possible, due to the association with lower vascular access–related events (eg, infection, thrombotic, and nonthrombotic complications). (Expert Opinion)</w:t>
      </w:r>
    </w:p>
    <w:p w14:paraId="55A252A5" w14:textId="77777777" w:rsidR="008A5FF0" w:rsidRPr="00336341" w:rsidRDefault="008A5FF0" w:rsidP="008A5FF0">
      <w:pPr>
        <w:ind w:left="0" w:firstLine="0"/>
        <w:rPr>
          <w:iCs/>
          <w:color w:val="C00000"/>
        </w:rPr>
      </w:pPr>
      <w:r w:rsidRPr="00336341">
        <w:rPr>
          <w:iCs/>
          <w:color w:val="C00000"/>
        </w:rPr>
        <w:t>2.14 KDOQI considers it reasonable that if clinical circumstances are favorable for a mature, usable</w:t>
      </w:r>
    </w:p>
    <w:p w14:paraId="4F4966B2" w14:textId="77777777" w:rsidR="008A5FF0" w:rsidRPr="00336341" w:rsidRDefault="008A5FF0" w:rsidP="008A5FF0">
      <w:pPr>
        <w:ind w:left="0" w:firstLine="0"/>
        <w:rPr>
          <w:iCs/>
          <w:color w:val="C00000"/>
        </w:rPr>
      </w:pPr>
      <w:r w:rsidRPr="00336341">
        <w:rPr>
          <w:iCs/>
          <w:color w:val="C00000"/>
        </w:rPr>
        <w:t>AVF, such a functioning AVF is preferred to AVG in prevalent HD patients. (Expert Opinion)</w:t>
      </w:r>
    </w:p>
    <w:p w14:paraId="4DF5A3F0" w14:textId="77777777" w:rsidR="008A5FF0" w:rsidRPr="00336341" w:rsidRDefault="008A5FF0" w:rsidP="008A5FF0">
      <w:pPr>
        <w:ind w:left="0" w:firstLine="0"/>
        <w:rPr>
          <w:iCs/>
          <w:color w:val="C00000"/>
        </w:rPr>
      </w:pPr>
    </w:p>
    <w:p w14:paraId="639F0FE4" w14:textId="77777777" w:rsidR="008A5FF0" w:rsidRPr="00336341" w:rsidRDefault="008A5FF0" w:rsidP="008A5FF0">
      <w:pPr>
        <w:ind w:left="0" w:firstLine="0"/>
        <w:rPr>
          <w:iCs/>
          <w:color w:val="C00000"/>
          <w:u w:val="single"/>
        </w:rPr>
      </w:pPr>
      <w:r w:rsidRPr="00336341">
        <w:rPr>
          <w:iCs/>
          <w:color w:val="C00000"/>
          <w:u w:val="single"/>
        </w:rPr>
        <w:t>Evidence</w:t>
      </w:r>
    </w:p>
    <w:p w14:paraId="683198A2" w14:textId="77777777" w:rsidR="008A5FF0" w:rsidRPr="00336341" w:rsidRDefault="008A5FF0" w:rsidP="008A5FF0">
      <w:pPr>
        <w:ind w:left="0" w:firstLine="0"/>
        <w:rPr>
          <w:iCs/>
          <w:color w:val="C00000"/>
        </w:rPr>
      </w:pPr>
      <w:r w:rsidRPr="00336341">
        <w:rPr>
          <w:iCs/>
          <w:color w:val="C00000"/>
        </w:rPr>
        <w:t xml:space="preserve">In general, the evidence for the above guidelines has been rated as either low or moderate, with many of the guidelines relying on expert opinion.  The evidence review team focused on 16 studies and noted that bloodstream infections were significantly lower among patients who started HD with an AV fistula or AV graft versus a catheter.  While three studies from 2015-2016 consistently demonstrated lower mortality with AV fistula or an AV graft compared to a catheter, the studies were considered to be of low quality with moderate risk of bias.  Thus, the workgroup refrained from recommending AV fistula on the basis of lower mortality compared to catheter use, instead relying on the evidence indicating lower blood stream infections.  </w:t>
      </w:r>
    </w:p>
    <w:p w14:paraId="51B973E4" w14:textId="77777777" w:rsidR="008A5FF0" w:rsidRPr="00336341" w:rsidRDefault="008A5FF0" w:rsidP="008A5FF0">
      <w:pPr>
        <w:ind w:left="0" w:firstLine="0"/>
        <w:rPr>
          <w:iCs/>
          <w:color w:val="C00000"/>
        </w:rPr>
      </w:pPr>
    </w:p>
    <w:p w14:paraId="529FC107" w14:textId="77777777" w:rsidR="008A5FF0" w:rsidRPr="00336341" w:rsidRDefault="008A5FF0" w:rsidP="008A5FF0">
      <w:pPr>
        <w:ind w:left="0" w:firstLine="0"/>
        <w:rPr>
          <w:iCs/>
          <w:color w:val="C00000"/>
        </w:rPr>
      </w:pPr>
      <w:r w:rsidRPr="00336341">
        <w:rPr>
          <w:iCs/>
          <w:color w:val="C00000"/>
        </w:rPr>
        <w:t xml:space="preserve">The new guidelines point out the potential for bias in prior studies comparing vascular access types, vascular access complications, and patient outcomes.  Specifically, the workgroup notes that the differences in AV fistula and AV graft patency are uncertain, and that AV fistula complication rates in the literature may not be generalizable to all AV fistula.  </w:t>
      </w:r>
    </w:p>
    <w:p w14:paraId="55BD0328" w14:textId="77777777" w:rsidR="008A5FF0" w:rsidRPr="00336341" w:rsidRDefault="008A5FF0" w:rsidP="008A5FF0">
      <w:pPr>
        <w:ind w:left="0" w:firstLine="0"/>
        <w:rPr>
          <w:iCs/>
          <w:color w:val="C00000"/>
        </w:rPr>
      </w:pPr>
    </w:p>
    <w:p w14:paraId="4F2EF8A9" w14:textId="77777777" w:rsidR="008A5FF0" w:rsidRPr="00336341" w:rsidRDefault="008A5FF0" w:rsidP="008A5FF0">
      <w:pPr>
        <w:ind w:left="0" w:firstLine="0"/>
        <w:rPr>
          <w:iCs/>
          <w:color w:val="C00000"/>
        </w:rPr>
      </w:pPr>
      <w:r w:rsidRPr="00336341">
        <w:rPr>
          <w:iCs/>
          <w:color w:val="C00000"/>
        </w:rPr>
        <w:t>Of the studies that the evidence review team for the guidelines considered when evaluating outcomes such as patient survival and access patency, only five were from 2015 or later.  These are all observational studies, although some are from national registries such as USRDS or ANZDATA that accurately represent the population considered for the measure.  These studies are consistent with prior work that indicates that AV fistula are associated with better patient survival when compared with dialysis catheters</w:t>
      </w:r>
      <w:r w:rsidRPr="00336341">
        <w:rPr>
          <w:iCs/>
          <w:color w:val="C00000"/>
          <w:vertAlign w:val="superscript"/>
        </w:rPr>
        <w:t>1-2, 4-5</w:t>
      </w:r>
      <w:r w:rsidRPr="00336341">
        <w:rPr>
          <w:iCs/>
          <w:color w:val="C00000"/>
        </w:rPr>
        <w:t>, and that this is true even in older patients</w:t>
      </w:r>
      <w:r w:rsidRPr="00336341">
        <w:rPr>
          <w:iCs/>
          <w:color w:val="C00000"/>
          <w:vertAlign w:val="superscript"/>
        </w:rPr>
        <w:t>5</w:t>
      </w:r>
      <w:r w:rsidRPr="00336341">
        <w:rPr>
          <w:iCs/>
          <w:color w:val="C00000"/>
        </w:rPr>
        <w:t>.  However, AV fistula are more likely to require additional surgeries to achieve a functional access</w:t>
      </w:r>
      <w:r w:rsidRPr="00336341">
        <w:rPr>
          <w:iCs/>
          <w:color w:val="C00000"/>
          <w:vertAlign w:val="superscript"/>
        </w:rPr>
        <w:t>1</w:t>
      </w:r>
      <w:r w:rsidRPr="00336341">
        <w:rPr>
          <w:iCs/>
          <w:color w:val="C00000"/>
        </w:rPr>
        <w:t xml:space="preserve"> when compared to AV grafts.  This is offset by AV grafts requiring more procedures to maintain patency during the first year after creation</w:t>
      </w:r>
      <w:r w:rsidRPr="00336341">
        <w:rPr>
          <w:iCs/>
          <w:color w:val="C00000"/>
          <w:vertAlign w:val="superscript"/>
        </w:rPr>
        <w:t>3</w:t>
      </w:r>
      <w:r w:rsidRPr="00336341">
        <w:rPr>
          <w:iCs/>
          <w:color w:val="C00000"/>
        </w:rPr>
        <w:t xml:space="preserve">.  </w:t>
      </w:r>
    </w:p>
    <w:p w14:paraId="58065125" w14:textId="77777777" w:rsidR="008A5FF0" w:rsidRPr="00336341" w:rsidRDefault="008A5FF0" w:rsidP="008A5FF0">
      <w:pPr>
        <w:ind w:left="0" w:firstLine="0"/>
        <w:rPr>
          <w:iCs/>
          <w:color w:val="C00000"/>
        </w:rPr>
      </w:pPr>
    </w:p>
    <w:p w14:paraId="0563EBE9" w14:textId="77777777" w:rsidR="008A5FF0" w:rsidRPr="00336341" w:rsidRDefault="008A5FF0" w:rsidP="008A5FF0">
      <w:pPr>
        <w:pStyle w:val="ListParagraph"/>
        <w:numPr>
          <w:ilvl w:val="0"/>
          <w:numId w:val="16"/>
        </w:numPr>
        <w:rPr>
          <w:iCs/>
          <w:color w:val="C00000"/>
        </w:rPr>
      </w:pPr>
      <w:r w:rsidRPr="00336341">
        <w:rPr>
          <w:iCs/>
          <w:color w:val="C00000"/>
        </w:rPr>
        <w:t>Woo K, Goldman DP, Romley JA. Early Failure of Dialysis Access among the Elderly in the Era of Fistula First. Clin J Am Soc Nephrol. 2015;10(10):1791–1798. doi:10.2215/CJN.09040914</w:t>
      </w:r>
    </w:p>
    <w:p w14:paraId="655DF999" w14:textId="77777777" w:rsidR="008A5FF0" w:rsidRPr="00336341" w:rsidRDefault="008A5FF0" w:rsidP="008A5FF0">
      <w:pPr>
        <w:pStyle w:val="ListParagraph"/>
        <w:numPr>
          <w:ilvl w:val="0"/>
          <w:numId w:val="16"/>
        </w:numPr>
        <w:rPr>
          <w:iCs/>
          <w:color w:val="C00000"/>
        </w:rPr>
      </w:pPr>
      <w:r w:rsidRPr="00336341">
        <w:rPr>
          <w:iCs/>
          <w:color w:val="C00000"/>
        </w:rPr>
        <w:t xml:space="preserve">Kasza, J., Wolfe, R., McDonald, S., Marshall, M. R., &amp; Polkinghorne, K. R. (2016). Dialysis modality, vascular access and mortality in end-stage kidney disease: A bi-national registry-based cohort study. Nephrology, 21(10), 878-886. </w:t>
      </w:r>
      <w:hyperlink r:id="rId17" w:history="1">
        <w:r w:rsidRPr="00336341">
          <w:rPr>
            <w:rStyle w:val="Hyperlink"/>
            <w:iCs/>
            <w:color w:val="C00000"/>
          </w:rPr>
          <w:t>https://doi.org/10.1111/nep.12688</w:t>
        </w:r>
      </w:hyperlink>
    </w:p>
    <w:p w14:paraId="613D4603" w14:textId="77777777" w:rsidR="008A5FF0" w:rsidRPr="00336341" w:rsidRDefault="008A5FF0" w:rsidP="008A5FF0">
      <w:pPr>
        <w:pStyle w:val="ListParagraph"/>
        <w:numPr>
          <w:ilvl w:val="0"/>
          <w:numId w:val="16"/>
        </w:numPr>
        <w:rPr>
          <w:iCs/>
          <w:color w:val="C00000"/>
        </w:rPr>
      </w:pPr>
      <w:r w:rsidRPr="00336341">
        <w:rPr>
          <w:iCs/>
          <w:color w:val="C00000"/>
        </w:rPr>
        <w:t>Leake AE, Yuo TH, Wu T, et al. Arteriovenous grafts are associated with earlier catheter removal and fewer catheter days in the United States Renal Data System population. J Vasc Surg. 2015;62(1):123-127.</w:t>
      </w:r>
    </w:p>
    <w:p w14:paraId="06B3BC5B" w14:textId="77777777" w:rsidR="008A5FF0" w:rsidRPr="00336341" w:rsidRDefault="008A5FF0" w:rsidP="008A5FF0">
      <w:pPr>
        <w:pStyle w:val="ListParagraph"/>
        <w:numPr>
          <w:ilvl w:val="0"/>
          <w:numId w:val="16"/>
        </w:numPr>
        <w:rPr>
          <w:iCs/>
          <w:color w:val="C00000"/>
        </w:rPr>
      </w:pPr>
      <w:r w:rsidRPr="00336341">
        <w:rPr>
          <w:iCs/>
          <w:color w:val="C00000"/>
        </w:rPr>
        <w:t>Malas MB, Canner JK, Hicks CW, et al. Trends in incident hemodialysis access and mortality. JAMA Surgery. 2015;150(5):441-448.</w:t>
      </w:r>
    </w:p>
    <w:p w14:paraId="384DABAD" w14:textId="77777777" w:rsidR="008A5FF0" w:rsidRPr="00336341" w:rsidRDefault="008A5FF0" w:rsidP="008A5FF0">
      <w:pPr>
        <w:pStyle w:val="ListParagraph"/>
        <w:numPr>
          <w:ilvl w:val="0"/>
          <w:numId w:val="16"/>
        </w:numPr>
        <w:rPr>
          <w:iCs/>
          <w:color w:val="C00000"/>
        </w:rPr>
      </w:pPr>
      <w:r w:rsidRPr="00336341">
        <w:rPr>
          <w:iCs/>
          <w:color w:val="C00000"/>
        </w:rPr>
        <w:t>Park HS, Kim WJ, Kim YK, et al. Comparison of outcomes with arteriovenous fistula and arteriovenous graft for vascular access in hemodialysis: a prospective cohort study. Am J Neph. 2016;43(2):120-128.</w:t>
      </w:r>
    </w:p>
    <w:p w14:paraId="16BFE3AB" w14:textId="77777777" w:rsidR="008A5FF0" w:rsidRPr="00336341" w:rsidRDefault="008A5FF0" w:rsidP="008A5FF0">
      <w:pPr>
        <w:rPr>
          <w:iCs/>
          <w:color w:val="C00000"/>
        </w:rPr>
      </w:pPr>
    </w:p>
    <w:p w14:paraId="5A8DC61A" w14:textId="77777777" w:rsidR="008A5FF0" w:rsidRPr="00336341" w:rsidRDefault="008A5FF0" w:rsidP="008A5FF0">
      <w:pPr>
        <w:ind w:left="0" w:firstLine="0"/>
        <w:rPr>
          <w:color w:val="C00000"/>
        </w:rPr>
      </w:pPr>
      <w:r w:rsidRPr="00336341">
        <w:rPr>
          <w:iCs/>
          <w:color w:val="C00000"/>
        </w:rPr>
        <w:t>We conducted a literature review to supplement the KDOQI guidelines (literature reviewed through 2017) by using the following search in PubMed:</w:t>
      </w:r>
      <w:r w:rsidRPr="00336341">
        <w:rPr>
          <w:color w:val="C00000"/>
        </w:rPr>
        <w:t xml:space="preserve"> “Arteriovenous fistula OR venous catheter AND dialysis AND published January 1, 2017 – 2020 (present).”  In general, the recent articles offer additional support for the general concepts laid out in the KDOQI guidelines that AV fistula continue to be the preferred vascular access for most, but not all patients on dialysis, and that long-term catheters are associated with higher rates of infection and potentially mortality as well.  </w:t>
      </w:r>
    </w:p>
    <w:p w14:paraId="0BF5A904" w14:textId="77777777" w:rsidR="008A5FF0" w:rsidRPr="00336341" w:rsidRDefault="008A5FF0" w:rsidP="008A5FF0">
      <w:pPr>
        <w:ind w:left="0" w:firstLine="0"/>
        <w:rPr>
          <w:color w:val="C00000"/>
        </w:rPr>
      </w:pPr>
    </w:p>
    <w:p w14:paraId="6A61C290" w14:textId="77777777" w:rsidR="008A5FF0" w:rsidRPr="00336341" w:rsidRDefault="008A5FF0" w:rsidP="008A5FF0">
      <w:pPr>
        <w:ind w:left="0" w:firstLine="0"/>
        <w:rPr>
          <w:color w:val="C00000"/>
        </w:rPr>
      </w:pPr>
      <w:r w:rsidRPr="00336341">
        <w:rPr>
          <w:color w:val="C00000"/>
        </w:rPr>
        <w:t>Recent literature has expanded our knowledge of vascular access in special populations, such as the elderly.  One study highlights the benefit of AV fistula creation in patients over the age of 67 who start dialysis with a catheter and reports lower rates of infection and mortality after AV fistula creation relative to those who have an AV graft placed</w:t>
      </w:r>
      <w:r w:rsidRPr="00336341">
        <w:rPr>
          <w:color w:val="C00000"/>
          <w:vertAlign w:val="superscript"/>
        </w:rPr>
        <w:t>6</w:t>
      </w:r>
      <w:r w:rsidRPr="00336341">
        <w:rPr>
          <w:color w:val="C00000"/>
        </w:rPr>
        <w:t>.  However, Hall et al point that among older adults, the cost-effectiveness of an AV fistula placed within the first month of dialysis diminishes with increasing age and lower life expectancy</w:t>
      </w:r>
      <w:r w:rsidRPr="00336341">
        <w:rPr>
          <w:color w:val="C00000"/>
          <w:vertAlign w:val="superscript"/>
        </w:rPr>
        <w:t>7</w:t>
      </w:r>
      <w:r w:rsidRPr="00336341">
        <w:rPr>
          <w:color w:val="C00000"/>
        </w:rPr>
        <w:t xml:space="preserve">.  </w:t>
      </w:r>
    </w:p>
    <w:p w14:paraId="4371EC6C" w14:textId="77777777" w:rsidR="008A5FF0" w:rsidRPr="00336341" w:rsidRDefault="008A5FF0" w:rsidP="008A5FF0">
      <w:pPr>
        <w:ind w:left="0" w:firstLine="0"/>
        <w:rPr>
          <w:color w:val="C00000"/>
        </w:rPr>
      </w:pPr>
    </w:p>
    <w:p w14:paraId="0487CA79" w14:textId="77777777" w:rsidR="008A5FF0" w:rsidRPr="00336341" w:rsidRDefault="008A5FF0" w:rsidP="008A5FF0">
      <w:pPr>
        <w:ind w:left="0" w:firstLine="0"/>
        <w:rPr>
          <w:color w:val="C00000"/>
        </w:rPr>
      </w:pPr>
      <w:r w:rsidRPr="00336341">
        <w:rPr>
          <w:color w:val="C00000"/>
        </w:rPr>
        <w:t>While patients with multiple comorbid conditions are less likely to use an AV fistula for hemodialysis vascular access, a recent study noted that after adjustment for patient characteristics there were only small differences in facility rates of AVF use except in the extremes of high or low levels of comorbidity burden</w:t>
      </w:r>
      <w:r w:rsidRPr="00336341">
        <w:rPr>
          <w:color w:val="C00000"/>
          <w:vertAlign w:val="superscript"/>
        </w:rPr>
        <w:t>8</w:t>
      </w:r>
      <w:r w:rsidRPr="00336341">
        <w:rPr>
          <w:color w:val="C00000"/>
        </w:rPr>
        <w:t>. This suggests that dialysis facilities with a relatively high patient comorbidity burden can achieve similar fistula rates as facilities with healthier patients. This is further supported by geographic differences noted in AV fistula placement and maturation rates that exist even after adjustment for patient-level factors</w:t>
      </w:r>
      <w:r w:rsidRPr="00336341">
        <w:rPr>
          <w:color w:val="C00000"/>
          <w:vertAlign w:val="superscript"/>
        </w:rPr>
        <w:t>9</w:t>
      </w:r>
      <w:r w:rsidRPr="00336341">
        <w:rPr>
          <w:color w:val="C00000"/>
        </w:rPr>
        <w:t>.  As an example of facility processes of care that can impact vascular access outcomes, dialysis facilities that have used a formalized access program were successfully able to reduce catheter rates, central line-associated bloodstream infection, and the resultant hospitalizations, mortality, and costs</w:t>
      </w:r>
      <w:r w:rsidRPr="00336341">
        <w:rPr>
          <w:color w:val="C00000"/>
          <w:vertAlign w:val="superscript"/>
        </w:rPr>
        <w:t>10</w:t>
      </w:r>
      <w:r w:rsidRPr="00336341">
        <w:rPr>
          <w:color w:val="C00000"/>
        </w:rPr>
        <w:t>.</w:t>
      </w:r>
    </w:p>
    <w:p w14:paraId="686F3243" w14:textId="77777777" w:rsidR="008A5FF0" w:rsidRPr="00336341" w:rsidRDefault="008A5FF0" w:rsidP="008A5FF0">
      <w:pPr>
        <w:ind w:left="0" w:firstLine="0"/>
        <w:rPr>
          <w:color w:val="C00000"/>
        </w:rPr>
      </w:pPr>
    </w:p>
    <w:p w14:paraId="0CE817EC" w14:textId="77777777" w:rsidR="008A5FF0" w:rsidRPr="00336341" w:rsidRDefault="008A5FF0" w:rsidP="008A5FF0">
      <w:pPr>
        <w:ind w:left="0" w:firstLine="0"/>
        <w:rPr>
          <w:color w:val="C00000"/>
        </w:rPr>
      </w:pPr>
      <w:r w:rsidRPr="00336341">
        <w:rPr>
          <w:color w:val="C00000"/>
        </w:rPr>
        <w:t>As noted above, the evidence review team downgraded the prior emphasis placed on the mortality benefit associated with an AV fistula.  Additional studies published subsequent to their review draw similar conclusions that the survival advantage of AV fistula was likely overstated in the past</w:t>
      </w:r>
      <w:r w:rsidRPr="00336341">
        <w:rPr>
          <w:color w:val="C00000"/>
          <w:vertAlign w:val="superscript"/>
        </w:rPr>
        <w:t>11</w:t>
      </w:r>
      <w:r w:rsidRPr="00336341">
        <w:rPr>
          <w:color w:val="C00000"/>
        </w:rPr>
        <w:t>, and that it does not appear to be related specifically to fewer access related complications</w:t>
      </w:r>
      <w:r w:rsidRPr="00336341">
        <w:rPr>
          <w:color w:val="C00000"/>
          <w:vertAlign w:val="superscript"/>
        </w:rPr>
        <w:t>12-13</w:t>
      </w:r>
      <w:r w:rsidRPr="00336341">
        <w:rPr>
          <w:color w:val="C00000"/>
        </w:rPr>
        <w:t>.  In addition, there is growing recognition that AV fistula failure in the first year after creation is common and results in substantially higher health care costs</w:t>
      </w:r>
      <w:r w:rsidRPr="00336341">
        <w:rPr>
          <w:color w:val="C00000"/>
          <w:vertAlign w:val="superscript"/>
        </w:rPr>
        <w:t>14</w:t>
      </w:r>
      <w:r w:rsidRPr="00336341">
        <w:rPr>
          <w:color w:val="C00000"/>
        </w:rPr>
        <w:t>. Ultimately, additional efforts such as the Standardized Outcomes in Nephrology-Hemodialysis (SONG-HD) consensus workshop</w:t>
      </w:r>
      <w:r w:rsidRPr="00336341">
        <w:rPr>
          <w:color w:val="C00000"/>
          <w:vertAlign w:val="superscript"/>
        </w:rPr>
        <w:t>15</w:t>
      </w:r>
      <w:r w:rsidRPr="00336341">
        <w:rPr>
          <w:color w:val="C00000"/>
        </w:rPr>
        <w:t xml:space="preserve"> may be needed to inform future vascular access measure development.  </w:t>
      </w:r>
    </w:p>
    <w:p w14:paraId="3EEA7B92" w14:textId="77777777" w:rsidR="008A5FF0" w:rsidRPr="00336341" w:rsidRDefault="008A5FF0" w:rsidP="008A5FF0">
      <w:pPr>
        <w:ind w:left="0" w:firstLine="0"/>
        <w:rPr>
          <w:color w:val="C00000"/>
        </w:rPr>
      </w:pPr>
    </w:p>
    <w:p w14:paraId="44936AC7" w14:textId="77777777" w:rsidR="008A5FF0" w:rsidRPr="00336341" w:rsidRDefault="008A5FF0" w:rsidP="008A5FF0">
      <w:pPr>
        <w:ind w:left="0" w:firstLine="0"/>
        <w:rPr>
          <w:color w:val="C00000"/>
        </w:rPr>
      </w:pPr>
      <w:r w:rsidRPr="00336341">
        <w:rPr>
          <w:color w:val="C00000"/>
        </w:rPr>
        <w:t xml:space="preserve">In summary, the recently revised KDOQI guidelines for vascular access continue to support AV fistula as the preferred vascular access for most patients on dialysis, although with less emphasis than in prior iterations.  Long-term catheters are still viewed as the least desirable vascular access, primarily due to the increased risk of blood-stream infections, with increased recognition of certain patient characteristics and scenarios where this access type may be the most appropriate.  Ultimately, dialysis facility processes of care, such as the use of a vascular access coordinator or surgeon selection, may have a greater impact on ability to reduce tunneled catheter use and create AV fistula compared to patient-level factors such as comorbidities.  </w:t>
      </w:r>
    </w:p>
    <w:p w14:paraId="66742CDB" w14:textId="77777777" w:rsidR="008A5FF0" w:rsidRPr="00336341" w:rsidRDefault="008A5FF0" w:rsidP="008A5FF0">
      <w:pPr>
        <w:ind w:left="0" w:firstLine="0"/>
        <w:rPr>
          <w:color w:val="C00000"/>
        </w:rPr>
      </w:pPr>
    </w:p>
    <w:p w14:paraId="11E9C23A" w14:textId="77777777" w:rsidR="008A5FF0" w:rsidRPr="00336341" w:rsidRDefault="008A5FF0" w:rsidP="008A5FF0">
      <w:pPr>
        <w:ind w:left="0" w:firstLine="0"/>
        <w:rPr>
          <w:color w:val="C00000"/>
        </w:rPr>
      </w:pPr>
    </w:p>
    <w:p w14:paraId="4FCCD76D" w14:textId="77777777" w:rsidR="008A5FF0" w:rsidRPr="00336341" w:rsidRDefault="008A5FF0" w:rsidP="008A5FF0">
      <w:pPr>
        <w:ind w:left="0" w:firstLine="0"/>
        <w:rPr>
          <w:b/>
          <w:color w:val="C00000"/>
          <w:u w:val="single"/>
        </w:rPr>
      </w:pPr>
      <w:r w:rsidRPr="00336341">
        <w:rPr>
          <w:b/>
          <w:color w:val="C00000"/>
          <w:u w:val="single"/>
        </w:rPr>
        <w:t>References</w:t>
      </w:r>
    </w:p>
    <w:p w14:paraId="00715ED2" w14:textId="77777777" w:rsidR="008A5FF0" w:rsidRPr="00336341" w:rsidRDefault="008A5FF0" w:rsidP="008A5FF0">
      <w:pPr>
        <w:pStyle w:val="ListParagraph"/>
        <w:numPr>
          <w:ilvl w:val="0"/>
          <w:numId w:val="16"/>
        </w:numPr>
        <w:rPr>
          <w:color w:val="C00000"/>
        </w:rPr>
      </w:pPr>
      <w:r w:rsidRPr="00336341">
        <w:rPr>
          <w:color w:val="C00000"/>
        </w:rPr>
        <w:t xml:space="preserve"> Lee T, Thamer M, Zhang Q, Zhang Y, Allon M. Vascular Access Type and Clinical Outcomes among Elderly Patients on Hemodialysis. Clin J Am Soc Nephrol. 2017 Nov 7;12(11):1823-1830. doi: 10.2215/CJN.01410217. Epub 2017 Aug 10.</w:t>
      </w:r>
    </w:p>
    <w:p w14:paraId="184F592F" w14:textId="77777777" w:rsidR="008A5FF0" w:rsidRPr="00336341" w:rsidRDefault="008A5FF0" w:rsidP="008A5FF0">
      <w:pPr>
        <w:ind w:left="720" w:firstLine="0"/>
        <w:rPr>
          <w:color w:val="C00000"/>
        </w:rPr>
      </w:pPr>
      <w:r w:rsidRPr="00336341">
        <w:rPr>
          <w:color w:val="C00000"/>
        </w:rPr>
        <w:t>BACKGROUND AND OBJECTIVES: The optimal type of initial permanent access for hemodialysis among the elderly is controversial. Duration of central venous catheter dependence, patient comorbidities, and life expectancy are important considerations in whether to place an arteriovenous fistula or graft. We used an observational study design to compare clinical outcomes in elderly patients who initiated hemodialysis with a central venous catheter and subsequently had an arteriovenous fistula or graft placed.</w:t>
      </w:r>
    </w:p>
    <w:p w14:paraId="371D3113" w14:textId="77777777" w:rsidR="008A5FF0" w:rsidRPr="00336341" w:rsidRDefault="008A5FF0" w:rsidP="008A5FF0">
      <w:pPr>
        <w:ind w:left="720" w:firstLine="0"/>
        <w:rPr>
          <w:color w:val="C00000"/>
        </w:rPr>
      </w:pPr>
      <w:r w:rsidRPr="00336341">
        <w:rPr>
          <w:color w:val="C00000"/>
        </w:rPr>
        <w:t xml:space="preserve">DESIGN, SETTING, PARTICIPANTS, &amp; MEASUREMENTS: We identified 9458 United States patients ages ≥67 years old who initiated hemodialysis from July 1, 2010 to June 30, 2011 with a central venous catheter and no secondary vascular access and then received an arteriovenous fistula (n=7433) or graft (n=2025) within 6 months. We evaluated key clinical outcomes during the 6 months after vascular </w:t>
      </w:r>
    </w:p>
    <w:p w14:paraId="75F07270" w14:textId="77777777" w:rsidR="008A5FF0" w:rsidRPr="00336341" w:rsidRDefault="008A5FF0" w:rsidP="008A5FF0">
      <w:pPr>
        <w:ind w:left="720" w:firstLine="0"/>
        <w:rPr>
          <w:color w:val="C00000"/>
        </w:rPr>
      </w:pPr>
      <w:r w:rsidRPr="00336341">
        <w:rPr>
          <w:color w:val="C00000"/>
        </w:rPr>
        <w:t>access placement coincident with high rates of catheter use and used a matched propensity score analysis to examine patient survival.</w:t>
      </w:r>
    </w:p>
    <w:p w14:paraId="2463349D" w14:textId="77777777" w:rsidR="008A5FF0" w:rsidRPr="00336341" w:rsidRDefault="008A5FF0" w:rsidP="008A5FF0">
      <w:pPr>
        <w:ind w:left="720" w:firstLine="0"/>
        <w:rPr>
          <w:color w:val="C00000"/>
        </w:rPr>
      </w:pPr>
      <w:r w:rsidRPr="00336341">
        <w:rPr>
          <w:color w:val="C00000"/>
        </w:rPr>
        <w:t xml:space="preserve">RESULTS: Central venous catheter dependence was greater in every month during the 6-month period after arteriovenous fistula versus graft placement (P&lt;0.001). However, rates of all-cause infection-related hospitalization (adjusted relative risk, 0.93; 95% confidence interval, 0.87 to 0.99; P=0.01) and </w:t>
      </w:r>
    </w:p>
    <w:p w14:paraId="0CE643AE" w14:textId="77777777" w:rsidR="008A5FF0" w:rsidRPr="00336341" w:rsidRDefault="008A5FF0" w:rsidP="008A5FF0">
      <w:pPr>
        <w:ind w:left="720" w:firstLine="0"/>
        <w:rPr>
          <w:color w:val="C00000"/>
        </w:rPr>
      </w:pPr>
      <w:r w:rsidRPr="00336341">
        <w:rPr>
          <w:color w:val="C00000"/>
        </w:rPr>
        <w:t>bacteremia/septicemia-related hospitalization (adjusted relative risk, 0.90; 95% confidence interval, 0.82 to 0.98; P=0.02) were lower in the arteriovenous fistula versus graft group as was the adjusted risk of death (hazard ratio, 0.76; 95% confidence interval, 0.73 to 0.80; P&lt;0.001).</w:t>
      </w:r>
    </w:p>
    <w:p w14:paraId="78BF191D" w14:textId="77777777" w:rsidR="008A5FF0" w:rsidRPr="00336341" w:rsidRDefault="008A5FF0" w:rsidP="008A5FF0">
      <w:pPr>
        <w:ind w:left="720" w:firstLine="0"/>
        <w:rPr>
          <w:color w:val="C00000"/>
        </w:rPr>
      </w:pPr>
      <w:r w:rsidRPr="00336341">
        <w:rPr>
          <w:color w:val="C00000"/>
        </w:rPr>
        <w:t>CONCLUSIONS: Despite extended central venous catheter dependence, elderly patients initiating hemodialysis with a central venous catheter who underwent arteriovenous fistula placement within 6 months had fewer hospitalizations due to infections and a lower likelihood of death than those receiving an arteriovenous graft.</w:t>
      </w:r>
    </w:p>
    <w:p w14:paraId="5633627F" w14:textId="77777777" w:rsidR="008A5FF0" w:rsidRPr="00336341" w:rsidRDefault="008A5FF0" w:rsidP="008A5FF0">
      <w:pPr>
        <w:ind w:left="720" w:firstLine="0"/>
        <w:rPr>
          <w:color w:val="C00000"/>
        </w:rPr>
      </w:pPr>
    </w:p>
    <w:p w14:paraId="0C5690CF" w14:textId="77777777" w:rsidR="008A5FF0" w:rsidRPr="00336341" w:rsidRDefault="008A5FF0" w:rsidP="008A5FF0">
      <w:pPr>
        <w:ind w:left="720" w:firstLine="0"/>
        <w:rPr>
          <w:color w:val="C00000"/>
        </w:rPr>
      </w:pPr>
    </w:p>
    <w:p w14:paraId="6FFE1389" w14:textId="77777777" w:rsidR="008A5FF0" w:rsidRPr="00336341" w:rsidRDefault="008A5FF0" w:rsidP="008A5FF0">
      <w:pPr>
        <w:pStyle w:val="ListParagraph"/>
        <w:numPr>
          <w:ilvl w:val="0"/>
          <w:numId w:val="16"/>
        </w:numPr>
        <w:rPr>
          <w:color w:val="C00000"/>
        </w:rPr>
      </w:pPr>
      <w:r w:rsidRPr="00336341">
        <w:rPr>
          <w:color w:val="C00000"/>
        </w:rPr>
        <w:t>Hall RK, Myers ER, Rosas SE, O'Hare AM, Colón-Emeric CS.  Choice of Hemodialysis Access in Older Adults: A Cost-Effectiveness Analysis. Clin J Am Soc Nephrol. 2017 Jun 7;12(6):947-954. doi: 10.2215/CJN.11631116. Epub 2017 May 18.</w:t>
      </w:r>
    </w:p>
    <w:p w14:paraId="014073C5" w14:textId="77777777" w:rsidR="008A5FF0" w:rsidRPr="00336341" w:rsidRDefault="008A5FF0" w:rsidP="008A5FF0">
      <w:pPr>
        <w:ind w:left="720" w:firstLine="0"/>
        <w:rPr>
          <w:color w:val="C00000"/>
        </w:rPr>
      </w:pPr>
      <w:r w:rsidRPr="00336341">
        <w:rPr>
          <w:color w:val="C00000"/>
        </w:rPr>
        <w:t xml:space="preserve">BACKGROUND AND OBJECTIVES: Although arteriovenous fistulas have been found to be the most cost-effective form of hemodialysis access, the relative benefits of placing an arteriovenous fistula versus an arteriovenous graft seem to be least certain for older adults and when placed preemptively. However, older adults' life expectancy is heterogeneous, and most patients do not undergo permanent access creation until after dialysis initiation. We evaluated cost-effectiveness of arteriovenous fistula placement after dialysis initiation in older adults as </w:t>
      </w:r>
    </w:p>
    <w:p w14:paraId="20A60FEE" w14:textId="77777777" w:rsidR="008A5FF0" w:rsidRPr="00336341" w:rsidRDefault="008A5FF0" w:rsidP="008A5FF0">
      <w:pPr>
        <w:ind w:left="720" w:firstLine="0"/>
        <w:rPr>
          <w:color w:val="C00000"/>
        </w:rPr>
      </w:pPr>
      <w:r w:rsidRPr="00336341">
        <w:rPr>
          <w:color w:val="C00000"/>
        </w:rPr>
        <w:t>a function of age and life expectancy.</w:t>
      </w:r>
    </w:p>
    <w:p w14:paraId="1DBDDC41" w14:textId="77777777" w:rsidR="008A5FF0" w:rsidRPr="00336341" w:rsidRDefault="008A5FF0" w:rsidP="008A5FF0">
      <w:pPr>
        <w:ind w:left="720" w:firstLine="0"/>
        <w:rPr>
          <w:color w:val="C00000"/>
        </w:rPr>
      </w:pPr>
      <w:r w:rsidRPr="00336341">
        <w:rPr>
          <w:color w:val="C00000"/>
        </w:rPr>
        <w:t xml:space="preserve">DESIGN, SETTING, PARTICIPANTS, &amp; MEASUREMENTS: Using a hypothetical cohort of patients on incident hemodialysis with central venous catheters, we constructed Markov models of three treatment options: (1) arteriovenous fistula placement, (2) arteriovenous graft placement, or (3) continued catheter use. Costs, utilities, and transitional probabilities were derived from existing literature. Probabilistic sensitivity analyses were performed by age group (65-69, 70-74, </w:t>
      </w:r>
    </w:p>
    <w:p w14:paraId="17B770D6" w14:textId="77777777" w:rsidR="008A5FF0" w:rsidRPr="00336341" w:rsidRDefault="008A5FF0" w:rsidP="008A5FF0">
      <w:pPr>
        <w:ind w:left="720" w:firstLine="0"/>
        <w:rPr>
          <w:color w:val="C00000"/>
        </w:rPr>
      </w:pPr>
      <w:r w:rsidRPr="00336341">
        <w:rPr>
          <w:color w:val="C00000"/>
        </w:rPr>
        <w:t>75-79, 80-84, and 85-89 years old) and quartile of life expectancy. Costs, quality-adjusted life-months, and incremental cost-effectiveness ratios were evaluated for up to 5 years.</w:t>
      </w:r>
    </w:p>
    <w:p w14:paraId="73707AF2" w14:textId="77777777" w:rsidR="008A5FF0" w:rsidRPr="00336341" w:rsidRDefault="008A5FF0" w:rsidP="008A5FF0">
      <w:pPr>
        <w:ind w:left="720" w:firstLine="0"/>
        <w:rPr>
          <w:color w:val="C00000"/>
        </w:rPr>
      </w:pPr>
      <w:r w:rsidRPr="00336341">
        <w:rPr>
          <w:color w:val="C00000"/>
        </w:rPr>
        <w:t>RESULTS: The arteriovenous fistula option was cost effective compared with continued catheter use for all age and life expectancy groups, except for 85-89 year olds in the lowest life expectancy quartile. The arteriovenous fistula option was more cost effective than the arteriovenous graft option for all quartiles of life expectancy among the 65- to 69-year-old age group. For older age groups, differences in cost-effectiveness between the strategies were attenuated, and the arteriovenous fistula option tended to only be cost effective in patients with life expectancy &gt;2 years. For groups for which the arteriovenous fistula option was not cost saving, the cost to gain one quality-adjusted life-month ranged from $2294 to $14,042.</w:t>
      </w:r>
    </w:p>
    <w:p w14:paraId="3D299D1F" w14:textId="77777777" w:rsidR="008A5FF0" w:rsidRPr="00336341" w:rsidRDefault="008A5FF0" w:rsidP="008A5FF0">
      <w:pPr>
        <w:ind w:left="720" w:firstLine="0"/>
        <w:rPr>
          <w:color w:val="C00000"/>
        </w:rPr>
      </w:pPr>
      <w:r w:rsidRPr="00336341">
        <w:rPr>
          <w:color w:val="C00000"/>
        </w:rPr>
        <w:t>CONCLUSIONS: Among older adults, the cost-effectiveness of an arteriovenous fistula placed within the first month of dialysis diminishes with increasing age and lower life expectancy and is not the most cost-effective option for those with the most limited life expectancy.</w:t>
      </w:r>
    </w:p>
    <w:p w14:paraId="007D9298" w14:textId="77777777" w:rsidR="008A5FF0" w:rsidRPr="00336341" w:rsidRDefault="008A5FF0" w:rsidP="008A5FF0">
      <w:pPr>
        <w:ind w:left="720" w:firstLine="0"/>
        <w:rPr>
          <w:color w:val="C00000"/>
        </w:rPr>
      </w:pPr>
    </w:p>
    <w:p w14:paraId="6C6D8D02" w14:textId="77777777" w:rsidR="008A5FF0" w:rsidRPr="00336341" w:rsidRDefault="008A5FF0" w:rsidP="008A5FF0">
      <w:pPr>
        <w:ind w:left="720" w:firstLine="0"/>
        <w:rPr>
          <w:color w:val="C00000"/>
        </w:rPr>
      </w:pPr>
    </w:p>
    <w:p w14:paraId="41C783FB" w14:textId="77777777" w:rsidR="008A5FF0" w:rsidRPr="00336341" w:rsidRDefault="008A5FF0" w:rsidP="008A5FF0">
      <w:pPr>
        <w:pStyle w:val="ListParagraph"/>
        <w:numPr>
          <w:ilvl w:val="0"/>
          <w:numId w:val="16"/>
        </w:numPr>
        <w:rPr>
          <w:color w:val="C00000"/>
        </w:rPr>
      </w:pPr>
      <w:r w:rsidRPr="00336341">
        <w:rPr>
          <w:color w:val="C00000"/>
        </w:rPr>
        <w:t xml:space="preserve"> Dahlerus C, Kim S, Chen S, Segal JH. Arteriovenous Fistula Use in the United States and Dialysis Facility-Level Comorbidity Burden. Am J Kidney Dis. 2019 Nov 22:S0272-6386(19)31031-5. doi: 10.1053/j.ajkd.2019.08.023. Online ahead of print.</w:t>
      </w:r>
    </w:p>
    <w:p w14:paraId="1E1F1C1D" w14:textId="77777777" w:rsidR="008A5FF0" w:rsidRPr="00336341" w:rsidRDefault="008A5FF0" w:rsidP="008A5FF0">
      <w:pPr>
        <w:ind w:left="720" w:firstLine="0"/>
        <w:rPr>
          <w:color w:val="C00000"/>
        </w:rPr>
      </w:pPr>
      <w:r w:rsidRPr="00336341">
        <w:rPr>
          <w:color w:val="C00000"/>
        </w:rPr>
        <w:t>RATIONALE &amp; OBJECTIVE: Patients with multiple comorbid conditions are less likely to use an arteriovenous fistula (AVF) for hemodialysis vascular access. Some dialysis facilities have high rates of AVF placement despite having patients with many comorbid conditions. This study describes variation in facility-level use of AVFs across the facility-level burden of patient comorbid conditions.</w:t>
      </w:r>
    </w:p>
    <w:p w14:paraId="2A86358A" w14:textId="77777777" w:rsidR="008A5FF0" w:rsidRPr="00336341" w:rsidRDefault="008A5FF0" w:rsidP="008A5FF0">
      <w:pPr>
        <w:ind w:left="720" w:firstLine="0"/>
        <w:rPr>
          <w:color w:val="C00000"/>
        </w:rPr>
      </w:pPr>
      <w:r w:rsidRPr="00336341">
        <w:rPr>
          <w:color w:val="C00000"/>
        </w:rPr>
        <w:t>STUDY DESIGN: Retrospective cohort study.</w:t>
      </w:r>
    </w:p>
    <w:p w14:paraId="79C0C107" w14:textId="77777777" w:rsidR="008A5FF0" w:rsidRPr="00336341" w:rsidRDefault="008A5FF0" w:rsidP="008A5FF0">
      <w:pPr>
        <w:ind w:left="720" w:firstLine="0"/>
        <w:rPr>
          <w:color w:val="C00000"/>
        </w:rPr>
      </w:pPr>
      <w:r w:rsidRPr="00336341">
        <w:rPr>
          <w:color w:val="C00000"/>
        </w:rPr>
        <w:t>SETTING &amp; PARTICIPANTS: Medicare patients receiving hemodialysis for 1 year or more in US dialysis facilities.</w:t>
      </w:r>
    </w:p>
    <w:p w14:paraId="72BA17D6" w14:textId="77777777" w:rsidR="008A5FF0" w:rsidRPr="00336341" w:rsidRDefault="008A5FF0" w:rsidP="008A5FF0">
      <w:pPr>
        <w:ind w:left="720" w:firstLine="0"/>
        <w:rPr>
          <w:color w:val="C00000"/>
        </w:rPr>
      </w:pPr>
      <w:r w:rsidRPr="00336341">
        <w:rPr>
          <w:color w:val="C00000"/>
        </w:rPr>
        <w:t>PREDICTORS: Facility-level burden of patient comorbid conditions; patient characteristics.</w:t>
      </w:r>
    </w:p>
    <w:p w14:paraId="683154F7" w14:textId="77777777" w:rsidR="008A5FF0" w:rsidRPr="00336341" w:rsidRDefault="008A5FF0" w:rsidP="008A5FF0">
      <w:pPr>
        <w:ind w:left="720" w:firstLine="0"/>
        <w:rPr>
          <w:color w:val="C00000"/>
        </w:rPr>
      </w:pPr>
      <w:r w:rsidRPr="00336341">
        <w:rPr>
          <w:color w:val="C00000"/>
        </w:rPr>
        <w:t>OUTCOMES: Odds of AVFs versus other access types; facility-level use of AVFs.</w:t>
      </w:r>
    </w:p>
    <w:p w14:paraId="47957B0C" w14:textId="77777777" w:rsidR="008A5FF0" w:rsidRPr="00336341" w:rsidRDefault="008A5FF0" w:rsidP="008A5FF0">
      <w:pPr>
        <w:ind w:left="720" w:firstLine="0"/>
        <w:rPr>
          <w:color w:val="C00000"/>
        </w:rPr>
      </w:pPr>
      <w:r w:rsidRPr="00336341">
        <w:rPr>
          <w:color w:val="C00000"/>
        </w:rPr>
        <w:t>ANALYTICAL APPROACH: Facility-level comorbidity burden was calculated by summing individual comorbid conditions, determining the average per patient, then defining 11 groups based on facility percentile ranking. Generalized estimating equations with a logit link were used to estimate the odds of AVF placement at the patient level. For the facility-level analysis, a generalized estimating equation model with the identity link was fit to characterize the percentage of AVF use at each facility.</w:t>
      </w:r>
    </w:p>
    <w:p w14:paraId="4C9E43BD" w14:textId="77777777" w:rsidR="008A5FF0" w:rsidRPr="00336341" w:rsidRDefault="008A5FF0" w:rsidP="008A5FF0">
      <w:pPr>
        <w:ind w:left="720" w:firstLine="0"/>
        <w:rPr>
          <w:color w:val="C00000"/>
        </w:rPr>
      </w:pPr>
      <w:r w:rsidRPr="00336341">
        <w:rPr>
          <w:color w:val="C00000"/>
        </w:rPr>
        <w:t xml:space="preserve">RESULTS: Overall, AVF use was 65.8% in 315,919 prevalent hemodialysis patients among 5,813 facilities. After adjustment for patient characteristics, AVF use was 0.27, 0.30, 1.05, and 1.74 percentage points lower than the median among facilities in the 61st to 70th, 71st to 80th, 81st to 90th, and 91st to 99th percentiles of comorbidity, respectively, and 0.42, 0.63, 1.34, and 1.90 </w:t>
      </w:r>
    </w:p>
    <w:p w14:paraId="6E999554" w14:textId="77777777" w:rsidR="008A5FF0" w:rsidRPr="00336341" w:rsidRDefault="008A5FF0" w:rsidP="008A5FF0">
      <w:pPr>
        <w:ind w:left="720" w:firstLine="0"/>
        <w:rPr>
          <w:color w:val="C00000"/>
        </w:rPr>
      </w:pPr>
      <w:r w:rsidRPr="00336341">
        <w:rPr>
          <w:color w:val="C00000"/>
        </w:rPr>
        <w:t>percentage points higher than the median among facilities in the 31st to 40th, 21st to 30th, 11th to 20th, and 1st to 10th percentiles of comorbidity, respectively. Facilities in the greater than 99th percentile of comorbidity burden had AVF use that was 3.47 percentage points lower than the median. Facilities in the less than 1st percentile of comorbidity burden had AVF use that was 2.64 percentage points greater than the median.</w:t>
      </w:r>
    </w:p>
    <w:p w14:paraId="1502B865" w14:textId="77777777" w:rsidR="008A5FF0" w:rsidRPr="00336341" w:rsidRDefault="008A5FF0" w:rsidP="008A5FF0">
      <w:pPr>
        <w:ind w:left="720" w:firstLine="0"/>
        <w:rPr>
          <w:color w:val="C00000"/>
        </w:rPr>
      </w:pPr>
      <w:r w:rsidRPr="00336341">
        <w:rPr>
          <w:color w:val="C00000"/>
        </w:rPr>
        <w:t>LIMITATIONS: Limited to Medicare dialysis-dependent patients treated for 1 year or more.</w:t>
      </w:r>
    </w:p>
    <w:p w14:paraId="2468BE5B" w14:textId="77777777" w:rsidR="008A5FF0" w:rsidRPr="00336341" w:rsidRDefault="008A5FF0" w:rsidP="008A5FF0">
      <w:pPr>
        <w:ind w:left="720" w:firstLine="0"/>
        <w:rPr>
          <w:color w:val="C00000"/>
        </w:rPr>
      </w:pPr>
      <w:r w:rsidRPr="00336341">
        <w:rPr>
          <w:color w:val="C00000"/>
        </w:rPr>
        <w:t>CONCLUSIONS: After adjustment for patient characteristics, we found small differences in facility rates of AVF use except in the extremes of high or low levels of comorbidity burden. Our study demonstrates that dialysis facilities with a relatively high patient comorbidity burden can achieve similar fistula rates as facilities with healthier patients. Although high comorbidity burden does not explain low facility AVF use, additional study is needed to understand differences in AVF use rates between facilities with similar comorbidity burdens.</w:t>
      </w:r>
    </w:p>
    <w:p w14:paraId="615B5D5B" w14:textId="77777777" w:rsidR="008A5FF0" w:rsidRPr="00336341" w:rsidRDefault="008A5FF0" w:rsidP="008A5FF0">
      <w:pPr>
        <w:ind w:left="720" w:firstLine="0"/>
        <w:rPr>
          <w:color w:val="C00000"/>
        </w:rPr>
      </w:pPr>
    </w:p>
    <w:p w14:paraId="09196406" w14:textId="77777777" w:rsidR="008A5FF0" w:rsidRPr="00336341" w:rsidRDefault="008A5FF0" w:rsidP="008A5FF0">
      <w:pPr>
        <w:ind w:left="720" w:firstLine="0"/>
        <w:rPr>
          <w:color w:val="C00000"/>
        </w:rPr>
      </w:pPr>
    </w:p>
    <w:p w14:paraId="2E1EE63D" w14:textId="77777777" w:rsidR="008A5FF0" w:rsidRPr="00336341" w:rsidRDefault="008A5FF0" w:rsidP="008A5FF0">
      <w:pPr>
        <w:pStyle w:val="ListParagraph"/>
        <w:numPr>
          <w:ilvl w:val="0"/>
          <w:numId w:val="16"/>
        </w:numPr>
        <w:rPr>
          <w:color w:val="C00000"/>
        </w:rPr>
      </w:pPr>
      <w:r w:rsidRPr="00336341">
        <w:rPr>
          <w:color w:val="C00000"/>
        </w:rPr>
        <w:t xml:space="preserve"> Woodside KJ, Bell S, Mukhopadhyay P, Repeck KJ, Robinson IT, Eckard AR et al.  Am J Kidney Dis. 2018 Jun;71(6):793-801. doi: 10.1053/j.ajkd.2017.11.020. Epub 2018 Feb 9. Arteriovenous Fistula Maturation in Prevalent Hemodialysis Patients in the United States: A National Study.</w:t>
      </w:r>
    </w:p>
    <w:p w14:paraId="72738481" w14:textId="77777777" w:rsidR="008A5FF0" w:rsidRPr="00336341" w:rsidRDefault="008A5FF0" w:rsidP="008A5FF0">
      <w:pPr>
        <w:ind w:left="720" w:firstLine="0"/>
        <w:rPr>
          <w:color w:val="C00000"/>
        </w:rPr>
      </w:pPr>
      <w:r w:rsidRPr="00336341">
        <w:rPr>
          <w:color w:val="C00000"/>
        </w:rPr>
        <w:t xml:space="preserve">BACKGROUND: Arteriovenous fistulas (AVFs) are the preferred form of hemodialysis </w:t>
      </w:r>
    </w:p>
    <w:p w14:paraId="54AF3A9A" w14:textId="77777777" w:rsidR="008A5FF0" w:rsidRPr="00336341" w:rsidRDefault="008A5FF0" w:rsidP="008A5FF0">
      <w:pPr>
        <w:ind w:left="720" w:firstLine="0"/>
        <w:rPr>
          <w:color w:val="C00000"/>
        </w:rPr>
      </w:pPr>
      <w:r w:rsidRPr="00336341">
        <w:rPr>
          <w:color w:val="C00000"/>
        </w:rPr>
        <w:t>vascular access, but maturation failures occur frequently, often resulting in prolonged catheter use. We sought to characterize AVF maturation in a national sample of prevalent hemodialysis patients in the United States.</w:t>
      </w:r>
    </w:p>
    <w:p w14:paraId="61681BF5" w14:textId="77777777" w:rsidR="008A5FF0" w:rsidRPr="00336341" w:rsidRDefault="008A5FF0" w:rsidP="008A5FF0">
      <w:pPr>
        <w:ind w:left="720" w:firstLine="0"/>
        <w:rPr>
          <w:color w:val="C00000"/>
        </w:rPr>
      </w:pPr>
      <w:r w:rsidRPr="00336341">
        <w:rPr>
          <w:color w:val="C00000"/>
        </w:rPr>
        <w:t>STUDY DESIGN: Nonconcurrent observational cohort study.</w:t>
      </w:r>
    </w:p>
    <w:p w14:paraId="72056310" w14:textId="77777777" w:rsidR="008A5FF0" w:rsidRPr="00336341" w:rsidRDefault="008A5FF0" w:rsidP="008A5FF0">
      <w:pPr>
        <w:ind w:left="720" w:firstLine="0"/>
        <w:rPr>
          <w:color w:val="C00000"/>
        </w:rPr>
      </w:pPr>
      <w:r w:rsidRPr="00336341">
        <w:rPr>
          <w:color w:val="C00000"/>
        </w:rPr>
        <w:t>SETTING &amp; PARTICIPANTS: Prevalent hemodialysis patients having had at least 1 new AVF placed during 2013, as identified using Medicare claims data in the US Renal Data System.</w:t>
      </w:r>
    </w:p>
    <w:p w14:paraId="53B64D94" w14:textId="77777777" w:rsidR="008A5FF0" w:rsidRPr="00336341" w:rsidRDefault="008A5FF0" w:rsidP="008A5FF0">
      <w:pPr>
        <w:ind w:left="720" w:firstLine="0"/>
        <w:rPr>
          <w:color w:val="C00000"/>
        </w:rPr>
      </w:pPr>
      <w:r w:rsidRPr="00336341">
        <w:rPr>
          <w:color w:val="C00000"/>
        </w:rPr>
        <w:t>PREDICTORS: Demographics, geographic location, dialysis vintage, comorbid conditions.</w:t>
      </w:r>
    </w:p>
    <w:p w14:paraId="13CB0ED8" w14:textId="77777777" w:rsidR="008A5FF0" w:rsidRPr="00336341" w:rsidRDefault="008A5FF0" w:rsidP="008A5FF0">
      <w:pPr>
        <w:ind w:left="720" w:firstLine="0"/>
        <w:rPr>
          <w:color w:val="C00000"/>
        </w:rPr>
      </w:pPr>
      <w:r w:rsidRPr="00336341">
        <w:rPr>
          <w:color w:val="C00000"/>
        </w:rPr>
        <w:t>OUTCOMES: Successful maturation following placement defined by subsequent use identified using monthly CROWNWeb data.</w:t>
      </w:r>
    </w:p>
    <w:p w14:paraId="70053368" w14:textId="77777777" w:rsidR="008A5FF0" w:rsidRPr="00336341" w:rsidRDefault="008A5FF0" w:rsidP="008A5FF0">
      <w:pPr>
        <w:ind w:left="720" w:firstLine="0"/>
        <w:rPr>
          <w:color w:val="C00000"/>
        </w:rPr>
      </w:pPr>
      <w:r w:rsidRPr="00336341">
        <w:rPr>
          <w:color w:val="C00000"/>
        </w:rPr>
        <w:t>MEASUREMENTS: AVF maturation rates were compared across strata of predictors. Patients were followed up until the earliest evidence of death, AVF maturation, or the end of 2014.</w:t>
      </w:r>
    </w:p>
    <w:p w14:paraId="12920CCD" w14:textId="77777777" w:rsidR="008A5FF0" w:rsidRPr="00336341" w:rsidRDefault="008A5FF0" w:rsidP="008A5FF0">
      <w:pPr>
        <w:ind w:left="720" w:firstLine="0"/>
        <w:rPr>
          <w:color w:val="C00000"/>
        </w:rPr>
      </w:pPr>
      <w:r w:rsidRPr="00336341">
        <w:rPr>
          <w:color w:val="C00000"/>
        </w:rPr>
        <w:t>RESULTS: In the study period, 45,087 new AVFs were placed in 39,820 prevalent hemodialysis patients. No evidence of use was identified for 36.2% of AVFs. Only 54.7% of AVFs were used within 4 months of placement, with maturation rates varying considerably across end-stage renal disease (ESRD) networks. Older age was associated with lower AVF maturation rates. Female sex, black race, some comorbid conditions (cardiovascular disease, peripheral artery disease, diabetes, needing assistance, or institutionalized status), dialysis vintage longer than 1 year, and catheter or arteriovenous graft use at ESRD incidence were also associated with lower rates of successful AVF maturation. In contrast, hypertension and prior AVF placement at ESRD incidence were associated with higher rates of successful AVF maturation.</w:t>
      </w:r>
    </w:p>
    <w:p w14:paraId="0801DD3B" w14:textId="77777777" w:rsidR="008A5FF0" w:rsidRPr="00336341" w:rsidRDefault="008A5FF0" w:rsidP="008A5FF0">
      <w:pPr>
        <w:ind w:left="720" w:firstLine="0"/>
        <w:rPr>
          <w:color w:val="C00000"/>
        </w:rPr>
      </w:pPr>
      <w:r w:rsidRPr="00336341">
        <w:rPr>
          <w:color w:val="C00000"/>
        </w:rPr>
        <w:t>LIMITATIONS: This study relies on administrative data, with monthly recording of access use.</w:t>
      </w:r>
    </w:p>
    <w:p w14:paraId="4A90E238" w14:textId="77777777" w:rsidR="008A5FF0" w:rsidRPr="00336341" w:rsidRDefault="008A5FF0" w:rsidP="008A5FF0">
      <w:pPr>
        <w:ind w:left="720" w:firstLine="0"/>
        <w:rPr>
          <w:color w:val="C00000"/>
        </w:rPr>
      </w:pPr>
      <w:r w:rsidRPr="00336341">
        <w:rPr>
          <w:color w:val="C00000"/>
        </w:rPr>
        <w:t>CONCLUSIONS: We identified numerous associations between AVF maturation and patient-level factors in a recent national sample of US hemodialysis patients. After accounting for these patient factors, we observed substantial differences in AVF maturation across some ESRD networks, indicating a need for additional study of the provider, practice, and regional factors that explain AVF maturation.</w:t>
      </w:r>
    </w:p>
    <w:p w14:paraId="33436A9E" w14:textId="77777777" w:rsidR="008A5FF0" w:rsidRPr="00336341" w:rsidRDefault="008A5FF0" w:rsidP="008A5FF0">
      <w:pPr>
        <w:ind w:left="720" w:firstLine="0"/>
        <w:rPr>
          <w:color w:val="C00000"/>
        </w:rPr>
      </w:pPr>
    </w:p>
    <w:p w14:paraId="3C5DF4EF" w14:textId="77777777" w:rsidR="008A5FF0" w:rsidRPr="00336341" w:rsidRDefault="008A5FF0" w:rsidP="008A5FF0">
      <w:pPr>
        <w:ind w:left="720" w:firstLine="0"/>
        <w:rPr>
          <w:color w:val="C00000"/>
        </w:rPr>
      </w:pPr>
    </w:p>
    <w:p w14:paraId="7B8A3DE0" w14:textId="77777777" w:rsidR="008A5FF0" w:rsidRPr="00336341" w:rsidRDefault="008A5FF0" w:rsidP="008A5FF0">
      <w:pPr>
        <w:pStyle w:val="ListParagraph"/>
        <w:numPr>
          <w:ilvl w:val="0"/>
          <w:numId w:val="16"/>
        </w:numPr>
        <w:rPr>
          <w:color w:val="C00000"/>
        </w:rPr>
      </w:pPr>
      <w:r w:rsidRPr="00336341">
        <w:rPr>
          <w:color w:val="C00000"/>
        </w:rPr>
        <w:t xml:space="preserve"> Rosenberry PM, Niederhaus SV, Schweitzer EJ, Leeser DB. Decreasing dialysis catheter rates by creating a multidisciplinary dialysis access program. J Vasc Access. 2018 Nov;19(6):569-572. doi: 10.1177/1129729818762977. Epub 2018 Mar 26.</w:t>
      </w:r>
    </w:p>
    <w:p w14:paraId="0174BE67" w14:textId="77777777" w:rsidR="008A5FF0" w:rsidRPr="00336341" w:rsidRDefault="008A5FF0" w:rsidP="008A5FF0">
      <w:pPr>
        <w:ind w:left="720" w:firstLine="0"/>
        <w:rPr>
          <w:color w:val="C00000"/>
        </w:rPr>
      </w:pPr>
      <w:r w:rsidRPr="00336341">
        <w:rPr>
          <w:color w:val="C00000"/>
        </w:rPr>
        <w:t xml:space="preserve">INTRODUCTION: Centers for Medicare and Medicaid Services have determined that chronic dialysis units should have &lt;12% of their patients utilizing central venous catheters for hemodialysis treatments. On the Eastern Shore of Maryland, the central venous catheter rates in the dialysis units averaged &gt;45%. A multidisciplinary program was established with goals of decreasing catheter rates in order to decrease central line-associated bloodstream infections, decrease mortality associated with central line-associated bloodstream infection, decrease hospital days, and provide savings to the healthcare system. </w:t>
      </w:r>
    </w:p>
    <w:p w14:paraId="76B92AFD" w14:textId="77777777" w:rsidR="008A5FF0" w:rsidRPr="00336341" w:rsidRDefault="008A5FF0" w:rsidP="008A5FF0">
      <w:pPr>
        <w:ind w:left="720" w:firstLine="0"/>
        <w:rPr>
          <w:color w:val="C00000"/>
        </w:rPr>
      </w:pPr>
      <w:r w:rsidRPr="00336341">
        <w:rPr>
          <w:color w:val="C00000"/>
        </w:rPr>
        <w:t>METHODS: We collected the catheter rates within three dialysis centers served over a 5-year period. Using published data surrounding the incidence and related costs of central line-associated bloodstream infection and mortality per catheter day, the number of central line-associated bloodstream infection events, the costs, and the related mortality could be determined prior to and  after the initiation of the dialysis access program.</w:t>
      </w:r>
    </w:p>
    <w:p w14:paraId="38B3273E" w14:textId="77777777" w:rsidR="008A5FF0" w:rsidRPr="00336341" w:rsidRDefault="008A5FF0" w:rsidP="008A5FF0">
      <w:pPr>
        <w:ind w:left="720" w:firstLine="0"/>
        <w:rPr>
          <w:color w:val="C00000"/>
        </w:rPr>
      </w:pPr>
      <w:r w:rsidRPr="00336341">
        <w:rPr>
          <w:color w:val="C00000"/>
        </w:rPr>
        <w:t xml:space="preserve">RESULTS: An organized dialysis access program resulted in a 82% decrease in the number of central venous catheter days which lead to a concurrent reduction in central line-associated bloodstream infection and deaths. As a result of creating an access program, central venous catheter rates decreased from an average rate of 45% to 8%. The cost savings related to the program was calculated to be over US$5 million. The decrease in the number of mortalities is </w:t>
      </w:r>
    </w:p>
    <w:p w14:paraId="4BF55A27" w14:textId="77777777" w:rsidR="008A5FF0" w:rsidRPr="00336341" w:rsidRDefault="008A5FF0" w:rsidP="008A5FF0">
      <w:pPr>
        <w:ind w:left="720" w:firstLine="0"/>
        <w:rPr>
          <w:color w:val="C00000"/>
        </w:rPr>
      </w:pPr>
      <w:r w:rsidRPr="00336341">
        <w:rPr>
          <w:color w:val="C00000"/>
        </w:rPr>
        <w:t>estimated to be between 13 and 27 patients.</w:t>
      </w:r>
    </w:p>
    <w:p w14:paraId="1E9061D6" w14:textId="77777777" w:rsidR="008A5FF0" w:rsidRPr="00336341" w:rsidRDefault="008A5FF0" w:rsidP="008A5FF0">
      <w:pPr>
        <w:ind w:left="720" w:firstLine="0"/>
        <w:rPr>
          <w:color w:val="C00000"/>
        </w:rPr>
      </w:pPr>
      <w:r w:rsidRPr="00336341">
        <w:rPr>
          <w:color w:val="C00000"/>
        </w:rPr>
        <w:t>CONCLUSION: We conclude that a formalized access program decreases catheter rates, central line-associated bloodstream infection, and the resultant hospitalizations, mortality, and costs. Areas with high hemodialysis catheter rates should develop access programs to better serve their patient population.</w:t>
      </w:r>
    </w:p>
    <w:p w14:paraId="24061627" w14:textId="77777777" w:rsidR="008A5FF0" w:rsidRPr="00336341" w:rsidRDefault="008A5FF0" w:rsidP="008A5FF0">
      <w:pPr>
        <w:ind w:left="720" w:firstLine="0"/>
        <w:rPr>
          <w:color w:val="C00000"/>
        </w:rPr>
      </w:pPr>
    </w:p>
    <w:p w14:paraId="188C8D9E" w14:textId="77777777" w:rsidR="008A5FF0" w:rsidRPr="00336341" w:rsidRDefault="008A5FF0" w:rsidP="008A5FF0">
      <w:pPr>
        <w:ind w:left="720" w:firstLine="0"/>
        <w:rPr>
          <w:color w:val="C00000"/>
        </w:rPr>
      </w:pPr>
    </w:p>
    <w:p w14:paraId="6321A9C2" w14:textId="77777777" w:rsidR="008A5FF0" w:rsidRPr="00336341" w:rsidRDefault="008A5FF0" w:rsidP="008A5FF0">
      <w:pPr>
        <w:pStyle w:val="ListParagraph"/>
        <w:numPr>
          <w:ilvl w:val="0"/>
          <w:numId w:val="16"/>
        </w:numPr>
        <w:rPr>
          <w:color w:val="C00000"/>
        </w:rPr>
      </w:pPr>
      <w:r w:rsidRPr="00336341">
        <w:rPr>
          <w:color w:val="C00000"/>
        </w:rPr>
        <w:t>Brown RS, Patibandla BK, Goldfarb-Rumyantzev AS. The Survival Benefit of "Fistula First, Catheter Last" in Hemodialysis Is Primarily Due to Patient Factors. J Am Soc Nephrol. 2017 Feb;28(2):645-652. doi: 10.1681/ASN.2016010019. Epub 2016 Sep 7.</w:t>
      </w:r>
    </w:p>
    <w:p w14:paraId="1D7A5CA2" w14:textId="77777777" w:rsidR="008A5FF0" w:rsidRPr="00336341" w:rsidRDefault="008A5FF0" w:rsidP="008A5FF0">
      <w:pPr>
        <w:ind w:left="720" w:firstLine="0"/>
        <w:rPr>
          <w:color w:val="C00000"/>
        </w:rPr>
      </w:pPr>
      <w:r w:rsidRPr="00336341">
        <w:rPr>
          <w:color w:val="C00000"/>
        </w:rPr>
        <w:t xml:space="preserve">Patients needing hemodialysis are advised to have arteriovenous fistulas rather than catheters because of significantly lower mortality rates. However, disparities in fistula placement raise the possibility that patient factors have a role in this apparent mortality benefit. We derived a cohort of 115,425 patients on incident hemodialysis ≥67 years old from the US Renal Data System with linked Medicare claims to identify the first predialysis vascular access placed. We compared mortality outcomes in patients initiating hemodialysis with a fistula placed first, a catheter after a fistula placed first failed, or a catheter placed first (n=90,517; reference group). Of 21,436 patients with a fistula placed first, 9794 initiated hemodialysis with that fistula, and 8230 initiated dialysis with a catheter after failed fistula placement. The fistula group had the lowest mortality over 58 months (hazard ratio, 0.50; 95% confidence interval, 0.48 to 0.52; P&lt;0.001), with mortality rates at 6, 12, and 24 months after initiation of 9%, 17%, and 31%, respectively, compared with 32%, 46%, and 62%, respectively, in the catheter group. However, the group initiating hemodialysis with a catheter after failed fistula placement also had significantly lower mortality rates than the catheter group had over 58 months (hazard ratio, 0.66; 95% confidence interval, 0.64 to 0.68; P&lt;0.001), with mortality rates of 15%, 25%, and 42% at 6, 12, and 24 months, respectively. Thus, patient factors affecting fistula placement, even when patients are hemodialyzed with a catheter instead, may explain at least two thirds of the </w:t>
      </w:r>
    </w:p>
    <w:p w14:paraId="7A406E91" w14:textId="77777777" w:rsidR="008A5FF0" w:rsidRPr="00336341" w:rsidRDefault="008A5FF0" w:rsidP="008A5FF0">
      <w:pPr>
        <w:ind w:left="720" w:firstLine="0"/>
        <w:rPr>
          <w:color w:val="C00000"/>
        </w:rPr>
      </w:pPr>
      <w:r w:rsidRPr="00336341">
        <w:rPr>
          <w:color w:val="C00000"/>
        </w:rPr>
        <w:t>mortality benefit observed in patients with a fistula.</w:t>
      </w:r>
    </w:p>
    <w:p w14:paraId="14DEA7F7" w14:textId="77777777" w:rsidR="008A5FF0" w:rsidRPr="00336341" w:rsidRDefault="008A5FF0" w:rsidP="008A5FF0">
      <w:pPr>
        <w:ind w:left="720" w:firstLine="0"/>
        <w:rPr>
          <w:color w:val="C00000"/>
        </w:rPr>
      </w:pPr>
    </w:p>
    <w:p w14:paraId="3CDE68CD" w14:textId="77777777" w:rsidR="008A5FF0" w:rsidRPr="00336341" w:rsidRDefault="008A5FF0" w:rsidP="008A5FF0">
      <w:pPr>
        <w:ind w:left="720" w:firstLine="0"/>
        <w:rPr>
          <w:color w:val="C00000"/>
        </w:rPr>
      </w:pPr>
    </w:p>
    <w:p w14:paraId="3B67518C" w14:textId="77777777" w:rsidR="008A5FF0" w:rsidRPr="00336341" w:rsidRDefault="008A5FF0" w:rsidP="008A5FF0">
      <w:pPr>
        <w:pStyle w:val="ListParagraph"/>
        <w:numPr>
          <w:ilvl w:val="0"/>
          <w:numId w:val="16"/>
        </w:numPr>
        <w:rPr>
          <w:color w:val="C00000"/>
        </w:rPr>
      </w:pPr>
      <w:r w:rsidRPr="00336341">
        <w:rPr>
          <w:color w:val="C00000"/>
        </w:rPr>
        <w:t xml:space="preserve">Ravani P, Quinn R, Oliver M, Robinson B, Pisoni R et al. Examining the Association between Hemodialysis Access Type and Mortality: The Role of Access Complications. Clin J Am Soc Nephrol. 2017 Jun 7;12(6):955-964. doi: 10.2215/CJN.12181116. Epub 2017 May 18. </w:t>
      </w:r>
    </w:p>
    <w:p w14:paraId="05B02FDF" w14:textId="77777777" w:rsidR="008A5FF0" w:rsidRPr="00336341" w:rsidRDefault="008A5FF0" w:rsidP="008A5FF0">
      <w:pPr>
        <w:ind w:left="720" w:firstLine="0"/>
        <w:rPr>
          <w:color w:val="C00000"/>
        </w:rPr>
      </w:pPr>
      <w:r w:rsidRPr="00336341">
        <w:rPr>
          <w:color w:val="C00000"/>
        </w:rPr>
        <w:t>BACKGROUND AND OBJECTIVES: People receiving hemodialysis to treat kidney failure need a vascular access (a fistula, a graft, or a central venous catheter) to connect to the blood purification machine. Higher rates of access complications are considered the mechanism responsible for the excess mortality observed among catheter or graft users versus fistula users. We tested this hypothesis using mediation analysis.</w:t>
      </w:r>
    </w:p>
    <w:p w14:paraId="5329207A" w14:textId="77777777" w:rsidR="008A5FF0" w:rsidRPr="00336341" w:rsidRDefault="008A5FF0" w:rsidP="008A5FF0">
      <w:pPr>
        <w:ind w:left="720" w:firstLine="0"/>
        <w:rPr>
          <w:color w:val="C00000"/>
        </w:rPr>
      </w:pPr>
      <w:r w:rsidRPr="00336341">
        <w:rPr>
          <w:color w:val="C00000"/>
        </w:rPr>
        <w:t>DESIGN, SETTING, PARTICIPANTS, &amp; MEASUREMENTS: We studied incident patients who started hemodialysis therapy from North America, Europe, and Australasia (the Dialysis Outcomes and Practice Patterns Study; 1996-2011). We evaluated the association between access type and time to noninfectious (e.g., thrombosis) and infectious complications of the access (mediator model) and the relationship between access type and time-dependent access complications with 6-month mortality from the creation of the first permanent access (outcome model). In mediation analysis, we formally tested whether access complications explain the association between access type and mortality.</w:t>
      </w:r>
    </w:p>
    <w:p w14:paraId="6BCFD770" w14:textId="77777777" w:rsidR="008A5FF0" w:rsidRPr="00336341" w:rsidRDefault="008A5FF0" w:rsidP="008A5FF0">
      <w:pPr>
        <w:ind w:left="720" w:firstLine="0"/>
        <w:rPr>
          <w:color w:val="C00000"/>
        </w:rPr>
      </w:pPr>
      <w:r w:rsidRPr="00336341">
        <w:rPr>
          <w:color w:val="C00000"/>
        </w:rPr>
        <w:t>RESULTS: Of the 6119 adults that we studied (mean age =64 [SD=15] years old; 58%</w:t>
      </w:r>
    </w:p>
    <w:p w14:paraId="1F88CBD7" w14:textId="77777777" w:rsidR="008A5FF0" w:rsidRPr="00336341" w:rsidRDefault="008A5FF0" w:rsidP="008A5FF0">
      <w:pPr>
        <w:ind w:left="720" w:firstLine="0"/>
        <w:rPr>
          <w:color w:val="C00000"/>
        </w:rPr>
      </w:pPr>
      <w:r w:rsidRPr="00336341">
        <w:rPr>
          <w:color w:val="C00000"/>
        </w:rPr>
        <w:t>men; 47% patients with diabetes), 50% had a permanent catheter for vascular access, 37% had a fistula, and 13% had a graft. During the 6-month study follow-up, 2084 participants (34%) developed a noninfectious complication of the access, 542 (8.9%) developed an infectious complication, and 526 (8.6%) died. Access type predicted the occurrence of access complications; both access type and complications predicted mortality. The associations between access type and mortality were nearly identical in models excluding and including access complications (hazard ratio, 2.00; 95% confidence interval, 1.55 to 2.58 versus hazard ratio, 2.01; 95% confidence interval, 1.56 to 2.59 for catheter versus fistula, respectively). In mediation analysis, higher mortality with catheters or grafts versus fistulas was not the result of increased rates of access complications.</w:t>
      </w:r>
    </w:p>
    <w:p w14:paraId="5E00BD29" w14:textId="77777777" w:rsidR="008A5FF0" w:rsidRPr="00336341" w:rsidRDefault="008A5FF0" w:rsidP="008A5FF0">
      <w:pPr>
        <w:ind w:left="720" w:firstLine="0"/>
        <w:rPr>
          <w:color w:val="C00000"/>
        </w:rPr>
      </w:pPr>
      <w:r w:rsidRPr="00336341">
        <w:rPr>
          <w:color w:val="C00000"/>
        </w:rPr>
        <w:t>CONCLUSIONS: Hemodialysis access complications do not seem to explain the association between access type and mortality. Clinical trials are needed to clarify whether these associations are causal or reflect confounding by underlying disease severity.</w:t>
      </w:r>
    </w:p>
    <w:p w14:paraId="5D65C7BA" w14:textId="77777777" w:rsidR="008A5FF0" w:rsidRPr="00336341" w:rsidRDefault="008A5FF0" w:rsidP="008A5FF0">
      <w:pPr>
        <w:ind w:left="720" w:firstLine="0"/>
        <w:rPr>
          <w:color w:val="C00000"/>
        </w:rPr>
      </w:pPr>
    </w:p>
    <w:p w14:paraId="24AC11C0" w14:textId="77777777" w:rsidR="008A5FF0" w:rsidRPr="00336341" w:rsidRDefault="008A5FF0" w:rsidP="008A5FF0">
      <w:pPr>
        <w:ind w:left="720" w:firstLine="0"/>
        <w:rPr>
          <w:color w:val="C00000"/>
        </w:rPr>
      </w:pPr>
    </w:p>
    <w:p w14:paraId="7831AACB" w14:textId="77777777" w:rsidR="008A5FF0" w:rsidRPr="00336341" w:rsidRDefault="008A5FF0" w:rsidP="008A5FF0">
      <w:pPr>
        <w:pStyle w:val="ListParagraph"/>
        <w:numPr>
          <w:ilvl w:val="0"/>
          <w:numId w:val="16"/>
        </w:numPr>
        <w:rPr>
          <w:color w:val="C00000"/>
        </w:rPr>
      </w:pPr>
      <w:r w:rsidRPr="00336341">
        <w:rPr>
          <w:color w:val="C00000"/>
        </w:rPr>
        <w:t>Quinn RR, Oliver MJ, Devoe D, Poinen K, Kabani R, et al. J Am Soc Nephrol. 2017 Feb;28(2):613-620. doi: 10.1681/ASN.2016020151. Epub 2016 Oct 6. The Effect of Predialysis Fistula Attempt on Risk of All-Cause and Access-Related Death.</w:t>
      </w:r>
    </w:p>
    <w:p w14:paraId="247228DB" w14:textId="77777777" w:rsidR="008A5FF0" w:rsidRPr="00336341" w:rsidRDefault="008A5FF0" w:rsidP="008A5FF0">
      <w:pPr>
        <w:ind w:left="720" w:firstLine="0"/>
        <w:rPr>
          <w:color w:val="C00000"/>
        </w:rPr>
      </w:pPr>
      <w:r w:rsidRPr="00336341">
        <w:rPr>
          <w:color w:val="C00000"/>
        </w:rPr>
        <w:t>Whether the lower risk of mortality associated with arteriovenous fistula use in hemodialysis patients is due to the avoidance of catheters or if healthier patients are simply more likely to have fistulas placed is unknown. To provide clarification, we determined the proportion of access-related deaths in a retrospective cohort study of patients aged ≥18 years who initiated hemodialysis between 2004 and 2012 at five Canadian dialysis programs. A total of 3168 patients initiated dialysis at the participating centers; 2300 met our inclusion criteria. Two investigators independently adjudicated cause of death using explicit criteria and determined whether a death was access-related. We observed significantly lower mortality in individuals who underwent a predialysis fistula attempt than in those without a predialysis fistula attempt in patients aged &lt;65 years (hazard ratio [HR], 0.49; 95% confidence interval [95% CI], 0.29 to 0.82) and in the first 2 years of follow-up in those aged ≥65 years (HR0-24 months, 0.60; 95% CI, 0.43 to 0.84; HR24+ months, 1.83; 95% CI, 1.25 to 2.67). Sudden deaths that occurred out of hospital accounted for most of the deaths, followed by deaths due to cardiovascular disease and infectious complications. We found only 2.3% of deaths to be access-related. In conclusion, predialysis fistula attempt may associate with a lower risk of mortality. However, the excess mortality observe in patients treated with catheters does not appear to be due to direct, access-related complications but is likely the result of residual confounding, unmeasured comorbidity, or treatment selection bias.</w:t>
      </w:r>
    </w:p>
    <w:p w14:paraId="4A961DD1" w14:textId="77777777" w:rsidR="008A5FF0" w:rsidRPr="00336341" w:rsidRDefault="008A5FF0" w:rsidP="008A5FF0">
      <w:pPr>
        <w:ind w:left="720" w:firstLine="0"/>
        <w:rPr>
          <w:color w:val="C00000"/>
        </w:rPr>
      </w:pPr>
    </w:p>
    <w:p w14:paraId="7C02C6F8" w14:textId="77777777" w:rsidR="008A5FF0" w:rsidRPr="00336341" w:rsidRDefault="008A5FF0" w:rsidP="008A5FF0">
      <w:pPr>
        <w:ind w:left="720" w:firstLine="0"/>
        <w:rPr>
          <w:color w:val="C00000"/>
        </w:rPr>
      </w:pPr>
    </w:p>
    <w:p w14:paraId="11981574" w14:textId="77777777" w:rsidR="008A5FF0" w:rsidRPr="00336341" w:rsidRDefault="008A5FF0" w:rsidP="008A5FF0">
      <w:pPr>
        <w:pStyle w:val="ListParagraph"/>
        <w:numPr>
          <w:ilvl w:val="0"/>
          <w:numId w:val="16"/>
        </w:numPr>
        <w:rPr>
          <w:color w:val="C00000"/>
        </w:rPr>
      </w:pPr>
      <w:r w:rsidRPr="00336341">
        <w:rPr>
          <w:color w:val="C00000"/>
        </w:rPr>
        <w:t xml:space="preserve">Thamer M, Lee TC, Wasse H, Glickman MH, Qian J, et al.  Medicare Costs Associated With Arteriovenous Fistulas Among US Hemodialysis Patients. Am J Kidney Dis. 2018 Jul;72(1):10-18. doi: 10.1053/j.ajkd.2018.01.034. Epub 2018 Mar 28. </w:t>
      </w:r>
    </w:p>
    <w:p w14:paraId="127BB246" w14:textId="77777777" w:rsidR="008A5FF0" w:rsidRPr="00336341" w:rsidRDefault="008A5FF0" w:rsidP="008A5FF0">
      <w:pPr>
        <w:ind w:left="720" w:firstLine="0"/>
        <w:rPr>
          <w:color w:val="C00000"/>
        </w:rPr>
      </w:pPr>
      <w:r w:rsidRPr="00336341">
        <w:rPr>
          <w:color w:val="C00000"/>
        </w:rPr>
        <w:t>BACKGROUND: An arteriovenous fistula (AVF) is the recommended vascular access for hemodialysis (HD). Previous studies have not examined the resources and costs associated with creating and maintaining AVFs.</w:t>
      </w:r>
    </w:p>
    <w:p w14:paraId="2E72E493" w14:textId="77777777" w:rsidR="008A5FF0" w:rsidRPr="00336341" w:rsidRDefault="008A5FF0" w:rsidP="008A5FF0">
      <w:pPr>
        <w:ind w:left="720" w:firstLine="0"/>
        <w:rPr>
          <w:color w:val="C00000"/>
        </w:rPr>
      </w:pPr>
      <w:r w:rsidRPr="00336341">
        <w:rPr>
          <w:color w:val="C00000"/>
        </w:rPr>
        <w:t>STUDY DESIGN: Retrospective observational study.</w:t>
      </w:r>
    </w:p>
    <w:p w14:paraId="08B79746" w14:textId="77777777" w:rsidR="008A5FF0" w:rsidRPr="00336341" w:rsidRDefault="008A5FF0" w:rsidP="008A5FF0">
      <w:pPr>
        <w:ind w:left="720" w:firstLine="0"/>
        <w:rPr>
          <w:color w:val="C00000"/>
        </w:rPr>
      </w:pPr>
      <w:r w:rsidRPr="00336341">
        <w:rPr>
          <w:color w:val="C00000"/>
        </w:rPr>
        <w:t>SETTING &amp; PARTICIPANTS: Elderly US Medicare patients initiating hemodialysis therapy during 2010 to 2011.</w:t>
      </w:r>
    </w:p>
    <w:p w14:paraId="063310EE" w14:textId="77777777" w:rsidR="008A5FF0" w:rsidRPr="00336341" w:rsidRDefault="008A5FF0" w:rsidP="008A5FF0">
      <w:pPr>
        <w:ind w:left="720" w:firstLine="0"/>
        <w:rPr>
          <w:color w:val="C00000"/>
        </w:rPr>
      </w:pPr>
      <w:r w:rsidRPr="00336341">
        <w:rPr>
          <w:color w:val="C00000"/>
        </w:rPr>
        <w:t>PREDICTOR: AVF primary and secondary patency and nonuse in the first year following AVF creation.</w:t>
      </w:r>
    </w:p>
    <w:p w14:paraId="701D2C49" w14:textId="77777777" w:rsidR="008A5FF0" w:rsidRPr="00336341" w:rsidRDefault="008A5FF0" w:rsidP="008A5FF0">
      <w:pPr>
        <w:ind w:left="720" w:firstLine="0"/>
        <w:rPr>
          <w:color w:val="C00000"/>
        </w:rPr>
      </w:pPr>
      <w:r w:rsidRPr="00336341">
        <w:rPr>
          <w:color w:val="C00000"/>
        </w:rPr>
        <w:t>OUTCOMES: Annualized vascular access costs per patient per year.</w:t>
      </w:r>
    </w:p>
    <w:p w14:paraId="2A38E4B5" w14:textId="77777777" w:rsidR="008A5FF0" w:rsidRPr="00336341" w:rsidRDefault="008A5FF0" w:rsidP="008A5FF0">
      <w:pPr>
        <w:ind w:left="720" w:firstLine="0"/>
        <w:rPr>
          <w:color w:val="C00000"/>
        </w:rPr>
      </w:pPr>
      <w:r w:rsidRPr="00336341">
        <w:rPr>
          <w:color w:val="C00000"/>
        </w:rPr>
        <w:t xml:space="preserve">RESULTS: Among patients with only a catheter at HD therapy initiation, only 54% of AVFs were successfully used for HD, 10% were used but experienced secondary patency loss within 1 year of creation, and 83% experienced primary patency loss within 1 year of creation. Mean vascular access costs per patient per year in the 2.5 years after AVF creation were $7,871 for AVFs that maintained primary patency in year 1, $13,282 for AVFs that experienced primary patency loss in year 1, $17,808 for AVFs that experienced secondary patency loss in year 1, and $31,630 for AVFs that were not used. Similar patterns were seen among patients with a mature AVF at HD therapy initiation and patients with a catheter and maturing AVF at HD therapy initiation. Overall, in 2013, fee-for-service Medicare paid $2.8 billion for dialysis vascular access-related services, </w:t>
      </w:r>
      <w:r w:rsidRPr="00336341">
        <w:rPr>
          <w:rFonts w:ascii="Cambria Math" w:hAnsi="Cambria Math" w:cs="Cambria Math"/>
          <w:color w:val="C00000"/>
        </w:rPr>
        <w:t>∼</w:t>
      </w:r>
      <w:r w:rsidRPr="00336341">
        <w:rPr>
          <w:color w:val="C00000"/>
        </w:rPr>
        <w:t>12% of all end-stage renal disease payments.</w:t>
      </w:r>
    </w:p>
    <w:p w14:paraId="63AAB4B7" w14:textId="77777777" w:rsidR="008A5FF0" w:rsidRPr="00336341" w:rsidRDefault="008A5FF0" w:rsidP="008A5FF0">
      <w:pPr>
        <w:ind w:left="720" w:firstLine="0"/>
        <w:rPr>
          <w:color w:val="C00000"/>
        </w:rPr>
      </w:pPr>
      <w:r w:rsidRPr="00336341">
        <w:rPr>
          <w:color w:val="C00000"/>
        </w:rPr>
        <w:t>LIMITATIONS: Lack of granularity with certain billing codes.</w:t>
      </w:r>
    </w:p>
    <w:p w14:paraId="26E3BCD4" w14:textId="77777777" w:rsidR="008A5FF0" w:rsidRPr="00336341" w:rsidRDefault="008A5FF0" w:rsidP="008A5FF0">
      <w:pPr>
        <w:ind w:left="720" w:firstLine="0"/>
        <w:rPr>
          <w:color w:val="C00000"/>
        </w:rPr>
      </w:pPr>
      <w:r w:rsidRPr="00336341">
        <w:rPr>
          <w:color w:val="C00000"/>
        </w:rPr>
        <w:t>CONCLUSIONS: AVF failure in the first year after creation is common and results in substantially higher health care costs. Compared with patients whose AVFs maintained primary patency, vascular access costs were 2 to 3 times higher for patients whose AVFs experienced primary or secondary patency loss and 4 times higher for patients who never used their AVFs. There is a need to improve AVF outcomes and reduce costs after AVF creation.</w:t>
      </w:r>
    </w:p>
    <w:p w14:paraId="09CFDD85" w14:textId="77777777" w:rsidR="008A5FF0" w:rsidRPr="00336341" w:rsidRDefault="008A5FF0" w:rsidP="008A5FF0">
      <w:pPr>
        <w:ind w:left="720" w:firstLine="0"/>
        <w:rPr>
          <w:color w:val="C00000"/>
        </w:rPr>
      </w:pPr>
    </w:p>
    <w:p w14:paraId="0671FC41" w14:textId="77777777" w:rsidR="008A5FF0" w:rsidRPr="00336341" w:rsidRDefault="008A5FF0" w:rsidP="008A5FF0">
      <w:pPr>
        <w:ind w:left="720" w:firstLine="0"/>
        <w:rPr>
          <w:color w:val="C00000"/>
        </w:rPr>
      </w:pPr>
    </w:p>
    <w:p w14:paraId="5DE70149" w14:textId="77777777" w:rsidR="008A5FF0" w:rsidRPr="00336341" w:rsidRDefault="008A5FF0" w:rsidP="008A5FF0">
      <w:pPr>
        <w:pStyle w:val="ListParagraph"/>
        <w:numPr>
          <w:ilvl w:val="0"/>
          <w:numId w:val="16"/>
        </w:numPr>
        <w:rPr>
          <w:color w:val="C00000"/>
        </w:rPr>
      </w:pPr>
      <w:r w:rsidRPr="00336341">
        <w:rPr>
          <w:color w:val="C00000"/>
        </w:rPr>
        <w:t>Andrea K Viecelli, Allison Tong, Emma O'Lone, Angela Ju, Camilla S Hanson, et al for the SONG-HD Vascular Access Workshop Investigators. Report of the Standardized Outcomes in Nephrology-Hemodialysis (SONG-HD) Consensus Workshop on Establishing a Core Outcome Measure for Hemodialysis Vascular Access Am J Kidney Dis. 71 (5), 690-700 May 2018.</w:t>
      </w:r>
    </w:p>
    <w:p w14:paraId="022925CA" w14:textId="77777777" w:rsidR="008A5FF0" w:rsidRPr="00336341" w:rsidRDefault="008A5FF0" w:rsidP="008A5FF0">
      <w:pPr>
        <w:ind w:left="720" w:firstLine="0"/>
        <w:rPr>
          <w:color w:val="C00000"/>
        </w:rPr>
      </w:pPr>
      <w:r w:rsidRPr="00336341">
        <w:rPr>
          <w:color w:val="C00000"/>
        </w:rPr>
        <w:t>Vascular access outcomes in hemodialysis are critically important for patients and clinicians, but frequently are neither patient relevant nor measured consistently in randomized trials. A Standardized Outcomes in Nephrology-Hemodialysis (SONG-HD) consensus workshop was convened to discuss the development of a core outcome measure for vascular access. 13 patients/caregivers and 46 professionals (clinicians, policy makers, industry representatives, and researchers) attended. Participants advocated for vascular access function to be a core outcome based on the broad applicability of function regardless of access type, involvement of a multidisciplinary team in achieving a functioning access, and the impact of access function on quality of life, survival, and other access-related outcomes. A core outcome measure for vascular access required demonstrable feasibility for implementation across different clinical and trial settings. Participants advocated for a practical and flexible outcome measure with a simple actionable definition. Integrating patients' values and preferences was warranted to enhance the relevance of the measure. Proposed outcome measures for function included "uninterrupted use of the access without the need for interventions" and "ability to receive prescribed dialysis," but not "access blood flow," which was deemed too expensive and unreliable. These recommendations will inform the definition and implementation of a core outcome measure for vascular access function in hemodialysis trials.</w:t>
      </w:r>
    </w:p>
    <w:p w14:paraId="7F9B68CE" w14:textId="77777777" w:rsidR="008A5FF0" w:rsidRDefault="008A5FF0" w:rsidP="008A5FF0">
      <w:pPr>
        <w:ind w:left="720" w:firstLine="0"/>
      </w:pPr>
    </w:p>
    <w:p w14:paraId="3368F1B5" w14:textId="77777777" w:rsidR="008A5FF0" w:rsidRDefault="008A5FF0" w:rsidP="002E2177">
      <w:pPr>
        <w:ind w:left="0" w:firstLine="0"/>
        <w:rPr>
          <w:rFonts w:ascii="Calibri" w:eastAsia="Calibri" w:hAnsi="Calibri" w:cs="Times New Roman"/>
        </w:rPr>
      </w:pPr>
    </w:p>
    <w:p w14:paraId="0BA6B740" w14:textId="77B74F35" w:rsidR="008A5FF0" w:rsidRPr="00336341" w:rsidRDefault="00336341" w:rsidP="002E2177">
      <w:pPr>
        <w:ind w:left="0" w:firstLine="0"/>
        <w:rPr>
          <w:rFonts w:ascii="Calibri" w:eastAsia="Calibri" w:hAnsi="Calibri" w:cs="Times New Roman"/>
          <w:b/>
          <w:u w:val="single"/>
        </w:rPr>
      </w:pPr>
      <w:r>
        <w:rPr>
          <w:rFonts w:ascii="Calibri" w:eastAsia="Calibri" w:hAnsi="Calibri" w:cs="Times New Roman"/>
          <w:b/>
          <w:u w:val="single"/>
        </w:rPr>
        <w:t>2016</w:t>
      </w:r>
      <w:r w:rsidR="008A5FF0" w:rsidRPr="00336341">
        <w:rPr>
          <w:rFonts w:ascii="Calibri" w:eastAsia="Calibri" w:hAnsi="Calibri" w:cs="Times New Roman"/>
          <w:b/>
          <w:u w:val="single"/>
        </w:rPr>
        <w:t xml:space="preserve"> Submission</w:t>
      </w: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2718"/>
        <w:gridCol w:w="6632"/>
      </w:tblGrid>
      <w:tr w:rsidR="00AB4ECE" w14:paraId="55B8DA76" w14:textId="77777777" w:rsidTr="00CD78BC">
        <w:tc>
          <w:tcPr>
            <w:tcW w:w="305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6295" w:type="dxa"/>
          </w:tcPr>
          <w:p w14:paraId="424886F2" w14:textId="77777777" w:rsidR="00CD78BC" w:rsidRPr="002536EA" w:rsidRDefault="00CD78BC" w:rsidP="00CD78BC">
            <w:pPr>
              <w:ind w:left="0" w:firstLine="0"/>
            </w:pPr>
            <w:r w:rsidRPr="002536EA">
              <w:t>National Kidney Foundation KDOQI Clinical Practice Guidelines and Clinical Practice Recommendations for 2006 Updates: Hemodialysis Adequacy, Peritoneal Dialysis Adequacy and Vascular Access. Am J Kidney Dis 48:S1-S322, 2006 (suppl 1).</w:t>
            </w:r>
          </w:p>
          <w:p w14:paraId="736DCA07" w14:textId="77777777" w:rsidR="00CD78BC" w:rsidRPr="002536EA" w:rsidRDefault="00CD78BC" w:rsidP="00CD78BC">
            <w:pPr>
              <w:ind w:left="0" w:firstLine="0"/>
              <w:rPr>
                <w:color w:val="0000FF"/>
              </w:rPr>
            </w:pPr>
          </w:p>
          <w:p w14:paraId="55EC5FC2" w14:textId="77777777" w:rsidR="00CD78BC" w:rsidRPr="002536EA" w:rsidRDefault="009B3F4A" w:rsidP="00CD78BC">
            <w:pPr>
              <w:ind w:left="0" w:firstLine="0"/>
              <w:rPr>
                <w:color w:val="0000FF"/>
              </w:rPr>
            </w:pPr>
            <w:hyperlink r:id="rId18" w:history="1">
              <w:r w:rsidR="00CD78BC" w:rsidRPr="002536EA">
                <w:rPr>
                  <w:rStyle w:val="Hyperlink"/>
                </w:rPr>
                <w:t>http://www.kidney.org/professionals/KDOQI/guidelines_commentaries</w:t>
              </w:r>
            </w:hyperlink>
            <w:r w:rsidR="00CD78BC" w:rsidRPr="002536EA">
              <w:rPr>
                <w:color w:val="0000FF"/>
              </w:rPr>
              <w:t xml:space="preserve">  </w:t>
            </w:r>
          </w:p>
          <w:p w14:paraId="55B8DA75" w14:textId="77777777" w:rsidR="00AB4ECE" w:rsidRPr="00AB4ECE" w:rsidRDefault="00AB4ECE" w:rsidP="002E2177">
            <w:pPr>
              <w:ind w:left="0" w:firstLine="0"/>
              <w:rPr>
                <w:b/>
              </w:rPr>
            </w:pPr>
          </w:p>
        </w:tc>
      </w:tr>
      <w:tr w:rsidR="00AB4ECE" w14:paraId="55B8DA79" w14:textId="77777777" w:rsidTr="00CD78BC">
        <w:tc>
          <w:tcPr>
            <w:tcW w:w="3055"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6295" w:type="dxa"/>
          </w:tcPr>
          <w:p w14:paraId="0FCF78FF" w14:textId="77777777" w:rsidR="00CD78BC" w:rsidRPr="002536EA" w:rsidRDefault="00CD78BC" w:rsidP="00CD78BC">
            <w:pPr>
              <w:spacing w:after="200" w:line="276" w:lineRule="auto"/>
              <w:ind w:left="0" w:firstLine="0"/>
              <w:rPr>
                <w:szCs w:val="20"/>
              </w:rPr>
            </w:pPr>
            <w:r w:rsidRPr="002536EA">
              <w:rPr>
                <w:szCs w:val="20"/>
              </w:rPr>
              <w:t>GUIDELINE 2.  SELECTION AND PLACEMENT OF HEMODIALYSIS ACCESS</w:t>
            </w:r>
          </w:p>
          <w:p w14:paraId="25618E1A" w14:textId="77777777" w:rsidR="00CD78BC" w:rsidRPr="002536EA" w:rsidRDefault="00CD78BC" w:rsidP="00CD78BC">
            <w:pPr>
              <w:spacing w:after="200" w:line="276" w:lineRule="auto"/>
              <w:ind w:left="0" w:firstLine="0"/>
              <w:rPr>
                <w:szCs w:val="20"/>
              </w:rPr>
            </w:pPr>
            <w:r w:rsidRPr="002536EA">
              <w:rPr>
                <w:szCs w:val="20"/>
              </w:rPr>
              <w:t>A structured approach to the type and location of long-term HD accesses should help optimize access survival and minimize complications. Options for fistula placement should be considered first, followed by prosthetic grafts if fistula placement is not possible. Catheters should be avoided for HD and used only when other options listed are not available.</w:t>
            </w:r>
          </w:p>
          <w:p w14:paraId="2A954F84" w14:textId="77777777" w:rsidR="00CD78BC" w:rsidRPr="002536EA" w:rsidRDefault="00CD78BC" w:rsidP="00CD78BC">
            <w:pPr>
              <w:spacing w:after="200" w:line="276" w:lineRule="auto"/>
              <w:ind w:left="0" w:firstLine="0"/>
              <w:rPr>
                <w:szCs w:val="20"/>
              </w:rPr>
            </w:pPr>
            <w:r w:rsidRPr="002536EA">
              <w:rPr>
                <w:szCs w:val="20"/>
              </w:rPr>
              <w:t>2.1 The order of preference for placement of fistulae in patients with kidney failure who choose HD as their initial mode of KRT should be (in descending order of preference):</w:t>
            </w:r>
          </w:p>
          <w:p w14:paraId="3D184D26" w14:textId="77777777" w:rsidR="00CD78BC" w:rsidRPr="002536EA" w:rsidRDefault="00CD78BC" w:rsidP="00CD78BC">
            <w:pPr>
              <w:spacing w:after="200" w:line="276" w:lineRule="auto"/>
              <w:ind w:left="720" w:firstLine="0"/>
              <w:rPr>
                <w:szCs w:val="20"/>
              </w:rPr>
            </w:pPr>
            <w:r w:rsidRPr="002536EA">
              <w:rPr>
                <w:szCs w:val="20"/>
              </w:rPr>
              <w:t>2.1.1 Preferred: Fistulae. (B)</w:t>
            </w:r>
          </w:p>
          <w:p w14:paraId="68548E9B" w14:textId="77777777" w:rsidR="00CD78BC" w:rsidRPr="002536EA" w:rsidRDefault="00CD78BC" w:rsidP="00CD78BC">
            <w:pPr>
              <w:spacing w:after="200" w:line="276" w:lineRule="auto"/>
              <w:ind w:left="720" w:firstLine="0"/>
              <w:rPr>
                <w:szCs w:val="20"/>
              </w:rPr>
            </w:pPr>
            <w:r w:rsidRPr="002536EA">
              <w:rPr>
                <w:szCs w:val="20"/>
              </w:rPr>
              <w:t>2.1.2 Acceptable: AVG of synthetic or biological material.  (B)</w:t>
            </w:r>
          </w:p>
          <w:p w14:paraId="0EEFCE6B" w14:textId="77777777" w:rsidR="00CD78BC" w:rsidRPr="002536EA" w:rsidRDefault="00CD78BC" w:rsidP="00CD78BC">
            <w:pPr>
              <w:spacing w:after="200" w:line="276" w:lineRule="auto"/>
              <w:ind w:left="720" w:firstLine="0"/>
              <w:rPr>
                <w:szCs w:val="20"/>
              </w:rPr>
            </w:pPr>
            <w:r w:rsidRPr="002536EA">
              <w:rPr>
                <w:szCs w:val="20"/>
              </w:rPr>
              <w:t>2.1.3 Avoid if possible: Long-term catheters. (B)</w:t>
            </w:r>
          </w:p>
          <w:p w14:paraId="20CE86E3" w14:textId="77777777" w:rsidR="00CD78BC" w:rsidRPr="002536EA" w:rsidRDefault="00CD78BC" w:rsidP="00CD78BC">
            <w:pPr>
              <w:spacing w:after="200" w:line="276" w:lineRule="auto"/>
              <w:ind w:left="720" w:firstLine="0"/>
              <w:rPr>
                <w:rFonts w:ascii="Calibri" w:eastAsia="SimSun" w:hAnsi="Calibri" w:cs="Times New Roman"/>
                <w:sz w:val="24"/>
                <w:szCs w:val="24"/>
              </w:rPr>
            </w:pPr>
            <w:r w:rsidRPr="002536EA">
              <w:rPr>
                <w:szCs w:val="20"/>
              </w:rPr>
              <w:t>2.1.4 Patients should be considered for construction of a primary fistula</w:t>
            </w:r>
            <w:r>
              <w:rPr>
                <w:szCs w:val="20"/>
              </w:rPr>
              <w:t xml:space="preserve"> </w:t>
            </w:r>
            <w:r w:rsidRPr="002536EA">
              <w:rPr>
                <w:szCs w:val="20"/>
              </w:rPr>
              <w:t>after failure of every dialysis AV access. (B)</w:t>
            </w:r>
          </w:p>
          <w:p w14:paraId="55B8DA78" w14:textId="77777777" w:rsidR="00AB4ECE" w:rsidRDefault="00AB4ECE" w:rsidP="002E2177">
            <w:pPr>
              <w:ind w:left="0" w:firstLine="0"/>
            </w:pPr>
          </w:p>
        </w:tc>
      </w:tr>
      <w:tr w:rsidR="00AB4ECE" w14:paraId="55B8DA7C" w14:textId="77777777" w:rsidTr="00CD78BC">
        <w:tc>
          <w:tcPr>
            <w:tcW w:w="3055"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6295" w:type="dxa"/>
          </w:tcPr>
          <w:p w14:paraId="7F484788" w14:textId="77777777" w:rsidR="00CD78BC" w:rsidRDefault="00CD78BC" w:rsidP="00CD78BC">
            <w:pPr>
              <w:ind w:left="0" w:firstLine="0"/>
            </w:pPr>
            <w:r w:rsidRPr="002536EA">
              <w:t xml:space="preserve">The quality of evidence was not explicitly graded in the KDOQI guidelines.  However, it was implicitly assessed according to the criteria outlined in the table in 1a.7.3 below.  The workgroup considered the overall methodological quality, the target population (e.g. patients on dialysis), and whether the health outcome was studied directly or not.  </w:t>
            </w:r>
          </w:p>
          <w:p w14:paraId="12ED1BD4" w14:textId="77777777" w:rsidR="00CD78BC" w:rsidRPr="002536EA" w:rsidRDefault="00CD78BC" w:rsidP="00CD78BC">
            <w:pPr>
              <w:ind w:left="0" w:firstLine="0"/>
            </w:pPr>
          </w:p>
          <w:p w14:paraId="2D514B64" w14:textId="77777777" w:rsidR="00CD78BC" w:rsidRDefault="00CD78BC" w:rsidP="00CD78BC">
            <w:pPr>
              <w:ind w:left="0" w:firstLine="0"/>
            </w:pPr>
            <w:r w:rsidRPr="002536EA">
              <w:t xml:space="preserve">Overall, the evidence that supports the guideline was assessed as: Moderately Strong.  </w:t>
            </w:r>
          </w:p>
          <w:p w14:paraId="22C5F7B9" w14:textId="77777777" w:rsidR="00CD78BC" w:rsidRPr="002536EA" w:rsidRDefault="00CD78BC" w:rsidP="00CD78BC">
            <w:pPr>
              <w:ind w:left="0" w:firstLine="0"/>
            </w:pPr>
          </w:p>
          <w:p w14:paraId="1FBD371F" w14:textId="77777777" w:rsidR="00CD78BC" w:rsidRPr="002536EA" w:rsidRDefault="00CD78BC" w:rsidP="00CD78BC">
            <w:pPr>
              <w:ind w:left="0" w:firstLine="0"/>
            </w:pPr>
            <w:r w:rsidRPr="002536EA">
              <w:t>The workgroup defined “Moderately Strong” as: Evidence is sufficient to determine effects on health outcomes in the target population, but the strength of the evidence is limited by the number, quality, or consistency of the individual studies;  OR evidence is from studies with some problems in design and/or analysis; OR evidence is from well-designed, well-conducted studies on surrogate endpoints for efficacy and/or safety in the target population.</w:t>
            </w:r>
          </w:p>
          <w:p w14:paraId="55B8DA7B" w14:textId="6B037910" w:rsidR="00AB4ECE" w:rsidRDefault="00AB4ECE" w:rsidP="002E2177">
            <w:pPr>
              <w:ind w:left="0" w:firstLine="0"/>
            </w:pPr>
          </w:p>
        </w:tc>
      </w:tr>
      <w:tr w:rsidR="00AB4ECE" w14:paraId="55B8DA7F" w14:textId="77777777" w:rsidTr="00CD78BC">
        <w:tc>
          <w:tcPr>
            <w:tcW w:w="3055" w:type="dxa"/>
          </w:tcPr>
          <w:p w14:paraId="55B8DA7D" w14:textId="77777777" w:rsidR="00AB4ECE" w:rsidRDefault="00AB4ECE" w:rsidP="00E42FAA">
            <w:pPr>
              <w:ind w:left="0" w:firstLine="0"/>
            </w:pPr>
            <w:r>
              <w:t>Provide all other grades and definitions from the evidence grading system</w:t>
            </w:r>
          </w:p>
        </w:tc>
        <w:tc>
          <w:tcPr>
            <w:tcW w:w="6295" w:type="dxa"/>
          </w:tcPr>
          <w:p w14:paraId="55B8DA7E" w14:textId="1C659D1C" w:rsidR="00AB4ECE" w:rsidRDefault="00CD78BC" w:rsidP="002E2177">
            <w:pPr>
              <w:ind w:left="0" w:firstLine="0"/>
            </w:pPr>
            <w:r>
              <w:t>(included at end of Evidence form)</w:t>
            </w:r>
          </w:p>
        </w:tc>
      </w:tr>
      <w:tr w:rsidR="00AB4ECE" w14:paraId="55B8DA82" w14:textId="77777777" w:rsidTr="00CD78BC">
        <w:tc>
          <w:tcPr>
            <w:tcW w:w="3055"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6295" w:type="dxa"/>
          </w:tcPr>
          <w:p w14:paraId="4B72AA3C" w14:textId="77777777" w:rsidR="00CD78BC" w:rsidRPr="002536EA" w:rsidRDefault="00CD78BC" w:rsidP="00CD78BC">
            <w:pPr>
              <w:ind w:left="0" w:firstLine="0"/>
            </w:pPr>
            <w:r w:rsidRPr="002536EA">
              <w:t>KDOQI Guideline 2.1 was graded B, indicating moderate evidence supports the guideline.</w:t>
            </w:r>
          </w:p>
          <w:p w14:paraId="08F9AEB2" w14:textId="77777777" w:rsidR="00CD78BC" w:rsidRDefault="00CD78BC" w:rsidP="00CD78BC">
            <w:pPr>
              <w:ind w:left="0" w:firstLine="0"/>
            </w:pPr>
            <w:r w:rsidRPr="002536EA">
              <w:t>The “B” rating indicates: It is recommended that clinicians routinely follow the guideline for eligible patients. There is moderately strong evidence that the practice improves health outcomes.</w:t>
            </w:r>
          </w:p>
          <w:p w14:paraId="55B8DA81" w14:textId="77777777" w:rsidR="00AB4ECE" w:rsidRDefault="00AB4ECE" w:rsidP="002E2177">
            <w:pPr>
              <w:ind w:left="0" w:firstLine="0"/>
            </w:pPr>
          </w:p>
        </w:tc>
      </w:tr>
      <w:tr w:rsidR="00AB4ECE" w14:paraId="55B8DA85" w14:textId="77777777" w:rsidTr="00CD78BC">
        <w:tc>
          <w:tcPr>
            <w:tcW w:w="3055" w:type="dxa"/>
          </w:tcPr>
          <w:p w14:paraId="55B8DA83" w14:textId="77777777" w:rsidR="00AB4ECE" w:rsidRDefault="00AB4ECE" w:rsidP="00E42FAA">
            <w:pPr>
              <w:ind w:left="0" w:firstLine="0"/>
            </w:pPr>
            <w:r>
              <w:t>Provide all other grades and definitions from the recommendation grading system</w:t>
            </w:r>
          </w:p>
        </w:tc>
        <w:tc>
          <w:tcPr>
            <w:tcW w:w="6295" w:type="dxa"/>
          </w:tcPr>
          <w:p w14:paraId="775810CB" w14:textId="77777777" w:rsidR="00CD78BC" w:rsidRDefault="00CD78BC" w:rsidP="00CD78BC">
            <w:pPr>
              <w:ind w:left="0" w:firstLine="0"/>
            </w:pPr>
            <w:r w:rsidRPr="002536EA">
              <w:t>The rating system defined in the KDOQI Guidelines was used to grade the strength of the Guideline recommendation. KDOQI defined grades as follows:</w:t>
            </w:r>
          </w:p>
          <w:p w14:paraId="088938E1" w14:textId="77777777" w:rsidR="00CD78BC" w:rsidRPr="002536EA" w:rsidRDefault="00CD78BC" w:rsidP="00CD78BC">
            <w:pPr>
              <w:ind w:left="0" w:firstLine="0"/>
            </w:pPr>
          </w:p>
          <w:p w14:paraId="1357D068" w14:textId="77777777" w:rsidR="00CD78BC" w:rsidRDefault="00CD78BC" w:rsidP="00CD78BC">
            <w:pPr>
              <w:ind w:left="0" w:firstLine="0"/>
            </w:pPr>
            <w:r w:rsidRPr="002536EA">
              <w:t>Grade A: It is strongly recommended that clinicians routinely follow the guideline for eligible patients. There is strong evidence that the practice improves health outcomes.</w:t>
            </w:r>
          </w:p>
          <w:p w14:paraId="2AE2CFE4" w14:textId="77777777" w:rsidR="00CD78BC" w:rsidRPr="002536EA" w:rsidRDefault="00CD78BC" w:rsidP="00CD78BC">
            <w:pPr>
              <w:ind w:left="0" w:firstLine="0"/>
            </w:pPr>
          </w:p>
          <w:p w14:paraId="5A4E3AD0" w14:textId="77777777" w:rsidR="00CD78BC" w:rsidRDefault="00CD78BC" w:rsidP="00CD78BC">
            <w:pPr>
              <w:ind w:left="0" w:firstLine="0"/>
            </w:pPr>
            <w:r w:rsidRPr="002536EA">
              <w:t>Grade B: It is recommended that clinicians routinely follow the guideline for eligible patients. There is moderately strong evidence that the practice improves health outcomes.</w:t>
            </w:r>
          </w:p>
          <w:p w14:paraId="0633275D" w14:textId="77777777" w:rsidR="00CD78BC" w:rsidRPr="002536EA" w:rsidRDefault="00CD78BC" w:rsidP="00CD78BC">
            <w:pPr>
              <w:ind w:left="0" w:firstLine="0"/>
            </w:pPr>
          </w:p>
          <w:p w14:paraId="7379E08A" w14:textId="77777777" w:rsidR="00CD78BC" w:rsidRPr="002536EA" w:rsidRDefault="00CD78BC" w:rsidP="00CD78BC">
            <w:pPr>
              <w:ind w:left="0" w:firstLine="0"/>
            </w:pPr>
            <w:r w:rsidRPr="002536EA">
              <w:t>Grade CPR: It is recommended that clinicians consider following the guideline for eligible patients. This recommendation is based on either weak evidence or on the opinions of the Work Group and reviewers that the practice might improve health outcomes.</w:t>
            </w:r>
          </w:p>
          <w:p w14:paraId="55B8DA84" w14:textId="77777777" w:rsidR="00AB4ECE" w:rsidRDefault="00AB4ECE" w:rsidP="002E2177">
            <w:pPr>
              <w:ind w:left="0" w:firstLine="0"/>
            </w:pPr>
          </w:p>
        </w:tc>
      </w:tr>
      <w:tr w:rsidR="00AB4ECE" w14:paraId="55B8DA8A" w14:textId="77777777" w:rsidTr="00CD78BC">
        <w:tc>
          <w:tcPr>
            <w:tcW w:w="3055"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6295" w:type="dxa"/>
          </w:tcPr>
          <w:p w14:paraId="5ACB028C" w14:textId="77777777" w:rsidR="00CD78BC" w:rsidRDefault="00CD78BC" w:rsidP="00CD78BC">
            <w:pPr>
              <w:ind w:left="0" w:firstLine="0"/>
            </w:pPr>
          </w:p>
          <w:p w14:paraId="3BA45BB8" w14:textId="77777777" w:rsidR="00446213" w:rsidRDefault="00446213" w:rsidP="00446213">
            <w:pPr>
              <w:ind w:left="0" w:firstLine="0"/>
            </w:pPr>
            <w:r w:rsidRPr="00C716E7">
              <w:t xml:space="preserve">The 2006 Clinical Practice Guidelines for Vascular Access is an update to the original vascular access guidelines published in 1997 by the National Kidney Foundation.  In the eight years that the literature review included for the update, there have been no randomized controlled trials for type of vascular access.  Specifically, for the guideline used to support this measure, a total of 84 peer-reviewed publications are included in the body of evidence presented.  While these are all observational studies, some are based on either national data such as the United States Renal Data System (USRDS) that includes all patients with end stage kidney disease in the US, or international data, such as the Dialysis Outcomes Practice Pattern Study (DOPPS) that provides a global perspective for US vascular access outcomes.  </w:t>
            </w:r>
          </w:p>
          <w:p w14:paraId="240A2E82" w14:textId="28F8129F" w:rsidR="00CD78BC" w:rsidRDefault="00CD78BC" w:rsidP="00CD78BC">
            <w:pPr>
              <w:ind w:left="0" w:firstLine="0"/>
            </w:pPr>
          </w:p>
          <w:p w14:paraId="26A1D1D8" w14:textId="77777777" w:rsidR="00CD78BC" w:rsidRPr="002536EA" w:rsidRDefault="00CD78BC" w:rsidP="00CD78BC">
            <w:pPr>
              <w:ind w:left="0" w:firstLine="0"/>
              <w:rPr>
                <w:iCs/>
              </w:rPr>
            </w:pPr>
            <w:r w:rsidRPr="002536EA">
              <w:rPr>
                <w:iCs/>
              </w:rPr>
              <w:t xml:space="preserve">The overall quality of evidence is moderately strong.  All studies are in the target population of hemodialysis patients.  Some studies have evaluated health outcomes such as patient mortality, but have limitations due to the observational nature of the design.  Other studies have more rigorous design, but use surrogate outcomes such as access thrombosis.  </w:t>
            </w:r>
          </w:p>
          <w:p w14:paraId="4FEF3521" w14:textId="77777777" w:rsidR="00CD78BC" w:rsidRDefault="00CD78BC" w:rsidP="00CD78BC">
            <w:pPr>
              <w:ind w:left="0" w:firstLine="0"/>
            </w:pPr>
          </w:p>
          <w:p w14:paraId="55B8DA89" w14:textId="77777777" w:rsidR="00AB4ECE" w:rsidRDefault="00AB4ECE" w:rsidP="002E2177">
            <w:pPr>
              <w:ind w:left="0" w:firstLine="0"/>
            </w:pPr>
          </w:p>
        </w:tc>
      </w:tr>
      <w:tr w:rsidR="00AB4ECE" w14:paraId="55B8DA8D" w14:textId="77777777" w:rsidTr="00CD78BC">
        <w:tc>
          <w:tcPr>
            <w:tcW w:w="3055" w:type="dxa"/>
          </w:tcPr>
          <w:p w14:paraId="55B8DA8B" w14:textId="77777777" w:rsidR="00AB4ECE" w:rsidRDefault="000E5C93" w:rsidP="002E2177">
            <w:pPr>
              <w:ind w:left="0" w:firstLine="0"/>
            </w:pPr>
            <w:r>
              <w:t xml:space="preserve">Estimates of benefit and consistency across studies </w:t>
            </w:r>
          </w:p>
        </w:tc>
        <w:tc>
          <w:tcPr>
            <w:tcW w:w="6295" w:type="dxa"/>
          </w:tcPr>
          <w:p w14:paraId="2029E38C" w14:textId="77777777" w:rsidR="00446213" w:rsidRPr="00C716E7" w:rsidRDefault="00446213" w:rsidP="00446213">
            <w:pPr>
              <w:spacing w:after="200" w:line="276" w:lineRule="auto"/>
              <w:ind w:left="0" w:firstLine="0"/>
            </w:pPr>
            <w:r w:rsidRPr="00C716E7">
              <w:t>The 12 studies listed below highlight the core benefits such as reduced mortality and morbidity associated with using an AV fistula relative to either an AV graft or a tunneled catheter.  Specifically, AV fistulae have:</w:t>
            </w:r>
          </w:p>
          <w:p w14:paraId="020B32E7" w14:textId="77777777" w:rsidR="00446213" w:rsidRPr="00C716E7" w:rsidRDefault="00446213" w:rsidP="00446213">
            <w:pPr>
              <w:numPr>
                <w:ilvl w:val="0"/>
                <w:numId w:val="12"/>
              </w:numPr>
              <w:spacing w:after="200" w:line="276" w:lineRule="auto"/>
              <w:ind w:left="648"/>
              <w:contextualSpacing/>
              <w:rPr>
                <w:rFonts w:eastAsiaTheme="minorEastAsia"/>
              </w:rPr>
            </w:pPr>
            <w:r w:rsidRPr="00C716E7">
              <w:rPr>
                <w:rFonts w:eastAsiaTheme="minorEastAsia"/>
              </w:rPr>
              <w:t>Lowest risk of thrombosis:  in a systematic review of 34 studies evaluating access patency, AVF were found to have superior primary patency at 18 months compared to AV grafts (51% vs. 33%).</w:t>
            </w:r>
            <w:r w:rsidRPr="00C716E7">
              <w:rPr>
                <w:rFonts w:eastAsiaTheme="minorEastAsia"/>
                <w:vertAlign w:val="superscript"/>
              </w:rPr>
              <w:t>1</w:t>
            </w:r>
          </w:p>
          <w:p w14:paraId="02AC6E83" w14:textId="77777777" w:rsidR="00446213" w:rsidRPr="00C716E7" w:rsidRDefault="00446213" w:rsidP="00446213">
            <w:pPr>
              <w:numPr>
                <w:ilvl w:val="0"/>
                <w:numId w:val="12"/>
              </w:numPr>
              <w:spacing w:after="200" w:line="276" w:lineRule="auto"/>
              <w:ind w:left="648"/>
              <w:contextualSpacing/>
              <w:rPr>
                <w:rFonts w:eastAsiaTheme="minorEastAsia"/>
              </w:rPr>
            </w:pPr>
            <w:r w:rsidRPr="00C716E7">
              <w:rPr>
                <w:rFonts w:eastAsiaTheme="minorEastAsia"/>
              </w:rPr>
              <w:t>Lowest rate of angioplasty/intervention:  Procedure rates have been reported as 0.53 procedures/patient/year for AV fistula compared to 0.92 procedures/patient/year for AV grafts.</w:t>
            </w:r>
            <w:r w:rsidRPr="00C716E7">
              <w:rPr>
                <w:rFonts w:eastAsiaTheme="minorEastAsia"/>
                <w:vertAlign w:val="superscript"/>
              </w:rPr>
              <w:t>2</w:t>
            </w:r>
          </w:p>
          <w:p w14:paraId="2C18399C" w14:textId="77777777" w:rsidR="00446213" w:rsidRPr="00C716E7" w:rsidRDefault="00446213" w:rsidP="00446213">
            <w:pPr>
              <w:numPr>
                <w:ilvl w:val="0"/>
                <w:numId w:val="14"/>
              </w:numPr>
              <w:spacing w:after="200" w:line="276" w:lineRule="auto"/>
              <w:ind w:left="648"/>
              <w:contextualSpacing/>
              <w:rPr>
                <w:rFonts w:eastAsiaTheme="minorEastAsia"/>
              </w:rPr>
            </w:pPr>
            <w:r w:rsidRPr="00C716E7">
              <w:rPr>
                <w:rFonts w:eastAsiaTheme="minorEastAsia"/>
              </w:rPr>
              <w:t>Longest survival:  Case-mix adjusted survival analysis indicated substantially better survival of AV fistula compared with AV grafts in the US  [risk ratios (RR) of failure 0.56, P &lt; 0.0009]</w:t>
            </w:r>
            <w:r w:rsidRPr="00C716E7">
              <w:rPr>
                <w:rFonts w:eastAsiaTheme="minorEastAsia"/>
                <w:vertAlign w:val="superscript"/>
              </w:rPr>
              <w:t>3</w:t>
            </w:r>
          </w:p>
          <w:p w14:paraId="3866F1FB" w14:textId="77777777" w:rsidR="00446213" w:rsidRPr="00C716E7" w:rsidRDefault="00446213" w:rsidP="00446213">
            <w:pPr>
              <w:numPr>
                <w:ilvl w:val="0"/>
                <w:numId w:val="12"/>
              </w:numPr>
              <w:spacing w:after="200" w:line="276" w:lineRule="auto"/>
              <w:ind w:left="648"/>
              <w:contextualSpacing/>
              <w:rPr>
                <w:rFonts w:eastAsiaTheme="minorEastAsia"/>
              </w:rPr>
            </w:pPr>
            <w:r w:rsidRPr="00C716E7">
              <w:rPr>
                <w:rFonts w:eastAsiaTheme="minorEastAsia"/>
              </w:rPr>
              <w:t>Lowest Cost</w:t>
            </w:r>
            <w:r w:rsidRPr="00C716E7">
              <w:rPr>
                <w:rFonts w:eastAsiaTheme="minorEastAsia"/>
                <w:vertAlign w:val="superscript"/>
              </w:rPr>
              <w:t>4-6</w:t>
            </w:r>
            <w:r w:rsidRPr="00C716E7">
              <w:rPr>
                <w:rFonts w:eastAsiaTheme="minorEastAsia"/>
              </w:rPr>
              <w:t>: Based on 1990 costs to Medicare, graft recipients cost HCFA</w:t>
            </w:r>
            <w:r>
              <w:rPr>
                <w:rFonts w:eastAsiaTheme="minorEastAsia"/>
              </w:rPr>
              <w:t xml:space="preserve"> (CMS) </w:t>
            </w:r>
            <w:r w:rsidRPr="00C716E7">
              <w:rPr>
                <w:rFonts w:eastAsiaTheme="minorEastAsia"/>
              </w:rPr>
              <w:t>$3,700 more than fistula patients when pro-rating graft reimbursements to the median fistula survival time.</w:t>
            </w:r>
            <w:r w:rsidRPr="00C716E7">
              <w:rPr>
                <w:rFonts w:eastAsiaTheme="minorEastAsia"/>
                <w:vertAlign w:val="superscript"/>
              </w:rPr>
              <w:t>5</w:t>
            </w:r>
          </w:p>
          <w:p w14:paraId="605DF3FC" w14:textId="77777777" w:rsidR="00446213" w:rsidRPr="00C716E7" w:rsidRDefault="00446213" w:rsidP="00446213">
            <w:pPr>
              <w:numPr>
                <w:ilvl w:val="0"/>
                <w:numId w:val="12"/>
              </w:numPr>
              <w:spacing w:after="200" w:line="276" w:lineRule="auto"/>
              <w:ind w:left="648"/>
              <w:contextualSpacing/>
              <w:rPr>
                <w:rFonts w:eastAsiaTheme="minorEastAsia"/>
              </w:rPr>
            </w:pPr>
            <w:r w:rsidRPr="00C716E7">
              <w:rPr>
                <w:rFonts w:eastAsiaTheme="minorEastAsia"/>
              </w:rPr>
              <w:t>Lowest rates of infection:  AV fistula have the lowest rates of infection followed by AV grafts and then tunneled dialysis catheters</w:t>
            </w:r>
            <w:r w:rsidRPr="00C716E7">
              <w:rPr>
                <w:rFonts w:eastAsiaTheme="minorEastAsia"/>
                <w:vertAlign w:val="superscript"/>
              </w:rPr>
              <w:t>7</w:t>
            </w:r>
            <w:r w:rsidRPr="00C716E7">
              <w:rPr>
                <w:rFonts w:eastAsiaTheme="minorEastAsia"/>
              </w:rPr>
              <w:t>.  Vascular access infections are common, and represent the second most common cause of death for patients receiving hemodialysis.</w:t>
            </w:r>
            <w:r w:rsidRPr="00C716E7">
              <w:rPr>
                <w:rFonts w:eastAsiaTheme="minorEastAsia"/>
                <w:vertAlign w:val="superscript"/>
              </w:rPr>
              <w:t>8</w:t>
            </w:r>
          </w:p>
          <w:p w14:paraId="0F660788" w14:textId="77777777" w:rsidR="00446213" w:rsidRPr="00C716E7" w:rsidRDefault="00446213" w:rsidP="00446213">
            <w:pPr>
              <w:numPr>
                <w:ilvl w:val="0"/>
                <w:numId w:val="12"/>
              </w:numPr>
              <w:spacing w:after="200" w:line="276" w:lineRule="auto"/>
              <w:ind w:left="648"/>
              <w:contextualSpacing/>
              <w:rPr>
                <w:rFonts w:eastAsiaTheme="minorEastAsia"/>
              </w:rPr>
            </w:pPr>
            <w:r w:rsidRPr="00C716E7">
              <w:rPr>
                <w:rFonts w:eastAsiaTheme="minorEastAsia"/>
              </w:rPr>
              <w:t>Lowest mortality and hospitalization:  Patients using catheters (RR</w:t>
            </w:r>
            <w:r>
              <w:rPr>
                <w:rFonts w:eastAsiaTheme="minorEastAsia"/>
              </w:rPr>
              <w:t>=</w:t>
            </w:r>
            <w:r w:rsidRPr="00C716E7">
              <w:rPr>
                <w:rFonts w:eastAsiaTheme="minorEastAsia"/>
              </w:rPr>
              <w:t>2.3) and grafts (RR</w:t>
            </w:r>
            <w:r>
              <w:rPr>
                <w:rFonts w:eastAsiaTheme="minorEastAsia"/>
              </w:rPr>
              <w:t>=</w:t>
            </w:r>
            <w:r w:rsidRPr="00C716E7">
              <w:rPr>
                <w:rFonts w:eastAsiaTheme="minorEastAsia"/>
              </w:rPr>
              <w:t>1.47) have a greater mortality risk than patients dialyzed with fistulae</w:t>
            </w:r>
            <w:r w:rsidRPr="00C716E7">
              <w:rPr>
                <w:rFonts w:eastAsiaTheme="minorEastAsia"/>
                <w:vertAlign w:val="superscript"/>
              </w:rPr>
              <w:t>9</w:t>
            </w:r>
            <w:r w:rsidRPr="00C716E7">
              <w:rPr>
                <w:rFonts w:eastAsiaTheme="minorEastAsia"/>
              </w:rPr>
              <w:t>.  Other studies have also found that use of fistulae reduces mortality and morbidity</w:t>
            </w:r>
            <w:r w:rsidRPr="00C716E7">
              <w:rPr>
                <w:rFonts w:eastAsiaTheme="minorEastAsia"/>
                <w:vertAlign w:val="superscript"/>
              </w:rPr>
              <w:t>10-12</w:t>
            </w:r>
            <w:r w:rsidRPr="00C716E7">
              <w:rPr>
                <w:rFonts w:eastAsiaTheme="minorEastAsia"/>
              </w:rPr>
              <w:t xml:space="preserve"> compared to AV grafts or catheters.</w:t>
            </w:r>
          </w:p>
          <w:p w14:paraId="583B9EFB" w14:textId="77777777" w:rsidR="00446213" w:rsidRPr="00C716E7" w:rsidRDefault="00446213" w:rsidP="00446213">
            <w:pPr>
              <w:spacing w:after="200" w:line="276" w:lineRule="auto"/>
              <w:ind w:left="288" w:firstLine="0"/>
            </w:pPr>
            <w:r w:rsidRPr="00C716E7">
              <w:t>References:</w:t>
            </w:r>
          </w:p>
          <w:p w14:paraId="024EF454"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Huber TS, Carter JW, Carter RL, Seeger JM: Patency of autogenous and polytetrafluoroethylene upper extremity arteriovenous hemodialysis accesses: A systematic review. J Vasc Surg 38(5):1005-11, 2003</w:t>
            </w:r>
          </w:p>
          <w:p w14:paraId="29FFF8A2"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Perera GB, Mueller MP, Kubaska SM, Wilson SE, Lawrence PF, Fujitani RM: Superiority of autogenous arteriovenous hemodialysis access: Maintenance of function with fewer secondary interventions. Ann Vasc Surg 18:66-73, 2004</w:t>
            </w:r>
          </w:p>
          <w:p w14:paraId="5BF22895"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Pisoni RL, Young EW, Dykstra DM, et al: Vascular access use in Europe and the United States: Results from the DOPPS. Kidney Int 61:305-316, 2002</w:t>
            </w:r>
          </w:p>
          <w:p w14:paraId="740BC2C7"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Mehta S: Statistical summary of clinical results of vascular access procedures for haemodialysis, in Sommer BG, Henry ML (eds): Vascular Access for Hemodialysis-II (ed 2). Chicago, IL, Gore, 1991, pp 145-157</w:t>
            </w:r>
          </w:p>
          <w:p w14:paraId="023C46A8"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The Cost Effectiveness of Alternative Types of Vascular access and the Economic Cost of ESRD. Bethesda, MD, National Institutes of Health, National Institute of Diabetes and Digestive and Kidney Diseases, 1995, pp 139-157</w:t>
            </w:r>
          </w:p>
          <w:p w14:paraId="5D6F3FF8"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Eggers P, Milam R: Trends in vascular access procedures and expenditures in Medicare’s ESRD program, in Henry ML (ed): Vascular Access for Hemodialysis-VII. Chicago, IL, Gore, 2001, pp 133-143</w:t>
            </w:r>
          </w:p>
          <w:p w14:paraId="0FF5FBFE"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Nassar GM, Ayus JC: Infectious complications of the hemodialysis access. Kidney Int 60:1-13, 2001</w:t>
            </w:r>
          </w:p>
          <w:p w14:paraId="6AD10328"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Gulati S, Sahu KM, Avula S, Sharma RK, Ayyagiri A, Pandey CM: Role of vascular access as a risk factor for infections in hemodialysis. Ren Fail 25:967-973, 2003</w:t>
            </w:r>
          </w:p>
          <w:p w14:paraId="6F730519"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Dhingra RK, Young EW, Hulbert-Shearon TE, Leavey SF, Port FK: Type of vascular access and mortality in U.S. hemodialysis patients. Kidney Int 60:1443-1451, 2001</w:t>
            </w:r>
          </w:p>
          <w:p w14:paraId="2A977BC1"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Woods JD, Port FK: The impact of vascular access for haemodialysis on patient morbidity and mortality. Nephrol Dial Transplant 12:657-659, 1997</w:t>
            </w:r>
          </w:p>
          <w:p w14:paraId="107375B4"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Xue JL, Dahl D, Ebben JP, Collins AJ: The association of initial hemodialysis access type with mortality outcomes in elderly Medicare ESRD patients. Am J Kidney Dis 42:1013-1019, 2003</w:t>
            </w:r>
          </w:p>
          <w:p w14:paraId="38774505" w14:textId="77777777" w:rsidR="00446213" w:rsidRPr="00C716E7" w:rsidRDefault="00446213" w:rsidP="00446213">
            <w:pPr>
              <w:numPr>
                <w:ilvl w:val="0"/>
                <w:numId w:val="13"/>
              </w:numPr>
              <w:spacing w:after="120" w:line="276" w:lineRule="auto"/>
              <w:ind w:left="648"/>
              <w:contextualSpacing/>
              <w:rPr>
                <w:rFonts w:eastAsiaTheme="minorEastAsia"/>
              </w:rPr>
            </w:pPr>
            <w:r w:rsidRPr="00C716E7">
              <w:rPr>
                <w:rFonts w:eastAsiaTheme="minorEastAsia"/>
              </w:rPr>
              <w:t>Polkinghorne KR, McDonald SP, Atkins RC, Kerr PG: Vascular access and all-cause mortality: A propensity score analysis. J Am Soc Nephrol 15:477-486, 2004</w:t>
            </w:r>
          </w:p>
          <w:p w14:paraId="55B8DA8C" w14:textId="77777777" w:rsidR="00AB4ECE" w:rsidRDefault="00AB4ECE" w:rsidP="00CD78BC">
            <w:pPr>
              <w:ind w:left="0" w:firstLine="0"/>
            </w:pPr>
          </w:p>
        </w:tc>
      </w:tr>
      <w:tr w:rsidR="000E5C93" w14:paraId="55B8DA90" w14:textId="77777777" w:rsidTr="00CD78BC">
        <w:tc>
          <w:tcPr>
            <w:tcW w:w="3055" w:type="dxa"/>
          </w:tcPr>
          <w:p w14:paraId="55B8DA8E" w14:textId="77777777" w:rsidR="000E5C93" w:rsidRDefault="000E5C93" w:rsidP="002E2177">
            <w:pPr>
              <w:ind w:left="0" w:firstLine="0"/>
            </w:pPr>
            <w:r>
              <w:t>What harms were identified?</w:t>
            </w:r>
          </w:p>
        </w:tc>
        <w:tc>
          <w:tcPr>
            <w:tcW w:w="6295" w:type="dxa"/>
          </w:tcPr>
          <w:p w14:paraId="6C84A300" w14:textId="77777777" w:rsidR="00446213" w:rsidRDefault="00446213" w:rsidP="00446213">
            <w:pPr>
              <w:ind w:left="0" w:firstLine="0"/>
            </w:pPr>
            <w:r w:rsidRPr="00C716E7">
              <w:t xml:space="preserve">The potential harms of placing an AV fistula include: (1) failure of the AV fistula to mature such that additional surgery is needed for vascular access, (2) steal syndrome where the distal arm becomes ischemic, and (3) prolonged maturation times that increase reliance on a tunneled dialysis catheter and its attendant risk of infection.  Overall these risks associated with an AV fistula are considered to be small and overshadowed by the long-term benefits outlined above.  </w:t>
            </w:r>
          </w:p>
          <w:p w14:paraId="55B8DA8F" w14:textId="77C8C6EE" w:rsidR="000E5C93" w:rsidRDefault="000E5C93" w:rsidP="002E2177">
            <w:pPr>
              <w:ind w:left="0" w:firstLine="0"/>
            </w:pPr>
          </w:p>
        </w:tc>
      </w:tr>
      <w:tr w:rsidR="000E5C93" w14:paraId="55B8DA93" w14:textId="77777777" w:rsidTr="00CD78BC">
        <w:tc>
          <w:tcPr>
            <w:tcW w:w="3055" w:type="dxa"/>
          </w:tcPr>
          <w:p w14:paraId="55B8DA91" w14:textId="77777777" w:rsidR="000E5C93" w:rsidRDefault="000E5C93" w:rsidP="000E5C93">
            <w:pPr>
              <w:ind w:left="0" w:firstLine="0"/>
            </w:pPr>
            <w:r>
              <w:t>Identify any new studies conducted since the SR. Do the new studies change the conclusions from the SR?</w:t>
            </w:r>
          </w:p>
        </w:tc>
        <w:tc>
          <w:tcPr>
            <w:tcW w:w="6295" w:type="dxa"/>
          </w:tcPr>
          <w:p w14:paraId="7B7614A0" w14:textId="77777777" w:rsidR="00446213" w:rsidRPr="00C716E7" w:rsidRDefault="00446213" w:rsidP="00446213">
            <w:pPr>
              <w:spacing w:after="200" w:line="276" w:lineRule="auto"/>
              <w:ind w:left="0" w:firstLine="0"/>
            </w:pPr>
            <w:r w:rsidRPr="00C716E7">
              <w:rPr>
                <w:noProof/>
              </w:rPr>
              <w:t>Casey JR, Hanson CS, Winkelmayer WC, et al.</w:t>
            </w:r>
            <w:r w:rsidRPr="00C716E7">
              <w:t xml:space="preserve"> </w:t>
            </w:r>
            <w:r w:rsidRPr="00C716E7">
              <w:rPr>
                <w:b/>
                <w:noProof/>
              </w:rPr>
              <w:t>Patients' perspectives on hemodialysis vascular access: a systematic review of qualitative studies.</w:t>
            </w:r>
            <w:r w:rsidRPr="00C716E7">
              <w:t xml:space="preserve"> </w:t>
            </w:r>
            <w:r w:rsidRPr="00C716E7">
              <w:rPr>
                <w:i/>
                <w:noProof/>
              </w:rPr>
              <w:t>Am J Kidney Dis. 2014 Dec;64(6):937-53. doi: 10.1053/j.ajkd.2014.06.024. Epub 2014 Aug 10</w:t>
            </w:r>
            <w:r w:rsidRPr="00C716E7">
              <w:rPr>
                <w:noProof/>
              </w:rPr>
              <w:t>.</w:t>
            </w:r>
            <w:r w:rsidRPr="00C716E7">
              <w:t xml:space="preserve"> </w:t>
            </w:r>
          </w:p>
          <w:p w14:paraId="7C023FD3" w14:textId="77777777" w:rsidR="00446213" w:rsidRDefault="00446213" w:rsidP="00446213">
            <w:pPr>
              <w:spacing w:after="200" w:line="276" w:lineRule="auto"/>
              <w:ind w:left="0" w:firstLine="0"/>
              <w:rPr>
                <w:noProof/>
              </w:rPr>
            </w:pPr>
            <w:r w:rsidRPr="00C716E7">
              <w:t xml:space="preserve">This </w:t>
            </w:r>
            <w:r w:rsidRPr="00C716E7">
              <w:rPr>
                <w:noProof/>
              </w:rPr>
              <w:t>systematic review and thematic synthesis of qualitative studies</w:t>
            </w:r>
            <w:r w:rsidRPr="00C716E7">
              <w:t xml:space="preserve"> describes patients' perspectives on vascular access initiation and maintenance in hemodialysis.  46 studies were reviewed and found that </w:t>
            </w:r>
            <w:r w:rsidRPr="00C716E7">
              <w:rPr>
                <w:noProof/>
              </w:rPr>
              <w:t>initiation of vascular access signifies kidney failure and imminent dialysis, which is emotionally confronting. Patients strive to preserve their vascular access for survival, but at the same time describe it as an agonizing reminder of their body's failings and "abnormality" of being amalgamated with a machine disrupting their identity and lifestyle. Timely education and counseling about vascular access and building patients' trust in health care providers may improve the quality of dialysis and lead to better outcomes for patients with chronic kidney disease requiring hemodialysis.</w:t>
            </w:r>
          </w:p>
          <w:p w14:paraId="7D576BAC" w14:textId="77777777" w:rsidR="00446213" w:rsidRPr="00C716E7" w:rsidRDefault="00446213" w:rsidP="00446213">
            <w:pPr>
              <w:spacing w:after="200" w:line="276" w:lineRule="auto"/>
              <w:ind w:left="0" w:firstLine="0"/>
              <w:rPr>
                <w:noProof/>
              </w:rPr>
            </w:pPr>
            <w:r>
              <w:rPr>
                <w:noProof/>
              </w:rPr>
              <w:t>Impact:  Adds the patient’s perspective to the discussion on vascular access options.</w:t>
            </w:r>
          </w:p>
          <w:p w14:paraId="1DCAA697" w14:textId="77777777" w:rsidR="00446213" w:rsidRPr="00C716E7" w:rsidRDefault="00446213" w:rsidP="00446213">
            <w:pPr>
              <w:spacing w:after="200" w:line="276" w:lineRule="auto"/>
              <w:ind w:left="0" w:firstLine="0"/>
              <w:rPr>
                <w:noProof/>
              </w:rPr>
            </w:pPr>
          </w:p>
          <w:p w14:paraId="0265A123" w14:textId="77777777" w:rsidR="00446213" w:rsidRPr="00C716E7" w:rsidRDefault="00446213" w:rsidP="00446213">
            <w:pPr>
              <w:spacing w:after="200" w:line="276" w:lineRule="auto"/>
              <w:ind w:left="0" w:firstLine="0"/>
            </w:pPr>
            <w:r w:rsidRPr="00C716E7">
              <w:rPr>
                <w:noProof/>
              </w:rPr>
              <w:t>Al-Jaishi AA, Oliver MJ, Thomas SM, et al.</w:t>
            </w:r>
            <w:r w:rsidRPr="00C716E7">
              <w:t xml:space="preserve"> </w:t>
            </w:r>
            <w:r w:rsidRPr="00C716E7">
              <w:rPr>
                <w:b/>
                <w:noProof/>
              </w:rPr>
              <w:t>Patency rates of the arteriovenous fistula for hemodialysis: a systematic review and meta-analysis.</w:t>
            </w:r>
            <w:r w:rsidRPr="00C716E7">
              <w:t xml:space="preserve"> </w:t>
            </w:r>
            <w:r w:rsidRPr="00C716E7">
              <w:rPr>
                <w:i/>
                <w:noProof/>
              </w:rPr>
              <w:t>Am J Kidney Dis. 2014 Mar;63(3):464-78. doi: 10.1053/j.ajkd.2013.08.023. Epub 2013 Oct 30. Review.</w:t>
            </w:r>
            <w:r w:rsidRPr="00C716E7">
              <w:t xml:space="preserve"> </w:t>
            </w:r>
          </w:p>
          <w:p w14:paraId="0FE36AA0" w14:textId="77777777" w:rsidR="00446213" w:rsidRDefault="00446213" w:rsidP="00446213">
            <w:pPr>
              <w:spacing w:after="200" w:line="276" w:lineRule="auto"/>
              <w:ind w:left="0" w:firstLine="0"/>
              <w:rPr>
                <w:noProof/>
              </w:rPr>
            </w:pPr>
            <w:r w:rsidRPr="00C716E7">
              <w:rPr>
                <w:noProof/>
              </w:rPr>
              <w:t xml:space="preserve">This systematic review and meta-analysis reported that in recent years AVFs had a high rate of primary failure and low to moderate primary and secondary patency rates. Consideration of these outcomes is required when choosing a patient’s preferred access type.  </w:t>
            </w:r>
          </w:p>
          <w:p w14:paraId="227E245E" w14:textId="77777777" w:rsidR="00446213" w:rsidRPr="00C716E7" w:rsidRDefault="00446213" w:rsidP="00446213">
            <w:pPr>
              <w:spacing w:after="200" w:line="276" w:lineRule="auto"/>
              <w:ind w:left="0" w:firstLine="0"/>
              <w:rPr>
                <w:noProof/>
              </w:rPr>
            </w:pPr>
            <w:r>
              <w:rPr>
                <w:noProof/>
              </w:rPr>
              <w:t>Impact: Updates primary and secondary patency rates of AVF for more contemporary cohorts of dialysis patients.  The lower success rates suggests that some patients may not realize the full benefits of AVF that have been previously reported in the KDOQI systematic review.</w:t>
            </w:r>
          </w:p>
          <w:p w14:paraId="5C45E305" w14:textId="77777777" w:rsidR="00446213" w:rsidRPr="00C716E7" w:rsidRDefault="00446213" w:rsidP="00446213">
            <w:pPr>
              <w:spacing w:after="200" w:line="276" w:lineRule="auto"/>
              <w:ind w:left="0" w:firstLine="0"/>
              <w:rPr>
                <w:noProof/>
              </w:rPr>
            </w:pPr>
          </w:p>
          <w:p w14:paraId="00230B7D" w14:textId="77777777" w:rsidR="00446213" w:rsidRPr="00C716E7" w:rsidRDefault="00446213" w:rsidP="00446213">
            <w:pPr>
              <w:spacing w:after="200" w:line="276" w:lineRule="auto"/>
              <w:ind w:left="0" w:firstLine="0"/>
              <w:rPr>
                <w:i/>
                <w:noProof/>
              </w:rPr>
            </w:pPr>
            <w:r w:rsidRPr="00C716E7">
              <w:rPr>
                <w:noProof/>
              </w:rPr>
              <w:t>Oliver MJ, Quinn RR.</w:t>
            </w:r>
            <w:r w:rsidRPr="00C716E7">
              <w:t xml:space="preserve"> </w:t>
            </w:r>
            <w:r w:rsidRPr="00C716E7">
              <w:rPr>
                <w:b/>
                <w:noProof/>
              </w:rPr>
              <w:t>Recalibrating vascular access for elderly patients.</w:t>
            </w:r>
            <w:r w:rsidRPr="00C716E7">
              <w:t xml:space="preserve"> </w:t>
            </w:r>
            <w:r w:rsidRPr="00C716E7">
              <w:rPr>
                <w:i/>
                <w:noProof/>
              </w:rPr>
              <w:t>Clin J Am Soc Nephrol. 2014 Apr;9(4):645-7. doi: 10.2215/CJN.01560214. Epub 2014 Mar 20.</w:t>
            </w:r>
          </w:p>
          <w:p w14:paraId="5B7C77A0" w14:textId="77777777" w:rsidR="00446213" w:rsidRDefault="00446213" w:rsidP="00446213">
            <w:pPr>
              <w:spacing w:after="200" w:line="276" w:lineRule="auto"/>
              <w:ind w:left="0" w:firstLine="0"/>
              <w:rPr>
                <w:noProof/>
              </w:rPr>
            </w:pPr>
            <w:r w:rsidRPr="00C716E7">
              <w:rPr>
                <w:noProof/>
              </w:rPr>
              <w:t>Governments in numerous jurisdictions have set targets for fistula utilization and some have tied reimbursement to attaining these targets. This creates an environment in which it is tempting to overemphasize the benefits of fistulas and the risks of catheters when discussing vascular access options with patients.</w:t>
            </w:r>
          </w:p>
          <w:p w14:paraId="51061E53" w14:textId="77777777" w:rsidR="00446213" w:rsidRPr="00C716E7" w:rsidRDefault="00446213" w:rsidP="00446213">
            <w:pPr>
              <w:spacing w:after="200" w:line="276" w:lineRule="auto"/>
              <w:ind w:left="0" w:firstLine="0"/>
              <w:rPr>
                <w:noProof/>
              </w:rPr>
            </w:pPr>
            <w:r>
              <w:rPr>
                <w:noProof/>
              </w:rPr>
              <w:t>Impact:  Highlights that not all older patients may benefit from an AVF.</w:t>
            </w:r>
          </w:p>
          <w:p w14:paraId="72C63F46" w14:textId="77777777" w:rsidR="00446213" w:rsidRPr="00C716E7" w:rsidRDefault="00446213" w:rsidP="00446213">
            <w:pPr>
              <w:spacing w:after="200" w:line="276" w:lineRule="auto"/>
              <w:ind w:left="0" w:firstLine="0"/>
              <w:rPr>
                <w:noProof/>
              </w:rPr>
            </w:pPr>
          </w:p>
          <w:p w14:paraId="3A765A90" w14:textId="77777777" w:rsidR="00446213" w:rsidRPr="00C716E7" w:rsidRDefault="00446213" w:rsidP="00446213">
            <w:pPr>
              <w:spacing w:after="200" w:line="276" w:lineRule="auto"/>
              <w:ind w:left="0" w:firstLine="0"/>
            </w:pPr>
            <w:r w:rsidRPr="00C716E7">
              <w:rPr>
                <w:noProof/>
              </w:rPr>
              <w:t>Drew DA, Lok CE, Cohen JT, et al.</w:t>
            </w:r>
            <w:r w:rsidRPr="00C716E7">
              <w:t xml:space="preserve"> </w:t>
            </w:r>
            <w:r w:rsidRPr="00C716E7">
              <w:rPr>
                <w:b/>
                <w:noProof/>
              </w:rPr>
              <w:t>Vascular access choice in incident hemodialysis patients: a decision analysis.</w:t>
            </w:r>
            <w:r w:rsidRPr="00C716E7">
              <w:t xml:space="preserve">  </w:t>
            </w:r>
            <w:r w:rsidRPr="00C716E7">
              <w:rPr>
                <w:i/>
                <w:noProof/>
              </w:rPr>
              <w:t>J Am Soc Nephrol. 2015 Jan;26(1):183-91. doi: 10.1681/ASN.2013111236. Epub 2014 Jul 25.</w:t>
            </w:r>
            <w:r w:rsidRPr="00C716E7">
              <w:t xml:space="preserve"> </w:t>
            </w:r>
          </w:p>
          <w:p w14:paraId="697D2325" w14:textId="77777777" w:rsidR="00446213" w:rsidRDefault="00446213" w:rsidP="00446213">
            <w:pPr>
              <w:spacing w:after="200" w:line="276" w:lineRule="auto"/>
              <w:ind w:left="0" w:firstLine="0"/>
              <w:rPr>
                <w:noProof/>
              </w:rPr>
            </w:pPr>
            <w:r w:rsidRPr="00C716E7">
              <w:rPr>
                <w:noProof/>
              </w:rPr>
              <w:t>Decision analysis evaluating AV fistula, AV graft, and central venous catheter (CVC) strategies for patients initiating hemodialysis with a CVC, a scenario occurring in over 70% of United States dialysis patients.  An AV fistula attempt strategy was found to be superior to AV grafts and CVCs in regard to mortality and cost for the majority of patient characteristic combinations, especially younger men without diabetes. Women with diabetes and elderly men with diabetes had similar outcomes, regardless of access type. Overall, the advantages of an AV fistula attempt strategy lessened considerably among older patients, particularly women with diabetes, reflecting the effect of lower AV fistula success rates and lower life expectancy. These results suggest that vascular access-related outcomes may be optimized by considering individual patient characteristics.</w:t>
            </w:r>
          </w:p>
          <w:p w14:paraId="00BA44AC" w14:textId="4BACE0CF" w:rsidR="00446213" w:rsidRPr="00C716E7" w:rsidRDefault="00446213" w:rsidP="00446213">
            <w:pPr>
              <w:spacing w:after="200" w:line="276" w:lineRule="auto"/>
              <w:ind w:left="0" w:firstLine="0"/>
              <w:rPr>
                <w:noProof/>
              </w:rPr>
            </w:pPr>
            <w:r>
              <w:rPr>
                <w:noProof/>
              </w:rPr>
              <w:t>Impact:  Certain patient groups, such as women with diab</w:t>
            </w:r>
            <w:r w:rsidR="00DE1442">
              <w:rPr>
                <w:noProof/>
              </w:rPr>
              <w:t>e</w:t>
            </w:r>
            <w:r>
              <w:rPr>
                <w:noProof/>
              </w:rPr>
              <w:t>tes, have lower reported success rates of AVF creation and may have equivalent outcomes with an AVG.</w:t>
            </w:r>
          </w:p>
          <w:p w14:paraId="04E92220" w14:textId="77777777" w:rsidR="00446213" w:rsidRPr="00C716E7" w:rsidRDefault="00446213" w:rsidP="00446213">
            <w:pPr>
              <w:spacing w:after="200" w:line="276" w:lineRule="auto"/>
              <w:ind w:left="432" w:hanging="432"/>
              <w:rPr>
                <w:noProof/>
              </w:rPr>
            </w:pPr>
          </w:p>
          <w:p w14:paraId="7ECEDC78" w14:textId="77777777" w:rsidR="00446213" w:rsidRPr="00C716E7" w:rsidRDefault="00446213" w:rsidP="00446213">
            <w:pPr>
              <w:spacing w:after="200" w:line="276" w:lineRule="auto"/>
              <w:ind w:left="0" w:firstLine="0"/>
            </w:pPr>
            <w:r w:rsidRPr="00C716E7">
              <w:rPr>
                <w:noProof/>
              </w:rPr>
              <w:t>Wish JB.</w:t>
            </w:r>
            <w:r w:rsidRPr="00C716E7">
              <w:t xml:space="preserve"> </w:t>
            </w:r>
            <w:r w:rsidRPr="00C716E7">
              <w:rPr>
                <w:b/>
                <w:noProof/>
              </w:rPr>
              <w:t>Catheter last, fistula not-so-first.</w:t>
            </w:r>
            <w:r w:rsidRPr="00C716E7">
              <w:t xml:space="preserve">  </w:t>
            </w:r>
            <w:r w:rsidRPr="00C716E7">
              <w:rPr>
                <w:i/>
                <w:noProof/>
              </w:rPr>
              <w:t xml:space="preserve">J Am Soc Nephrol. 2015 Jan;26(1):5-7. doi: 10.1681/ASN.2014060594. Epub 2014 Jul 25. </w:t>
            </w:r>
          </w:p>
          <w:p w14:paraId="60ECF1CB" w14:textId="77777777" w:rsidR="00446213" w:rsidRDefault="00446213" w:rsidP="00446213">
            <w:pPr>
              <w:spacing w:after="200" w:line="276" w:lineRule="auto"/>
              <w:ind w:left="0" w:firstLine="0"/>
              <w:rPr>
                <w:noProof/>
              </w:rPr>
            </w:pPr>
            <w:r w:rsidRPr="00C716E7">
              <w:rPr>
                <w:noProof/>
              </w:rPr>
              <w:t>The issue of vascular access choice is not as black and white as the Centers for Medicare &amp; Medicaid Services (CMS) would like it to appear, with arteriovenous fistula (AVF) always being good or “first” and central venous catheters (CVCs) always being bad or “last.” Nonetheless,CMS has instituted a quality incentive program (QIP) for dialysis providers that rewards high AVF prevalence and penalizes high CVC prevalence without regard to patient mix. For payment year 2014, vascular access constitutes 30% of the total QIP score. This may have already led to access to care issues, as some dialysis providers are refusing to accept patients with CVCs. CMS has recently given ground on this issue by renaming the “Fistula First” initiative “Fistula First Catheter Last” (FFLC) to emphasize that CVC avoidance is as important or more important than AVF use.</w:t>
            </w:r>
          </w:p>
          <w:p w14:paraId="7D04DF9F" w14:textId="77777777" w:rsidR="00446213" w:rsidRPr="00C716E7" w:rsidRDefault="00446213" w:rsidP="00446213">
            <w:pPr>
              <w:spacing w:after="200" w:line="276" w:lineRule="auto"/>
              <w:ind w:left="0" w:firstLine="0"/>
              <w:rPr>
                <w:noProof/>
              </w:rPr>
            </w:pPr>
            <w:r>
              <w:rPr>
                <w:noProof/>
              </w:rPr>
              <w:t xml:space="preserve">Impact:  Opinion piece on changes in the Fistula First initiative reflecting the implementation of the current NQF endorsed fistula and catheter vascular access measures in the CMS Quality Incentive Program (QIP).  </w:t>
            </w:r>
            <w:r w:rsidRPr="005A1A22">
              <w:rPr>
                <w:noProof/>
              </w:rPr>
              <w:t>The empahsis of the opinion piece suggests a greater shift to catheter avoidance versus only prioritizing promotion of fistula use</w:t>
            </w:r>
            <w:r>
              <w:rPr>
                <w:noProof/>
              </w:rPr>
              <w:t xml:space="preserve">. </w:t>
            </w:r>
          </w:p>
          <w:p w14:paraId="3F03BFA9" w14:textId="77777777" w:rsidR="00446213" w:rsidRPr="00C716E7" w:rsidRDefault="00446213" w:rsidP="00446213">
            <w:pPr>
              <w:spacing w:after="200" w:line="276" w:lineRule="auto"/>
              <w:ind w:left="0" w:firstLine="0"/>
            </w:pPr>
            <w:r w:rsidRPr="00C716E7">
              <w:rPr>
                <w:noProof/>
              </w:rPr>
              <w:t>Grubbs V, Wasse H, Vittinghoff E, et al.</w:t>
            </w:r>
            <w:r w:rsidRPr="00C716E7">
              <w:t xml:space="preserve"> </w:t>
            </w:r>
            <w:r w:rsidRPr="00C716E7">
              <w:rPr>
                <w:b/>
                <w:noProof/>
              </w:rPr>
              <w:t>Health status as a potential mediator of the association between hemodialysis vascular access and mortality.</w:t>
            </w:r>
            <w:r w:rsidRPr="00C716E7">
              <w:t xml:space="preserve">  </w:t>
            </w:r>
            <w:r w:rsidRPr="00C716E7">
              <w:rPr>
                <w:i/>
                <w:noProof/>
              </w:rPr>
              <w:t>Nephrol Dial Transplant. 2014 Apr;29(4):892-8. doi: 10.1093/ndt/gft438. Epub 2013 Nov 13.</w:t>
            </w:r>
            <w:r w:rsidRPr="00C716E7">
              <w:rPr>
                <w:i/>
              </w:rPr>
              <w:t xml:space="preserve"> </w:t>
            </w:r>
          </w:p>
          <w:p w14:paraId="0DDC9BA0" w14:textId="77777777" w:rsidR="00446213" w:rsidRDefault="00446213" w:rsidP="00446213">
            <w:pPr>
              <w:spacing w:after="200" w:line="276" w:lineRule="auto"/>
              <w:ind w:left="0" w:firstLine="0"/>
              <w:rPr>
                <w:noProof/>
              </w:rPr>
            </w:pPr>
            <w:r>
              <w:rPr>
                <w:noProof/>
              </w:rPr>
              <w:t>S</w:t>
            </w:r>
            <w:r w:rsidRPr="00C716E7">
              <w:rPr>
                <w:noProof/>
              </w:rPr>
              <w:t xml:space="preserve">election of healthier patients for arteriovenous fistula (AVF) placement </w:t>
            </w:r>
            <w:r>
              <w:rPr>
                <w:noProof/>
              </w:rPr>
              <w:t xml:space="preserve">may </w:t>
            </w:r>
            <w:r w:rsidRPr="00C716E7">
              <w:rPr>
                <w:noProof/>
              </w:rPr>
              <w:t xml:space="preserve">explain higher observed catheter-associated mortality among elderly hemodialysis patients. </w:t>
            </w:r>
            <w:r>
              <w:rPr>
                <w:noProof/>
              </w:rPr>
              <w:t xml:space="preserve">A </w:t>
            </w:r>
            <w:r w:rsidRPr="00C716E7">
              <w:rPr>
                <w:noProof/>
              </w:rPr>
              <w:t xml:space="preserve">proportional hazard model </w:t>
            </w:r>
            <w:r>
              <w:rPr>
                <w:noProof/>
              </w:rPr>
              <w:t xml:space="preserve">was used </w:t>
            </w:r>
            <w:r w:rsidRPr="00C716E7">
              <w:rPr>
                <w:noProof/>
              </w:rPr>
              <w:t>to examine 117 277 incident hemodialysis patients aged 67-90 years</w:t>
            </w:r>
            <w:r>
              <w:rPr>
                <w:noProof/>
              </w:rPr>
              <w:t xml:space="preserve"> from USRDS</w:t>
            </w:r>
            <w:r w:rsidRPr="00C716E7">
              <w:rPr>
                <w:noProof/>
              </w:rPr>
              <w:t xml:space="preserve"> for the association of initial vascular access type and 5-year mortality after accounting for health status. Patients with catheter alone had more limited functional status (25.5 versus 10.8% of those with AVF) and 3-fold more prior hospital days than those with AVF (mean 18.0 versus 5.4). In a fully adjusted model including health status, mortality differences between access type were attenuated, but  remained statistically significant &lt;AVG [HR 1.18 (1.13-1.22)], catheter plus AVF [HR 1.20 (1.17-1.23)], catheter plus AVG {HR 1.38 [1.26 (1.21-1.31)]} and catheter only [HR 1.54 (1.50-1.58)], P &lt; 0.001&gt;.The observed attenuation in mortality differences previously attributed to access type alone suggests the existence of selection bias. Nevertheless, the persistence of an apparent survival advantage after adjustment for health status suggests that AVF should still be the access of choice for elderly individuals beginning hemodialysis until more definitive data eliminating selection bias become available.</w:t>
            </w:r>
          </w:p>
          <w:p w14:paraId="634B0BCF" w14:textId="77777777" w:rsidR="00446213" w:rsidRPr="00C716E7" w:rsidRDefault="00446213" w:rsidP="00446213">
            <w:pPr>
              <w:spacing w:after="200" w:line="276" w:lineRule="auto"/>
              <w:ind w:left="0" w:firstLine="0"/>
              <w:rPr>
                <w:noProof/>
              </w:rPr>
            </w:pPr>
            <w:r>
              <w:rPr>
                <w:noProof/>
              </w:rPr>
              <w:t xml:space="preserve">Impact: Underscores the need to adjust for patient characteristics and comorbidities when evaluating the association between vascular access type and outcomes such as mortality.  </w:t>
            </w:r>
          </w:p>
          <w:p w14:paraId="5110F75D" w14:textId="77777777" w:rsidR="00446213" w:rsidRPr="00C716E7" w:rsidRDefault="00446213" w:rsidP="00446213">
            <w:pPr>
              <w:spacing w:after="200" w:line="276" w:lineRule="auto"/>
              <w:ind w:left="0" w:firstLine="0"/>
              <w:rPr>
                <w:noProof/>
              </w:rPr>
            </w:pPr>
          </w:p>
          <w:p w14:paraId="12EE8B98" w14:textId="77777777" w:rsidR="00446213" w:rsidRPr="00C716E7" w:rsidRDefault="00446213" w:rsidP="00446213">
            <w:pPr>
              <w:spacing w:after="200" w:line="276" w:lineRule="auto"/>
              <w:ind w:left="0" w:firstLine="0"/>
            </w:pPr>
            <w:r w:rsidRPr="00C716E7">
              <w:rPr>
                <w:noProof/>
              </w:rPr>
              <w:t>Lok, Charmaine E &amp; Foley, Robert.</w:t>
            </w:r>
            <w:r w:rsidRPr="00C716E7">
              <w:t xml:space="preserve"> </w:t>
            </w:r>
            <w:r w:rsidRPr="00C716E7">
              <w:rPr>
                <w:b/>
                <w:noProof/>
              </w:rPr>
              <w:t>Vascular access morbidity and mortality: trends of the last decade.</w:t>
            </w:r>
            <w:r w:rsidRPr="00C716E7">
              <w:t xml:space="preserve"> </w:t>
            </w:r>
            <w:r w:rsidRPr="00C716E7">
              <w:rPr>
                <w:i/>
                <w:noProof/>
              </w:rPr>
              <w:t>Clin J Am Soc Nephrol. 2013 Jul;8(7):1213-9. doi: 10.2215/CJN.01690213.</w:t>
            </w:r>
            <w:r w:rsidRPr="00C716E7">
              <w:t xml:space="preserve"> </w:t>
            </w:r>
          </w:p>
          <w:p w14:paraId="646E13C5" w14:textId="77777777" w:rsidR="00446213" w:rsidRDefault="00446213" w:rsidP="00446213">
            <w:pPr>
              <w:spacing w:after="200" w:line="276" w:lineRule="auto"/>
              <w:ind w:left="0" w:firstLine="0"/>
              <w:rPr>
                <w:noProof/>
              </w:rPr>
            </w:pPr>
            <w:r w:rsidRPr="00C716E7">
              <w:rPr>
                <w:noProof/>
              </w:rPr>
              <w:t>During the past decade, clear trends in the types of incident and prevalent hemodialysis vascular access can be observed. There has been a steady increase and recent stabilizaton of patients initiating hemodialysis with a central venous catheter, representing approximately 80% of all incident accesses. There has also been a steady increase in prevalent fistula use, currently greater than 50% within 4 months of hemodialysis initiation. Patient and vascular access related morbidity and mortality are reflected in the type of vascular access used at initiation and for long-term maintenance dialysis. There is a three- to fourfold increase in risk of infectious complications in patients initiating dialysis with a catheter compared with either a fistula or graft and a sevenfold higher risk when the catheter is used as a prevalent access. Procedure rates have increased two- to threefold for all types of access. There is a significant increased risk of mortality associated with catheter use, especially within the first year of dialysis initiation.</w:t>
            </w:r>
          </w:p>
          <w:p w14:paraId="6DF94654" w14:textId="77777777" w:rsidR="00446213" w:rsidRPr="00C716E7" w:rsidRDefault="00446213" w:rsidP="00446213">
            <w:pPr>
              <w:spacing w:after="200" w:line="276" w:lineRule="auto"/>
              <w:ind w:left="0" w:firstLine="0"/>
              <w:rPr>
                <w:noProof/>
              </w:rPr>
            </w:pPr>
            <w:r>
              <w:rPr>
                <w:noProof/>
              </w:rPr>
              <w:t>Impact:  Despite longstanding KDOQI guidelines, many patients still start hemodialysis with a tunneled catheter and experience higher rates of infectious complications compared to those with an AVF.</w:t>
            </w:r>
          </w:p>
          <w:p w14:paraId="0F0BF596" w14:textId="77777777" w:rsidR="00446213" w:rsidRPr="00C716E7" w:rsidRDefault="00446213" w:rsidP="00446213">
            <w:pPr>
              <w:spacing w:after="200" w:line="276" w:lineRule="auto"/>
              <w:ind w:left="0" w:firstLine="0"/>
              <w:rPr>
                <w:noProof/>
              </w:rPr>
            </w:pPr>
          </w:p>
          <w:p w14:paraId="58D932B7" w14:textId="77777777" w:rsidR="00446213" w:rsidRPr="00C716E7" w:rsidRDefault="00446213" w:rsidP="00446213">
            <w:pPr>
              <w:spacing w:after="200" w:line="276" w:lineRule="auto"/>
              <w:ind w:left="0" w:firstLine="0"/>
              <w:rPr>
                <w:i/>
              </w:rPr>
            </w:pPr>
            <w:r w:rsidRPr="00C716E7">
              <w:rPr>
                <w:noProof/>
              </w:rPr>
              <w:t>Ravani, Pietro &amp; Palmer, Suetonia C &amp; Oliver, Matthew J et al.</w:t>
            </w:r>
            <w:r w:rsidRPr="00C716E7">
              <w:t xml:space="preserve"> </w:t>
            </w:r>
            <w:r w:rsidRPr="00C716E7">
              <w:rPr>
                <w:b/>
                <w:noProof/>
              </w:rPr>
              <w:t xml:space="preserve">Associations between hemodialysis access type and clinical outcomes: a systematic review. </w:t>
            </w:r>
            <w:r w:rsidRPr="00C716E7">
              <w:t xml:space="preserve"> </w:t>
            </w:r>
            <w:r w:rsidRPr="00C716E7">
              <w:rPr>
                <w:i/>
                <w:noProof/>
              </w:rPr>
              <w:t>J Am Soc Nephrol. 2013 Feb;24(3):465-73. doi: 10.1681/ASN.2012070643. Epub 2013 Feb 21.</w:t>
            </w:r>
            <w:r w:rsidRPr="00C716E7">
              <w:rPr>
                <w:i/>
              </w:rPr>
              <w:t xml:space="preserve"> </w:t>
            </w:r>
          </w:p>
          <w:p w14:paraId="1F7B6B4D" w14:textId="77777777" w:rsidR="00446213" w:rsidRDefault="00446213" w:rsidP="00446213">
            <w:pPr>
              <w:spacing w:after="200" w:line="276" w:lineRule="auto"/>
              <w:ind w:left="0" w:firstLine="0"/>
              <w:rPr>
                <w:noProof/>
              </w:rPr>
            </w:pPr>
            <w:r w:rsidRPr="00C716E7">
              <w:rPr>
                <w:noProof/>
              </w:rPr>
              <w:t xml:space="preserve">Clinical practice guidelines recommend an arteriovenous fistula as the preferred vascular access for hemodialysis, but quantitative associations between vascular access type and various clinical outcomes remain controversial. </w:t>
            </w:r>
            <w:r>
              <w:rPr>
                <w:noProof/>
              </w:rPr>
              <w:t xml:space="preserve">This </w:t>
            </w:r>
            <w:r w:rsidRPr="00C716E7">
              <w:rPr>
                <w:noProof/>
              </w:rPr>
              <w:t>systematic review of cohort studies evaluate</w:t>
            </w:r>
            <w:r>
              <w:rPr>
                <w:noProof/>
              </w:rPr>
              <w:t>s</w:t>
            </w:r>
            <w:r w:rsidRPr="00C716E7">
              <w:rPr>
                <w:noProof/>
              </w:rPr>
              <w:t xml:space="preserve"> the associations between type of vascular access (arteriovenous fistula, arteriovenous graft, and central venous catheter) and risk for death, infection, and major cardiovascular events. 67 (62 cohort studies comprising 586,337 participants)</w:t>
            </w:r>
            <w:r>
              <w:rPr>
                <w:noProof/>
              </w:rPr>
              <w:t>studies</w:t>
            </w:r>
            <w:r w:rsidRPr="00C716E7">
              <w:rPr>
                <w:noProof/>
              </w:rPr>
              <w:t xml:space="preserve"> </w:t>
            </w:r>
            <w:r>
              <w:rPr>
                <w:noProof/>
              </w:rPr>
              <w:t xml:space="preserve">were selected.  </w:t>
            </w:r>
            <w:r w:rsidRPr="00C716E7">
              <w:rPr>
                <w:noProof/>
              </w:rPr>
              <w:t>In a random effects meta-analysis, compared with persons with fistulas, those individuals using catheters had higher risks for all-cause mortality (risk ratio=1.53, 95% CI=1.41-1.67), fatal infections (2.12, 1.79-2.52), and cardiovascular events (1.38, 1.24-1.54). Similarly, compared with persons with grafts, those individuals using catheters had higher risks for mortality (1.38, 1.25-1.52), fatal infections (1.49, 1.15-1.93), and cardiovascular events (1.26, 1.11-1.43). Compared with persons with fistulas, those individuals with grafts had increased all-cause mortality (1.18, 1.09-1.27) and fatal infection (1.36, 1.17-1.58), but we did not detect a difference in the risk for cardiovascular events (1.07, 0.95-1.21). The risk for bias, especially selection bias, was high. In conclusion, persons using catheters for hemodialysis seem to have the highest risks for death, infections, and cardiovascular events compared with other vascular access types, and patients with usable fistulas have the lowest risk.</w:t>
            </w:r>
          </w:p>
          <w:p w14:paraId="5CD03420" w14:textId="77777777" w:rsidR="00446213" w:rsidRPr="00C716E7" w:rsidRDefault="00446213" w:rsidP="00446213">
            <w:pPr>
              <w:spacing w:after="200" w:line="276" w:lineRule="auto"/>
              <w:ind w:left="0" w:firstLine="0"/>
              <w:rPr>
                <w:noProof/>
              </w:rPr>
            </w:pPr>
            <w:r>
              <w:rPr>
                <w:noProof/>
              </w:rPr>
              <w:t>Impact:  This study emphasizes that the body of evidence is consistent in the magnitude and direction of effect with regards to the benefits of AVF</w:t>
            </w:r>
            <w:r w:rsidRPr="006C3677">
              <w:t xml:space="preserve"> </w:t>
            </w:r>
            <w:r w:rsidRPr="006C3677">
              <w:rPr>
                <w:noProof/>
              </w:rPr>
              <w:t>over central venous catheter</w:t>
            </w:r>
            <w:r>
              <w:rPr>
                <w:noProof/>
              </w:rPr>
              <w:t xml:space="preserve">.  </w:t>
            </w:r>
          </w:p>
          <w:p w14:paraId="3A6C9095" w14:textId="77777777" w:rsidR="00446213" w:rsidRPr="00C716E7" w:rsidRDefault="00446213" w:rsidP="00446213">
            <w:pPr>
              <w:spacing w:after="200" w:line="276" w:lineRule="auto"/>
              <w:ind w:left="0" w:firstLine="0"/>
            </w:pPr>
          </w:p>
          <w:p w14:paraId="71F37F9D" w14:textId="77777777" w:rsidR="00446213" w:rsidRPr="00C716E7" w:rsidRDefault="00446213" w:rsidP="00446213">
            <w:pPr>
              <w:spacing w:after="200" w:line="276" w:lineRule="auto"/>
              <w:ind w:left="0" w:firstLine="0"/>
            </w:pPr>
            <w:r w:rsidRPr="00C716E7">
              <w:rPr>
                <w:noProof/>
              </w:rPr>
              <w:t>Moist, Louise M &amp; Lok, Charmaine E &amp; Vachharajani, Tushar J et al.</w:t>
            </w:r>
            <w:r w:rsidRPr="00C716E7">
              <w:t xml:space="preserve"> </w:t>
            </w:r>
            <w:r w:rsidRPr="00C716E7">
              <w:rPr>
                <w:b/>
                <w:noProof/>
              </w:rPr>
              <w:t>Optimal hemodialysis vascular access in the elderly patient.</w:t>
            </w:r>
            <w:r w:rsidRPr="00C716E7">
              <w:t xml:space="preserve">  </w:t>
            </w:r>
            <w:r w:rsidRPr="00C716E7">
              <w:rPr>
                <w:i/>
                <w:noProof/>
              </w:rPr>
              <w:t>Semin Dial. 2012 Nov-Dec;25(6):640-8. doi: 10.1111/sdi.12037.</w:t>
            </w:r>
            <w:r w:rsidRPr="00C716E7">
              <w:t xml:space="preserve"> </w:t>
            </w:r>
          </w:p>
          <w:p w14:paraId="2573A1EC" w14:textId="77777777" w:rsidR="00446213" w:rsidRDefault="00446213" w:rsidP="00446213">
            <w:pPr>
              <w:spacing w:after="200" w:line="276" w:lineRule="auto"/>
              <w:ind w:left="0" w:firstLine="0"/>
              <w:rPr>
                <w:noProof/>
              </w:rPr>
            </w:pPr>
            <w:r w:rsidRPr="00C716E7">
              <w:rPr>
                <w:noProof/>
              </w:rPr>
              <w:t>The optimal vascular access for elderly patients remains a challenge due to the difficulty balancing the benefits and risks in a population with increased comorbidity and decreased survival. Age is commonly associated with failure to mature in fistula and decreased rates of primary and secondary patency in both fistula and grafts. In the elderly, at 1 and 2 years, primary patency rates range from 43% to 74% and from 29% to 67%, respectively. Secondary patency rates at 1 and 2 years range from 56% to 82% and 44% to 67%, respectively. Cumulative fistula survival is no better than grafts survival when primary failures are included. Several observational studies consistently demonstrate a lower adjusted mortality among those using a fistula compared with a catheter; however, catheter use in the elderly is increasing in most countries with the exception of Japan. Both guidelines and quality initiatives do not acknowledge the trade-offs involved in managing the elderly patients with multiple chronic conditions and limited life expectancy or the value that patients place on achieving these outcomes. The framework for choice of vascular access presented in this article considers: (1) likelihood of disease progression before death, (2) patient life expectancy, (3) risks and benefits by vascular access type, and (4) patient preference. Future studies evaluating the timing and type of vascular access with careful assessments of complications, functionality, cost benefit, and patients' preference will provide relevant information to individualize and optimize care to improve morbidity, mortality, and quality of life in the elderly patient.</w:t>
            </w:r>
          </w:p>
          <w:p w14:paraId="6017A62F" w14:textId="77777777" w:rsidR="00446213" w:rsidRPr="00C716E7" w:rsidRDefault="00446213" w:rsidP="00446213">
            <w:pPr>
              <w:spacing w:after="200" w:line="276" w:lineRule="auto"/>
              <w:ind w:left="0" w:firstLine="0"/>
              <w:rPr>
                <w:noProof/>
              </w:rPr>
            </w:pPr>
            <w:r>
              <w:rPr>
                <w:noProof/>
              </w:rPr>
              <w:t>Impact: Outlines the importance of considering patient factors in vascular access options for elderly patients.</w:t>
            </w:r>
          </w:p>
          <w:p w14:paraId="064F55E9" w14:textId="77777777" w:rsidR="00446213" w:rsidRPr="00C716E7" w:rsidRDefault="00446213" w:rsidP="00446213">
            <w:pPr>
              <w:spacing w:after="200" w:line="276" w:lineRule="auto"/>
              <w:ind w:left="0" w:firstLine="0"/>
              <w:rPr>
                <w:noProof/>
              </w:rPr>
            </w:pPr>
          </w:p>
          <w:p w14:paraId="2C9F7049" w14:textId="77777777" w:rsidR="00446213" w:rsidRPr="00C716E7" w:rsidRDefault="00446213" w:rsidP="00446213">
            <w:pPr>
              <w:spacing w:after="200" w:line="276" w:lineRule="auto"/>
              <w:ind w:left="0" w:firstLine="0"/>
              <w:rPr>
                <w:i/>
              </w:rPr>
            </w:pPr>
            <w:r w:rsidRPr="00C716E7">
              <w:rPr>
                <w:noProof/>
              </w:rPr>
              <w:t xml:space="preserve">Schmidt, Rebecca J &amp; Goldman, Richard S &amp; Germain, Michael. </w:t>
            </w:r>
            <w:r w:rsidRPr="00C716E7">
              <w:t xml:space="preserve"> </w:t>
            </w:r>
            <w:r w:rsidRPr="00C716E7">
              <w:rPr>
                <w:b/>
                <w:noProof/>
              </w:rPr>
              <w:t>Pursuing permanent hemodialysis vascular access in patients with a poor prognosis: juxtaposing potential benefit and harm.</w:t>
            </w:r>
            <w:r w:rsidRPr="00C716E7">
              <w:t xml:space="preserve"> </w:t>
            </w:r>
            <w:r w:rsidRPr="00C716E7">
              <w:rPr>
                <w:i/>
                <w:noProof/>
              </w:rPr>
              <w:t>Am J Kidney Dis. 2012 Dec;60(6):1023-31. doi: 10.1053/j.ajkd.2012.07.020. Epub 2012 Sep 19.</w:t>
            </w:r>
            <w:r w:rsidRPr="00C716E7">
              <w:rPr>
                <w:i/>
              </w:rPr>
              <w:t xml:space="preserve"> </w:t>
            </w:r>
          </w:p>
          <w:p w14:paraId="7BA37389" w14:textId="77777777" w:rsidR="00446213" w:rsidRDefault="00446213" w:rsidP="00446213">
            <w:pPr>
              <w:spacing w:after="200" w:line="276" w:lineRule="auto"/>
              <w:ind w:left="0" w:firstLine="0"/>
              <w:rPr>
                <w:noProof/>
              </w:rPr>
            </w:pPr>
            <w:r w:rsidRPr="00C716E7">
              <w:rPr>
                <w:noProof/>
              </w:rPr>
              <w:t>For patients with end-stage renal disease requiring hemodialysis, the native arteriovenous fistula remains the gold standard of vascular access, with tunneled cuffed central venous catheters reserved for temporary use or as a last resort in patients for whom a permanent vascular access is not possible. It is expected that most patients receiving hemodialysis will be suitable for arteriovenous fistula placement, with suitable patients defined as those: (1) for whom long-term dialysis is expected to confer benefit, (2) with vascular anatomy amenable to arteriovenous fistula placement, and (3) with progressive irreversible kidney failure who are more likely to require dialysis than to die before reaching dialysis dependence. The present article reviews considerations for vascular access decision making, focusing on older patients and those with a poor prognosis, weighing the risks and benefits of arteriovenous fistulas, arteriovenous grafts, and central venous catheters and emphasizing that in the process of vascular access decision making for such patients, medical and ethical obligations to avoid central venous catheters must be balanced by the obligation to do no harm.</w:t>
            </w:r>
          </w:p>
          <w:p w14:paraId="489458DD" w14:textId="77777777" w:rsidR="00446213" w:rsidRDefault="00446213" w:rsidP="00446213">
            <w:pPr>
              <w:spacing w:after="200" w:line="276" w:lineRule="auto"/>
              <w:ind w:left="0" w:firstLine="0"/>
              <w:rPr>
                <w:noProof/>
              </w:rPr>
            </w:pPr>
            <w:r>
              <w:rPr>
                <w:noProof/>
              </w:rPr>
              <w:t xml:space="preserve">Impact:  Risks and benefits of </w:t>
            </w:r>
            <w:r w:rsidRPr="002536EA">
              <w:rPr>
                <w:noProof/>
              </w:rPr>
              <w:t xml:space="preserve">arteriovenous fistulas, </w:t>
            </w:r>
            <w:r>
              <w:rPr>
                <w:noProof/>
              </w:rPr>
              <w:t xml:space="preserve">relative to </w:t>
            </w:r>
            <w:r w:rsidRPr="002536EA">
              <w:rPr>
                <w:noProof/>
              </w:rPr>
              <w:t>arteriovenous grafts, and central venous catheters</w:t>
            </w:r>
            <w:r>
              <w:rPr>
                <w:noProof/>
              </w:rPr>
              <w:t xml:space="preserve"> need to be considered, particularly carefully in older patients and those with poor prognosis (limited life expectancy).  </w:t>
            </w:r>
          </w:p>
          <w:p w14:paraId="7E21E721" w14:textId="77777777" w:rsidR="00446213" w:rsidRPr="00C716E7" w:rsidRDefault="00446213" w:rsidP="00446213">
            <w:pPr>
              <w:spacing w:after="200" w:line="276" w:lineRule="auto"/>
              <w:ind w:left="0" w:firstLine="0"/>
              <w:rPr>
                <w:noProof/>
              </w:rPr>
            </w:pPr>
          </w:p>
          <w:p w14:paraId="75ACDCD0" w14:textId="77777777" w:rsidR="00446213" w:rsidRPr="00C716E7" w:rsidRDefault="00446213" w:rsidP="00446213">
            <w:pPr>
              <w:spacing w:after="200" w:line="276" w:lineRule="auto"/>
              <w:ind w:left="0" w:firstLine="0"/>
              <w:rPr>
                <w:i/>
              </w:rPr>
            </w:pPr>
            <w:r w:rsidRPr="00C716E7">
              <w:rPr>
                <w:noProof/>
              </w:rPr>
              <w:t xml:space="preserve">Vassalotti, Joseph A &amp; Jennings, William C &amp; Beathard, Gerald A et al. </w:t>
            </w:r>
            <w:r w:rsidRPr="00C716E7">
              <w:t xml:space="preserve"> </w:t>
            </w:r>
            <w:r w:rsidRPr="00C716E7">
              <w:rPr>
                <w:b/>
                <w:noProof/>
              </w:rPr>
              <w:t>Fistula first breakthrough initiative: targeting catheter last in fistula first.</w:t>
            </w:r>
            <w:r w:rsidRPr="00C716E7">
              <w:t xml:space="preserve"> </w:t>
            </w:r>
            <w:r w:rsidRPr="00C716E7">
              <w:rPr>
                <w:i/>
                <w:noProof/>
              </w:rPr>
              <w:t>Semin Dial. 2012 May;25(3):303-10. doi: 10.1111/j.1525-139X.2012.01069.x. Epub 2012 Apr 4.</w:t>
            </w:r>
            <w:r w:rsidRPr="00C716E7">
              <w:rPr>
                <w:i/>
              </w:rPr>
              <w:t xml:space="preserve"> </w:t>
            </w:r>
          </w:p>
          <w:p w14:paraId="03A01346" w14:textId="77777777" w:rsidR="00446213" w:rsidRDefault="00446213" w:rsidP="00446213">
            <w:pPr>
              <w:spacing w:after="200" w:line="276" w:lineRule="auto"/>
              <w:ind w:left="0" w:firstLine="0"/>
              <w:rPr>
                <w:noProof/>
              </w:rPr>
            </w:pPr>
            <w:r w:rsidRPr="00C716E7">
              <w:rPr>
                <w:noProof/>
              </w:rPr>
              <w:t>An arteriovenous fistula (AVF) is the optimal vascular access for hemodialysis (HD), because it is associated with prolonged survival, fewer infections, lower hospitalization rates, and reduced costs. The AVF First breakthrough initiative (FFBI) has made dramatic progress, effectively promoting the increase in the national AVF prevalence since the program's inception from 32% in May 2003 to nearly 60% in 2011. Central venous catheter (CVC) use has stabilized and recently decreased slightly for prevalent patients (treated more than 90 days), while CVC usage in the first 90 days remains unacceptably high at nearly 80%. This high prevalence of CVC utilization suggests important specific improvement goals for FFBI. In addition to the current 66% AVF goal, the initiative should include specific CVC usage target(s), based on the KDOQI goal of less than 10% in patients undergoing HD for more than 90 days, and a substantially improved initial target from the current CVC proportion. These specific CVC targets would be disseminated through the ESRD networks to individual dialysis facilities, further emphasizing CVC avoidance in the transition from advanced CKD to chronic kidney failure, while continuing to decrease CVC by prompt conversion of CVC-based hemodialysis patients to permanent vascular access, utilizing an AVF whenever feasible.</w:t>
            </w:r>
          </w:p>
          <w:p w14:paraId="2F1013B6" w14:textId="77777777" w:rsidR="00446213" w:rsidRPr="00C716E7" w:rsidRDefault="00446213" w:rsidP="00446213">
            <w:pPr>
              <w:spacing w:after="200" w:line="276" w:lineRule="auto"/>
              <w:ind w:left="0" w:firstLine="0"/>
              <w:rPr>
                <w:noProof/>
              </w:rPr>
            </w:pPr>
            <w:r>
              <w:rPr>
                <w:noProof/>
              </w:rPr>
              <w:t xml:space="preserve">Impact:  Emphasizes that catheter avoidance should receive more attention than simply increasing the proportion of patients with an AVF.  </w:t>
            </w:r>
          </w:p>
          <w:p w14:paraId="16D0F833" w14:textId="77777777" w:rsidR="00446213" w:rsidRPr="00C716E7" w:rsidRDefault="00446213" w:rsidP="00446213">
            <w:pPr>
              <w:spacing w:after="200" w:line="276" w:lineRule="auto"/>
              <w:ind w:left="0" w:firstLine="0"/>
              <w:rPr>
                <w:noProof/>
              </w:rPr>
            </w:pPr>
          </w:p>
          <w:p w14:paraId="69CE7027" w14:textId="77777777" w:rsidR="00446213" w:rsidRPr="00C716E7" w:rsidRDefault="00446213" w:rsidP="00446213">
            <w:pPr>
              <w:spacing w:after="200" w:line="276" w:lineRule="auto"/>
              <w:ind w:left="0" w:firstLine="0"/>
              <w:rPr>
                <w:i/>
              </w:rPr>
            </w:pPr>
            <w:r w:rsidRPr="00C716E7">
              <w:rPr>
                <w:noProof/>
              </w:rPr>
              <w:t xml:space="preserve">Tamura, Manjula Kurella &amp; Tan, Jane C &amp; O'Hare, Ann M. </w:t>
            </w:r>
            <w:r w:rsidRPr="00C716E7">
              <w:t xml:space="preserve"> </w:t>
            </w:r>
            <w:r w:rsidRPr="00C716E7">
              <w:rPr>
                <w:b/>
                <w:noProof/>
              </w:rPr>
              <w:t>Optimizing renal replacement therapy in older adults: a framework for making individualized decisions.</w:t>
            </w:r>
            <w:r w:rsidRPr="00C716E7">
              <w:t xml:space="preserve"> </w:t>
            </w:r>
            <w:r w:rsidRPr="00C716E7">
              <w:rPr>
                <w:i/>
                <w:noProof/>
              </w:rPr>
              <w:t>Kidney Int. 2012 Aug;82(3):261-9. doi: 10.1038/ki.2011.384. Epub 2011 Nov 16.</w:t>
            </w:r>
            <w:r w:rsidRPr="00C716E7">
              <w:rPr>
                <w:i/>
              </w:rPr>
              <w:t xml:space="preserve"> </w:t>
            </w:r>
          </w:p>
          <w:p w14:paraId="2FB167C7" w14:textId="77777777" w:rsidR="00446213" w:rsidRDefault="00446213" w:rsidP="00446213">
            <w:pPr>
              <w:spacing w:after="200" w:line="276" w:lineRule="auto"/>
              <w:ind w:left="0" w:firstLine="0"/>
              <w:rPr>
                <w:noProof/>
              </w:rPr>
            </w:pPr>
            <w:r w:rsidRPr="00C716E7">
              <w:rPr>
                <w:noProof/>
              </w:rPr>
              <w:t>It is often difficult to synthesize information about the risks and benefits of recommended management strategies in older patients with end-stage renal disease since they may have more comorbidity and lower life expectancy than patients described in clinical trials or practice guidelines. In this review, we outline a framework for individualizing end-stage renal disease management decisions in older patients. The framework considers three factors: life expectancy, the risks and benefits of competing treatment strategies, and patient preferences. We illustrate the use of this framework by applying it to three key end-stage renal disease decisions in older patients with varying life expectancy: choice of dialysis modality, choice of vascular access for hemodialysis, and referral for kidney transplantation. In several instances, this approach might provide support for treatment decisions that directly contradict available practice guidelines, illustrating circumstances when strict application of guidelines may be inappropriate for certain patients. By combining quantitative estimates of benefits and harms with qualitative assessments of patient preferences, clinicians may be better able to tailor treatment recommendations to individual older patients, thereby improving the overall quality of end-stage renal disease care.</w:t>
            </w:r>
          </w:p>
          <w:p w14:paraId="43E70E71" w14:textId="77777777" w:rsidR="00446213" w:rsidRPr="00C716E7" w:rsidRDefault="00446213" w:rsidP="00446213">
            <w:pPr>
              <w:spacing w:after="200" w:line="276" w:lineRule="auto"/>
              <w:ind w:left="0" w:firstLine="0"/>
              <w:rPr>
                <w:noProof/>
              </w:rPr>
            </w:pPr>
            <w:r>
              <w:rPr>
                <w:noProof/>
              </w:rPr>
              <w:t xml:space="preserve">Impact:  An individualized approach to vascular access decisions that relies on both quantitative assessment of benefits and harms, as well as patient preference, can lead to treatement decisions that contradict practice guidelines. </w:t>
            </w:r>
          </w:p>
          <w:p w14:paraId="1221D407" w14:textId="77777777" w:rsidR="00446213" w:rsidRPr="00C716E7" w:rsidRDefault="00446213" w:rsidP="00446213">
            <w:pPr>
              <w:spacing w:after="200" w:line="276" w:lineRule="auto"/>
              <w:ind w:left="0" w:firstLine="0"/>
            </w:pPr>
            <w:r w:rsidRPr="00C716E7">
              <w:rPr>
                <w:noProof/>
              </w:rPr>
              <w:t>Ng, Leslie J &amp; Chen, Fangfei &amp; Pisoni, Ronald L et al.</w:t>
            </w:r>
            <w:r w:rsidRPr="00C716E7">
              <w:t xml:space="preserve"> </w:t>
            </w:r>
            <w:r w:rsidRPr="00C716E7">
              <w:rPr>
                <w:b/>
                <w:noProof/>
              </w:rPr>
              <w:t>Hospitalization risks related to vascular access type among incident US hemodialysis patients.</w:t>
            </w:r>
            <w:r w:rsidRPr="00C716E7">
              <w:t xml:space="preserve">  </w:t>
            </w:r>
            <w:r w:rsidRPr="00C716E7">
              <w:rPr>
                <w:i/>
                <w:noProof/>
              </w:rPr>
              <w:t>Nephrol Dial Transplant. 2011 Nov;26(11):3659-66. doi: 10.1093/ndt/gfr063. Epub 2011 Mar 3.</w:t>
            </w:r>
            <w:r w:rsidRPr="00C716E7">
              <w:t xml:space="preserve"> </w:t>
            </w:r>
          </w:p>
          <w:p w14:paraId="36CFD541" w14:textId="77777777" w:rsidR="00446213" w:rsidRDefault="00446213" w:rsidP="00446213">
            <w:pPr>
              <w:spacing w:after="200" w:line="276" w:lineRule="auto"/>
              <w:ind w:left="0" w:firstLine="0"/>
              <w:rPr>
                <w:noProof/>
              </w:rPr>
            </w:pPr>
            <w:r w:rsidRPr="00C716E7">
              <w:rPr>
                <w:noProof/>
              </w:rPr>
              <w:t xml:space="preserve">The excess morbidity and mortality related to catheter utilization at and immediately following dialysis initiation may simply be a proxy for poor prognosis. </w:t>
            </w:r>
            <w:r>
              <w:rPr>
                <w:noProof/>
              </w:rPr>
              <w:t>This study</w:t>
            </w:r>
            <w:r w:rsidRPr="00C716E7">
              <w:rPr>
                <w:noProof/>
              </w:rPr>
              <w:t xml:space="preserve"> examined hospitalization burden related to vascular access (VA) type among incident patients who received some predialysis care</w:t>
            </w:r>
            <w:r>
              <w:rPr>
                <w:noProof/>
              </w:rPr>
              <w:t xml:space="preserve"> using the DOPPS patient cohort </w:t>
            </w:r>
            <w:r w:rsidRPr="00C716E7">
              <w:rPr>
                <w:noProof/>
              </w:rPr>
              <w:t>(1996-2004) who reported predialysis nephrologist care. VA utilization was assessed at baseline and throughout the first 6 months on dialysis. Poisson regression was used to estimate the risk of all-cause and cause-specific hospitalizations during the first 6 months. Among 2635 incident patients, 60% were dialyzing with a catheter, 22% with a graft and 18% with a fistula at baseline. Compared to fistulae, baseline catheter use was associated with an increased risk of all-cause hospitalization [adjusted relative risk (RR) = 1.30, 95% confidence interval (CI): 1.09-1.54] and graft use was not (RR = 1.07, 95% CI: 0.89-1.28). Allowing for VA changes over time, the risk of catheter versus fistula use was more pronounced (RR = 1.72, 95% CI: 1.42-2.08) and increased slightly for graft use (RR = 1.15, 95% CI: 0.94-1.41). Baseline catheter use was most strongly related to infection-related (RR = 1.47, 95% CI: 0.92-2.36) and VA-related hospitalizations (RR = 1.49, 95% CI: 1.06-2.11). These effects were further strengthened when VA use was allowed to vary over time (RR = 2.31, 95% CI: 1.48-3.61 and RR = 3.10, 95% CI: 1.95-4.91, respectively). A similar pattern was noted for VA-related hospitalizations with graft use. Among potentially healthier incident patients, hospitalization risk, particularly infection and VA-related, was highest for patients dialyzing with a catheter at initiation and throughout follow-up, providing further support to clinical practice recommendations to minimize catheter placement.</w:t>
            </w:r>
          </w:p>
          <w:p w14:paraId="5E34E7BE" w14:textId="77777777" w:rsidR="00446213" w:rsidRPr="00C716E7" w:rsidRDefault="00446213" w:rsidP="00446213">
            <w:pPr>
              <w:spacing w:after="200" w:line="276" w:lineRule="auto"/>
              <w:ind w:left="0" w:firstLine="0"/>
              <w:rPr>
                <w:noProof/>
              </w:rPr>
            </w:pPr>
            <w:r>
              <w:rPr>
                <w:noProof/>
              </w:rPr>
              <w:t>Impact:  Additional support for the association between catheter use and risk of hospitalization</w:t>
            </w:r>
            <w:r w:rsidRPr="00F12B1F">
              <w:rPr>
                <w:noProof/>
              </w:rPr>
              <w:t>, particularly infection related hospitalizations</w:t>
            </w:r>
            <w:r>
              <w:rPr>
                <w:noProof/>
              </w:rPr>
              <w:t>.</w:t>
            </w:r>
          </w:p>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377B3EAA"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0E1FE1D8" w14:textId="6EB179F7" w:rsidR="00CD78BC" w:rsidRDefault="00CD78BC" w:rsidP="002E2177">
      <w:pPr>
        <w:ind w:left="0" w:firstLine="0"/>
        <w:rPr>
          <w:b/>
        </w:rPr>
      </w:pPr>
    </w:p>
    <w:p w14:paraId="29A0EE12" w14:textId="481D36A6" w:rsidR="00CD78BC" w:rsidRDefault="00CD78BC" w:rsidP="002E2177">
      <w:pPr>
        <w:ind w:left="0" w:firstLine="0"/>
        <w:rPr>
          <w:b/>
        </w:rPr>
      </w:pPr>
    </w:p>
    <w:p w14:paraId="23C656B9" w14:textId="21BEE879" w:rsidR="00CD78BC" w:rsidRDefault="00CD78BC" w:rsidP="002E2177">
      <w:pPr>
        <w:ind w:left="0" w:firstLine="0"/>
        <w:rPr>
          <w:b/>
        </w:rPr>
      </w:pPr>
    </w:p>
    <w:p w14:paraId="33E92BE5" w14:textId="6BBEFDE6" w:rsidR="00CD78BC" w:rsidRDefault="00CD78BC" w:rsidP="002E2177">
      <w:pPr>
        <w:ind w:left="0" w:firstLine="0"/>
        <w:rPr>
          <w:b/>
        </w:rPr>
      </w:pPr>
    </w:p>
    <w:p w14:paraId="191F5D9D" w14:textId="1308F0C4" w:rsidR="00CD78BC" w:rsidRDefault="00CD78BC" w:rsidP="002E2177">
      <w:pPr>
        <w:ind w:left="0" w:firstLine="0"/>
        <w:rPr>
          <w:b/>
        </w:rPr>
      </w:pPr>
    </w:p>
    <w:p w14:paraId="590955C9" w14:textId="688C6D4D" w:rsidR="00CD78BC" w:rsidRDefault="00CD78BC">
      <w:pPr>
        <w:rPr>
          <w:b/>
        </w:rPr>
      </w:pPr>
      <w:r>
        <w:rPr>
          <w:b/>
        </w:rPr>
        <w:br w:type="page"/>
      </w:r>
    </w:p>
    <w:p w14:paraId="6E4A0F17" w14:textId="77777777" w:rsidR="00CD78BC" w:rsidRDefault="00CD78BC" w:rsidP="002E2177">
      <w:pPr>
        <w:ind w:left="0" w:firstLine="0"/>
        <w:rPr>
          <w:b/>
        </w:rPr>
      </w:pPr>
    </w:p>
    <w:p w14:paraId="7CE39711" w14:textId="77777777" w:rsidR="00CD78BC" w:rsidRDefault="00CD78BC" w:rsidP="00CD78BC">
      <w:pPr>
        <w:ind w:left="0" w:firstLine="0"/>
        <w:rPr>
          <w:b/>
        </w:rPr>
      </w:pPr>
      <w:r w:rsidRPr="003B1CC5">
        <w:rPr>
          <w:b/>
        </w:rPr>
        <w:t xml:space="preserve">Provide all other grades and associated definitions for strength of the evidence in the grading system. </w:t>
      </w:r>
    </w:p>
    <w:p w14:paraId="42276A4D" w14:textId="77777777" w:rsidR="00CD78BC" w:rsidRDefault="00CD78BC" w:rsidP="00CD78BC">
      <w:pPr>
        <w:spacing w:before="240" w:after="240"/>
        <w:rPr>
          <w:b/>
        </w:rPr>
      </w:pPr>
    </w:p>
    <w:tbl>
      <w:tblPr>
        <w:tblStyle w:val="LightShading-Accent1"/>
        <w:tblW w:w="937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793"/>
        <w:gridCol w:w="2037"/>
        <w:gridCol w:w="1915"/>
        <w:gridCol w:w="1916"/>
      </w:tblGrid>
      <w:tr w:rsidR="00CD78BC" w:rsidRPr="002536EA" w14:paraId="3AD6EB6D" w14:textId="77777777" w:rsidTr="001426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top w:val="none" w:sz="0" w:space="0" w:color="auto"/>
              <w:left w:val="none" w:sz="0" w:space="0" w:color="auto"/>
              <w:bottom w:val="none" w:sz="0" w:space="0" w:color="auto"/>
              <w:right w:val="none" w:sz="0" w:space="0" w:color="auto"/>
            </w:tcBorders>
          </w:tcPr>
          <w:p w14:paraId="7D25E103" w14:textId="77777777" w:rsidR="00CD78BC" w:rsidRPr="002536EA" w:rsidRDefault="00CD78BC" w:rsidP="001426F7">
            <w:pPr>
              <w:spacing w:after="200" w:line="276" w:lineRule="auto"/>
              <w:ind w:left="0" w:firstLine="0"/>
              <w:rPr>
                <w:noProof/>
                <w:color w:val="000000" w:themeColor="text1"/>
              </w:rPr>
            </w:pPr>
          </w:p>
        </w:tc>
        <w:tc>
          <w:tcPr>
            <w:tcW w:w="1793" w:type="dxa"/>
            <w:tcBorders>
              <w:top w:val="none" w:sz="0" w:space="0" w:color="auto"/>
              <w:left w:val="none" w:sz="0" w:space="0" w:color="auto"/>
              <w:bottom w:val="none" w:sz="0" w:space="0" w:color="auto"/>
              <w:right w:val="none" w:sz="0" w:space="0" w:color="auto"/>
            </w:tcBorders>
          </w:tcPr>
          <w:p w14:paraId="31363683" w14:textId="77777777" w:rsidR="00CD78BC" w:rsidRPr="002536EA" w:rsidRDefault="00CD78BC" w:rsidP="001426F7">
            <w:pPr>
              <w:spacing w:after="200" w:line="276" w:lineRule="auto"/>
              <w:ind w:left="0" w:firstLine="0"/>
              <w:cnfStyle w:val="100000000000" w:firstRow="1" w:lastRow="0" w:firstColumn="0" w:lastColumn="0" w:oddVBand="0" w:evenVBand="0" w:oddHBand="0" w:evenHBand="0" w:firstRowFirstColumn="0" w:firstRowLastColumn="0" w:lastRowFirstColumn="0" w:lastRowLastColumn="0"/>
              <w:rPr>
                <w:noProof/>
                <w:color w:val="000000" w:themeColor="text1"/>
              </w:rPr>
            </w:pPr>
          </w:p>
        </w:tc>
        <w:tc>
          <w:tcPr>
            <w:tcW w:w="5868" w:type="dxa"/>
            <w:gridSpan w:val="3"/>
            <w:tcBorders>
              <w:top w:val="none" w:sz="0" w:space="0" w:color="auto"/>
              <w:left w:val="none" w:sz="0" w:space="0" w:color="auto"/>
              <w:bottom w:val="none" w:sz="0" w:space="0" w:color="auto"/>
              <w:right w:val="none" w:sz="0" w:space="0" w:color="auto"/>
            </w:tcBorders>
          </w:tcPr>
          <w:p w14:paraId="07D61456" w14:textId="77777777" w:rsidR="00CD78BC" w:rsidRPr="002536EA" w:rsidRDefault="00CD78BC" w:rsidP="001426F7">
            <w:pPr>
              <w:spacing w:after="200" w:line="276" w:lineRule="auto"/>
              <w:ind w:left="0" w:firstLine="0"/>
              <w:jc w:val="center"/>
              <w:cnfStyle w:val="100000000000" w:firstRow="1" w:lastRow="0" w:firstColumn="0" w:lastColumn="0" w:oddVBand="0" w:evenVBand="0" w:oddHBand="0" w:evenHBand="0" w:firstRowFirstColumn="0" w:firstRowLastColumn="0" w:lastRowFirstColumn="0" w:lastRowLastColumn="0"/>
              <w:rPr>
                <w:noProof/>
                <w:color w:val="000000" w:themeColor="text1"/>
              </w:rPr>
            </w:pPr>
            <w:r w:rsidRPr="002536EA">
              <w:rPr>
                <w:noProof/>
                <w:color w:val="000000" w:themeColor="text1"/>
              </w:rPr>
              <w:t>Methadologic Quality</w:t>
            </w:r>
          </w:p>
        </w:tc>
      </w:tr>
      <w:tr w:rsidR="00CD78BC" w:rsidRPr="002536EA" w14:paraId="0FE4C4EE" w14:textId="77777777" w:rsidTr="001426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left w:val="none" w:sz="0" w:space="0" w:color="auto"/>
              <w:right w:val="none" w:sz="0" w:space="0" w:color="auto"/>
            </w:tcBorders>
            <w:shd w:val="clear" w:color="auto" w:fill="auto"/>
          </w:tcPr>
          <w:p w14:paraId="621299AD" w14:textId="77777777" w:rsidR="00CD78BC" w:rsidRPr="002536EA" w:rsidRDefault="00CD78BC" w:rsidP="001426F7">
            <w:pPr>
              <w:spacing w:after="200" w:line="276" w:lineRule="auto"/>
              <w:ind w:left="0" w:firstLine="0"/>
              <w:rPr>
                <w:color w:val="000000" w:themeColor="text1"/>
              </w:rPr>
            </w:pPr>
          </w:p>
          <w:p w14:paraId="7E9E5CF5" w14:textId="77777777" w:rsidR="00CD78BC" w:rsidRPr="002536EA" w:rsidRDefault="00CD78BC" w:rsidP="001426F7">
            <w:pPr>
              <w:spacing w:after="200" w:line="276" w:lineRule="auto"/>
              <w:ind w:left="0" w:firstLine="0"/>
              <w:rPr>
                <w:color w:val="000000" w:themeColor="text1"/>
              </w:rPr>
            </w:pPr>
          </w:p>
          <w:p w14:paraId="1C611E6A" w14:textId="77777777" w:rsidR="00CD78BC" w:rsidRPr="002536EA" w:rsidRDefault="00CD78BC" w:rsidP="001426F7">
            <w:pPr>
              <w:spacing w:after="200" w:line="276" w:lineRule="auto"/>
              <w:ind w:left="0" w:firstLine="0"/>
              <w:rPr>
                <w:color w:val="000000" w:themeColor="text1"/>
              </w:rPr>
            </w:pPr>
          </w:p>
          <w:p w14:paraId="54D88247" w14:textId="77777777" w:rsidR="00CD78BC" w:rsidRPr="002536EA" w:rsidRDefault="00CD78BC" w:rsidP="001426F7">
            <w:pPr>
              <w:spacing w:after="200" w:line="276" w:lineRule="auto"/>
              <w:ind w:left="0" w:firstLine="0"/>
              <w:rPr>
                <w:color w:val="000000" w:themeColor="text1"/>
              </w:rPr>
            </w:pPr>
            <w:r w:rsidRPr="002536EA">
              <w:rPr>
                <w:color w:val="000000" w:themeColor="text1"/>
              </w:rPr>
              <w:t>Outcome</w:t>
            </w:r>
          </w:p>
        </w:tc>
        <w:tc>
          <w:tcPr>
            <w:tcW w:w="1793" w:type="dxa"/>
            <w:tcBorders>
              <w:left w:val="none" w:sz="0" w:space="0" w:color="auto"/>
              <w:right w:val="none" w:sz="0" w:space="0" w:color="auto"/>
            </w:tcBorders>
            <w:shd w:val="clear" w:color="auto" w:fill="auto"/>
          </w:tcPr>
          <w:p w14:paraId="110AB95C" w14:textId="77777777" w:rsidR="00CD78BC" w:rsidRPr="002536EA" w:rsidRDefault="00CD78BC" w:rsidP="001426F7">
            <w:pPr>
              <w:spacing w:after="200" w:line="276" w:lineRule="auto"/>
              <w:ind w:left="0" w:firstLine="0"/>
              <w:cnfStyle w:val="000000100000" w:firstRow="0" w:lastRow="0" w:firstColumn="0" w:lastColumn="0" w:oddVBand="0" w:evenVBand="0" w:oddHBand="1" w:evenHBand="0" w:firstRowFirstColumn="0" w:firstRowLastColumn="0" w:lastRowFirstColumn="0" w:lastRowLastColumn="0"/>
              <w:rPr>
                <w:b/>
                <w:color w:val="000000" w:themeColor="text1"/>
              </w:rPr>
            </w:pPr>
          </w:p>
          <w:p w14:paraId="6375B08C" w14:textId="77777777" w:rsidR="00CD78BC" w:rsidRPr="002536EA" w:rsidRDefault="00CD78BC" w:rsidP="001426F7">
            <w:pPr>
              <w:spacing w:after="200" w:line="276" w:lineRule="auto"/>
              <w:ind w:left="0" w:firstLine="0"/>
              <w:cnfStyle w:val="000000100000" w:firstRow="0" w:lastRow="0" w:firstColumn="0" w:lastColumn="0" w:oddVBand="0" w:evenVBand="0" w:oddHBand="1" w:evenHBand="0" w:firstRowFirstColumn="0" w:firstRowLastColumn="0" w:lastRowFirstColumn="0" w:lastRowLastColumn="0"/>
              <w:rPr>
                <w:b/>
                <w:color w:val="000000" w:themeColor="text1"/>
              </w:rPr>
            </w:pPr>
          </w:p>
          <w:p w14:paraId="3502D88E" w14:textId="77777777" w:rsidR="00CD78BC" w:rsidRPr="002536EA" w:rsidRDefault="00CD78BC" w:rsidP="001426F7">
            <w:pPr>
              <w:spacing w:after="200" w:line="276" w:lineRule="auto"/>
              <w:ind w:left="0" w:firstLine="0"/>
              <w:cnfStyle w:val="000000100000" w:firstRow="0" w:lastRow="0" w:firstColumn="0" w:lastColumn="0" w:oddVBand="0" w:evenVBand="0" w:oddHBand="1" w:evenHBand="0" w:firstRowFirstColumn="0" w:firstRowLastColumn="0" w:lastRowFirstColumn="0" w:lastRowLastColumn="0"/>
              <w:rPr>
                <w:b/>
                <w:color w:val="000000" w:themeColor="text1"/>
              </w:rPr>
            </w:pPr>
          </w:p>
          <w:p w14:paraId="493A966D" w14:textId="77777777" w:rsidR="00CD78BC" w:rsidRPr="002536EA" w:rsidRDefault="00CD78BC" w:rsidP="001426F7">
            <w:pPr>
              <w:spacing w:after="200" w:line="276" w:lineRule="auto"/>
              <w:ind w:left="0" w:firstLine="0"/>
              <w:cnfStyle w:val="000000100000" w:firstRow="0" w:lastRow="0" w:firstColumn="0" w:lastColumn="0" w:oddVBand="0" w:evenVBand="0" w:oddHBand="1" w:evenHBand="0" w:firstRowFirstColumn="0" w:firstRowLastColumn="0" w:lastRowFirstColumn="0" w:lastRowLastColumn="0"/>
              <w:rPr>
                <w:b/>
                <w:color w:val="000000" w:themeColor="text1"/>
              </w:rPr>
            </w:pPr>
            <w:r w:rsidRPr="002536EA">
              <w:rPr>
                <w:b/>
                <w:color w:val="000000" w:themeColor="text1"/>
              </w:rPr>
              <w:t>Population</w:t>
            </w:r>
            <w:r w:rsidRPr="002536EA">
              <w:rPr>
                <w:b/>
                <w:color w:val="000000" w:themeColor="text1"/>
              </w:rPr>
              <w:tab/>
            </w:r>
          </w:p>
        </w:tc>
        <w:tc>
          <w:tcPr>
            <w:tcW w:w="2037" w:type="dxa"/>
            <w:tcBorders>
              <w:left w:val="none" w:sz="0" w:space="0" w:color="auto"/>
              <w:right w:val="none" w:sz="0" w:space="0" w:color="auto"/>
            </w:tcBorders>
            <w:shd w:val="clear" w:color="auto" w:fill="auto"/>
          </w:tcPr>
          <w:p w14:paraId="67A9C171" w14:textId="77777777" w:rsidR="00CD78BC" w:rsidRPr="002536EA" w:rsidRDefault="00CD78BC" w:rsidP="001426F7">
            <w:pPr>
              <w:spacing w:after="200" w:line="276" w:lineRule="auto"/>
              <w:ind w:left="0" w:firstLine="0"/>
              <w:cnfStyle w:val="000000100000" w:firstRow="0" w:lastRow="0" w:firstColumn="0" w:lastColumn="0" w:oddVBand="0" w:evenVBand="0" w:oddHBand="1" w:evenHBand="0" w:firstRowFirstColumn="0" w:firstRowLastColumn="0" w:lastRowFirstColumn="0" w:lastRowLastColumn="0"/>
              <w:rPr>
                <w:b/>
                <w:noProof/>
                <w:color w:val="000000" w:themeColor="text1"/>
              </w:rPr>
            </w:pPr>
            <w:r w:rsidRPr="002536EA">
              <w:rPr>
                <w:b/>
                <w:noProof/>
                <w:color w:val="000000" w:themeColor="text1"/>
              </w:rPr>
              <w:t>Well designed and analyzed (little if any potential bias)</w:t>
            </w:r>
          </w:p>
        </w:tc>
        <w:tc>
          <w:tcPr>
            <w:tcW w:w="1915" w:type="dxa"/>
            <w:tcBorders>
              <w:left w:val="none" w:sz="0" w:space="0" w:color="auto"/>
              <w:right w:val="none" w:sz="0" w:space="0" w:color="auto"/>
            </w:tcBorders>
            <w:shd w:val="clear" w:color="auto" w:fill="auto"/>
          </w:tcPr>
          <w:p w14:paraId="766EF0D4" w14:textId="77777777" w:rsidR="00CD78BC" w:rsidRPr="002536EA" w:rsidRDefault="00CD78BC" w:rsidP="001426F7">
            <w:pPr>
              <w:spacing w:after="200" w:line="276" w:lineRule="auto"/>
              <w:ind w:left="0" w:firstLine="0"/>
              <w:cnfStyle w:val="000000100000" w:firstRow="0" w:lastRow="0" w:firstColumn="0" w:lastColumn="0" w:oddVBand="0" w:evenVBand="0" w:oddHBand="1" w:evenHBand="0" w:firstRowFirstColumn="0" w:firstRowLastColumn="0" w:lastRowFirstColumn="0" w:lastRowLastColumn="0"/>
              <w:rPr>
                <w:b/>
                <w:noProof/>
                <w:color w:val="000000" w:themeColor="text1"/>
              </w:rPr>
            </w:pPr>
            <w:r w:rsidRPr="002536EA">
              <w:rPr>
                <w:b/>
                <w:noProof/>
                <w:color w:val="000000" w:themeColor="text1"/>
              </w:rPr>
              <w:t>Some problems in design and/or analysis (some potential bias)</w:t>
            </w:r>
          </w:p>
        </w:tc>
        <w:tc>
          <w:tcPr>
            <w:tcW w:w="1916" w:type="dxa"/>
            <w:tcBorders>
              <w:left w:val="none" w:sz="0" w:space="0" w:color="auto"/>
              <w:right w:val="none" w:sz="0" w:space="0" w:color="auto"/>
            </w:tcBorders>
            <w:shd w:val="clear" w:color="auto" w:fill="auto"/>
          </w:tcPr>
          <w:p w14:paraId="1919DA9F" w14:textId="77777777" w:rsidR="00CD78BC" w:rsidRPr="002536EA" w:rsidRDefault="00CD78BC" w:rsidP="001426F7">
            <w:pPr>
              <w:spacing w:after="200" w:line="276" w:lineRule="auto"/>
              <w:ind w:left="0" w:firstLine="0"/>
              <w:cnfStyle w:val="000000100000" w:firstRow="0" w:lastRow="0" w:firstColumn="0" w:lastColumn="0" w:oddVBand="0" w:evenVBand="0" w:oddHBand="1" w:evenHBand="0" w:firstRowFirstColumn="0" w:firstRowLastColumn="0" w:lastRowFirstColumn="0" w:lastRowLastColumn="0"/>
              <w:rPr>
                <w:b/>
                <w:noProof/>
                <w:color w:val="000000" w:themeColor="text1"/>
              </w:rPr>
            </w:pPr>
            <w:r w:rsidRPr="002536EA">
              <w:rPr>
                <w:b/>
                <w:noProof/>
                <w:color w:val="000000" w:themeColor="text1"/>
              </w:rPr>
              <w:t>Poorly designed and/or analyzed (large potential bias)</w:t>
            </w:r>
          </w:p>
        </w:tc>
      </w:tr>
      <w:tr w:rsidR="00CD78BC" w:rsidRPr="002536EA" w14:paraId="6900C74C" w14:textId="77777777" w:rsidTr="001426F7">
        <w:tc>
          <w:tcPr>
            <w:cnfStyle w:val="001000000000" w:firstRow="0" w:lastRow="0" w:firstColumn="1" w:lastColumn="0" w:oddVBand="0" w:evenVBand="0" w:oddHBand="0" w:evenHBand="0" w:firstRowFirstColumn="0" w:firstRowLastColumn="0" w:lastRowFirstColumn="0" w:lastRowLastColumn="0"/>
            <w:tcW w:w="1717" w:type="dxa"/>
            <w:shd w:val="clear" w:color="auto" w:fill="auto"/>
          </w:tcPr>
          <w:p w14:paraId="566396A8" w14:textId="77777777" w:rsidR="00CD78BC" w:rsidRPr="002536EA" w:rsidRDefault="00CD78BC" w:rsidP="001426F7">
            <w:pPr>
              <w:spacing w:after="200" w:line="276" w:lineRule="auto"/>
              <w:ind w:left="0" w:firstLine="0"/>
              <w:rPr>
                <w:noProof/>
                <w:color w:val="000000" w:themeColor="text1"/>
              </w:rPr>
            </w:pPr>
            <w:r w:rsidRPr="002536EA">
              <w:rPr>
                <w:noProof/>
                <w:color w:val="000000" w:themeColor="text1"/>
              </w:rPr>
              <w:t>Health Outcomes</w:t>
            </w:r>
          </w:p>
        </w:tc>
        <w:tc>
          <w:tcPr>
            <w:tcW w:w="1793" w:type="dxa"/>
            <w:shd w:val="clear" w:color="auto" w:fill="auto"/>
          </w:tcPr>
          <w:p w14:paraId="45978DB6" w14:textId="77777777" w:rsidR="00CD78BC" w:rsidRPr="002536EA" w:rsidRDefault="00CD78BC" w:rsidP="001426F7">
            <w:pPr>
              <w:spacing w:after="200" w:line="276" w:lineRule="auto"/>
              <w:ind w:left="0" w:firstLine="0"/>
              <w:cnfStyle w:val="000000000000" w:firstRow="0" w:lastRow="0" w:firstColumn="0" w:lastColumn="0" w:oddVBand="0" w:evenVBand="0" w:oddHBand="0" w:evenHBand="0" w:firstRowFirstColumn="0" w:firstRowLastColumn="0" w:lastRowFirstColumn="0" w:lastRowLastColumn="0"/>
              <w:rPr>
                <w:noProof/>
                <w:color w:val="000000" w:themeColor="text1"/>
              </w:rPr>
            </w:pPr>
            <w:r w:rsidRPr="002536EA">
              <w:rPr>
                <w:noProof/>
                <w:color w:val="000000" w:themeColor="text1"/>
              </w:rPr>
              <w:t>Target Population</w:t>
            </w:r>
          </w:p>
        </w:tc>
        <w:tc>
          <w:tcPr>
            <w:tcW w:w="2037" w:type="dxa"/>
            <w:shd w:val="clear" w:color="auto" w:fill="auto"/>
          </w:tcPr>
          <w:p w14:paraId="6224616C" w14:textId="77777777" w:rsidR="00CD78BC" w:rsidRPr="002536EA" w:rsidRDefault="00CD78BC" w:rsidP="001426F7">
            <w:pPr>
              <w:spacing w:after="200" w:line="276" w:lineRule="auto"/>
              <w:ind w:left="0" w:firstLine="0"/>
              <w:jc w:val="center"/>
              <w:cnfStyle w:val="000000000000" w:firstRow="0" w:lastRow="0" w:firstColumn="0" w:lastColumn="0" w:oddVBand="0" w:evenVBand="0" w:oddHBand="0" w:evenHBand="0" w:firstRowFirstColumn="0" w:firstRowLastColumn="0" w:lastRowFirstColumn="0" w:lastRowLastColumn="0"/>
              <w:rPr>
                <w:noProof/>
                <w:color w:val="000000" w:themeColor="text1"/>
              </w:rPr>
            </w:pPr>
            <w:r w:rsidRPr="002536EA">
              <w:rPr>
                <w:noProof/>
                <w:color w:val="000000" w:themeColor="text1"/>
              </w:rPr>
              <w:t>Strong</w:t>
            </w:r>
          </w:p>
        </w:tc>
        <w:tc>
          <w:tcPr>
            <w:tcW w:w="1915" w:type="dxa"/>
            <w:shd w:val="clear" w:color="auto" w:fill="auto"/>
          </w:tcPr>
          <w:p w14:paraId="28BA5210" w14:textId="77777777" w:rsidR="00CD78BC" w:rsidRPr="002536EA" w:rsidRDefault="00CD78BC" w:rsidP="001426F7">
            <w:pPr>
              <w:spacing w:after="200" w:line="276" w:lineRule="auto"/>
              <w:ind w:left="0" w:firstLine="0"/>
              <w:jc w:val="center"/>
              <w:cnfStyle w:val="000000000000" w:firstRow="0" w:lastRow="0" w:firstColumn="0" w:lastColumn="0" w:oddVBand="0" w:evenVBand="0" w:oddHBand="0" w:evenHBand="0" w:firstRowFirstColumn="0" w:firstRowLastColumn="0" w:lastRowFirstColumn="0" w:lastRowLastColumn="0"/>
              <w:rPr>
                <w:noProof/>
                <w:color w:val="000000" w:themeColor="text1"/>
              </w:rPr>
            </w:pPr>
            <w:r w:rsidRPr="002536EA">
              <w:rPr>
                <w:noProof/>
                <w:color w:val="000000" w:themeColor="text1"/>
              </w:rPr>
              <w:t>Moderately Strong</w:t>
            </w:r>
          </w:p>
        </w:tc>
        <w:tc>
          <w:tcPr>
            <w:tcW w:w="1916" w:type="dxa"/>
            <w:shd w:val="clear" w:color="auto" w:fill="auto"/>
          </w:tcPr>
          <w:p w14:paraId="0EEB03E3" w14:textId="77777777" w:rsidR="00CD78BC" w:rsidRPr="002536EA" w:rsidRDefault="00CD78BC" w:rsidP="001426F7">
            <w:pPr>
              <w:spacing w:after="200" w:line="276" w:lineRule="auto"/>
              <w:ind w:left="0" w:firstLine="0"/>
              <w:jc w:val="center"/>
              <w:cnfStyle w:val="000000000000" w:firstRow="0" w:lastRow="0" w:firstColumn="0" w:lastColumn="0" w:oddVBand="0" w:evenVBand="0" w:oddHBand="0" w:evenHBand="0" w:firstRowFirstColumn="0" w:firstRowLastColumn="0" w:lastRowFirstColumn="0" w:lastRowLastColumn="0"/>
              <w:rPr>
                <w:noProof/>
                <w:color w:val="000000" w:themeColor="text1"/>
              </w:rPr>
            </w:pPr>
            <w:r w:rsidRPr="002536EA">
              <w:rPr>
                <w:noProof/>
                <w:color w:val="000000" w:themeColor="text1"/>
              </w:rPr>
              <w:t>Weak</w:t>
            </w:r>
          </w:p>
        </w:tc>
      </w:tr>
      <w:tr w:rsidR="00CD78BC" w:rsidRPr="002536EA" w14:paraId="19FB7E07" w14:textId="77777777" w:rsidTr="001426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left w:val="none" w:sz="0" w:space="0" w:color="auto"/>
              <w:right w:val="none" w:sz="0" w:space="0" w:color="auto"/>
            </w:tcBorders>
            <w:shd w:val="clear" w:color="auto" w:fill="auto"/>
          </w:tcPr>
          <w:p w14:paraId="5DEA926A" w14:textId="77777777" w:rsidR="00CD78BC" w:rsidRPr="002536EA" w:rsidRDefault="00CD78BC" w:rsidP="001426F7">
            <w:pPr>
              <w:spacing w:after="200" w:line="276" w:lineRule="auto"/>
              <w:ind w:left="0" w:firstLine="0"/>
              <w:rPr>
                <w:noProof/>
                <w:color w:val="000000" w:themeColor="text1"/>
              </w:rPr>
            </w:pPr>
            <w:r w:rsidRPr="002536EA">
              <w:rPr>
                <w:noProof/>
                <w:color w:val="000000" w:themeColor="text1"/>
              </w:rPr>
              <w:t>Health Outcomes</w:t>
            </w:r>
          </w:p>
        </w:tc>
        <w:tc>
          <w:tcPr>
            <w:tcW w:w="1793" w:type="dxa"/>
            <w:tcBorders>
              <w:left w:val="none" w:sz="0" w:space="0" w:color="auto"/>
              <w:right w:val="none" w:sz="0" w:space="0" w:color="auto"/>
            </w:tcBorders>
            <w:shd w:val="clear" w:color="auto" w:fill="auto"/>
          </w:tcPr>
          <w:p w14:paraId="0AFFC441" w14:textId="77777777" w:rsidR="00CD78BC" w:rsidRPr="002536EA" w:rsidRDefault="00CD78BC" w:rsidP="001426F7">
            <w:pPr>
              <w:spacing w:after="200" w:line="276" w:lineRule="auto"/>
              <w:ind w:left="0" w:firstLine="0"/>
              <w:cnfStyle w:val="000000100000" w:firstRow="0" w:lastRow="0" w:firstColumn="0" w:lastColumn="0" w:oddVBand="0" w:evenVBand="0" w:oddHBand="1" w:evenHBand="0" w:firstRowFirstColumn="0" w:firstRowLastColumn="0" w:lastRowFirstColumn="0" w:lastRowLastColumn="0"/>
              <w:rPr>
                <w:noProof/>
                <w:color w:val="000000" w:themeColor="text1"/>
              </w:rPr>
            </w:pPr>
            <w:r w:rsidRPr="002536EA">
              <w:rPr>
                <w:noProof/>
                <w:color w:val="000000" w:themeColor="text1"/>
              </w:rPr>
              <w:t>Other than target population</w:t>
            </w:r>
          </w:p>
        </w:tc>
        <w:tc>
          <w:tcPr>
            <w:tcW w:w="2037" w:type="dxa"/>
            <w:tcBorders>
              <w:left w:val="none" w:sz="0" w:space="0" w:color="auto"/>
              <w:right w:val="none" w:sz="0" w:space="0" w:color="auto"/>
            </w:tcBorders>
            <w:shd w:val="clear" w:color="auto" w:fill="auto"/>
          </w:tcPr>
          <w:p w14:paraId="111899A1" w14:textId="77777777" w:rsidR="00CD78BC" w:rsidRPr="002536EA" w:rsidRDefault="00CD78BC" w:rsidP="001426F7">
            <w:pPr>
              <w:spacing w:after="200" w:line="276" w:lineRule="auto"/>
              <w:ind w:left="0" w:firstLine="0"/>
              <w:jc w:val="center"/>
              <w:cnfStyle w:val="000000100000" w:firstRow="0" w:lastRow="0" w:firstColumn="0" w:lastColumn="0" w:oddVBand="0" w:evenVBand="0" w:oddHBand="1" w:evenHBand="0" w:firstRowFirstColumn="0" w:firstRowLastColumn="0" w:lastRowFirstColumn="0" w:lastRowLastColumn="0"/>
              <w:rPr>
                <w:noProof/>
                <w:color w:val="000000" w:themeColor="text1"/>
              </w:rPr>
            </w:pPr>
            <w:r w:rsidRPr="002536EA">
              <w:rPr>
                <w:noProof/>
                <w:color w:val="000000" w:themeColor="text1"/>
              </w:rPr>
              <w:t>Moderately Strong</w:t>
            </w:r>
          </w:p>
        </w:tc>
        <w:tc>
          <w:tcPr>
            <w:tcW w:w="1915" w:type="dxa"/>
            <w:tcBorders>
              <w:left w:val="none" w:sz="0" w:space="0" w:color="auto"/>
              <w:right w:val="none" w:sz="0" w:space="0" w:color="auto"/>
            </w:tcBorders>
            <w:shd w:val="clear" w:color="auto" w:fill="auto"/>
          </w:tcPr>
          <w:p w14:paraId="77CA68D0" w14:textId="77777777" w:rsidR="00CD78BC" w:rsidRPr="002536EA" w:rsidRDefault="00CD78BC" w:rsidP="001426F7">
            <w:pPr>
              <w:spacing w:after="200" w:line="276" w:lineRule="auto"/>
              <w:ind w:left="0" w:firstLine="0"/>
              <w:jc w:val="center"/>
              <w:cnfStyle w:val="000000100000" w:firstRow="0" w:lastRow="0" w:firstColumn="0" w:lastColumn="0" w:oddVBand="0" w:evenVBand="0" w:oddHBand="1" w:evenHBand="0" w:firstRowFirstColumn="0" w:firstRowLastColumn="0" w:lastRowFirstColumn="0" w:lastRowLastColumn="0"/>
              <w:rPr>
                <w:noProof/>
                <w:color w:val="000000" w:themeColor="text1"/>
              </w:rPr>
            </w:pPr>
            <w:r w:rsidRPr="002536EA">
              <w:rPr>
                <w:noProof/>
                <w:color w:val="000000" w:themeColor="text1"/>
              </w:rPr>
              <w:t>Moderately Strong</w:t>
            </w:r>
          </w:p>
        </w:tc>
        <w:tc>
          <w:tcPr>
            <w:tcW w:w="1916" w:type="dxa"/>
            <w:tcBorders>
              <w:left w:val="none" w:sz="0" w:space="0" w:color="auto"/>
              <w:right w:val="none" w:sz="0" w:space="0" w:color="auto"/>
            </w:tcBorders>
            <w:shd w:val="clear" w:color="auto" w:fill="auto"/>
          </w:tcPr>
          <w:p w14:paraId="2B23DDAA" w14:textId="77777777" w:rsidR="00CD78BC" w:rsidRPr="002536EA" w:rsidRDefault="00CD78BC" w:rsidP="001426F7">
            <w:pPr>
              <w:spacing w:after="200" w:line="276" w:lineRule="auto"/>
              <w:ind w:left="0" w:firstLine="0"/>
              <w:jc w:val="center"/>
              <w:cnfStyle w:val="000000100000" w:firstRow="0" w:lastRow="0" w:firstColumn="0" w:lastColumn="0" w:oddVBand="0" w:evenVBand="0" w:oddHBand="1" w:evenHBand="0" w:firstRowFirstColumn="0" w:firstRowLastColumn="0" w:lastRowFirstColumn="0" w:lastRowLastColumn="0"/>
              <w:rPr>
                <w:noProof/>
                <w:color w:val="000000" w:themeColor="text1"/>
              </w:rPr>
            </w:pPr>
            <w:r w:rsidRPr="002536EA">
              <w:rPr>
                <w:noProof/>
                <w:color w:val="000000" w:themeColor="text1"/>
              </w:rPr>
              <w:t>Weak</w:t>
            </w:r>
          </w:p>
        </w:tc>
      </w:tr>
      <w:tr w:rsidR="00CD78BC" w:rsidRPr="002536EA" w14:paraId="430C642B" w14:textId="77777777" w:rsidTr="001426F7">
        <w:tc>
          <w:tcPr>
            <w:cnfStyle w:val="001000000000" w:firstRow="0" w:lastRow="0" w:firstColumn="1" w:lastColumn="0" w:oddVBand="0" w:evenVBand="0" w:oddHBand="0" w:evenHBand="0" w:firstRowFirstColumn="0" w:firstRowLastColumn="0" w:lastRowFirstColumn="0" w:lastRowLastColumn="0"/>
            <w:tcW w:w="1717" w:type="dxa"/>
            <w:shd w:val="clear" w:color="auto" w:fill="auto"/>
          </w:tcPr>
          <w:p w14:paraId="601EA004" w14:textId="77777777" w:rsidR="00CD78BC" w:rsidRPr="002536EA" w:rsidRDefault="00CD78BC" w:rsidP="001426F7">
            <w:pPr>
              <w:spacing w:after="200" w:line="276" w:lineRule="auto"/>
              <w:ind w:left="0" w:firstLine="0"/>
              <w:rPr>
                <w:noProof/>
                <w:color w:val="000000" w:themeColor="text1"/>
              </w:rPr>
            </w:pPr>
            <w:r w:rsidRPr="002536EA">
              <w:rPr>
                <w:noProof/>
                <w:color w:val="000000" w:themeColor="text1"/>
              </w:rPr>
              <w:t>Surrogate Measure</w:t>
            </w:r>
          </w:p>
        </w:tc>
        <w:tc>
          <w:tcPr>
            <w:tcW w:w="1793" w:type="dxa"/>
            <w:shd w:val="clear" w:color="auto" w:fill="auto"/>
          </w:tcPr>
          <w:p w14:paraId="11EDB29E" w14:textId="77777777" w:rsidR="00CD78BC" w:rsidRPr="002536EA" w:rsidRDefault="00CD78BC" w:rsidP="001426F7">
            <w:pPr>
              <w:spacing w:after="200" w:line="276" w:lineRule="auto"/>
              <w:ind w:left="0" w:firstLine="0"/>
              <w:cnfStyle w:val="000000000000" w:firstRow="0" w:lastRow="0" w:firstColumn="0" w:lastColumn="0" w:oddVBand="0" w:evenVBand="0" w:oddHBand="0" w:evenHBand="0" w:firstRowFirstColumn="0" w:firstRowLastColumn="0" w:lastRowFirstColumn="0" w:lastRowLastColumn="0"/>
              <w:rPr>
                <w:noProof/>
                <w:color w:val="000000" w:themeColor="text1"/>
              </w:rPr>
            </w:pPr>
            <w:r w:rsidRPr="002536EA">
              <w:rPr>
                <w:noProof/>
                <w:color w:val="000000" w:themeColor="text1"/>
              </w:rPr>
              <w:t>Target Population</w:t>
            </w:r>
          </w:p>
        </w:tc>
        <w:tc>
          <w:tcPr>
            <w:tcW w:w="2037" w:type="dxa"/>
            <w:shd w:val="clear" w:color="auto" w:fill="auto"/>
          </w:tcPr>
          <w:p w14:paraId="66E9FFDC" w14:textId="77777777" w:rsidR="00CD78BC" w:rsidRPr="002536EA" w:rsidRDefault="00CD78BC" w:rsidP="001426F7">
            <w:pPr>
              <w:spacing w:after="200" w:line="276" w:lineRule="auto"/>
              <w:ind w:left="0" w:firstLine="0"/>
              <w:jc w:val="center"/>
              <w:cnfStyle w:val="000000000000" w:firstRow="0" w:lastRow="0" w:firstColumn="0" w:lastColumn="0" w:oddVBand="0" w:evenVBand="0" w:oddHBand="0" w:evenHBand="0" w:firstRowFirstColumn="0" w:firstRowLastColumn="0" w:lastRowFirstColumn="0" w:lastRowLastColumn="0"/>
              <w:rPr>
                <w:noProof/>
                <w:color w:val="000000" w:themeColor="text1"/>
              </w:rPr>
            </w:pPr>
            <w:r w:rsidRPr="002536EA">
              <w:rPr>
                <w:noProof/>
                <w:color w:val="000000" w:themeColor="text1"/>
              </w:rPr>
              <w:t>Moderately Strong</w:t>
            </w:r>
          </w:p>
        </w:tc>
        <w:tc>
          <w:tcPr>
            <w:tcW w:w="1915" w:type="dxa"/>
            <w:shd w:val="clear" w:color="auto" w:fill="auto"/>
          </w:tcPr>
          <w:p w14:paraId="3A09780F" w14:textId="77777777" w:rsidR="00CD78BC" w:rsidRPr="002536EA" w:rsidRDefault="00CD78BC" w:rsidP="001426F7">
            <w:pPr>
              <w:spacing w:after="200" w:line="276" w:lineRule="auto"/>
              <w:ind w:left="0" w:firstLine="0"/>
              <w:jc w:val="center"/>
              <w:cnfStyle w:val="000000000000" w:firstRow="0" w:lastRow="0" w:firstColumn="0" w:lastColumn="0" w:oddVBand="0" w:evenVBand="0" w:oddHBand="0" w:evenHBand="0" w:firstRowFirstColumn="0" w:firstRowLastColumn="0" w:lastRowFirstColumn="0" w:lastRowLastColumn="0"/>
              <w:rPr>
                <w:noProof/>
                <w:color w:val="000000" w:themeColor="text1"/>
              </w:rPr>
            </w:pPr>
            <w:r w:rsidRPr="002536EA">
              <w:rPr>
                <w:noProof/>
                <w:color w:val="000000" w:themeColor="text1"/>
              </w:rPr>
              <w:t>Weak</w:t>
            </w:r>
          </w:p>
        </w:tc>
        <w:tc>
          <w:tcPr>
            <w:tcW w:w="1916" w:type="dxa"/>
            <w:shd w:val="clear" w:color="auto" w:fill="auto"/>
          </w:tcPr>
          <w:p w14:paraId="184FA8D3" w14:textId="77777777" w:rsidR="00CD78BC" w:rsidRPr="002536EA" w:rsidRDefault="00CD78BC" w:rsidP="001426F7">
            <w:pPr>
              <w:spacing w:after="200" w:line="276" w:lineRule="auto"/>
              <w:ind w:left="0" w:firstLine="0"/>
              <w:jc w:val="center"/>
              <w:cnfStyle w:val="000000000000" w:firstRow="0" w:lastRow="0" w:firstColumn="0" w:lastColumn="0" w:oddVBand="0" w:evenVBand="0" w:oddHBand="0" w:evenHBand="0" w:firstRowFirstColumn="0" w:firstRowLastColumn="0" w:lastRowFirstColumn="0" w:lastRowLastColumn="0"/>
              <w:rPr>
                <w:noProof/>
                <w:color w:val="000000" w:themeColor="text1"/>
              </w:rPr>
            </w:pPr>
            <w:r w:rsidRPr="002536EA">
              <w:rPr>
                <w:noProof/>
                <w:color w:val="000000" w:themeColor="text1"/>
              </w:rPr>
              <w:t>Weak</w:t>
            </w:r>
          </w:p>
        </w:tc>
      </w:tr>
      <w:tr w:rsidR="00CD78BC" w:rsidRPr="002536EA" w14:paraId="4D443A2A" w14:textId="77777777" w:rsidTr="001426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left w:val="none" w:sz="0" w:space="0" w:color="auto"/>
              <w:right w:val="none" w:sz="0" w:space="0" w:color="auto"/>
            </w:tcBorders>
            <w:shd w:val="clear" w:color="auto" w:fill="auto"/>
          </w:tcPr>
          <w:p w14:paraId="4D6BA454" w14:textId="77777777" w:rsidR="00CD78BC" w:rsidRPr="002536EA" w:rsidRDefault="00CD78BC" w:rsidP="001426F7">
            <w:pPr>
              <w:spacing w:after="200" w:line="276" w:lineRule="auto"/>
              <w:ind w:left="0" w:firstLine="0"/>
              <w:rPr>
                <w:noProof/>
                <w:color w:val="000000" w:themeColor="text1"/>
              </w:rPr>
            </w:pPr>
            <w:r w:rsidRPr="002536EA">
              <w:rPr>
                <w:noProof/>
                <w:color w:val="000000" w:themeColor="text1"/>
              </w:rPr>
              <w:t>Surrogate Measure</w:t>
            </w:r>
          </w:p>
        </w:tc>
        <w:tc>
          <w:tcPr>
            <w:tcW w:w="1793" w:type="dxa"/>
            <w:tcBorders>
              <w:left w:val="none" w:sz="0" w:space="0" w:color="auto"/>
              <w:right w:val="none" w:sz="0" w:space="0" w:color="auto"/>
            </w:tcBorders>
            <w:shd w:val="clear" w:color="auto" w:fill="auto"/>
          </w:tcPr>
          <w:p w14:paraId="358C1B22" w14:textId="77777777" w:rsidR="00CD78BC" w:rsidRPr="002536EA" w:rsidRDefault="00CD78BC" w:rsidP="001426F7">
            <w:pPr>
              <w:spacing w:after="200" w:line="276" w:lineRule="auto"/>
              <w:ind w:left="0" w:firstLine="0"/>
              <w:cnfStyle w:val="000000100000" w:firstRow="0" w:lastRow="0" w:firstColumn="0" w:lastColumn="0" w:oddVBand="0" w:evenVBand="0" w:oddHBand="1" w:evenHBand="0" w:firstRowFirstColumn="0" w:firstRowLastColumn="0" w:lastRowFirstColumn="0" w:lastRowLastColumn="0"/>
              <w:rPr>
                <w:noProof/>
                <w:color w:val="000000" w:themeColor="text1"/>
              </w:rPr>
            </w:pPr>
            <w:r w:rsidRPr="002536EA">
              <w:rPr>
                <w:noProof/>
                <w:color w:val="000000" w:themeColor="text1"/>
              </w:rPr>
              <w:t>Other than target population</w:t>
            </w:r>
          </w:p>
        </w:tc>
        <w:tc>
          <w:tcPr>
            <w:tcW w:w="2037" w:type="dxa"/>
            <w:tcBorders>
              <w:left w:val="none" w:sz="0" w:space="0" w:color="auto"/>
              <w:right w:val="none" w:sz="0" w:space="0" w:color="auto"/>
            </w:tcBorders>
            <w:shd w:val="clear" w:color="auto" w:fill="auto"/>
          </w:tcPr>
          <w:p w14:paraId="5AF9C16A" w14:textId="77777777" w:rsidR="00CD78BC" w:rsidRPr="002536EA" w:rsidRDefault="00CD78BC" w:rsidP="001426F7">
            <w:pPr>
              <w:spacing w:after="200" w:line="276" w:lineRule="auto"/>
              <w:ind w:left="0" w:firstLine="0"/>
              <w:jc w:val="center"/>
              <w:cnfStyle w:val="000000100000" w:firstRow="0" w:lastRow="0" w:firstColumn="0" w:lastColumn="0" w:oddVBand="0" w:evenVBand="0" w:oddHBand="1" w:evenHBand="0" w:firstRowFirstColumn="0" w:firstRowLastColumn="0" w:lastRowFirstColumn="0" w:lastRowLastColumn="0"/>
              <w:rPr>
                <w:noProof/>
                <w:color w:val="000000" w:themeColor="text1"/>
              </w:rPr>
            </w:pPr>
            <w:r w:rsidRPr="002536EA">
              <w:rPr>
                <w:noProof/>
                <w:color w:val="000000" w:themeColor="text1"/>
              </w:rPr>
              <w:t>Weak</w:t>
            </w:r>
          </w:p>
        </w:tc>
        <w:tc>
          <w:tcPr>
            <w:tcW w:w="1915" w:type="dxa"/>
            <w:tcBorders>
              <w:left w:val="none" w:sz="0" w:space="0" w:color="auto"/>
              <w:right w:val="none" w:sz="0" w:space="0" w:color="auto"/>
            </w:tcBorders>
            <w:shd w:val="clear" w:color="auto" w:fill="auto"/>
          </w:tcPr>
          <w:p w14:paraId="3A7DE616" w14:textId="77777777" w:rsidR="00CD78BC" w:rsidRPr="002536EA" w:rsidRDefault="00CD78BC" w:rsidP="001426F7">
            <w:pPr>
              <w:spacing w:after="200" w:line="276" w:lineRule="auto"/>
              <w:ind w:left="0" w:firstLine="0"/>
              <w:jc w:val="center"/>
              <w:cnfStyle w:val="000000100000" w:firstRow="0" w:lastRow="0" w:firstColumn="0" w:lastColumn="0" w:oddVBand="0" w:evenVBand="0" w:oddHBand="1" w:evenHBand="0" w:firstRowFirstColumn="0" w:firstRowLastColumn="0" w:lastRowFirstColumn="0" w:lastRowLastColumn="0"/>
              <w:rPr>
                <w:noProof/>
                <w:color w:val="000000" w:themeColor="text1"/>
              </w:rPr>
            </w:pPr>
            <w:r w:rsidRPr="002536EA">
              <w:rPr>
                <w:noProof/>
                <w:color w:val="000000" w:themeColor="text1"/>
              </w:rPr>
              <w:t>Weak</w:t>
            </w:r>
          </w:p>
        </w:tc>
        <w:tc>
          <w:tcPr>
            <w:tcW w:w="1916" w:type="dxa"/>
            <w:tcBorders>
              <w:left w:val="none" w:sz="0" w:space="0" w:color="auto"/>
              <w:right w:val="none" w:sz="0" w:space="0" w:color="auto"/>
            </w:tcBorders>
            <w:shd w:val="clear" w:color="auto" w:fill="auto"/>
          </w:tcPr>
          <w:p w14:paraId="0AF0A706" w14:textId="77777777" w:rsidR="00CD78BC" w:rsidRPr="002536EA" w:rsidRDefault="00CD78BC" w:rsidP="001426F7">
            <w:pPr>
              <w:spacing w:after="200" w:line="276" w:lineRule="auto"/>
              <w:ind w:left="0" w:firstLine="0"/>
              <w:jc w:val="center"/>
              <w:cnfStyle w:val="000000100000" w:firstRow="0" w:lastRow="0" w:firstColumn="0" w:lastColumn="0" w:oddVBand="0" w:evenVBand="0" w:oddHBand="1" w:evenHBand="0" w:firstRowFirstColumn="0" w:firstRowLastColumn="0" w:lastRowFirstColumn="0" w:lastRowLastColumn="0"/>
              <w:rPr>
                <w:noProof/>
                <w:color w:val="000000" w:themeColor="text1"/>
              </w:rPr>
            </w:pPr>
            <w:r w:rsidRPr="002536EA">
              <w:rPr>
                <w:noProof/>
                <w:color w:val="000000" w:themeColor="text1"/>
              </w:rPr>
              <w:t>Weak</w:t>
            </w:r>
          </w:p>
        </w:tc>
      </w:tr>
    </w:tbl>
    <w:p w14:paraId="4D7844CF" w14:textId="77777777" w:rsidR="00CD78BC" w:rsidRPr="002536EA" w:rsidRDefault="00CD78BC" w:rsidP="00CD78BC">
      <w:pPr>
        <w:spacing w:before="240" w:after="240"/>
        <w:rPr>
          <w:rFonts w:ascii="Calibri" w:eastAsia="SimSun" w:hAnsi="Calibri" w:cs="Times New Roman"/>
          <w:sz w:val="24"/>
          <w:szCs w:val="24"/>
        </w:rPr>
      </w:pPr>
    </w:p>
    <w:p w14:paraId="19F49417" w14:textId="77777777" w:rsidR="00CD78BC" w:rsidRPr="002536EA" w:rsidRDefault="00CD78BC" w:rsidP="00CD78BC">
      <w:pPr>
        <w:spacing w:after="200" w:line="276" w:lineRule="auto"/>
        <w:ind w:left="0" w:firstLine="0"/>
      </w:pPr>
      <w:r w:rsidRPr="002536EA">
        <w:rPr>
          <w:u w:val="single"/>
        </w:rPr>
        <w:t>Strong</w:t>
      </w:r>
      <w:r w:rsidRPr="002536EA">
        <w:t xml:space="preserve">- Evidence includes results from well-designed, well-conducted study/studies in the target population that directly assess effects on health outcomes. </w:t>
      </w:r>
    </w:p>
    <w:p w14:paraId="56E1F67E" w14:textId="77777777" w:rsidR="00CD78BC" w:rsidRPr="002536EA" w:rsidRDefault="00CD78BC" w:rsidP="00CD78BC">
      <w:pPr>
        <w:spacing w:after="200" w:line="276" w:lineRule="auto"/>
        <w:ind w:left="0" w:firstLine="0"/>
      </w:pPr>
      <w:r w:rsidRPr="002536EA">
        <w:rPr>
          <w:u w:val="single"/>
        </w:rPr>
        <w:t>Moderately strong</w:t>
      </w:r>
      <w:r w:rsidRPr="002536EA">
        <w:t xml:space="preserve">- Evidence is sufficient to determine effects on health outcomes in the target population, but the strength of the evidence is limited by the number, quality, or consistency of the individual studies; OR evidence is from a population other than the target population, but from well-designed, well conducted studies; OR evidence is from studies with some problems in design and/or analysis; OR evidence is from well-designed, well-conducted studies on surrogate endpoints for efficacy and/or safety in the target population. </w:t>
      </w:r>
    </w:p>
    <w:p w14:paraId="35BA2C32" w14:textId="77777777" w:rsidR="00CD78BC" w:rsidRPr="002536EA" w:rsidRDefault="00CD78BC" w:rsidP="00CD78BC">
      <w:pPr>
        <w:spacing w:after="200" w:line="276" w:lineRule="auto"/>
        <w:ind w:left="0" w:firstLine="0"/>
        <w:rPr>
          <w:noProof/>
        </w:rPr>
      </w:pPr>
      <w:r w:rsidRPr="002536EA">
        <w:rPr>
          <w:u w:val="single"/>
        </w:rPr>
        <w:t>Weak</w:t>
      </w:r>
      <w:r w:rsidRPr="002536EA">
        <w:t>-  Evidence is insufficient to assess the effects on net health outcomes because it is from studies with some problems in design and/or analysis on surrogate endpoints for efficacy and/or safety in the target population; OR the evidence is only for surrogate measures in a population other than the target population; OR the evidence is from studies that are poorly designed and/or analyzed.</w:t>
      </w:r>
    </w:p>
    <w:p w14:paraId="423E4DA2" w14:textId="77777777" w:rsidR="00CD78BC" w:rsidRPr="003B1CC5" w:rsidRDefault="00CD78BC" w:rsidP="00CD78BC">
      <w:pPr>
        <w:ind w:left="0" w:firstLine="0"/>
        <w:rPr>
          <w:color w:val="0000FF"/>
        </w:rPr>
      </w:pPr>
    </w:p>
    <w:p w14:paraId="21AE47D9" w14:textId="77777777" w:rsidR="00CD78BC" w:rsidRPr="001B772D" w:rsidRDefault="00CD78BC" w:rsidP="002E2177">
      <w:pPr>
        <w:ind w:left="0" w:firstLine="0"/>
      </w:pPr>
    </w:p>
    <w:sectPr w:rsidR="00CD78BC" w:rsidRPr="001B772D">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48A14297"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B3F4A">
      <w:rPr>
        <w:noProof/>
      </w:rPr>
      <w:t>21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A35B7"/>
    <w:multiLevelType w:val="hybridMultilevel"/>
    <w:tmpl w:val="15245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41CBA"/>
    <w:multiLevelType w:val="hybridMultilevel"/>
    <w:tmpl w:val="3ABC95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84DE8"/>
    <w:multiLevelType w:val="hybridMultilevel"/>
    <w:tmpl w:val="DFB6F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244AE5"/>
    <w:multiLevelType w:val="hybridMultilevel"/>
    <w:tmpl w:val="CB20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3C6A58"/>
    <w:multiLevelType w:val="hybridMultilevel"/>
    <w:tmpl w:val="1F2067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7"/>
  </w:num>
  <w:num w:numId="6">
    <w:abstractNumId w:val="6"/>
  </w:num>
  <w:num w:numId="7">
    <w:abstractNumId w:val="13"/>
  </w:num>
  <w:num w:numId="8">
    <w:abstractNumId w:val="12"/>
  </w:num>
  <w:num w:numId="9">
    <w:abstractNumId w:val="15"/>
  </w:num>
  <w:num w:numId="10">
    <w:abstractNumId w:val="3"/>
  </w:num>
  <w:num w:numId="11">
    <w:abstractNumId w:val="9"/>
  </w:num>
  <w:num w:numId="12">
    <w:abstractNumId w:val="2"/>
  </w:num>
  <w:num w:numId="13">
    <w:abstractNumId w:val="1"/>
  </w:num>
  <w:num w:numId="14">
    <w:abstractNumId w:val="11"/>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248AB"/>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412D"/>
    <w:rsid w:val="001D5B5D"/>
    <w:rsid w:val="001E6153"/>
    <w:rsid w:val="00201FF9"/>
    <w:rsid w:val="00205857"/>
    <w:rsid w:val="00235ADC"/>
    <w:rsid w:val="00236F87"/>
    <w:rsid w:val="00265702"/>
    <w:rsid w:val="002662B2"/>
    <w:rsid w:val="002717C7"/>
    <w:rsid w:val="00275C12"/>
    <w:rsid w:val="002875E9"/>
    <w:rsid w:val="00287EB3"/>
    <w:rsid w:val="002A1079"/>
    <w:rsid w:val="002A47BA"/>
    <w:rsid w:val="002A6777"/>
    <w:rsid w:val="002B06BD"/>
    <w:rsid w:val="002C0E48"/>
    <w:rsid w:val="002C6F04"/>
    <w:rsid w:val="002E2177"/>
    <w:rsid w:val="002E2E41"/>
    <w:rsid w:val="002E78CD"/>
    <w:rsid w:val="002F20A7"/>
    <w:rsid w:val="003008F4"/>
    <w:rsid w:val="00302B1D"/>
    <w:rsid w:val="00307FA5"/>
    <w:rsid w:val="00324D64"/>
    <w:rsid w:val="00336341"/>
    <w:rsid w:val="00352B52"/>
    <w:rsid w:val="003558DC"/>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46213"/>
    <w:rsid w:val="00457E46"/>
    <w:rsid w:val="004922E4"/>
    <w:rsid w:val="00496AF8"/>
    <w:rsid w:val="004A575D"/>
    <w:rsid w:val="004B65C6"/>
    <w:rsid w:val="004C3B2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A5FF0"/>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3F4A"/>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D78BC"/>
    <w:rsid w:val="00CE4F96"/>
    <w:rsid w:val="00CF0AB1"/>
    <w:rsid w:val="00CF4B9B"/>
    <w:rsid w:val="00CF55E6"/>
    <w:rsid w:val="00CF772F"/>
    <w:rsid w:val="00D048DB"/>
    <w:rsid w:val="00D14F0B"/>
    <w:rsid w:val="00D16CF7"/>
    <w:rsid w:val="00D178CA"/>
    <w:rsid w:val="00D3311C"/>
    <w:rsid w:val="00D53405"/>
    <w:rsid w:val="00D5457B"/>
    <w:rsid w:val="00D72995"/>
    <w:rsid w:val="00D73685"/>
    <w:rsid w:val="00DA7FA2"/>
    <w:rsid w:val="00DC2D8D"/>
    <w:rsid w:val="00DC7F67"/>
    <w:rsid w:val="00DE1442"/>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table" w:styleId="LightShading-Accent1">
    <w:name w:val="Light Shading Accent 1"/>
    <w:basedOn w:val="TableNormal"/>
    <w:uiPriority w:val="60"/>
    <w:rsid w:val="00CD78B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www.kidney.org/professionals/KDOQI/guidelines_commentari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doi.org/10.1111/nep.12688" TargetMode="External"/><Relationship Id="rId2" Type="http://schemas.openxmlformats.org/officeDocument/2006/relationships/customXml" Target="../customXml/item2.xml"/><Relationship Id="rId16" Type="http://schemas.openxmlformats.org/officeDocument/2006/relationships/hyperlink" Target="https://www.ajkd.org/article/S0272-6386(19)31137-0/fulltex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D56791C9FBCF43C0BBF2223799630708"/>
        <w:category>
          <w:name w:val="General"/>
          <w:gallery w:val="placeholder"/>
        </w:category>
        <w:types>
          <w:type w:val="bbPlcHdr"/>
        </w:types>
        <w:behaviors>
          <w:behavior w:val="content"/>
        </w:behaviors>
        <w:guid w:val="{C8E2D1A6-15E8-4F13-B8DB-ED4533320448}"/>
      </w:docPartPr>
      <w:docPartBody>
        <w:p w:rsidR="009F3510" w:rsidRDefault="00072050" w:rsidP="00072050">
          <w:pPr>
            <w:pStyle w:val="D56791C9FBCF43C0BBF2223799630708"/>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72050"/>
    <w:rsid w:val="00160241"/>
    <w:rsid w:val="001F47A0"/>
    <w:rsid w:val="002B5F47"/>
    <w:rsid w:val="003A1E4B"/>
    <w:rsid w:val="00455EB5"/>
    <w:rsid w:val="00461C1C"/>
    <w:rsid w:val="004E2027"/>
    <w:rsid w:val="005F21F3"/>
    <w:rsid w:val="008F6A9B"/>
    <w:rsid w:val="009F3510"/>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3510"/>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D56791C9FBCF43C0BBF2223799630708">
    <w:name w:val="D56791C9FBCF43C0BBF2223799630708"/>
    <w:rsid w:val="00072050"/>
    <w:pPr>
      <w:spacing w:after="160" w:line="259" w:lineRule="auto"/>
    </w:pPr>
  </w:style>
  <w:style w:type="paragraph" w:customStyle="1" w:styleId="66E0A4D36BAB4C469E86453513085EBC">
    <w:name w:val="66E0A4D36BAB4C469E86453513085EBC"/>
    <w:rsid w:val="009F35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schemas.microsoft.com/office/2006/documentManagement/types"/>
    <ds:schemaRef ds:uri="836b82f1-340d-495e-85b5-201c5296619a"/>
    <ds:schemaRef ds:uri="http://purl.org/dc/term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8F8E2B-2A55-4F66-A882-F21DE774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26</Pages>
  <Words>10834</Words>
  <Characters>61757</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Jennifer Sardone</cp:lastModifiedBy>
  <cp:revision>11</cp:revision>
  <dcterms:created xsi:type="dcterms:W3CDTF">2020-02-05T18:12:00Z</dcterms:created>
  <dcterms:modified xsi:type="dcterms:W3CDTF">2020-04-02T02:13:00Z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