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4CCB4F56"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5865FF">
            <w:rPr>
              <w:rStyle w:val="Style1"/>
            </w:rPr>
            <w:t>2977</w:t>
          </w:r>
        </w:sdtContent>
      </w:sdt>
    </w:p>
    <w:p w14:paraId="0CABCF56" w14:textId="140F497A"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1754002019"/>
              <w:placeholder>
                <w:docPart w:val="6FC67B187FA34DDAB826882E06781175"/>
              </w:placeholder>
            </w:sdtPr>
            <w:sdtEndPr>
              <w:rPr>
                <w:rStyle w:val="DefaultParagraphFont"/>
                <w:noProof/>
                <w:color w:val="auto"/>
              </w:rPr>
            </w:sdtEndPr>
            <w:sdtContent>
              <w:r w:rsidR="005865FF" w:rsidRPr="00B00234">
                <w:rPr>
                  <w:rFonts w:ascii="Calibri" w:eastAsia="Calibri" w:hAnsi="Calibri" w:cs="Arial"/>
                  <w:bCs/>
                  <w:szCs w:val="28"/>
                </w:rPr>
                <w:t xml:space="preserve">Hemodialysis Vascular Access: </w:t>
              </w:r>
              <w:r w:rsidR="005865FF" w:rsidRPr="00B00234">
                <w:rPr>
                  <w:rFonts w:ascii="Calibri" w:eastAsia="Calibri" w:hAnsi="Calibri" w:cs="Times New Roman"/>
                </w:rPr>
                <w:t>Standardized Fistula Rate</w:t>
              </w:r>
            </w:sdtContent>
          </w:sdt>
        </w:sdtContent>
      </w:sdt>
    </w:p>
    <w:p w14:paraId="0CABCF57" w14:textId="5A7EAAE7"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1-05T00:00:00Z">
            <w:dateFormat w:val="M/d/yyyy"/>
            <w:lid w:val="en-US"/>
            <w:storeMappedDataAs w:val="dateTime"/>
            <w:calendar w:val="gregorian"/>
          </w:date>
        </w:sdtPr>
        <w:sdtEndPr>
          <w:rPr>
            <w:rStyle w:val="DefaultParagraphFont"/>
            <w:noProof/>
            <w:color w:val="auto"/>
            <w:u w:val="none"/>
          </w:rPr>
        </w:sdtEndPr>
        <w:sdtContent>
          <w:r w:rsidR="005865FF">
            <w:rPr>
              <w:rStyle w:val="Style2"/>
              <w:rFonts w:cstheme="minorHAnsi"/>
            </w:rPr>
            <w:t>1/</w:t>
          </w:r>
          <w:r w:rsidR="00E547BF">
            <w:rPr>
              <w:rStyle w:val="Style2"/>
              <w:rFonts w:cstheme="minorHAnsi"/>
            </w:rPr>
            <w:t>5</w:t>
          </w:r>
          <w:r w:rsidR="005865FF">
            <w:rPr>
              <w:rStyle w:val="Style2"/>
              <w:rFonts w:cstheme="minorHAnsi"/>
            </w:rPr>
            <w:t>/2020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081161"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081161"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5844A4DC" w:rsidR="000B7D57" w:rsidRPr="00C775CE" w:rsidRDefault="00081161" w:rsidP="00CD364B">
            <w:pPr>
              <w:autoSpaceDE w:val="0"/>
              <w:autoSpaceDN w:val="0"/>
              <w:adjustRightInd w:val="0"/>
              <w:rPr>
                <w:rFonts w:cstheme="minorHAnsi"/>
                <w:bCs/>
                <w:color w:val="0000FF"/>
              </w:rPr>
            </w:pPr>
            <w:sdt>
              <w:sdtPr>
                <w:rPr>
                  <w:rFonts w:cstheme="minorHAnsi"/>
                  <w:bCs/>
                  <w:color w:val="0000FF"/>
                </w:rPr>
                <w:id w:val="654653068"/>
                <w14:checkbox>
                  <w14:checked w14:val="1"/>
                  <w14:checkedState w14:val="2612" w14:font="MS Gothic"/>
                  <w14:uncheckedState w14:val="2610" w14:font="MS Gothic"/>
                </w14:checkbox>
              </w:sdtPr>
              <w:sdtContent>
                <w:r w:rsidR="005865FF">
                  <w:rPr>
                    <w:rFonts w:ascii="MS Gothic" w:eastAsia="MS Gothic" w:hAnsi="MS Gothic"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081161"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081161"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081161"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08116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081161"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081161"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F395198" w:rsidR="00A01494" w:rsidRPr="000F1B7A" w:rsidRDefault="00081161"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5865FF">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1A449607" w:rsidR="00A01494" w:rsidRPr="000F1B7A" w:rsidRDefault="00081161"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5865FF">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6D8AE4E0" w:rsidR="00A01494" w:rsidRPr="000F1B7A" w:rsidRDefault="00081161"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Content>
                <w:r w:rsidR="005865FF">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117E04A0" w:rsidR="00A01494" w:rsidRPr="000F1B7A" w:rsidRDefault="00081161"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Content>
                <w:r w:rsidR="005865FF">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08116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08116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08116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08116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081161"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081161"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FBCA535" w14:textId="77777777" w:rsidR="005865FF" w:rsidRPr="004C5689" w:rsidRDefault="005865FF" w:rsidP="005865FF">
      <w:pPr>
        <w:spacing w:before="240" w:after="240" w:line="240" w:lineRule="auto"/>
        <w:rPr>
          <w:rFonts w:ascii="Calibri" w:eastAsia="SimSun" w:hAnsi="Calibri" w:cs="Times New Roman"/>
          <w:szCs w:val="24"/>
        </w:rPr>
      </w:pPr>
      <w:r w:rsidRPr="004C5689">
        <w:rPr>
          <w:rFonts w:ascii="Calibri" w:eastAsia="SimSun" w:hAnsi="Calibri" w:cs="Times New Roman"/>
          <w:szCs w:val="24"/>
        </w:rPr>
        <w:t>National CROWNWeb data from January 2014-December 2014 and Medicare claims data from January 2013 – December 2014</w:t>
      </w:r>
    </w:p>
    <w:p w14:paraId="614A2CEF" w14:textId="77777777" w:rsidR="00E547BF" w:rsidRPr="002F091F" w:rsidRDefault="00E547BF" w:rsidP="00E547BF">
      <w:pPr>
        <w:autoSpaceDE w:val="0"/>
        <w:autoSpaceDN w:val="0"/>
        <w:adjustRightInd w:val="0"/>
        <w:spacing w:after="0" w:line="240" w:lineRule="auto"/>
        <w:rPr>
          <w:rFonts w:cstheme="minorHAnsi"/>
          <w:b/>
          <w:bCs/>
          <w:color w:val="C00000"/>
          <w:u w:val="single"/>
        </w:rPr>
      </w:pPr>
      <w:r w:rsidRPr="002F091F">
        <w:rPr>
          <w:rFonts w:cstheme="minorHAnsi"/>
          <w:b/>
          <w:bCs/>
          <w:color w:val="C00000"/>
          <w:u w:val="single"/>
        </w:rPr>
        <w:t>2019 Submission</w:t>
      </w:r>
    </w:p>
    <w:p w14:paraId="75AAB6D8" w14:textId="47FC7CDD" w:rsidR="00E547BF" w:rsidRPr="002F091F" w:rsidRDefault="00E547BF" w:rsidP="00E547BF">
      <w:pPr>
        <w:spacing w:before="240" w:after="240" w:line="240" w:lineRule="auto"/>
        <w:rPr>
          <w:rFonts w:ascii="Calibri" w:eastAsia="SimSun" w:hAnsi="Calibri" w:cs="Times New Roman"/>
          <w:color w:val="C00000"/>
          <w:szCs w:val="24"/>
        </w:rPr>
      </w:pPr>
      <w:r w:rsidRPr="002F091F">
        <w:rPr>
          <w:rFonts w:ascii="Calibri" w:eastAsia="SimSun" w:hAnsi="Calibri" w:cs="Times New Roman"/>
          <w:color w:val="C00000"/>
          <w:szCs w:val="24"/>
        </w:rPr>
        <w:t>National CROWNWeb data from January 2018-December 2018 and Medicare claims data from January 201</w:t>
      </w:r>
      <w:r w:rsidR="00B12FAF">
        <w:rPr>
          <w:rFonts w:ascii="Calibri" w:eastAsia="SimSun" w:hAnsi="Calibri" w:cs="Times New Roman"/>
          <w:color w:val="C00000"/>
          <w:szCs w:val="24"/>
        </w:rPr>
        <w:t>7</w:t>
      </w:r>
      <w:r w:rsidRPr="002F091F">
        <w:rPr>
          <w:rFonts w:ascii="Calibri" w:eastAsia="SimSun" w:hAnsi="Calibri" w:cs="Times New Roman"/>
          <w:color w:val="C00000"/>
          <w:szCs w:val="24"/>
        </w:rPr>
        <w:t xml:space="preserve"> – December 2018</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23870DBC"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Content>
          <w:r w:rsidR="005865FF" w:rsidRPr="005865FF">
            <w:rPr>
              <w:rStyle w:val="Style1"/>
            </w:rPr>
            <w:t>January 2013-December 2014</w:t>
          </w:r>
        </w:sdtContent>
      </w:sdt>
    </w:p>
    <w:p w14:paraId="0CABCFB1" w14:textId="1A20E133" w:rsidR="000574AB" w:rsidRDefault="000574AB" w:rsidP="00DB3627">
      <w:pPr>
        <w:autoSpaceDE w:val="0"/>
        <w:autoSpaceDN w:val="0"/>
        <w:adjustRightInd w:val="0"/>
        <w:spacing w:after="0" w:line="240" w:lineRule="auto"/>
        <w:rPr>
          <w:rFonts w:cstheme="minorHAnsi"/>
          <w:bCs/>
        </w:rPr>
      </w:pPr>
    </w:p>
    <w:p w14:paraId="079B6EF3" w14:textId="77777777" w:rsidR="00E547BF" w:rsidRPr="002F091F" w:rsidRDefault="00E547BF" w:rsidP="00E547BF">
      <w:pPr>
        <w:autoSpaceDE w:val="0"/>
        <w:autoSpaceDN w:val="0"/>
        <w:adjustRightInd w:val="0"/>
        <w:spacing w:after="0" w:line="240" w:lineRule="auto"/>
        <w:rPr>
          <w:rFonts w:cstheme="minorHAnsi"/>
          <w:b/>
          <w:bCs/>
          <w:color w:val="C00000"/>
          <w:u w:val="single"/>
        </w:rPr>
      </w:pPr>
      <w:r w:rsidRPr="002F091F">
        <w:rPr>
          <w:rFonts w:cstheme="minorHAnsi"/>
          <w:b/>
          <w:bCs/>
          <w:color w:val="C00000"/>
          <w:u w:val="single"/>
        </w:rPr>
        <w:t>2019 Submission</w:t>
      </w:r>
    </w:p>
    <w:p w14:paraId="70FC133A" w14:textId="3AC3E9BA" w:rsidR="00E547BF" w:rsidRPr="002F091F" w:rsidRDefault="00E547BF" w:rsidP="00E547BF">
      <w:pPr>
        <w:spacing w:before="240" w:after="240" w:line="240" w:lineRule="auto"/>
        <w:rPr>
          <w:rFonts w:ascii="Calibri" w:eastAsia="SimSun" w:hAnsi="Calibri" w:cs="Times New Roman"/>
          <w:color w:val="C00000"/>
          <w:szCs w:val="24"/>
        </w:rPr>
      </w:pPr>
      <w:r w:rsidRPr="002F091F">
        <w:rPr>
          <w:rFonts w:ascii="Calibri" w:eastAsia="SimSun" w:hAnsi="Calibri" w:cs="Times New Roman"/>
          <w:color w:val="C00000"/>
          <w:szCs w:val="24"/>
        </w:rPr>
        <w:t>January 201</w:t>
      </w:r>
      <w:r w:rsidR="002767BF">
        <w:rPr>
          <w:rFonts w:ascii="Calibri" w:eastAsia="SimSun" w:hAnsi="Calibri" w:cs="Times New Roman"/>
          <w:color w:val="C00000"/>
          <w:szCs w:val="24"/>
        </w:rPr>
        <w:t>7</w:t>
      </w:r>
      <w:r w:rsidRPr="002F091F">
        <w:rPr>
          <w:rFonts w:ascii="Calibri" w:eastAsia="SimSun" w:hAnsi="Calibri" w:cs="Times New Roman"/>
          <w:color w:val="C00000"/>
          <w:szCs w:val="24"/>
        </w:rPr>
        <w:t>-December 2018</w:t>
      </w:r>
      <w:r>
        <w:rPr>
          <w:rFonts w:ascii="Calibri" w:eastAsia="SimSun" w:hAnsi="Calibri" w:cs="Times New Roman"/>
          <w:color w:val="C00000"/>
          <w:szCs w:val="24"/>
        </w:rPr>
        <w:t xml:space="preserve"> </w:t>
      </w:r>
    </w:p>
    <w:p w14:paraId="7A6C141A" w14:textId="77777777" w:rsidR="005865FF" w:rsidRDefault="005865FF"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081161"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081161"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081161"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081161"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6E46D2E9" w:rsidR="000414E8" w:rsidRPr="00A01494" w:rsidRDefault="00081161"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5865F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34E654F9" w:rsidR="000414E8" w:rsidRPr="00A01494" w:rsidRDefault="00081161"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5865F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081161"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081161"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081161"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081161"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0556F19A"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3C456B45" w14:textId="77777777" w:rsidR="005865FF" w:rsidRPr="004C5689" w:rsidRDefault="005865FF" w:rsidP="005865FF">
      <w:pPr>
        <w:spacing w:before="240" w:after="240" w:line="240" w:lineRule="auto"/>
        <w:rPr>
          <w:rFonts w:ascii="Calibri" w:eastAsia="SimSun" w:hAnsi="Calibri" w:cs="Times New Roman"/>
          <w:szCs w:val="24"/>
        </w:rPr>
      </w:pPr>
      <w:r w:rsidRPr="004C5689">
        <w:rPr>
          <w:rFonts w:ascii="Calibri" w:eastAsia="SimSun" w:hAnsi="Calibri" w:cs="Times New Roman"/>
          <w:szCs w:val="24"/>
        </w:rPr>
        <w:t xml:space="preserve">Patients on both home and in-center hemodialysis during the last HD treatment of </w:t>
      </w:r>
      <w:r>
        <w:rPr>
          <w:rFonts w:ascii="Calibri" w:eastAsia="SimSun" w:hAnsi="Calibri" w:cs="Times New Roman"/>
          <w:szCs w:val="24"/>
        </w:rPr>
        <w:t xml:space="preserve">the </w:t>
      </w:r>
      <w:r w:rsidRPr="004C5689">
        <w:rPr>
          <w:rFonts w:ascii="Calibri" w:eastAsia="SimSun" w:hAnsi="Calibri" w:cs="Times New Roman"/>
          <w:szCs w:val="24"/>
        </w:rPr>
        <w:t xml:space="preserve">month from January 2014- December 2014 were included in the analyses. The number of facilities per month ranged from </w:t>
      </w:r>
      <w:r w:rsidRPr="004C5689">
        <w:rPr>
          <w:rFonts w:ascii="Calibri" w:eastAsia="Calibri" w:hAnsi="Calibri" w:cs="Times New Roman"/>
        </w:rPr>
        <w:t>5,736</w:t>
      </w:r>
      <w:r w:rsidRPr="004C5689">
        <w:rPr>
          <w:rFonts w:ascii="Calibri" w:eastAsia="SimSun" w:hAnsi="Calibri" w:cs="Times New Roman"/>
          <w:szCs w:val="24"/>
        </w:rPr>
        <w:t>-</w:t>
      </w:r>
      <w:r w:rsidRPr="004C5689">
        <w:rPr>
          <w:rFonts w:ascii="Calibri" w:eastAsia="Calibri" w:hAnsi="Calibri" w:cs="Times New Roman"/>
        </w:rPr>
        <w:t xml:space="preserve"> 5,871</w:t>
      </w:r>
      <w:r>
        <w:rPr>
          <w:rFonts w:ascii="Calibri" w:eastAsia="Calibri" w:hAnsi="Calibri" w:cs="Times New Roman"/>
        </w:rPr>
        <w:t xml:space="preserve"> </w:t>
      </w:r>
      <w:r w:rsidRPr="004C5689">
        <w:rPr>
          <w:rFonts w:ascii="Calibri" w:eastAsia="SimSun" w:hAnsi="Calibri" w:cs="Times New Roman"/>
          <w:szCs w:val="24"/>
        </w:rPr>
        <w:t xml:space="preserve">and the total number of patients per month ranged from </w:t>
      </w:r>
      <w:r w:rsidRPr="004C5689">
        <w:rPr>
          <w:rFonts w:ascii="Calibri" w:eastAsia="Calibri" w:hAnsi="Calibri" w:cs="Times New Roman"/>
        </w:rPr>
        <w:t>344,945</w:t>
      </w:r>
      <w:r w:rsidRPr="004C5689">
        <w:rPr>
          <w:rFonts w:ascii="Calibri" w:eastAsia="SimSun" w:hAnsi="Calibri" w:cs="Times New Roman"/>
          <w:szCs w:val="24"/>
        </w:rPr>
        <w:t>-</w:t>
      </w:r>
      <w:r w:rsidRPr="004C5689">
        <w:rPr>
          <w:rFonts w:ascii="Calibri" w:eastAsia="Calibri" w:hAnsi="Calibri" w:cs="Times New Roman"/>
        </w:rPr>
        <w:t xml:space="preserve"> 363,257</w:t>
      </w:r>
      <w:r w:rsidRPr="004C5689">
        <w:rPr>
          <w:rFonts w:ascii="Calibri" w:eastAsia="SimSun" w:hAnsi="Calibri" w:cs="Times New Roman"/>
          <w:szCs w:val="24"/>
        </w:rPr>
        <w:t>.</w:t>
      </w:r>
    </w:p>
    <w:p w14:paraId="4E310198" w14:textId="77777777" w:rsidR="005865FF" w:rsidRPr="004C5689" w:rsidRDefault="005865FF" w:rsidP="005865FF">
      <w:pPr>
        <w:spacing w:before="240" w:after="240" w:line="240" w:lineRule="auto"/>
        <w:rPr>
          <w:rFonts w:ascii="Calibri" w:eastAsia="SimSun" w:hAnsi="Calibri" w:cs="Times New Roman"/>
          <w:szCs w:val="24"/>
        </w:rPr>
      </w:pPr>
      <w:r w:rsidRPr="004C5689">
        <w:rPr>
          <w:rFonts w:ascii="Calibri" w:eastAsia="SimSun" w:hAnsi="Calibri" w:cs="Times New Roman"/>
          <w:szCs w:val="24"/>
        </w:rPr>
        <w:t>Public reporting of this measure on DFC or in the ESRD QIP would be restricted to facilities with at least 11 eligible patients throughout the year for the measure. We have applied this restriction to all the reliability and validity testing reported here.</w:t>
      </w:r>
    </w:p>
    <w:p w14:paraId="326EFD6A" w14:textId="77777777" w:rsidR="005865FF" w:rsidRPr="00AD7234" w:rsidRDefault="005865FF" w:rsidP="005865FF">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3275F8B4" w14:textId="529E40A7" w:rsidR="00E547BF" w:rsidRPr="00005DBF" w:rsidRDefault="00E547BF" w:rsidP="00E547BF">
      <w:pPr>
        <w:rPr>
          <w:color w:val="C00000"/>
        </w:rPr>
      </w:pPr>
      <w:r w:rsidRPr="00005DBF">
        <w:rPr>
          <w:color w:val="C00000"/>
        </w:rPr>
        <w:t xml:space="preserve">Patients on both home and in-center hemodialysis during the last HD treatment of the month from January 2018-December 2018 were included in the analyses. The number of facilities per month ranged from </w:t>
      </w:r>
      <w:r w:rsidR="003F7FDD" w:rsidRPr="00236B7C">
        <w:rPr>
          <w:rFonts w:eastAsia="Calibri"/>
          <w:color w:val="C00000"/>
        </w:rPr>
        <w:t>6,673</w:t>
      </w:r>
      <w:r w:rsidRPr="00236B7C">
        <w:rPr>
          <w:color w:val="C00000"/>
        </w:rPr>
        <w:t>-</w:t>
      </w:r>
      <w:r w:rsidR="003F7FDD" w:rsidRPr="00005DBF">
        <w:rPr>
          <w:rFonts w:eastAsia="Calibri"/>
          <w:color w:val="C00000"/>
        </w:rPr>
        <w:t>6,825</w:t>
      </w:r>
      <w:r w:rsidRPr="00005DBF">
        <w:rPr>
          <w:rFonts w:eastAsia="Calibri"/>
          <w:color w:val="C00000"/>
        </w:rPr>
        <w:t xml:space="preserve"> </w:t>
      </w:r>
      <w:r w:rsidRPr="00005DBF">
        <w:rPr>
          <w:color w:val="C00000"/>
        </w:rPr>
        <w:t>and the total number of patient</w:t>
      </w:r>
      <w:r w:rsidRPr="00236B7C">
        <w:rPr>
          <w:color w:val="C00000"/>
        </w:rPr>
        <w:t xml:space="preserve">s </w:t>
      </w:r>
      <w:r w:rsidR="00A52DFF">
        <w:rPr>
          <w:color w:val="C00000"/>
        </w:rPr>
        <w:t xml:space="preserve">per month </w:t>
      </w:r>
      <w:r w:rsidRPr="00236B7C">
        <w:rPr>
          <w:color w:val="C00000"/>
        </w:rPr>
        <w:t xml:space="preserve">ranged from </w:t>
      </w:r>
      <w:r w:rsidR="003F7FDD" w:rsidRPr="00236B7C">
        <w:rPr>
          <w:color w:val="C00000"/>
        </w:rPr>
        <w:t>416,980</w:t>
      </w:r>
      <w:r w:rsidRPr="00236B7C">
        <w:rPr>
          <w:rFonts w:ascii="Calibri" w:eastAsia="SimSun" w:hAnsi="Calibri" w:cs="Times New Roman"/>
          <w:color w:val="C00000"/>
          <w:szCs w:val="24"/>
        </w:rPr>
        <w:t>-</w:t>
      </w:r>
      <w:r w:rsidRPr="00236B7C">
        <w:rPr>
          <w:color w:val="C00000"/>
        </w:rPr>
        <w:t xml:space="preserve"> </w:t>
      </w:r>
      <w:r w:rsidR="003F7FDD" w:rsidRPr="00236B7C">
        <w:rPr>
          <w:color w:val="C00000"/>
        </w:rPr>
        <w:t>424,441</w:t>
      </w:r>
      <w:r w:rsidRPr="00236B7C">
        <w:rPr>
          <w:color w:val="C00000"/>
        </w:rPr>
        <w:t>.</w:t>
      </w:r>
    </w:p>
    <w:p w14:paraId="72D2EB14" w14:textId="7D75D9F5" w:rsidR="00E547BF" w:rsidRPr="00236B7C" w:rsidRDefault="00E547BF" w:rsidP="00E547BF">
      <w:pPr>
        <w:rPr>
          <w:rFonts w:cstheme="minorHAnsi"/>
          <w:bCs/>
          <w:color w:val="C00000"/>
        </w:rPr>
      </w:pPr>
      <w:r w:rsidRPr="00236B7C">
        <w:rPr>
          <w:rFonts w:ascii="Calibri" w:eastAsia="SimSun" w:hAnsi="Calibri" w:cs="Times New Roman"/>
          <w:color w:val="C00000"/>
        </w:rPr>
        <w:t xml:space="preserve">Public reporting of this measure on DFC or in the ESRD QIP would be restricted to facilities with at least 11 eligible patients throughout the </w:t>
      </w:r>
      <w:r w:rsidR="00CF67B7" w:rsidRPr="00236B7C">
        <w:rPr>
          <w:rFonts w:ascii="Calibri" w:eastAsia="SimSun" w:hAnsi="Calibri" w:cs="Times New Roman"/>
          <w:color w:val="C00000"/>
        </w:rPr>
        <w:t xml:space="preserve">reporting period </w:t>
      </w:r>
      <w:r w:rsidRPr="00236B7C">
        <w:rPr>
          <w:rFonts w:ascii="Calibri" w:eastAsia="SimSun" w:hAnsi="Calibri" w:cs="Times New Roman"/>
          <w:color w:val="C00000"/>
        </w:rPr>
        <w:t>for the measure. We have applied this restriction to all the reliability and validity testing reported here.</w:t>
      </w:r>
    </w:p>
    <w:p w14:paraId="737F6008" w14:textId="77777777" w:rsidR="005865FF" w:rsidRPr="00236B7C" w:rsidRDefault="005865FF" w:rsidP="00DB3627">
      <w:pPr>
        <w:autoSpaceDE w:val="0"/>
        <w:autoSpaceDN w:val="0"/>
        <w:adjustRightInd w:val="0"/>
        <w:spacing w:after="0" w:line="240" w:lineRule="auto"/>
        <w:rPr>
          <w:rFonts w:cstheme="minorHAnsi"/>
          <w:bCs/>
        </w:rPr>
      </w:pPr>
    </w:p>
    <w:p w14:paraId="0CABCFC8" w14:textId="77777777" w:rsidR="002B5016" w:rsidRPr="00236B7C" w:rsidRDefault="002B5016" w:rsidP="00DB3627">
      <w:pPr>
        <w:autoSpaceDE w:val="0"/>
        <w:autoSpaceDN w:val="0"/>
        <w:adjustRightInd w:val="0"/>
        <w:spacing w:after="0" w:line="240" w:lineRule="auto"/>
        <w:rPr>
          <w:rFonts w:cstheme="minorHAnsi"/>
          <w:bCs/>
        </w:rPr>
      </w:pPr>
    </w:p>
    <w:p w14:paraId="0CABCFC9" w14:textId="179193B9" w:rsidR="007422FD" w:rsidRPr="00236B7C" w:rsidRDefault="002B5016" w:rsidP="00DB3627">
      <w:pPr>
        <w:autoSpaceDE w:val="0"/>
        <w:autoSpaceDN w:val="0"/>
        <w:adjustRightInd w:val="0"/>
        <w:spacing w:after="0" w:line="240" w:lineRule="auto"/>
        <w:rPr>
          <w:rFonts w:cstheme="minorHAnsi"/>
          <w:bCs/>
        </w:rPr>
      </w:pPr>
      <w:r w:rsidRPr="00236B7C">
        <w:rPr>
          <w:rFonts w:cstheme="minorHAnsi"/>
          <w:b/>
          <w:bCs/>
        </w:rPr>
        <w:t>1.</w:t>
      </w:r>
      <w:r w:rsidR="00E310B9" w:rsidRPr="00236B7C">
        <w:rPr>
          <w:rFonts w:cstheme="minorHAnsi"/>
          <w:b/>
          <w:bCs/>
        </w:rPr>
        <w:t xml:space="preserve">6. </w:t>
      </w:r>
      <w:r w:rsidR="007422FD" w:rsidRPr="00236B7C">
        <w:rPr>
          <w:rFonts w:cstheme="minorHAnsi"/>
          <w:b/>
          <w:bCs/>
        </w:rPr>
        <w:t xml:space="preserve">How many and which </w:t>
      </w:r>
      <w:r w:rsidR="007422FD" w:rsidRPr="00236B7C">
        <w:rPr>
          <w:rFonts w:cstheme="minorHAnsi"/>
          <w:b/>
          <w:bCs/>
          <w:u w:val="single"/>
        </w:rPr>
        <w:t>patients</w:t>
      </w:r>
      <w:r w:rsidR="007422FD" w:rsidRPr="00236B7C">
        <w:rPr>
          <w:rFonts w:cstheme="minorHAnsi"/>
          <w:b/>
          <w:bCs/>
        </w:rPr>
        <w:t xml:space="preserve"> were included in the testing and analysis</w:t>
      </w:r>
      <w:r w:rsidR="00AA65A6" w:rsidRPr="00236B7C">
        <w:rPr>
          <w:rFonts w:cstheme="minorHAnsi"/>
          <w:b/>
          <w:bCs/>
        </w:rPr>
        <w:t xml:space="preserve"> </w:t>
      </w:r>
      <w:r w:rsidR="00616EB5" w:rsidRPr="00236B7C">
        <w:rPr>
          <w:rFonts w:cstheme="minorHAnsi"/>
          <w:b/>
          <w:bCs/>
        </w:rPr>
        <w:t>(</w:t>
      </w:r>
      <w:r w:rsidR="00AA65A6" w:rsidRPr="00236B7C">
        <w:rPr>
          <w:rFonts w:cstheme="minorHAnsi"/>
          <w:b/>
          <w:bCs/>
        </w:rPr>
        <w:t>by level of analysis and data source</w:t>
      </w:r>
      <w:r w:rsidR="00616EB5" w:rsidRPr="00236B7C">
        <w:rPr>
          <w:rFonts w:cstheme="minorHAnsi"/>
          <w:b/>
          <w:bCs/>
        </w:rPr>
        <w:t>)</w:t>
      </w:r>
      <w:r w:rsidR="007422FD" w:rsidRPr="00236B7C">
        <w:rPr>
          <w:rFonts w:cstheme="minorHAnsi"/>
          <w:bCs/>
        </w:rPr>
        <w:t>? (</w:t>
      </w:r>
      <w:r w:rsidR="007422FD" w:rsidRPr="00236B7C">
        <w:rPr>
          <w:rFonts w:cstheme="minorHAnsi"/>
          <w:bCs/>
          <w:i/>
        </w:rPr>
        <w:t xml:space="preserve">identify </w:t>
      </w:r>
      <w:r w:rsidR="00F435AA" w:rsidRPr="00236B7C">
        <w:rPr>
          <w:rFonts w:cstheme="minorHAnsi"/>
          <w:bCs/>
          <w:i/>
        </w:rPr>
        <w:t>the number</w:t>
      </w:r>
      <w:r w:rsidR="007422FD" w:rsidRPr="00236B7C">
        <w:rPr>
          <w:rFonts w:cstheme="minorHAnsi"/>
          <w:bCs/>
          <w:i/>
        </w:rPr>
        <w:t xml:space="preserve"> and </w:t>
      </w:r>
      <w:r w:rsidR="005A7634" w:rsidRPr="00236B7C">
        <w:rPr>
          <w:rFonts w:cstheme="minorHAnsi"/>
          <w:bCs/>
          <w:i/>
        </w:rPr>
        <w:t xml:space="preserve">descriptive </w:t>
      </w:r>
      <w:r w:rsidR="007422FD" w:rsidRPr="00236B7C">
        <w:rPr>
          <w:rFonts w:cstheme="minorHAnsi"/>
          <w:bCs/>
          <w:i/>
        </w:rPr>
        <w:t>characteristics of patients</w:t>
      </w:r>
      <w:r w:rsidR="00DA7277" w:rsidRPr="00236B7C">
        <w:rPr>
          <w:rFonts w:cstheme="minorHAnsi"/>
          <w:bCs/>
          <w:i/>
        </w:rPr>
        <w:t xml:space="preserve"> </w:t>
      </w:r>
      <w:r w:rsidR="007422FD" w:rsidRPr="00236B7C">
        <w:rPr>
          <w:rFonts w:cstheme="minorHAnsi"/>
          <w:bCs/>
          <w:i/>
        </w:rPr>
        <w:t>included in the analysis</w:t>
      </w:r>
      <w:r w:rsidR="00DA7277" w:rsidRPr="00236B7C">
        <w:rPr>
          <w:rFonts w:cstheme="minorHAnsi"/>
          <w:bCs/>
          <w:i/>
        </w:rPr>
        <w:t xml:space="preserve"> (e.g., age, sex, race, diagnosis)</w:t>
      </w:r>
      <w:r w:rsidR="007422FD" w:rsidRPr="00236B7C">
        <w:rPr>
          <w:rFonts w:cstheme="minorHAnsi"/>
          <w:bCs/>
          <w:i/>
        </w:rPr>
        <w:t>; if a sample</w:t>
      </w:r>
      <w:r w:rsidR="00E310B9" w:rsidRPr="00236B7C">
        <w:rPr>
          <w:rFonts w:cstheme="minorHAnsi"/>
          <w:bCs/>
          <w:i/>
        </w:rPr>
        <w:t xml:space="preserve"> was used</w:t>
      </w:r>
      <w:r w:rsidR="007422FD" w:rsidRPr="00236B7C">
        <w:rPr>
          <w:rFonts w:cstheme="minorHAnsi"/>
          <w:bCs/>
          <w:i/>
        </w:rPr>
        <w:t xml:space="preserve">, describe how </w:t>
      </w:r>
      <w:r w:rsidR="005A7634" w:rsidRPr="00236B7C">
        <w:rPr>
          <w:rFonts w:cstheme="minorHAnsi"/>
          <w:bCs/>
          <w:i/>
        </w:rPr>
        <w:t xml:space="preserve">patients were </w:t>
      </w:r>
      <w:r w:rsidR="007422FD" w:rsidRPr="00236B7C">
        <w:rPr>
          <w:rFonts w:cstheme="minorHAnsi"/>
          <w:bCs/>
          <w:i/>
        </w:rPr>
        <w:t>selected</w:t>
      </w:r>
      <w:r w:rsidR="005A7634" w:rsidRPr="00236B7C">
        <w:rPr>
          <w:rFonts w:cstheme="minorHAnsi"/>
          <w:bCs/>
          <w:i/>
        </w:rPr>
        <w:t xml:space="preserve"> for inclusion in the sample</w:t>
      </w:r>
      <w:r w:rsidR="007422FD" w:rsidRPr="00236B7C">
        <w:rPr>
          <w:rFonts w:cstheme="minorHAnsi"/>
          <w:bCs/>
        </w:rPr>
        <w:t xml:space="preserve">) </w:t>
      </w:r>
      <w:r w:rsidR="007422FD" w:rsidRPr="00236B7C">
        <w:rPr>
          <w:rFonts w:cstheme="minorHAnsi"/>
          <w:bCs/>
        </w:rPr>
        <w:br/>
      </w:r>
    </w:p>
    <w:p w14:paraId="771D5D3F" w14:textId="2A85FB5C" w:rsidR="005865FF" w:rsidRPr="00236B7C" w:rsidRDefault="005865FF" w:rsidP="005865FF">
      <w:pPr>
        <w:spacing w:before="240" w:after="240" w:line="240" w:lineRule="auto"/>
        <w:rPr>
          <w:rFonts w:ascii="Calibri" w:eastAsia="SimSun" w:hAnsi="Calibri" w:cs="Times New Roman"/>
          <w:szCs w:val="24"/>
        </w:rPr>
      </w:pPr>
      <w:r w:rsidRPr="00236B7C">
        <w:rPr>
          <w:rFonts w:ascii="Calibri" w:eastAsia="SimSun" w:hAnsi="Calibri" w:cs="Times New Roman"/>
          <w:szCs w:val="24"/>
        </w:rPr>
        <w:t xml:space="preserve">There were a total of </w:t>
      </w:r>
      <w:r w:rsidRPr="00236B7C">
        <w:rPr>
          <w:rFonts w:ascii="Calibri" w:eastAsia="Calibri" w:hAnsi="Calibri" w:cs="Times New Roman"/>
        </w:rPr>
        <w:t xml:space="preserve">4,274,619 </w:t>
      </w:r>
      <w:r w:rsidRPr="00236B7C">
        <w:rPr>
          <w:rFonts w:ascii="Calibri" w:eastAsia="SimSun" w:hAnsi="Calibri" w:cs="Times New Roman"/>
          <w:szCs w:val="24"/>
        </w:rPr>
        <w:t>eligible patient-months. Among those patient-months over the whole year, the average age was 62.7 years, 43.8% of patient-months were female, 56.3% were white, 37.1% were black, 6</w:t>
      </w:r>
      <w:r w:rsidR="008E3044">
        <w:rPr>
          <w:rFonts w:ascii="Calibri" w:eastAsia="SimSun" w:hAnsi="Calibri" w:cs="Times New Roman"/>
          <w:szCs w:val="24"/>
        </w:rPr>
        <w:t>.</w:t>
      </w:r>
      <w:r w:rsidRPr="00236B7C">
        <w:rPr>
          <w:rFonts w:ascii="Calibri" w:eastAsia="SimSun" w:hAnsi="Calibri" w:cs="Times New Roman"/>
          <w:szCs w:val="24"/>
        </w:rPr>
        <w:t>6% had race listed as other, 18.4% were Hispanic and 46.4% had type II diabetes as the primary cause of ESRD.</w:t>
      </w:r>
    </w:p>
    <w:p w14:paraId="3ED58DC2" w14:textId="77777777" w:rsidR="00081339" w:rsidRPr="00236B7C" w:rsidRDefault="00081339" w:rsidP="00081339">
      <w:pPr>
        <w:autoSpaceDE w:val="0"/>
        <w:autoSpaceDN w:val="0"/>
        <w:adjustRightInd w:val="0"/>
        <w:spacing w:after="0" w:line="240" w:lineRule="auto"/>
        <w:rPr>
          <w:rFonts w:cstheme="minorHAnsi"/>
          <w:b/>
          <w:bCs/>
          <w:color w:val="C00000"/>
          <w:u w:val="single"/>
        </w:rPr>
      </w:pPr>
      <w:r w:rsidRPr="00236B7C">
        <w:rPr>
          <w:rFonts w:cstheme="minorHAnsi"/>
          <w:b/>
          <w:bCs/>
          <w:color w:val="C00000"/>
          <w:u w:val="single"/>
        </w:rPr>
        <w:t>2019 Submission</w:t>
      </w:r>
    </w:p>
    <w:p w14:paraId="21AC21A5" w14:textId="2D9D3E6B" w:rsidR="00081339" w:rsidRPr="009F29E9" w:rsidRDefault="00081339" w:rsidP="00081339">
      <w:pPr>
        <w:spacing w:before="240" w:after="240" w:line="240" w:lineRule="auto"/>
        <w:rPr>
          <w:rFonts w:ascii="Calibri" w:eastAsia="SimSun" w:hAnsi="Calibri" w:cs="Times New Roman"/>
          <w:color w:val="C00000"/>
          <w:szCs w:val="24"/>
        </w:rPr>
      </w:pPr>
      <w:r w:rsidRPr="00236B7C">
        <w:rPr>
          <w:rFonts w:ascii="Calibri" w:eastAsia="SimSun" w:hAnsi="Calibri" w:cs="Times New Roman"/>
          <w:color w:val="C00000"/>
          <w:szCs w:val="24"/>
        </w:rPr>
        <w:t xml:space="preserve">There were a total of </w:t>
      </w:r>
      <w:r w:rsidR="009119B8" w:rsidRPr="00236B7C">
        <w:rPr>
          <w:rFonts w:ascii="Calibri" w:eastAsia="SimSun" w:hAnsi="Calibri" w:cs="Times New Roman"/>
          <w:color w:val="C00000"/>
          <w:szCs w:val="24"/>
        </w:rPr>
        <w:t>5,068,460</w:t>
      </w:r>
      <w:r w:rsidRPr="00005DBF">
        <w:rPr>
          <w:color w:val="C00000"/>
        </w:rPr>
        <w:t xml:space="preserve"> </w:t>
      </w:r>
      <w:r w:rsidRPr="00005DBF">
        <w:rPr>
          <w:rFonts w:ascii="Calibri" w:eastAsia="SimSun" w:hAnsi="Calibri" w:cs="Times New Roman"/>
          <w:color w:val="C00000"/>
          <w:szCs w:val="24"/>
        </w:rPr>
        <w:t xml:space="preserve">eligible patient-months. Among those patient-months over the whole </w:t>
      </w:r>
      <w:r w:rsidR="00CF67B7" w:rsidRPr="00236B7C">
        <w:rPr>
          <w:rFonts w:ascii="Calibri" w:eastAsia="SimSun" w:hAnsi="Calibri" w:cs="Times New Roman"/>
          <w:color w:val="C00000"/>
          <w:szCs w:val="24"/>
        </w:rPr>
        <w:t>reporting period</w:t>
      </w:r>
      <w:r w:rsidRPr="00236B7C">
        <w:rPr>
          <w:rFonts w:ascii="Calibri" w:eastAsia="SimSun" w:hAnsi="Calibri" w:cs="Times New Roman"/>
          <w:color w:val="C00000"/>
          <w:szCs w:val="24"/>
        </w:rPr>
        <w:t xml:space="preserve">, the average age was </w:t>
      </w:r>
      <w:r w:rsidR="009119B8" w:rsidRPr="00236B7C">
        <w:rPr>
          <w:rFonts w:ascii="Calibri" w:eastAsia="SimSun" w:hAnsi="Calibri" w:cs="Times New Roman"/>
          <w:color w:val="C00000"/>
          <w:szCs w:val="24"/>
        </w:rPr>
        <w:t>63.3</w:t>
      </w:r>
      <w:r w:rsidRPr="00236B7C">
        <w:rPr>
          <w:rFonts w:ascii="Calibri" w:eastAsia="SimSun" w:hAnsi="Calibri" w:cs="Times New Roman"/>
          <w:color w:val="C00000"/>
          <w:szCs w:val="24"/>
        </w:rPr>
        <w:t xml:space="preserve"> years, </w:t>
      </w:r>
      <w:r w:rsidR="009119B8" w:rsidRPr="00005DBF">
        <w:rPr>
          <w:rFonts w:ascii="Calibri" w:eastAsia="SimSun" w:hAnsi="Calibri" w:cs="Times New Roman"/>
          <w:color w:val="C00000"/>
          <w:szCs w:val="24"/>
        </w:rPr>
        <w:t>42.61</w:t>
      </w:r>
      <w:r w:rsidRPr="00005DBF">
        <w:rPr>
          <w:rFonts w:ascii="Calibri" w:eastAsia="SimSun" w:hAnsi="Calibri" w:cs="Times New Roman"/>
          <w:color w:val="C00000"/>
          <w:szCs w:val="24"/>
        </w:rPr>
        <w:t xml:space="preserve">% were female, </w:t>
      </w:r>
      <w:r w:rsidR="009119B8" w:rsidRPr="00005DBF">
        <w:rPr>
          <w:rFonts w:ascii="Calibri" w:eastAsia="SimSun" w:hAnsi="Calibri" w:cs="Times New Roman"/>
          <w:color w:val="C00000"/>
          <w:szCs w:val="24"/>
        </w:rPr>
        <w:t>56.86</w:t>
      </w:r>
      <w:r w:rsidRPr="00005DBF">
        <w:rPr>
          <w:rFonts w:ascii="Calibri" w:eastAsia="SimSun" w:hAnsi="Calibri" w:cs="Times New Roman"/>
          <w:color w:val="C00000"/>
          <w:szCs w:val="24"/>
        </w:rPr>
        <w:t xml:space="preserve">% were white, </w:t>
      </w:r>
      <w:r w:rsidR="009119B8" w:rsidRPr="00005DBF">
        <w:rPr>
          <w:rFonts w:ascii="Calibri" w:eastAsia="SimSun" w:hAnsi="Calibri" w:cs="Times New Roman"/>
          <w:color w:val="C00000"/>
          <w:szCs w:val="24"/>
        </w:rPr>
        <w:t>35.68</w:t>
      </w:r>
      <w:r w:rsidRPr="00236B7C">
        <w:rPr>
          <w:rFonts w:ascii="Calibri" w:eastAsia="SimSun" w:hAnsi="Calibri" w:cs="Times New Roman"/>
          <w:color w:val="C00000"/>
          <w:szCs w:val="24"/>
        </w:rPr>
        <w:t xml:space="preserve">% were black, </w:t>
      </w:r>
      <w:r w:rsidR="009119B8" w:rsidRPr="00005DBF">
        <w:rPr>
          <w:rFonts w:ascii="Calibri" w:eastAsia="SimSun" w:hAnsi="Calibri" w:cs="Times New Roman"/>
          <w:color w:val="C00000"/>
          <w:szCs w:val="24"/>
        </w:rPr>
        <w:t>7.46</w:t>
      </w:r>
      <w:r w:rsidR="009119B8" w:rsidRPr="00236B7C">
        <w:rPr>
          <w:rFonts w:ascii="Calibri" w:eastAsia="SimSun" w:hAnsi="Calibri" w:cs="Times New Roman"/>
          <w:color w:val="C00000"/>
          <w:szCs w:val="24"/>
        </w:rPr>
        <w:t xml:space="preserve"> </w:t>
      </w:r>
      <w:r w:rsidRPr="00236B7C">
        <w:rPr>
          <w:rFonts w:ascii="Calibri" w:eastAsia="SimSun" w:hAnsi="Calibri" w:cs="Times New Roman"/>
          <w:color w:val="C00000"/>
          <w:szCs w:val="24"/>
        </w:rPr>
        <w:t xml:space="preserve">% reported race as “other”, </w:t>
      </w:r>
      <w:r w:rsidR="009119B8" w:rsidRPr="00005DBF">
        <w:rPr>
          <w:rFonts w:ascii="Calibri" w:eastAsia="SimSun" w:hAnsi="Calibri" w:cs="Times New Roman"/>
          <w:color w:val="C00000"/>
          <w:szCs w:val="24"/>
        </w:rPr>
        <w:t>19.01</w:t>
      </w:r>
      <w:r w:rsidRPr="00236B7C">
        <w:rPr>
          <w:rFonts w:ascii="Calibri" w:eastAsia="SimSun" w:hAnsi="Calibri" w:cs="Times New Roman"/>
          <w:color w:val="C00000"/>
          <w:szCs w:val="24"/>
        </w:rPr>
        <w:t xml:space="preserve">% were Hispanic and </w:t>
      </w:r>
      <w:r w:rsidR="009119B8" w:rsidRPr="00005DBF">
        <w:rPr>
          <w:rFonts w:ascii="Calibri" w:eastAsia="SimSun" w:hAnsi="Calibri" w:cs="Times New Roman"/>
          <w:color w:val="C00000"/>
          <w:szCs w:val="24"/>
        </w:rPr>
        <w:t>47.31</w:t>
      </w:r>
      <w:r w:rsidRPr="00236B7C">
        <w:rPr>
          <w:rFonts w:ascii="Calibri" w:eastAsia="SimSun" w:hAnsi="Calibri" w:cs="Times New Roman"/>
          <w:color w:val="C00000"/>
          <w:szCs w:val="24"/>
        </w:rPr>
        <w:t>% had type II diabetes as the primary cause of ESRD.</w:t>
      </w:r>
    </w:p>
    <w:p w14:paraId="46DCD808" w14:textId="77777777" w:rsidR="005865FF" w:rsidRDefault="005865FF"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42F95191" w14:textId="77777777" w:rsidR="005865FF" w:rsidRPr="004C5689" w:rsidRDefault="005865FF" w:rsidP="005865FF">
      <w:pPr>
        <w:spacing w:before="240" w:after="240" w:line="240" w:lineRule="auto"/>
        <w:rPr>
          <w:rFonts w:ascii="Calibri" w:eastAsia="SimSun" w:hAnsi="Calibri" w:cs="Times New Roman"/>
          <w:szCs w:val="24"/>
        </w:rPr>
      </w:pPr>
      <w:r w:rsidRPr="004C5689">
        <w:rPr>
          <w:rFonts w:ascii="Calibri" w:eastAsia="SimSun" w:hAnsi="Calibri" w:cs="Times New Roman"/>
          <w:szCs w:val="24"/>
        </w:rPr>
        <w:t>N/A</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5D6B2EBF"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73449A74" w14:textId="77777777" w:rsidR="005865FF" w:rsidRPr="00F223BF" w:rsidRDefault="005865FF" w:rsidP="005865FF">
      <w:pPr>
        <w:pStyle w:val="Heading2"/>
        <w:rPr>
          <w:rFonts w:asciiTheme="minorHAnsi" w:eastAsiaTheme="minorEastAsia" w:hAnsiTheme="minorHAnsi" w:cstheme="minorBidi"/>
          <w:b/>
          <w:bCs/>
          <w:color w:val="auto"/>
          <w:sz w:val="22"/>
          <w:szCs w:val="22"/>
        </w:rPr>
      </w:pPr>
      <w:r w:rsidRPr="00F223BF">
        <w:rPr>
          <w:rFonts w:asciiTheme="minorHAnsi" w:eastAsiaTheme="minorEastAsia" w:hAnsiTheme="minorHAnsi" w:cstheme="minorBidi"/>
          <w:color w:val="auto"/>
          <w:sz w:val="22"/>
          <w:szCs w:val="22"/>
        </w:rPr>
        <w:t>Patient level</w:t>
      </w:r>
      <w:r>
        <w:rPr>
          <w:rFonts w:asciiTheme="minorHAnsi" w:eastAsiaTheme="minorEastAsia" w:hAnsiTheme="minorHAnsi" w:cstheme="minorBidi"/>
          <w:color w:val="auto"/>
          <w:sz w:val="22"/>
          <w:szCs w:val="22"/>
        </w:rPr>
        <w:t>:</w:t>
      </w:r>
      <w:r w:rsidRPr="00F223BF">
        <w:rPr>
          <w:rFonts w:asciiTheme="minorHAnsi" w:eastAsiaTheme="minorEastAsia" w:hAnsiTheme="minorHAnsi" w:cstheme="minorBidi"/>
          <w:color w:val="auto"/>
          <w:sz w:val="22"/>
          <w:szCs w:val="22"/>
        </w:rPr>
        <w:t xml:space="preserve"> </w:t>
      </w:r>
    </w:p>
    <w:p w14:paraId="29E646DC" w14:textId="77777777" w:rsidR="005865FF" w:rsidRDefault="005865FF" w:rsidP="005865FF">
      <w:pPr>
        <w:pStyle w:val="ListParagraph"/>
        <w:numPr>
          <w:ilvl w:val="0"/>
          <w:numId w:val="31"/>
        </w:numPr>
      </w:pPr>
      <w:r>
        <w:t>Employment status 6 months prior to ESRD</w:t>
      </w:r>
    </w:p>
    <w:p w14:paraId="02391D00" w14:textId="77777777" w:rsidR="005865FF" w:rsidRDefault="005865FF" w:rsidP="005865FF">
      <w:pPr>
        <w:pStyle w:val="ListParagraph"/>
        <w:numPr>
          <w:ilvl w:val="0"/>
          <w:numId w:val="31"/>
        </w:numPr>
      </w:pPr>
      <w:r>
        <w:t>Sex</w:t>
      </w:r>
    </w:p>
    <w:p w14:paraId="641A2984" w14:textId="77777777" w:rsidR="005865FF" w:rsidRDefault="005865FF" w:rsidP="005865FF">
      <w:pPr>
        <w:pStyle w:val="ListParagraph"/>
        <w:numPr>
          <w:ilvl w:val="0"/>
          <w:numId w:val="31"/>
        </w:numPr>
      </w:pPr>
      <w:r>
        <w:t>Race</w:t>
      </w:r>
    </w:p>
    <w:p w14:paraId="5AB7A6B6" w14:textId="77777777" w:rsidR="005865FF" w:rsidRDefault="005865FF" w:rsidP="005865FF">
      <w:pPr>
        <w:pStyle w:val="ListParagraph"/>
        <w:numPr>
          <w:ilvl w:val="0"/>
          <w:numId w:val="31"/>
        </w:numPr>
      </w:pPr>
      <w:r>
        <w:t>Ethnicity</w:t>
      </w:r>
    </w:p>
    <w:p w14:paraId="52838B54" w14:textId="77777777" w:rsidR="005865FF" w:rsidRDefault="005865FF" w:rsidP="005865FF">
      <w:pPr>
        <w:pStyle w:val="ListParagraph"/>
        <w:numPr>
          <w:ilvl w:val="0"/>
          <w:numId w:val="31"/>
        </w:numPr>
      </w:pPr>
      <w:r>
        <w:t>Medicare coverage*</w:t>
      </w:r>
    </w:p>
    <w:p w14:paraId="1B84EEFC" w14:textId="77777777" w:rsidR="005865FF" w:rsidRPr="00F90557" w:rsidRDefault="005865FF" w:rsidP="005865FF">
      <w:pPr>
        <w:autoSpaceDE w:val="0"/>
        <w:autoSpaceDN w:val="0"/>
        <w:adjustRightInd w:val="0"/>
        <w:spacing w:after="0" w:line="240" w:lineRule="auto"/>
        <w:ind w:left="360"/>
        <w:rPr>
          <w:i/>
          <w:sz w:val="18"/>
        </w:rPr>
      </w:pPr>
      <w:r w:rsidRPr="00F90557">
        <w:rPr>
          <w:i/>
          <w:sz w:val="18"/>
        </w:rPr>
        <w:t xml:space="preserve">*Assessed at a specific time point (e.g., at the reporting month). Medicare coverage in model was defined as: </w:t>
      </w:r>
    </w:p>
    <w:p w14:paraId="55D0E860" w14:textId="77777777" w:rsidR="005865FF" w:rsidRPr="00F90557" w:rsidRDefault="005865FF" w:rsidP="005865FF">
      <w:pPr>
        <w:autoSpaceDE w:val="0"/>
        <w:autoSpaceDN w:val="0"/>
        <w:adjustRightInd w:val="0"/>
        <w:spacing w:after="0" w:line="240" w:lineRule="auto"/>
        <w:ind w:left="360"/>
        <w:rPr>
          <w:rFonts w:eastAsiaTheme="minorHAnsi" w:cstheme="minorHAnsi"/>
          <w:i/>
          <w:sz w:val="18"/>
          <w:szCs w:val="20"/>
          <w:shd w:val="clear" w:color="auto" w:fill="FFFFFF"/>
        </w:rPr>
      </w:pPr>
      <w:r w:rsidRPr="00F90557">
        <w:rPr>
          <w:rFonts w:eastAsiaTheme="minorHAnsi" w:cstheme="minorHAnsi"/>
          <w:i/>
          <w:sz w:val="18"/>
          <w:szCs w:val="20"/>
          <w:shd w:val="clear" w:color="auto" w:fill="FFFFFF"/>
        </w:rPr>
        <w:t xml:space="preserve">1. Medicare as primary and Medicaid </w:t>
      </w:r>
    </w:p>
    <w:p w14:paraId="4A6F98DF" w14:textId="77777777" w:rsidR="005865FF" w:rsidRPr="00F90557" w:rsidRDefault="005865FF" w:rsidP="005865FF">
      <w:pPr>
        <w:autoSpaceDE w:val="0"/>
        <w:autoSpaceDN w:val="0"/>
        <w:adjustRightInd w:val="0"/>
        <w:spacing w:after="0" w:line="240" w:lineRule="auto"/>
        <w:ind w:left="360"/>
        <w:rPr>
          <w:rFonts w:eastAsiaTheme="minorHAnsi" w:cstheme="minorHAnsi"/>
          <w:i/>
          <w:sz w:val="18"/>
          <w:szCs w:val="20"/>
          <w:shd w:val="clear" w:color="auto" w:fill="FFFFFF"/>
        </w:rPr>
      </w:pPr>
      <w:r w:rsidRPr="00F90557">
        <w:rPr>
          <w:rFonts w:eastAsiaTheme="minorHAnsi" w:cstheme="minorHAnsi"/>
          <w:i/>
          <w:sz w:val="18"/>
          <w:szCs w:val="20"/>
          <w:shd w:val="clear" w:color="auto" w:fill="FFFFFF"/>
        </w:rPr>
        <w:t xml:space="preserve">2. Medicare as primary and NO Medicaid </w:t>
      </w:r>
    </w:p>
    <w:p w14:paraId="36486F5D" w14:textId="77777777" w:rsidR="005865FF" w:rsidRPr="00F90557" w:rsidRDefault="005865FF" w:rsidP="005865FF">
      <w:pPr>
        <w:autoSpaceDE w:val="0"/>
        <w:autoSpaceDN w:val="0"/>
        <w:adjustRightInd w:val="0"/>
        <w:spacing w:after="0" w:line="240" w:lineRule="auto"/>
        <w:ind w:left="360"/>
        <w:rPr>
          <w:rFonts w:eastAsiaTheme="minorHAnsi" w:cstheme="minorHAnsi"/>
          <w:sz w:val="18"/>
          <w:szCs w:val="20"/>
          <w:shd w:val="clear" w:color="auto" w:fill="FFFFFF"/>
        </w:rPr>
      </w:pPr>
      <w:r w:rsidRPr="00F90557">
        <w:rPr>
          <w:rFonts w:eastAsiaTheme="minorHAnsi" w:cstheme="minorHAnsi"/>
          <w:i/>
          <w:sz w:val="18"/>
          <w:szCs w:val="20"/>
          <w:shd w:val="clear" w:color="auto" w:fill="FFFFFF"/>
        </w:rPr>
        <w:t>3. Medicare as secondary or Medicare HMO (e.g. Medicare Advantage)</w:t>
      </w:r>
    </w:p>
    <w:p w14:paraId="13E52026" w14:textId="77777777" w:rsidR="005865FF" w:rsidRPr="00F90557" w:rsidRDefault="005865FF" w:rsidP="005865FF">
      <w:pPr>
        <w:ind w:left="360"/>
        <w:rPr>
          <w:i/>
          <w:sz w:val="18"/>
        </w:rPr>
      </w:pPr>
      <w:r w:rsidRPr="00F90557">
        <w:rPr>
          <w:rFonts w:eastAsiaTheme="minorHAnsi" w:cstheme="minorHAnsi"/>
          <w:i/>
          <w:sz w:val="18"/>
          <w:szCs w:val="20"/>
          <w:shd w:val="clear" w:color="auto" w:fill="FFFFFF"/>
        </w:rPr>
        <w:t>4. Non-Medicare/missing</w:t>
      </w:r>
      <w:r w:rsidRPr="00F90557">
        <w:rPr>
          <w:i/>
          <w:sz w:val="18"/>
        </w:rPr>
        <w:t xml:space="preserve"> </w:t>
      </w:r>
    </w:p>
    <w:p w14:paraId="580F11B8" w14:textId="77777777" w:rsidR="005865FF" w:rsidRDefault="005865FF" w:rsidP="005865FF">
      <w:r>
        <w:t xml:space="preserve">Data on patient level SDS/SES factors obtained from Medicare claims and administrative data.  </w:t>
      </w:r>
    </w:p>
    <w:p w14:paraId="5527975C" w14:textId="77777777" w:rsidR="005865FF" w:rsidRDefault="005865FF" w:rsidP="005865FF"/>
    <w:p w14:paraId="6AE68441" w14:textId="77777777" w:rsidR="005865FF" w:rsidRPr="00F223BF" w:rsidRDefault="005865FF" w:rsidP="005865FF">
      <w:r w:rsidRPr="00F223BF">
        <w:t>ZIP code level – Area Deprivation Index (ADI) elements from Census data</w:t>
      </w:r>
      <w:r>
        <w:t>:</w:t>
      </w:r>
    </w:p>
    <w:p w14:paraId="286C97AB" w14:textId="77777777" w:rsidR="005865FF" w:rsidRPr="002E058A" w:rsidRDefault="005865FF" w:rsidP="005865FF">
      <w:pPr>
        <w:pStyle w:val="ListParagraph"/>
        <w:numPr>
          <w:ilvl w:val="0"/>
          <w:numId w:val="30"/>
        </w:numPr>
        <w:rPr>
          <w:rFonts w:cstheme="minorHAnsi"/>
        </w:rPr>
      </w:pPr>
      <w:r w:rsidRPr="002E058A">
        <w:rPr>
          <w:rFonts w:cstheme="minorHAnsi"/>
        </w:rPr>
        <w:t>Unemployment rate (%)</w:t>
      </w:r>
    </w:p>
    <w:p w14:paraId="69033DE1" w14:textId="77777777" w:rsidR="005865FF" w:rsidRPr="002E058A" w:rsidRDefault="005865FF" w:rsidP="005865FF">
      <w:pPr>
        <w:pStyle w:val="ListParagraph"/>
        <w:numPr>
          <w:ilvl w:val="0"/>
          <w:numId w:val="30"/>
        </w:numPr>
        <w:rPr>
          <w:rFonts w:cstheme="minorHAnsi"/>
        </w:rPr>
      </w:pPr>
      <w:r w:rsidRPr="002E058A">
        <w:rPr>
          <w:rFonts w:cstheme="minorHAnsi"/>
        </w:rPr>
        <w:t xml:space="preserve">Median family income </w:t>
      </w:r>
    </w:p>
    <w:p w14:paraId="3C69DADF" w14:textId="77777777" w:rsidR="005865FF" w:rsidRPr="002E058A" w:rsidRDefault="005865FF" w:rsidP="005865FF">
      <w:pPr>
        <w:pStyle w:val="ListParagraph"/>
        <w:numPr>
          <w:ilvl w:val="0"/>
          <w:numId w:val="30"/>
        </w:numPr>
        <w:rPr>
          <w:rFonts w:cstheme="minorHAnsi"/>
        </w:rPr>
      </w:pPr>
      <w:r w:rsidRPr="002E058A">
        <w:rPr>
          <w:rFonts w:cstheme="minorHAnsi"/>
        </w:rPr>
        <w:t xml:space="preserve">Income disparity </w:t>
      </w:r>
    </w:p>
    <w:p w14:paraId="43FE79B3" w14:textId="77777777" w:rsidR="005865FF" w:rsidRPr="002E058A" w:rsidRDefault="005865FF" w:rsidP="005865FF">
      <w:pPr>
        <w:pStyle w:val="ListParagraph"/>
        <w:numPr>
          <w:ilvl w:val="0"/>
          <w:numId w:val="30"/>
        </w:numPr>
        <w:rPr>
          <w:rFonts w:cstheme="minorHAnsi"/>
        </w:rPr>
      </w:pPr>
      <w:r w:rsidRPr="002E058A">
        <w:rPr>
          <w:rFonts w:cstheme="minorHAnsi"/>
        </w:rPr>
        <w:t>Families below the poverty level (%)</w:t>
      </w:r>
    </w:p>
    <w:p w14:paraId="148F95F5" w14:textId="77777777" w:rsidR="005865FF" w:rsidRPr="002E058A" w:rsidRDefault="005865FF" w:rsidP="005865FF">
      <w:pPr>
        <w:pStyle w:val="ListParagraph"/>
        <w:numPr>
          <w:ilvl w:val="0"/>
          <w:numId w:val="30"/>
        </w:numPr>
        <w:rPr>
          <w:rFonts w:cstheme="minorHAnsi"/>
        </w:rPr>
      </w:pPr>
      <w:r w:rsidRPr="002E058A">
        <w:rPr>
          <w:rFonts w:cstheme="minorHAnsi"/>
        </w:rPr>
        <w:t>Single-parent households w</w:t>
      </w:r>
      <w:r>
        <w:rPr>
          <w:rFonts w:cstheme="minorHAnsi"/>
        </w:rPr>
        <w:t>ith</w:t>
      </w:r>
      <w:r w:rsidRPr="002E058A">
        <w:rPr>
          <w:rFonts w:cstheme="minorHAnsi"/>
        </w:rPr>
        <w:t xml:space="preserve"> children &lt;18 </w:t>
      </w:r>
      <w:r>
        <w:rPr>
          <w:rFonts w:cstheme="minorHAnsi"/>
        </w:rPr>
        <w:t xml:space="preserve">years old </w:t>
      </w:r>
      <w:r w:rsidRPr="002E058A">
        <w:rPr>
          <w:rFonts w:cstheme="minorHAnsi"/>
        </w:rPr>
        <w:t>(%)</w:t>
      </w:r>
    </w:p>
    <w:p w14:paraId="637887E2" w14:textId="77777777" w:rsidR="005865FF" w:rsidRPr="002E058A" w:rsidRDefault="005865FF" w:rsidP="005865FF">
      <w:pPr>
        <w:pStyle w:val="ListParagraph"/>
        <w:numPr>
          <w:ilvl w:val="0"/>
          <w:numId w:val="30"/>
        </w:numPr>
        <w:rPr>
          <w:rFonts w:cstheme="minorHAnsi"/>
        </w:rPr>
      </w:pPr>
      <w:r w:rsidRPr="002E058A">
        <w:rPr>
          <w:rFonts w:cstheme="minorHAnsi"/>
        </w:rPr>
        <w:t>Home ownership rate (%)</w:t>
      </w:r>
    </w:p>
    <w:p w14:paraId="2201C591" w14:textId="77777777" w:rsidR="005865FF" w:rsidRPr="002E058A" w:rsidRDefault="005865FF" w:rsidP="005865FF">
      <w:pPr>
        <w:pStyle w:val="ListParagraph"/>
        <w:numPr>
          <w:ilvl w:val="0"/>
          <w:numId w:val="30"/>
        </w:numPr>
        <w:rPr>
          <w:rFonts w:cstheme="minorHAnsi"/>
        </w:rPr>
      </w:pPr>
      <w:r w:rsidRPr="002E058A">
        <w:rPr>
          <w:rFonts w:cstheme="minorHAnsi"/>
        </w:rPr>
        <w:t xml:space="preserve">Median home value </w:t>
      </w:r>
    </w:p>
    <w:p w14:paraId="390504B2" w14:textId="77777777" w:rsidR="005865FF" w:rsidRPr="002E058A" w:rsidRDefault="005865FF" w:rsidP="005865FF">
      <w:pPr>
        <w:pStyle w:val="ListParagraph"/>
        <w:numPr>
          <w:ilvl w:val="0"/>
          <w:numId w:val="30"/>
        </w:numPr>
        <w:rPr>
          <w:rFonts w:cstheme="minorHAnsi"/>
        </w:rPr>
      </w:pPr>
      <w:r w:rsidRPr="002E058A">
        <w:rPr>
          <w:rFonts w:cstheme="minorHAnsi"/>
        </w:rPr>
        <w:t xml:space="preserve">Median monthly mortgage </w:t>
      </w:r>
    </w:p>
    <w:p w14:paraId="10920346" w14:textId="77777777" w:rsidR="005865FF" w:rsidRPr="002E058A" w:rsidRDefault="005865FF" w:rsidP="005865FF">
      <w:pPr>
        <w:pStyle w:val="ListParagraph"/>
        <w:numPr>
          <w:ilvl w:val="0"/>
          <w:numId w:val="30"/>
        </w:numPr>
        <w:rPr>
          <w:rFonts w:cstheme="minorHAnsi"/>
        </w:rPr>
      </w:pPr>
      <w:r w:rsidRPr="002E058A">
        <w:rPr>
          <w:rFonts w:cstheme="minorHAnsi"/>
        </w:rPr>
        <w:t xml:space="preserve">Median gross rent </w:t>
      </w:r>
    </w:p>
    <w:p w14:paraId="4C944967" w14:textId="77777777" w:rsidR="005865FF" w:rsidRPr="002E058A" w:rsidRDefault="005865FF" w:rsidP="005865FF">
      <w:pPr>
        <w:pStyle w:val="ListParagraph"/>
        <w:numPr>
          <w:ilvl w:val="0"/>
          <w:numId w:val="30"/>
        </w:numPr>
        <w:rPr>
          <w:rFonts w:cstheme="minorHAnsi"/>
        </w:rPr>
      </w:pPr>
      <w:r w:rsidRPr="002E058A">
        <w:rPr>
          <w:rFonts w:cstheme="minorHAnsi"/>
        </w:rPr>
        <w:t>Population (aged 25+) with &lt;9 years of education (%)</w:t>
      </w:r>
    </w:p>
    <w:p w14:paraId="6FD0DE5D" w14:textId="77777777" w:rsidR="005865FF" w:rsidRPr="002E058A" w:rsidRDefault="005865FF" w:rsidP="005865FF">
      <w:pPr>
        <w:pStyle w:val="ListParagraph"/>
        <w:numPr>
          <w:ilvl w:val="0"/>
          <w:numId w:val="30"/>
        </w:numPr>
        <w:rPr>
          <w:rFonts w:cstheme="minorHAnsi"/>
        </w:rPr>
      </w:pPr>
      <w:r w:rsidRPr="002E058A">
        <w:rPr>
          <w:rFonts w:cstheme="minorHAnsi"/>
        </w:rPr>
        <w:t xml:space="preserve">Population (aged 25+) </w:t>
      </w:r>
      <w:r>
        <w:rPr>
          <w:rFonts w:cstheme="minorHAnsi"/>
        </w:rPr>
        <w:t>without</w:t>
      </w:r>
      <w:r w:rsidRPr="002E058A">
        <w:rPr>
          <w:rFonts w:cstheme="minorHAnsi"/>
        </w:rPr>
        <w:t xml:space="preserve"> </w:t>
      </w:r>
      <w:r>
        <w:rPr>
          <w:rFonts w:cstheme="minorHAnsi"/>
        </w:rPr>
        <w:t>high school</w:t>
      </w:r>
      <w:r w:rsidRPr="002E058A">
        <w:rPr>
          <w:rFonts w:cstheme="minorHAnsi"/>
        </w:rPr>
        <w:t xml:space="preserve"> diploma (%)</w:t>
      </w:r>
    </w:p>
    <w:p w14:paraId="73ED47A6" w14:textId="6997F6AB" w:rsidR="005865FF" w:rsidRDefault="005865FF" w:rsidP="00E37E1B">
      <w:pPr>
        <w:autoSpaceDE w:val="0"/>
        <w:autoSpaceDN w:val="0"/>
        <w:adjustRightInd w:val="0"/>
        <w:spacing w:after="0" w:line="240" w:lineRule="auto"/>
        <w:rPr>
          <w:rFonts w:cstheme="minorHAnsi"/>
          <w:bCs/>
        </w:rPr>
      </w:pPr>
    </w:p>
    <w:p w14:paraId="7860E4DC" w14:textId="77777777" w:rsidR="005865FF" w:rsidRPr="00AD7234" w:rsidRDefault="005865FF" w:rsidP="005865FF">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748DBB88" w14:textId="77777777" w:rsidR="00081339" w:rsidRPr="00DA1617" w:rsidRDefault="00081339" w:rsidP="00081339">
      <w:pPr>
        <w:pStyle w:val="Heading2"/>
        <w:rPr>
          <w:rFonts w:asciiTheme="minorHAnsi" w:eastAsiaTheme="minorEastAsia" w:hAnsiTheme="minorHAnsi" w:cstheme="minorBidi"/>
          <w:b/>
          <w:bCs/>
          <w:color w:val="C00000"/>
          <w:sz w:val="22"/>
          <w:szCs w:val="22"/>
        </w:rPr>
      </w:pPr>
      <w:r w:rsidRPr="00DA1617">
        <w:rPr>
          <w:rFonts w:asciiTheme="minorHAnsi" w:eastAsiaTheme="minorEastAsia" w:hAnsiTheme="minorHAnsi" w:cstheme="minorBidi"/>
          <w:color w:val="C00000"/>
          <w:sz w:val="22"/>
          <w:szCs w:val="22"/>
        </w:rPr>
        <w:t xml:space="preserve">Patient level: </w:t>
      </w:r>
    </w:p>
    <w:p w14:paraId="7C605267" w14:textId="77777777" w:rsidR="00081339" w:rsidRPr="00DA1617" w:rsidRDefault="00081339" w:rsidP="00081339">
      <w:pPr>
        <w:pStyle w:val="ListParagraph"/>
        <w:numPr>
          <w:ilvl w:val="0"/>
          <w:numId w:val="31"/>
        </w:numPr>
        <w:rPr>
          <w:color w:val="C00000"/>
        </w:rPr>
      </w:pPr>
      <w:r w:rsidRPr="00DA1617">
        <w:rPr>
          <w:color w:val="C00000"/>
        </w:rPr>
        <w:t>Employment status 6 months prior to ESRD</w:t>
      </w:r>
    </w:p>
    <w:p w14:paraId="16463F51" w14:textId="77777777" w:rsidR="00081339" w:rsidRPr="00DA1617" w:rsidRDefault="00081339" w:rsidP="00081339">
      <w:pPr>
        <w:pStyle w:val="ListParagraph"/>
        <w:numPr>
          <w:ilvl w:val="0"/>
          <w:numId w:val="31"/>
        </w:numPr>
        <w:rPr>
          <w:color w:val="C00000"/>
        </w:rPr>
      </w:pPr>
      <w:r w:rsidRPr="00DA1617">
        <w:rPr>
          <w:color w:val="C00000"/>
        </w:rPr>
        <w:lastRenderedPageBreak/>
        <w:t>Sex</w:t>
      </w:r>
    </w:p>
    <w:p w14:paraId="1FF7D0AF" w14:textId="77777777" w:rsidR="00081339" w:rsidRPr="00DA1617" w:rsidRDefault="00081339" w:rsidP="00081339">
      <w:pPr>
        <w:pStyle w:val="ListParagraph"/>
        <w:numPr>
          <w:ilvl w:val="0"/>
          <w:numId w:val="31"/>
        </w:numPr>
        <w:rPr>
          <w:color w:val="C00000"/>
        </w:rPr>
      </w:pPr>
      <w:r w:rsidRPr="00DA1617">
        <w:rPr>
          <w:color w:val="C00000"/>
        </w:rPr>
        <w:t>Race</w:t>
      </w:r>
    </w:p>
    <w:p w14:paraId="010D7D47" w14:textId="77777777" w:rsidR="00081339" w:rsidRPr="00DA1617" w:rsidRDefault="00081339" w:rsidP="00081339">
      <w:pPr>
        <w:pStyle w:val="ListParagraph"/>
        <w:numPr>
          <w:ilvl w:val="0"/>
          <w:numId w:val="31"/>
        </w:numPr>
        <w:rPr>
          <w:color w:val="C00000"/>
        </w:rPr>
      </w:pPr>
      <w:r w:rsidRPr="00DA1617">
        <w:rPr>
          <w:color w:val="C00000"/>
        </w:rPr>
        <w:t>Ethnicity</w:t>
      </w:r>
    </w:p>
    <w:p w14:paraId="7D8BCD01" w14:textId="77777777" w:rsidR="00081339" w:rsidRDefault="00081339" w:rsidP="00081339">
      <w:pPr>
        <w:pStyle w:val="ListParagraph"/>
        <w:numPr>
          <w:ilvl w:val="0"/>
          <w:numId w:val="31"/>
        </w:numPr>
        <w:rPr>
          <w:color w:val="C00000"/>
        </w:rPr>
      </w:pPr>
      <w:r w:rsidRPr="00DA1617">
        <w:rPr>
          <w:color w:val="C00000"/>
        </w:rPr>
        <w:t xml:space="preserve">Medicare </w:t>
      </w:r>
      <w:r>
        <w:rPr>
          <w:color w:val="C00000"/>
        </w:rPr>
        <w:t>dual eligible</w:t>
      </w:r>
    </w:p>
    <w:p w14:paraId="774492C0" w14:textId="4CBD972C" w:rsidR="00081339" w:rsidRPr="00DD0847" w:rsidRDefault="00081339" w:rsidP="00081339">
      <w:pPr>
        <w:pStyle w:val="ListParagraph"/>
        <w:numPr>
          <w:ilvl w:val="0"/>
          <w:numId w:val="31"/>
        </w:numPr>
        <w:rPr>
          <w:rFonts w:cstheme="minorHAnsi"/>
          <w:color w:val="C00000"/>
        </w:rPr>
      </w:pPr>
      <w:r w:rsidRPr="00836CB5">
        <w:rPr>
          <w:color w:val="C00000"/>
        </w:rPr>
        <w:t>ZIP code level – Area Deprivation Index (ADI) from Census data (</w:t>
      </w:r>
      <w:r w:rsidR="00801F0F">
        <w:rPr>
          <w:color w:val="C00000"/>
        </w:rPr>
        <w:t>2009-2013</w:t>
      </w:r>
      <w:r w:rsidRPr="00836CB5">
        <w:rPr>
          <w:color w:val="C00000"/>
        </w:rPr>
        <w:t xml:space="preserve">). Based on patient zip-code. </w:t>
      </w:r>
    </w:p>
    <w:p w14:paraId="1CBED101" w14:textId="77777777" w:rsidR="00081339" w:rsidRPr="00DA1617" w:rsidRDefault="00081339" w:rsidP="00081339">
      <w:pPr>
        <w:rPr>
          <w:color w:val="C00000"/>
        </w:rPr>
      </w:pPr>
      <w:r w:rsidRPr="00DA1617">
        <w:rPr>
          <w:color w:val="C00000"/>
        </w:rPr>
        <w:t xml:space="preserve">Data on patient level SDS/SES factors obtained from Medicare claims and administrative data.  </w:t>
      </w:r>
    </w:p>
    <w:p w14:paraId="05DEF2A3" w14:textId="77777777" w:rsidR="005865FF" w:rsidRDefault="005865FF" w:rsidP="00E37E1B">
      <w:pPr>
        <w:autoSpaceDE w:val="0"/>
        <w:autoSpaceDN w:val="0"/>
        <w:adjustRightInd w:val="0"/>
        <w:spacing w:after="0" w:line="240" w:lineRule="auto"/>
        <w:rPr>
          <w:rFonts w:cstheme="minorHAnsi"/>
          <w:bCs/>
        </w:rPr>
      </w:pPr>
    </w:p>
    <w:p w14:paraId="35235D2D" w14:textId="77777777" w:rsidR="005865FF" w:rsidRDefault="005865FF"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AE76B20"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5865FF">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21E2FD4" w14:textId="77777777" w:rsidR="005865FF" w:rsidRPr="004C5689" w:rsidRDefault="005865FF" w:rsidP="005865FF">
      <w:pPr>
        <w:rPr>
          <w:rFonts w:ascii="Calibri" w:eastAsia="Arial Unicode MS" w:hAnsi="Calibri" w:cs="Arial Unicode MS"/>
          <w:shd w:val="clear" w:color="auto" w:fill="FFFFFF"/>
        </w:rPr>
      </w:pPr>
      <w:r w:rsidRPr="004C5689">
        <w:rPr>
          <w:rFonts w:ascii="Calibri" w:eastAsia="Arial Unicode MS" w:hAnsi="Calibri" w:cs="Arial Unicode MS"/>
        </w:rPr>
        <w:t>We used January 2014 – December 2014 CROWNWeb data to calculate facility-level annual performance scores. The NQF-recommended approach for determining measure reliability is a one-way analysis of variance (ANOVA), in which the between-facility variation (</w:t>
      </w:r>
      <m:oMath>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b</m:t>
            </m:r>
          </m:sub>
          <m:sup>
            <m:r>
              <w:rPr>
                <w:rFonts w:ascii="Cambria Math" w:eastAsia="Calibri" w:hAnsi="Cambria Math" w:cs="Cambria Math"/>
              </w:rPr>
              <m:t>2</m:t>
            </m:r>
          </m:sup>
        </m:sSubSup>
        <m:r>
          <w:rPr>
            <w:rFonts w:ascii="Cambria Math" w:eastAsia="Calibri" w:hAnsi="Cambria Math" w:cs="Cambria Math"/>
          </w:rPr>
          <m:t xml:space="preserve">) </m:t>
        </m:r>
      </m:oMath>
      <w:r w:rsidRPr="004C5689">
        <w:rPr>
          <w:rFonts w:ascii="Calibri" w:eastAsia="Arial Unicode MS" w:hAnsi="Calibri" w:cs="Arial Unicode MS"/>
        </w:rPr>
        <w:t>and the within-facility variation (</w:t>
      </w:r>
      <m:oMath>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t, w</m:t>
            </m:r>
          </m:sub>
          <m:sup>
            <m:r>
              <w:rPr>
                <w:rFonts w:ascii="Cambria Math" w:eastAsia="Calibri" w:hAnsi="Cambria Math" w:cs="Cambria Math"/>
              </w:rPr>
              <m:t>2</m:t>
            </m:r>
          </m:sup>
        </m:sSubSup>
        <m:r>
          <w:rPr>
            <w:rFonts w:ascii="Cambria Math" w:eastAsia="Calibri" w:hAnsi="Cambria Math" w:cs="Cambria Math"/>
          </w:rPr>
          <m:t xml:space="preserve">) </m:t>
        </m:r>
      </m:oMath>
      <w:r w:rsidRPr="004C5689">
        <w:rPr>
          <w:rFonts w:ascii="Calibri" w:eastAsia="Arial Unicode MS" w:hAnsi="Calibri" w:cs="Arial Unicode MS"/>
        </w:rPr>
        <w:t xml:space="preserve">in the measure is determined. The inter-unit reliability (IUR) measures the proportion of the total variation of a measure (i.e., </w:t>
      </w:r>
      <m:oMath>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b</m:t>
            </m:r>
          </m:sub>
          <m:sup>
            <m:r>
              <w:rPr>
                <w:rFonts w:ascii="Cambria Math" w:eastAsia="Calibri" w:hAnsi="Cambria Math" w:cs="Cambria Math"/>
              </w:rPr>
              <m:t>2</m:t>
            </m:r>
          </m:sup>
        </m:sSubSup>
        <m:r>
          <w:rPr>
            <w:rFonts w:ascii="Cambria Math" w:eastAsia="Calibri" w:hAnsi="Cambria Math" w:cs="Cambria Math"/>
          </w:rPr>
          <m:t>+</m:t>
        </m:r>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t, w</m:t>
            </m:r>
          </m:sub>
          <m:sup>
            <m:r>
              <w:rPr>
                <w:rFonts w:ascii="Cambria Math" w:eastAsia="Calibri" w:hAnsi="Cambria Math" w:cs="Cambria Math"/>
              </w:rPr>
              <m:t>2</m:t>
            </m:r>
          </m:sup>
        </m:sSubSup>
      </m:oMath>
      <w:r w:rsidRPr="004C5689">
        <w:rPr>
          <w:rFonts w:ascii="Calibri" w:eastAsia="Arial Unicode MS" w:hAnsi="Calibri" w:cs="Arial Unicode MS"/>
        </w:rPr>
        <w:t xml:space="preserve">) that is attributable to the between-facility variation, </w:t>
      </w:r>
      <w:r w:rsidRPr="004C5689">
        <w:rPr>
          <w:rFonts w:ascii="Calibri" w:eastAsia="Calibri" w:hAnsi="Calibri" w:cs="Calibri"/>
          <w:bCs/>
        </w:rPr>
        <w:t>the true signal reflecting the differences across facilities</w:t>
      </w:r>
      <w:r w:rsidRPr="004C5689">
        <w:rPr>
          <w:rFonts w:ascii="Calibri" w:eastAsia="Arial Unicode MS" w:hAnsi="Calibri" w:cs="Arial Unicode MS"/>
        </w:rPr>
        <w:t xml:space="preserve">. We assessed reliability by calculating inter-unit reliability (IUR) for the annual performance scores. </w:t>
      </w:r>
      <w:r w:rsidRPr="004C5689">
        <w:rPr>
          <w:rFonts w:ascii="Calibri" w:eastAsia="Arial Unicode MS" w:hAnsi="Calibri" w:cs="Arial Unicode MS"/>
          <w:shd w:val="clear" w:color="auto" w:fill="FFFFFF"/>
        </w:rPr>
        <w:t xml:space="preserve">A small IUR (near 0) reveals that most of the variation of the measure between facilities is driven by random noise, indicating the measure would not be a good characterization of the differences among facilities, whereas a large IUR (near 1) indicates that most of the variation between facilities is due to the real difference between facilities. </w:t>
      </w:r>
    </w:p>
    <w:p w14:paraId="3B1DB168" w14:textId="77777777" w:rsidR="005865FF" w:rsidRPr="004C5689" w:rsidRDefault="005865FF" w:rsidP="005865FF">
      <w:pPr>
        <w:tabs>
          <w:tab w:val="left" w:pos="360"/>
        </w:tabs>
        <w:rPr>
          <w:rFonts w:ascii="Calibri" w:eastAsia="Calibri" w:hAnsi="Calibri" w:cs="Calibri"/>
          <w:bCs/>
        </w:rPr>
      </w:pPr>
      <w:r w:rsidRPr="004C5689">
        <w:rPr>
          <w:rFonts w:ascii="Calibri" w:eastAsia="Arial Unicode MS" w:hAnsi="Calibri" w:cs="Arial Unicode MS"/>
          <w:bCs/>
        </w:rPr>
        <w:t xml:space="preserve">Here we describe our approach to calculating IUR. Let </w:t>
      </w:r>
      <w:r w:rsidRPr="004C5689">
        <w:rPr>
          <w:rFonts w:ascii="Calibri" w:eastAsia="Arial Unicode MS" w:hAnsi="Calibri" w:cs="Arial Unicode MS"/>
          <w:bCs/>
          <w:i/>
        </w:rPr>
        <w:t>T</w:t>
      </w:r>
      <w:r w:rsidRPr="004C5689">
        <w:rPr>
          <w:rFonts w:ascii="Calibri" w:eastAsia="Arial Unicode MS" w:hAnsi="Calibri" w:cs="Arial Unicode MS"/>
          <w:bCs/>
          <w:vertAlign w:val="subscript"/>
        </w:rPr>
        <w:t>1</w:t>
      </w:r>
      <w:r w:rsidRPr="004C5689">
        <w:rPr>
          <w:rFonts w:ascii="Calibri" w:eastAsia="Arial Unicode MS" w:hAnsi="Calibri" w:cs="Arial Unicode MS"/>
          <w:bCs/>
        </w:rPr>
        <w:t>,…,</w:t>
      </w:r>
      <w:r w:rsidRPr="004C5689">
        <w:rPr>
          <w:rFonts w:ascii="Calibri" w:eastAsia="Arial Unicode MS" w:hAnsi="Calibri" w:cs="Arial Unicode MS"/>
          <w:bCs/>
          <w:i/>
        </w:rPr>
        <w:t>T</w:t>
      </w:r>
      <w:r w:rsidRPr="004C5689">
        <w:rPr>
          <w:rFonts w:ascii="Calibri" w:eastAsia="Arial Unicode MS" w:hAnsi="Calibri" w:cs="Arial Unicode MS"/>
          <w:bCs/>
          <w:i/>
          <w:vertAlign w:val="subscript"/>
        </w:rPr>
        <w:t>N</w:t>
      </w:r>
      <w:r w:rsidRPr="004C5689">
        <w:rPr>
          <w:rFonts w:ascii="Calibri" w:eastAsia="Arial Unicode MS" w:hAnsi="Calibri" w:cs="Arial Unicode MS"/>
          <w:bCs/>
        </w:rPr>
        <w:t xml:space="preserve">  be the Standardized Fistula Rate (SFR) for </w:t>
      </w:r>
      <w:r w:rsidRPr="004C5689">
        <w:rPr>
          <w:rFonts w:ascii="Calibri" w:eastAsia="Arial Unicode MS" w:hAnsi="Calibri" w:cs="Arial Unicode MS"/>
          <w:bCs/>
          <w:i/>
        </w:rPr>
        <w:t>N</w:t>
      </w:r>
      <w:r w:rsidRPr="004C5689">
        <w:rPr>
          <w:rFonts w:ascii="Calibri" w:eastAsia="Arial Unicode MS" w:hAnsi="Calibri" w:cs="Arial Unicode MS"/>
          <w:bCs/>
        </w:rPr>
        <w:t xml:space="preserve"> facilities. Since the variation in </w:t>
      </w:r>
      <w:r w:rsidRPr="004C5689">
        <w:rPr>
          <w:rFonts w:ascii="Calibri" w:eastAsia="Arial Unicode MS" w:hAnsi="Calibri" w:cs="Arial Unicode MS"/>
          <w:bCs/>
          <w:i/>
        </w:rPr>
        <w:t>T</w:t>
      </w:r>
      <w:r w:rsidRPr="004C5689">
        <w:rPr>
          <w:rFonts w:ascii="Calibri" w:eastAsia="Arial Unicode MS" w:hAnsi="Calibri" w:cs="Arial Unicode MS"/>
          <w:bCs/>
          <w:vertAlign w:val="subscript"/>
        </w:rPr>
        <w:t>1</w:t>
      </w:r>
      <w:r w:rsidRPr="004C5689">
        <w:rPr>
          <w:rFonts w:ascii="Calibri" w:eastAsia="Arial Unicode MS" w:hAnsi="Calibri" w:cs="Arial Unicode MS"/>
          <w:bCs/>
        </w:rPr>
        <w:t>,…,</w:t>
      </w:r>
      <w:r w:rsidRPr="004C5689">
        <w:rPr>
          <w:rFonts w:ascii="Calibri" w:eastAsia="Arial Unicode MS" w:hAnsi="Calibri" w:cs="Arial Unicode MS"/>
          <w:bCs/>
          <w:i/>
        </w:rPr>
        <w:t>T</w:t>
      </w:r>
      <w:r w:rsidRPr="004C5689">
        <w:rPr>
          <w:rFonts w:ascii="Calibri" w:eastAsia="Arial Unicode MS" w:hAnsi="Calibri" w:cs="Arial Unicode MS"/>
          <w:bCs/>
          <w:i/>
          <w:vertAlign w:val="subscript"/>
        </w:rPr>
        <w:t xml:space="preserve">N </w:t>
      </w:r>
      <w:r w:rsidRPr="004C5689">
        <w:rPr>
          <w:rFonts w:ascii="Calibri" w:eastAsia="Arial Unicode MS" w:hAnsi="Calibri" w:cs="Arial Unicode MS"/>
          <w:bCs/>
        </w:rPr>
        <w:t xml:space="preserve"> is mainly driven by the estimates of facility-specific intercepts (α</w:t>
      </w:r>
      <w:r w:rsidRPr="004C5689">
        <w:rPr>
          <w:rFonts w:ascii="Calibri" w:eastAsia="Arial Unicode MS" w:hAnsi="Calibri" w:cs="Arial Unicode MS"/>
          <w:bCs/>
          <w:vertAlign w:val="subscript"/>
        </w:rPr>
        <w:t>1</w:t>
      </w:r>
      <w:r w:rsidRPr="004C5689">
        <w:rPr>
          <w:rFonts w:ascii="Calibri" w:eastAsia="Arial Unicode MS" w:hAnsi="Calibri" w:cs="Arial Unicode MS"/>
          <w:bCs/>
        </w:rPr>
        <w:t>,…, α</w:t>
      </w:r>
      <w:r w:rsidRPr="004C5689">
        <w:rPr>
          <w:rFonts w:ascii="Calibri" w:eastAsia="Arial Unicode MS" w:hAnsi="Calibri" w:cs="Arial Unicode MS"/>
          <w:bCs/>
          <w:i/>
          <w:vertAlign w:val="subscript"/>
        </w:rPr>
        <w:t xml:space="preserve"> N</w:t>
      </w:r>
      <w:r w:rsidRPr="004C5689">
        <w:rPr>
          <w:rFonts w:ascii="Calibri" w:eastAsia="Arial Unicode MS" w:hAnsi="Calibri" w:cs="Arial Unicode MS"/>
          <w:bCs/>
        </w:rPr>
        <w:t xml:space="preserve">), we use their asymptotic distributions to estimate </w:t>
      </w:r>
      <w:r w:rsidRPr="004C5689">
        <w:rPr>
          <w:rFonts w:ascii="Calibri" w:eastAsia="Arial Unicode MS" w:hAnsi="Calibri" w:cs="Arial Unicode MS"/>
        </w:rPr>
        <w:t>the within-facility variation in</w:t>
      </w:r>
      <w:r w:rsidRPr="004C5689">
        <w:rPr>
          <w:rFonts w:ascii="Calibri" w:eastAsia="Arial Unicode MS" w:hAnsi="Calibri" w:cs="Arial Unicode MS"/>
          <w:bCs/>
        </w:rPr>
        <w:t xml:space="preserve"> SFR. Applying the delta method, we estimate the variance of </w:t>
      </w:r>
      <w:r w:rsidRPr="004C5689">
        <w:rPr>
          <w:rFonts w:ascii="Calibri" w:eastAsia="Arial Unicode MS" w:hAnsi="Calibri" w:cs="Arial Unicode MS"/>
          <w:bCs/>
          <w:i/>
        </w:rPr>
        <w:t>T</w:t>
      </w:r>
      <w:r w:rsidRPr="004C5689">
        <w:rPr>
          <w:rFonts w:ascii="Calibri" w:eastAsia="Arial Unicode MS" w:hAnsi="Calibri" w:cs="Arial Unicode MS"/>
          <w:bCs/>
          <w:vertAlign w:val="subscript"/>
        </w:rPr>
        <w:t xml:space="preserve">i </w:t>
      </w:r>
      <w:r w:rsidRPr="004C5689">
        <w:rPr>
          <w:rFonts w:ascii="Calibri" w:eastAsia="Arial Unicode MS" w:hAnsi="Calibri" w:cs="Arial Unicode MS"/>
          <w:bCs/>
        </w:rPr>
        <w:t xml:space="preserve">and denote the estimate as </w:t>
      </w:r>
      <w:r w:rsidRPr="004C5689">
        <w:rPr>
          <w:rFonts w:ascii="Calibri" w:eastAsia="Arial Unicode MS" w:hAnsi="Calibri" w:cs="Arial Unicode MS"/>
          <w:bCs/>
          <w:i/>
        </w:rPr>
        <w:t>S</w:t>
      </w:r>
      <w:r w:rsidRPr="004C5689">
        <w:rPr>
          <w:rFonts w:ascii="Calibri" w:eastAsia="Arial Unicode MS" w:hAnsi="Calibri" w:cs="Arial Unicode MS"/>
          <w:bCs/>
          <w:vertAlign w:val="subscript"/>
        </w:rPr>
        <w:t>i</w:t>
      </w:r>
      <w:r w:rsidRPr="004C5689">
        <w:rPr>
          <w:rFonts w:ascii="Calibri" w:eastAsia="Arial Unicode MS" w:hAnsi="Calibri" w:cs="Arial Unicode MS"/>
          <w:bCs/>
          <w:vertAlign w:val="superscript"/>
        </w:rPr>
        <w:t>2</w:t>
      </w:r>
      <w:r w:rsidRPr="004C5689">
        <w:rPr>
          <w:rFonts w:ascii="Calibri" w:eastAsia="Arial Unicode MS" w:hAnsi="Calibri" w:cs="Arial Unicode MS"/>
          <w:bCs/>
        </w:rPr>
        <w:t xml:space="preserve">. </w:t>
      </w:r>
      <w:r w:rsidRPr="004C5689">
        <w:rPr>
          <w:rFonts w:ascii="Calibri" w:eastAsia="Calibri" w:hAnsi="Calibri" w:cs="Calibri"/>
          <w:bCs/>
        </w:rPr>
        <w:t xml:space="preserve">Calling on formulas from the one-way ANOVA, the within-facility variance in SFR can be estimated by </w:t>
      </w:r>
    </w:p>
    <w:p w14:paraId="7D2BB101" w14:textId="77777777" w:rsidR="005865FF" w:rsidRPr="004C5689" w:rsidRDefault="00081161" w:rsidP="005865FF">
      <w:pPr>
        <w:rPr>
          <w:rFonts w:ascii="Calibri" w:eastAsia="Calibri" w:hAnsi="Calibri" w:cs="Calibri"/>
          <w:bCs/>
        </w:rPr>
      </w:pPr>
      <m:oMathPara>
        <m:oMath>
          <m:sSubSup>
            <m:sSubSupPr>
              <m:ctrlPr>
                <w:rPr>
                  <w:rFonts w:ascii="Cambria Math" w:eastAsia="Calibri" w:hAnsi="Cambria Math" w:cs="Cambria Math"/>
                  <w:bCs/>
                  <w:i/>
                </w:rPr>
              </m:ctrlPr>
            </m:sSubSupPr>
            <m:e>
              <m:r>
                <w:rPr>
                  <w:rFonts w:ascii="Cambria Math" w:eastAsia="Calibri" w:hAnsi="Cambria Math" w:cs="Cambria Math"/>
                </w:rPr>
                <m:t>s</m:t>
              </m:r>
            </m:e>
            <m:sub>
              <m:r>
                <w:rPr>
                  <w:rFonts w:ascii="Cambria Math" w:eastAsia="Calibri" w:hAnsi="Cambria Math" w:cs="Cambria Math"/>
                </w:rPr>
                <m:t>t, w</m:t>
              </m:r>
            </m:sub>
            <m:sup>
              <m:r>
                <w:rPr>
                  <w:rFonts w:ascii="Cambria Math" w:eastAsia="Calibri" w:hAnsi="Cambria Math" w:cs="Cambria Math"/>
                </w:rPr>
                <m:t>2</m:t>
              </m:r>
            </m:sup>
          </m:sSubSup>
          <m:r>
            <m:rPr>
              <m:sty m:val="p"/>
            </m:rPr>
            <w:rPr>
              <w:rFonts w:ascii="Cambria Math" w:eastAsia="Calibri" w:hAnsi="Cambria Math" w:cs="Cambria Math"/>
            </w:rPr>
            <m:t>=</m:t>
          </m:r>
          <m:f>
            <m:fPr>
              <m:ctrlPr>
                <w:rPr>
                  <w:rFonts w:ascii="Cambria Math" w:eastAsia="Calibri" w:hAnsi="Cambria Math" w:cs="Calibri"/>
                  <w:bCs/>
                </w:rPr>
              </m:ctrlPr>
            </m:fPr>
            <m:num>
              <m:nary>
                <m:naryPr>
                  <m:chr m:val="∑"/>
                  <m:limLoc m:val="subSup"/>
                  <m:ctrlPr>
                    <w:rPr>
                      <w:rFonts w:ascii="Cambria Math" w:eastAsia="Calibri" w:hAnsi="Cambria Math" w:cs="Calibri"/>
                      <w:bCs/>
                      <w:i/>
                    </w:rPr>
                  </m:ctrlPr>
                </m:naryPr>
                <m:sub>
                  <m:r>
                    <w:rPr>
                      <w:rFonts w:ascii="Cambria Math" w:eastAsia="Calibri" w:hAnsi="Cambria Math" w:cs="Calibri"/>
                    </w:rPr>
                    <m:t>i</m:t>
                  </m:r>
                  <m:r>
                    <m:rPr>
                      <m:sty m:val="p"/>
                    </m:rPr>
                    <w:rPr>
                      <w:rFonts w:ascii="Cambria Math" w:eastAsia="Calibri" w:hAnsi="Cambria Math" w:cs="Calibri"/>
                    </w:rPr>
                    <m:t>=1</m:t>
                  </m:r>
                </m:sub>
                <m:sup>
                  <m:r>
                    <w:rPr>
                      <w:rFonts w:ascii="Cambria Math" w:eastAsia="Calibri" w:hAnsi="Cambria Math" w:cs="Calibri"/>
                    </w:rPr>
                    <m:t>N</m:t>
                  </m:r>
                </m:sup>
                <m:e>
                  <m:d>
                    <m:dPr>
                      <m:begChr m:val="["/>
                      <m:endChr m:val="]"/>
                      <m:ctrlPr>
                        <w:rPr>
                          <w:rFonts w:ascii="Cambria Math" w:eastAsia="Calibri" w:hAnsi="Cambria Math" w:cs="Calibri"/>
                          <w:i/>
                        </w:rPr>
                      </m:ctrlPr>
                    </m:dPr>
                    <m:e>
                      <m:d>
                        <m:dPr>
                          <m:ctrlPr>
                            <w:rPr>
                              <w:rFonts w:ascii="Cambria Math" w:eastAsia="Calibri" w:hAnsi="Cambria Math" w:cs="Calibri"/>
                              <w:bCs/>
                              <w:i/>
                            </w:rPr>
                          </m:ctrlPr>
                        </m:dPr>
                        <m:e>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i</m:t>
                              </m:r>
                            </m:sub>
                          </m:sSub>
                          <m:r>
                            <w:rPr>
                              <w:rFonts w:ascii="Cambria Math" w:eastAsia="Calibri" w:hAnsi="Cambria Math" w:cs="Calibri"/>
                            </w:rPr>
                            <m:t>-1</m:t>
                          </m:r>
                        </m:e>
                      </m:d>
                      <m:sSubSup>
                        <m:sSubSupPr>
                          <m:ctrlPr>
                            <w:rPr>
                              <w:rFonts w:ascii="Cambria Math" w:eastAsia="Calibri" w:hAnsi="Cambria Math" w:cs="Calibri"/>
                              <w:bCs/>
                              <w:i/>
                            </w:rPr>
                          </m:ctrlPr>
                        </m:sSubSupPr>
                        <m:e>
                          <m:r>
                            <w:rPr>
                              <w:rFonts w:ascii="Cambria Math" w:eastAsia="Calibri" w:hAnsi="Cambria Math" w:cs="Calibri"/>
                            </w:rPr>
                            <m:t>S</m:t>
                          </m:r>
                        </m:e>
                        <m:sub>
                          <m:r>
                            <w:rPr>
                              <w:rFonts w:ascii="Cambria Math" w:eastAsia="Calibri" w:hAnsi="Cambria Math" w:cs="Calibri"/>
                            </w:rPr>
                            <m:t>i</m:t>
                          </m:r>
                        </m:sub>
                        <m:sup>
                          <m:r>
                            <w:rPr>
                              <w:rFonts w:ascii="Cambria Math" w:eastAsia="Calibri" w:hAnsi="Cambria Math" w:cs="Calibri"/>
                            </w:rPr>
                            <m:t>2</m:t>
                          </m:r>
                        </m:sup>
                      </m:sSubSup>
                    </m:e>
                  </m:d>
                </m:e>
              </m:nary>
            </m:num>
            <m:den>
              <m:nary>
                <m:naryPr>
                  <m:chr m:val="∑"/>
                  <m:limLoc m:val="subSup"/>
                  <m:ctrlPr>
                    <w:rPr>
                      <w:rFonts w:ascii="Cambria Math" w:eastAsia="Calibri" w:hAnsi="Cambria Math" w:cs="Calibri"/>
                      <w:bCs/>
                      <w:i/>
                    </w:rPr>
                  </m:ctrlPr>
                </m:naryPr>
                <m:sub>
                  <m:r>
                    <w:rPr>
                      <w:rFonts w:ascii="Cambria Math" w:eastAsia="Calibri" w:hAnsi="Cambria Math" w:cs="Calibri"/>
                    </w:rPr>
                    <m:t>i</m:t>
                  </m:r>
                  <m:r>
                    <m:rPr>
                      <m:sty m:val="p"/>
                    </m:rPr>
                    <w:rPr>
                      <w:rFonts w:ascii="Cambria Math" w:eastAsia="Calibri" w:hAnsi="Cambria Math" w:cs="Calibri"/>
                    </w:rPr>
                    <m:t>=1</m:t>
                  </m:r>
                </m:sub>
                <m:sup>
                  <m:r>
                    <w:rPr>
                      <w:rFonts w:ascii="Cambria Math" w:eastAsia="Calibri" w:hAnsi="Cambria Math" w:cs="Calibri"/>
                    </w:rPr>
                    <m:t>N</m:t>
                  </m:r>
                </m:sup>
                <m:e>
                  <m:d>
                    <m:dPr>
                      <m:ctrlPr>
                        <w:rPr>
                          <w:rFonts w:ascii="Cambria Math" w:eastAsia="Calibri" w:hAnsi="Cambria Math" w:cs="Calibri"/>
                          <w:i/>
                        </w:rPr>
                      </m:ctrlPr>
                    </m:dPr>
                    <m:e>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i</m:t>
                          </m:r>
                        </m:sub>
                      </m:sSub>
                      <m:r>
                        <w:rPr>
                          <w:rFonts w:ascii="Cambria Math" w:eastAsia="Calibri" w:hAnsi="Cambria Math" w:cs="Calibri"/>
                        </w:rPr>
                        <m:t>-1</m:t>
                      </m:r>
                    </m:e>
                  </m:d>
                </m:e>
              </m:nary>
            </m:den>
          </m:f>
          <m:r>
            <w:rPr>
              <w:rFonts w:ascii="Cambria Math" w:eastAsia="Calibri" w:hAnsi="Cambria Math" w:cs="Calibri"/>
            </w:rPr>
            <m:t>,</m:t>
          </m:r>
        </m:oMath>
      </m:oMathPara>
    </w:p>
    <w:p w14:paraId="1032657B" w14:textId="77777777" w:rsidR="005865FF" w:rsidRPr="004C5689" w:rsidRDefault="005865FF" w:rsidP="005865FF">
      <w:pPr>
        <w:rPr>
          <w:rFonts w:ascii="Calibri" w:eastAsia="Calibri" w:hAnsi="Calibri" w:cs="Calibri"/>
          <w:bCs/>
        </w:rPr>
      </w:pPr>
      <w:r w:rsidRPr="004C5689">
        <w:rPr>
          <w:rFonts w:ascii="Calibri" w:eastAsia="Calibri" w:hAnsi="Calibri" w:cs="Calibri"/>
          <w:bCs/>
        </w:rPr>
        <w:lastRenderedPageBreak/>
        <w:t>and the total variation in SFR can be estimated by</w:t>
      </w:r>
    </w:p>
    <w:p w14:paraId="786BEBBC" w14:textId="77777777" w:rsidR="005865FF" w:rsidRPr="004C5689" w:rsidRDefault="00081161" w:rsidP="005865FF">
      <w:pPr>
        <w:rPr>
          <w:rFonts w:ascii="Calibri" w:eastAsia="Calibri" w:hAnsi="Calibri" w:cs="Calibri"/>
          <w:bCs/>
        </w:rPr>
      </w:pPr>
      <m:oMathPara>
        <m:oMath>
          <m:sSubSup>
            <m:sSubSupPr>
              <m:ctrlPr>
                <w:rPr>
                  <w:rFonts w:ascii="Cambria Math" w:eastAsia="Calibri" w:hAnsi="Cambria Math" w:cs="Cambria Math"/>
                  <w:bCs/>
                  <w:i/>
                </w:rPr>
              </m:ctrlPr>
            </m:sSubSupPr>
            <m:e>
              <m:r>
                <w:rPr>
                  <w:rFonts w:ascii="Cambria Math" w:eastAsia="Calibri" w:hAnsi="Cambria Math" w:cs="Cambria Math"/>
                </w:rPr>
                <m:t>s</m:t>
              </m:r>
            </m:e>
            <m:sub>
              <m:r>
                <w:rPr>
                  <w:rFonts w:ascii="Cambria Math" w:eastAsia="Calibri" w:hAnsi="Cambria Math" w:cs="Cambria Math"/>
                </w:rPr>
                <m:t>t</m:t>
              </m:r>
            </m:sub>
            <m:sup>
              <m:r>
                <w:rPr>
                  <w:rFonts w:ascii="Cambria Math" w:eastAsia="Calibri" w:hAnsi="Cambria Math" w:cs="Cambria Math"/>
                </w:rPr>
                <m:t>2</m:t>
              </m:r>
            </m:sup>
          </m:sSubSup>
          <m:r>
            <m:rPr>
              <m:sty m:val="p"/>
            </m:rPr>
            <w:rPr>
              <w:rFonts w:ascii="Cambria Math" w:eastAsia="Calibri" w:hAnsi="Cambria Math" w:cs="Cambria Math"/>
            </w:rPr>
            <m:t>=</m:t>
          </m:r>
          <m:f>
            <m:fPr>
              <m:ctrlPr>
                <w:rPr>
                  <w:rFonts w:ascii="Cambria Math" w:eastAsia="Calibri" w:hAnsi="Cambria Math" w:cs="Cambria Math"/>
                  <w:bCs/>
                </w:rPr>
              </m:ctrlPr>
            </m:fPr>
            <m:num>
              <m:r>
                <w:rPr>
                  <w:rFonts w:ascii="Cambria Math" w:eastAsia="Calibri" w:hAnsi="Cambria Math" w:cs="Cambria Math"/>
                </w:rPr>
                <m:t>1</m:t>
              </m:r>
            </m:num>
            <m:den>
              <m:r>
                <w:rPr>
                  <w:rFonts w:ascii="Cambria Math" w:eastAsia="Calibri" w:hAnsi="Cambria Math" w:cs="Times New Roman"/>
                </w:rPr>
                <m:t>n'(N-1)</m:t>
              </m:r>
            </m:den>
          </m:f>
          <m:r>
            <w:rPr>
              <w:rFonts w:ascii="Cambria Math" w:eastAsia="Calibri" w:hAnsi="Cambria Math" w:cs="Cambria Math"/>
            </w:rPr>
            <m:t xml:space="preserve"> </m:t>
          </m:r>
          <m:nary>
            <m:naryPr>
              <m:chr m:val="∑"/>
              <m:limLoc m:val="undOvr"/>
              <m:ctrlPr>
                <w:rPr>
                  <w:rFonts w:ascii="Cambria Math" w:eastAsia="Calibri" w:hAnsi="Cambria Math" w:cs="Cambria Math"/>
                  <w:bCs/>
                  <w:i/>
                </w:rPr>
              </m:ctrlPr>
            </m:naryPr>
            <m:sub>
              <m:r>
                <w:rPr>
                  <w:rFonts w:ascii="Cambria Math" w:eastAsia="Calibri" w:hAnsi="Cambria Math" w:cs="Cambria Math"/>
                </w:rPr>
                <m:t>i</m:t>
              </m:r>
              <m:r>
                <m:rPr>
                  <m:sty m:val="p"/>
                </m:rPr>
                <w:rPr>
                  <w:rFonts w:ascii="Cambria Math" w:eastAsia="Calibri" w:hAnsi="Cambria Math" w:cs="Cambria Math"/>
                </w:rPr>
                <m:t>=1</m:t>
              </m:r>
            </m:sub>
            <m:sup>
              <m:r>
                <w:rPr>
                  <w:rFonts w:ascii="Cambria Math" w:eastAsia="Calibri" w:hAnsi="Cambria Math" w:cs="Cambria Math"/>
                </w:rPr>
                <m:t>N</m:t>
              </m:r>
            </m:sup>
            <m:e>
              <m:sSup>
                <m:sSupPr>
                  <m:ctrlPr>
                    <w:rPr>
                      <w:rFonts w:ascii="Cambria Math" w:eastAsia="Calibri" w:hAnsi="Cambria Math" w:cs="Cambria Math"/>
                      <w:bCs/>
                      <w:i/>
                    </w:rPr>
                  </m:ctrlPr>
                </m:sSupPr>
                <m:e>
                  <m:sSub>
                    <m:sSubPr>
                      <m:ctrlPr>
                        <w:rPr>
                          <w:rFonts w:ascii="Cambria Math" w:eastAsia="Calibri" w:hAnsi="Cambria Math" w:cs="Cambria Math"/>
                          <w:bCs/>
                          <w:i/>
                        </w:rPr>
                      </m:ctrlPr>
                    </m:sSubPr>
                    <m:e>
                      <m:r>
                        <w:rPr>
                          <w:rFonts w:ascii="Cambria Math" w:eastAsia="Calibri" w:hAnsi="Cambria Math" w:cs="Cambria Math"/>
                        </w:rPr>
                        <m:t>n</m:t>
                      </m:r>
                    </m:e>
                    <m:sub>
                      <m:r>
                        <w:rPr>
                          <w:rFonts w:ascii="Cambria Math" w:eastAsia="Calibri" w:hAnsi="Cambria Math" w:cs="Cambria Math"/>
                        </w:rPr>
                        <m:t>i</m:t>
                      </m:r>
                    </m:sub>
                  </m:sSub>
                  <m:r>
                    <w:rPr>
                      <w:rFonts w:ascii="Cambria Math" w:eastAsia="Calibri" w:hAnsi="Cambria Math" w:cs="Cambria Math"/>
                    </w:rPr>
                    <m:t>(</m:t>
                  </m:r>
                  <m:sSub>
                    <m:sSubPr>
                      <m:ctrlPr>
                        <w:rPr>
                          <w:rFonts w:ascii="Cambria Math" w:eastAsia="Calibri" w:hAnsi="Cambria Math" w:cs="Cambria Math"/>
                          <w:bCs/>
                          <w:i/>
                        </w:rPr>
                      </m:ctrlPr>
                    </m:sSubPr>
                    <m:e>
                      <m:r>
                        <w:rPr>
                          <w:rFonts w:ascii="Cambria Math" w:eastAsia="Calibri" w:hAnsi="Cambria Math" w:cs="Cambria Math"/>
                        </w:rPr>
                        <m:t>T</m:t>
                      </m:r>
                    </m:e>
                    <m:sub>
                      <m:r>
                        <w:rPr>
                          <w:rFonts w:ascii="Cambria Math" w:eastAsia="Calibri" w:hAnsi="Cambria Math" w:cs="Cambria Math"/>
                        </w:rPr>
                        <m:t>i</m:t>
                      </m:r>
                    </m:sub>
                  </m:sSub>
                  <m:r>
                    <w:rPr>
                      <w:rFonts w:ascii="Cambria Math" w:eastAsia="Calibri" w:hAnsi="Cambria Math" w:cs="Cambria Math"/>
                    </w:rPr>
                    <m:t>-</m:t>
                  </m:r>
                  <m:acc>
                    <m:accPr>
                      <m:chr m:val="̅"/>
                      <m:ctrlPr>
                        <w:rPr>
                          <w:rFonts w:ascii="Cambria Math" w:eastAsia="Calibri" w:hAnsi="Cambria Math" w:cs="Cambria Math"/>
                          <w:bCs/>
                          <w:i/>
                        </w:rPr>
                      </m:ctrlPr>
                    </m:accPr>
                    <m:e>
                      <m:r>
                        <w:rPr>
                          <w:rFonts w:ascii="Cambria Math" w:eastAsia="Calibri" w:hAnsi="Cambria Math" w:cs="Cambria Math"/>
                        </w:rPr>
                        <m:t>T</m:t>
                      </m:r>
                    </m:e>
                  </m:acc>
                  <m:r>
                    <w:rPr>
                      <w:rFonts w:ascii="Cambria Math" w:eastAsia="Calibri" w:hAnsi="Cambria Math" w:cs="Cambria Math"/>
                    </w:rPr>
                    <m:t>)</m:t>
                  </m:r>
                </m:e>
                <m:sup>
                  <m:r>
                    <w:rPr>
                      <w:rFonts w:ascii="Cambria Math" w:eastAsia="Calibri" w:hAnsi="Cambria Math" w:cs="Cambria Math"/>
                    </w:rPr>
                    <m:t>2</m:t>
                  </m:r>
                </m:sup>
              </m:sSup>
            </m:e>
          </m:nary>
          <m:r>
            <w:rPr>
              <w:rFonts w:ascii="Cambria Math" w:eastAsia="Calibri" w:hAnsi="Cambria Math" w:cs="Cambria Math"/>
            </w:rPr>
            <m:t>,</m:t>
          </m:r>
        </m:oMath>
      </m:oMathPara>
    </w:p>
    <w:p w14:paraId="5F3F7325" w14:textId="77777777" w:rsidR="005865FF" w:rsidRPr="004C5689" w:rsidRDefault="005865FF" w:rsidP="005865FF">
      <w:pPr>
        <w:rPr>
          <w:rFonts w:ascii="Calibri" w:eastAsia="Calibri" w:hAnsi="Calibri" w:cs="Calibri"/>
          <w:bCs/>
        </w:rPr>
      </w:pPr>
      <w:r w:rsidRPr="004C5689">
        <w:rPr>
          <w:rFonts w:ascii="Calibri" w:eastAsia="Calibri" w:hAnsi="Calibri" w:cs="Calibri"/>
          <w:bCs/>
        </w:rPr>
        <w:t xml:space="preserve">where </w:t>
      </w:r>
      <w:r w:rsidRPr="004C5689">
        <w:rPr>
          <w:rFonts w:ascii="Calibri" w:eastAsia="Calibri" w:hAnsi="Calibri" w:cs="Calibri"/>
          <w:bCs/>
          <w:i/>
        </w:rPr>
        <w:t>n</w:t>
      </w:r>
      <w:r w:rsidRPr="004C5689">
        <w:rPr>
          <w:rFonts w:ascii="Calibri" w:eastAsia="Calibri" w:hAnsi="Calibri" w:cs="Calibri"/>
          <w:bCs/>
          <w:vertAlign w:val="subscript"/>
        </w:rPr>
        <w:t>i</w:t>
      </w:r>
      <w:r w:rsidRPr="004C5689">
        <w:rPr>
          <w:rFonts w:ascii="Calibri" w:eastAsia="Calibri" w:hAnsi="Calibri" w:cs="Calibri"/>
          <w:bCs/>
        </w:rPr>
        <w:t xml:space="preserve"> is the number of subjects in the </w:t>
      </w:r>
      <w:r w:rsidRPr="004C5689">
        <w:rPr>
          <w:rFonts w:ascii="Calibri" w:eastAsia="Calibri" w:hAnsi="Calibri" w:cs="Calibri"/>
          <w:bCs/>
          <w:i/>
        </w:rPr>
        <w:t>i</w:t>
      </w:r>
      <w:r w:rsidRPr="004C5689">
        <w:rPr>
          <w:rFonts w:ascii="Calibri" w:eastAsia="Calibri" w:hAnsi="Calibri" w:cs="Calibri"/>
          <w:bCs/>
        </w:rPr>
        <w:t xml:space="preserve">th facility, </w:t>
      </w:r>
      <m:oMath>
        <m:acc>
          <m:accPr>
            <m:chr m:val="̅"/>
            <m:ctrlPr>
              <w:rPr>
                <w:rFonts w:ascii="Cambria Math" w:eastAsia="Calibri" w:hAnsi="Cambria Math" w:cs="Calibri"/>
                <w:bCs/>
                <w:i/>
              </w:rPr>
            </m:ctrlPr>
          </m:accPr>
          <m:e>
            <m:r>
              <w:rPr>
                <w:rFonts w:ascii="Cambria Math" w:eastAsia="Calibri" w:hAnsi="Cambria Math" w:cs="Calibri"/>
              </w:rPr>
              <m:t>T</m:t>
            </m:r>
          </m:e>
        </m:acc>
      </m:oMath>
      <w:r w:rsidRPr="004C5689">
        <w:rPr>
          <w:rFonts w:ascii="Calibri" w:eastAsia="MS Mincho" w:hAnsi="Calibri" w:cs="Calibri"/>
          <w:bCs/>
        </w:rPr>
        <w:t xml:space="preserve"> = </w:t>
      </w:r>
      <w:r w:rsidRPr="004C5689">
        <w:rPr>
          <w:rFonts w:ascii="Calibri" w:eastAsia="MS Mincho" w:hAnsi="Calibri" w:cs="Calibri"/>
          <w:bCs/>
        </w:rPr>
        <w:sym w:font="Symbol" w:char="F053"/>
      </w:r>
      <w:r w:rsidRPr="004C5689">
        <w:rPr>
          <w:rFonts w:ascii="Calibri" w:eastAsia="MS Mincho" w:hAnsi="Calibri" w:cs="Calibri"/>
          <w:bCs/>
        </w:rPr>
        <w:t xml:space="preserve"> </w:t>
      </w:r>
      <w:r w:rsidRPr="004C5689">
        <w:rPr>
          <w:rFonts w:ascii="Calibri" w:eastAsia="Calibri" w:hAnsi="Calibri" w:cs="Calibri"/>
          <w:bCs/>
          <w:i/>
        </w:rPr>
        <w:t>n</w:t>
      </w:r>
      <w:r w:rsidRPr="004C5689">
        <w:rPr>
          <w:rFonts w:ascii="Calibri" w:eastAsia="Calibri" w:hAnsi="Calibri" w:cs="Calibri"/>
          <w:bCs/>
          <w:vertAlign w:val="subscript"/>
        </w:rPr>
        <w:t xml:space="preserve">i </w:t>
      </w:r>
      <w:r w:rsidRPr="004C5689">
        <w:rPr>
          <w:rFonts w:ascii="Calibri" w:eastAsia="Arial Unicode MS" w:hAnsi="Calibri" w:cs="Arial Unicode MS"/>
          <w:bCs/>
          <w:i/>
        </w:rPr>
        <w:t>T</w:t>
      </w:r>
      <w:r w:rsidRPr="004C5689">
        <w:rPr>
          <w:rFonts w:ascii="Calibri" w:eastAsia="Arial Unicode MS" w:hAnsi="Calibri" w:cs="Arial Unicode MS"/>
          <w:bCs/>
          <w:vertAlign w:val="subscript"/>
        </w:rPr>
        <w:t xml:space="preserve">i / </w:t>
      </w:r>
      <w:r w:rsidRPr="004C5689">
        <w:rPr>
          <w:rFonts w:ascii="Calibri" w:eastAsia="MS Mincho" w:hAnsi="Calibri" w:cs="Calibri"/>
          <w:bCs/>
        </w:rPr>
        <w:sym w:font="Symbol" w:char="F053"/>
      </w:r>
      <w:r w:rsidRPr="004C5689">
        <w:rPr>
          <w:rFonts w:ascii="Calibri" w:eastAsia="MS Mincho" w:hAnsi="Calibri" w:cs="Calibri"/>
          <w:bCs/>
        </w:rPr>
        <w:t xml:space="preserve"> </w:t>
      </w:r>
      <w:r w:rsidRPr="004C5689">
        <w:rPr>
          <w:rFonts w:ascii="Calibri" w:eastAsia="Calibri" w:hAnsi="Calibri" w:cs="Calibri"/>
          <w:bCs/>
          <w:i/>
        </w:rPr>
        <w:t>n</w:t>
      </w:r>
      <w:r w:rsidRPr="004C5689">
        <w:rPr>
          <w:rFonts w:ascii="Calibri" w:eastAsia="Calibri" w:hAnsi="Calibri" w:cs="Calibri"/>
          <w:bCs/>
          <w:vertAlign w:val="subscript"/>
        </w:rPr>
        <w:t>i</w:t>
      </w:r>
      <w:r w:rsidRPr="004C5689">
        <w:rPr>
          <w:rFonts w:ascii="Calibri" w:eastAsia="Calibri" w:hAnsi="Calibri" w:cs="Calibri"/>
          <w:bCs/>
        </w:rPr>
        <w:t>,</w:t>
      </w:r>
      <w:r w:rsidRPr="004C5689">
        <w:rPr>
          <w:rFonts w:ascii="Calibri" w:eastAsia="Calibri" w:hAnsi="Calibri" w:cs="Calibri"/>
          <w:bCs/>
          <w:vertAlign w:val="subscript"/>
        </w:rPr>
        <w:t xml:space="preserve"> </w:t>
      </w:r>
      <w:r w:rsidRPr="004C5689">
        <w:rPr>
          <w:rFonts w:ascii="Calibri" w:eastAsia="Calibri" w:hAnsi="Calibri" w:cs="Calibri"/>
          <w:bCs/>
        </w:rPr>
        <w:t>and</w:t>
      </w:r>
    </w:p>
    <w:p w14:paraId="2031495B" w14:textId="77777777" w:rsidR="005865FF" w:rsidRPr="004C5689" w:rsidRDefault="005865FF" w:rsidP="005865FF">
      <w:pPr>
        <w:rPr>
          <w:rFonts w:ascii="Calibri" w:eastAsia="Calibri" w:hAnsi="Calibri" w:cs="Calibri"/>
          <w:bCs/>
        </w:rPr>
      </w:pPr>
      <m:oMathPara>
        <m:oMath>
          <m:r>
            <w:rPr>
              <w:rFonts w:ascii="Cambria Math" w:eastAsia="Calibri" w:hAnsi="Cambria Math" w:cs="Calibri"/>
            </w:rPr>
            <m:t>n'=</m:t>
          </m:r>
          <m:f>
            <m:fPr>
              <m:type m:val="lin"/>
              <m:ctrlPr>
                <w:rPr>
                  <w:rFonts w:ascii="Cambria Math" w:eastAsia="Calibri" w:hAnsi="Cambria Math" w:cs="Calibri"/>
                  <w:bCs/>
                  <w:i/>
                </w:rPr>
              </m:ctrlPr>
            </m:fPr>
            <m:num>
              <m:f>
                <m:fPr>
                  <m:ctrlPr>
                    <w:rPr>
                      <w:rFonts w:ascii="Cambria Math" w:eastAsia="Calibri" w:hAnsi="Cambria Math" w:cs="Cambria Math"/>
                      <w:bCs/>
                    </w:rPr>
                  </m:ctrlPr>
                </m:fPr>
                <m:num>
                  <m:r>
                    <w:rPr>
                      <w:rFonts w:ascii="Cambria Math" w:eastAsia="Calibri" w:hAnsi="Cambria Math" w:cs="Cambria Math"/>
                    </w:rPr>
                    <m:t>1</m:t>
                  </m:r>
                </m:num>
                <m:den>
                  <m:r>
                    <w:rPr>
                      <w:rFonts w:ascii="Cambria Math" w:eastAsia="Calibri" w:hAnsi="Cambria Math" w:cs="Times New Roman"/>
                    </w:rPr>
                    <m:t>N-1</m:t>
                  </m:r>
                </m:den>
              </m:f>
              <m:r>
                <w:rPr>
                  <w:rFonts w:ascii="Cambria Math" w:eastAsia="Calibri" w:hAnsi="Cambria Math" w:cs="Cambria Math"/>
                </w:rPr>
                <m:t xml:space="preserve"> </m:t>
              </m:r>
              <m:r>
                <m:rPr>
                  <m:sty m:val="p"/>
                </m:rPr>
                <w:rPr>
                  <w:rFonts w:ascii="Cambria Math" w:eastAsia="Calibri" w:hAnsi="Cambria Math" w:cs="Cambria Math"/>
                </w:rPr>
                <m:t>(</m:t>
              </m:r>
              <m:nary>
                <m:naryPr>
                  <m:chr m:val="∑"/>
                  <m:limLoc m:val="undOvr"/>
                  <m:subHide m:val="1"/>
                  <m:supHide m:val="1"/>
                  <m:ctrlPr>
                    <w:rPr>
                      <w:rFonts w:ascii="Cambria Math" w:eastAsia="Calibri" w:hAnsi="Cambria Math" w:cs="Calibri"/>
                      <w:bCs/>
                      <w:i/>
                    </w:rPr>
                  </m:ctrlPr>
                </m:naryPr>
                <m:sub/>
                <m:sup/>
                <m:e>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i</m:t>
                      </m:r>
                    </m:sub>
                  </m:sSub>
                </m:e>
              </m:nary>
              <m:r>
                <w:rPr>
                  <w:rFonts w:ascii="Cambria Math" w:eastAsia="Calibri" w:hAnsi="Cambria Math" w:cs="Calibri"/>
                </w:rPr>
                <m:t>-</m:t>
              </m:r>
              <m:nary>
                <m:naryPr>
                  <m:chr m:val="∑"/>
                  <m:limLoc m:val="undOvr"/>
                  <m:subHide m:val="1"/>
                  <m:supHide m:val="1"/>
                  <m:ctrlPr>
                    <w:rPr>
                      <w:rFonts w:ascii="Cambria Math" w:eastAsia="Calibri" w:hAnsi="Cambria Math" w:cs="Calibri"/>
                      <w:bCs/>
                      <w:i/>
                    </w:rPr>
                  </m:ctrlPr>
                </m:naryPr>
                <m:sub/>
                <m:sup/>
                <m:e>
                  <m:sSubSup>
                    <m:sSubSupPr>
                      <m:ctrlPr>
                        <w:rPr>
                          <w:rFonts w:ascii="Cambria Math" w:eastAsia="Calibri" w:hAnsi="Cambria Math" w:cs="Cambria Math"/>
                          <w:bCs/>
                          <w:i/>
                        </w:rPr>
                      </m:ctrlPr>
                    </m:sSubSupPr>
                    <m:e>
                      <m:r>
                        <w:rPr>
                          <w:rFonts w:ascii="Cambria Math" w:eastAsia="Calibri" w:hAnsi="Cambria Math" w:cs="Cambria Math"/>
                        </w:rPr>
                        <m:t>n</m:t>
                      </m:r>
                    </m:e>
                    <m:sub>
                      <m:r>
                        <w:rPr>
                          <w:rFonts w:ascii="Cambria Math" w:eastAsia="Calibri" w:hAnsi="Cambria Math" w:cs="Cambria Math"/>
                        </w:rPr>
                        <m:t>i</m:t>
                      </m:r>
                    </m:sub>
                    <m:sup>
                      <m:r>
                        <w:rPr>
                          <w:rFonts w:ascii="Cambria Math" w:eastAsia="Calibri" w:hAnsi="Cambria Math" w:cs="Cambria Math"/>
                        </w:rPr>
                        <m:t>2</m:t>
                      </m:r>
                    </m:sup>
                  </m:sSubSup>
                </m:e>
              </m:nary>
            </m:num>
            <m:den>
              <m:nary>
                <m:naryPr>
                  <m:chr m:val="∑"/>
                  <m:limLoc m:val="undOvr"/>
                  <m:subHide m:val="1"/>
                  <m:supHide m:val="1"/>
                  <m:ctrlPr>
                    <w:rPr>
                      <w:rFonts w:ascii="Cambria Math" w:eastAsia="Calibri" w:hAnsi="Cambria Math" w:cs="Calibri"/>
                      <w:bCs/>
                      <w:i/>
                    </w:rPr>
                  </m:ctrlPr>
                </m:naryPr>
                <m:sub/>
                <m:sup/>
                <m:e>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i</m:t>
                      </m:r>
                    </m:sub>
                  </m:sSub>
                </m:e>
              </m:nary>
            </m:den>
          </m:f>
          <m:r>
            <m:rPr>
              <m:sty m:val="p"/>
            </m:rPr>
            <w:rPr>
              <w:rFonts w:ascii="Cambria Math" w:eastAsia="Calibri" w:hAnsi="Cambria Math" w:cs="Cambria Math"/>
            </w:rPr>
            <m:t>)</m:t>
          </m:r>
        </m:oMath>
      </m:oMathPara>
    </w:p>
    <w:p w14:paraId="1DD7E5A7" w14:textId="77777777" w:rsidR="005865FF" w:rsidRPr="004C5689" w:rsidRDefault="005865FF" w:rsidP="005865FF">
      <w:pPr>
        <w:rPr>
          <w:rFonts w:ascii="Calibri" w:eastAsia="Calibri" w:hAnsi="Calibri" w:cs="Calibri"/>
          <w:bCs/>
        </w:rPr>
      </w:pPr>
      <w:r w:rsidRPr="004C5689">
        <w:rPr>
          <w:rFonts w:ascii="Calibri" w:eastAsia="Calibri" w:hAnsi="Calibri" w:cs="Calibri"/>
          <w:bCs/>
        </w:rPr>
        <w:t xml:space="preserve">is approximately the average facility size (number of patients per facility). Thus, the IUR = </w:t>
      </w:r>
      <m:oMath>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b</m:t>
            </m:r>
          </m:sub>
          <m:sup>
            <m:r>
              <w:rPr>
                <w:rFonts w:ascii="Cambria Math" w:eastAsia="Calibri" w:hAnsi="Cambria Math" w:cs="Cambria Math"/>
              </w:rPr>
              <m:t>2</m:t>
            </m:r>
          </m:sup>
        </m:sSubSup>
      </m:oMath>
      <w:r w:rsidRPr="004C5689">
        <w:rPr>
          <w:rFonts w:ascii="Calibri" w:eastAsia="Calibri" w:hAnsi="Calibri" w:cs="Calibri"/>
          <w:bCs/>
        </w:rPr>
        <w:t>/ (</w:t>
      </w:r>
      <m:oMath>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b</m:t>
            </m:r>
          </m:sub>
          <m:sup>
            <m:r>
              <w:rPr>
                <w:rFonts w:ascii="Cambria Math" w:eastAsia="Calibri" w:hAnsi="Cambria Math" w:cs="Cambria Math"/>
              </w:rPr>
              <m:t>2</m:t>
            </m:r>
          </m:sup>
        </m:sSubSup>
        <m:r>
          <w:rPr>
            <w:rFonts w:ascii="Cambria Math" w:eastAsia="Calibri" w:hAnsi="Cambria Math" w:cs="Cambria Math"/>
          </w:rPr>
          <m:t>+</m:t>
        </m:r>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t, w</m:t>
            </m:r>
          </m:sub>
          <m:sup>
            <m:r>
              <w:rPr>
                <w:rFonts w:ascii="Cambria Math" w:eastAsia="Calibri" w:hAnsi="Cambria Math" w:cs="Cambria Math"/>
              </w:rPr>
              <m:t>2</m:t>
            </m:r>
          </m:sup>
        </m:sSubSup>
      </m:oMath>
      <w:r w:rsidRPr="004C5689">
        <w:rPr>
          <w:rFonts w:ascii="Calibri" w:eastAsia="Calibri" w:hAnsi="Calibri" w:cs="Calibri"/>
          <w:bCs/>
        </w:rPr>
        <w:t xml:space="preserve">) can be estimated by </w:t>
      </w:r>
      <m:oMath>
        <m:sSubSup>
          <m:sSubSupPr>
            <m:ctrlPr>
              <w:rPr>
                <w:rFonts w:ascii="Cambria Math" w:eastAsia="Calibri" w:hAnsi="Cambria Math" w:cs="Cambria Math"/>
                <w:bCs/>
                <w:i/>
              </w:rPr>
            </m:ctrlPr>
          </m:sSubSupPr>
          <m:e>
            <m:r>
              <w:rPr>
                <w:rFonts w:ascii="Cambria Math" w:eastAsia="Calibri" w:hAnsi="Cambria Math" w:cs="Cambria Math"/>
              </w:rPr>
              <m:t>(s</m:t>
            </m:r>
          </m:e>
          <m:sub>
            <m:r>
              <w:rPr>
                <w:rFonts w:ascii="Cambria Math" w:eastAsia="Calibri" w:hAnsi="Cambria Math" w:cs="Cambria Math"/>
              </w:rPr>
              <m:t>t</m:t>
            </m:r>
          </m:sub>
          <m:sup>
            <m:r>
              <w:rPr>
                <w:rFonts w:ascii="Cambria Math" w:eastAsia="Calibri" w:hAnsi="Cambria Math" w:cs="Cambria Math"/>
              </w:rPr>
              <m:t>2</m:t>
            </m:r>
          </m:sup>
        </m:sSubSup>
        <m:r>
          <w:rPr>
            <w:rFonts w:ascii="Cambria Math" w:eastAsia="Calibri" w:hAnsi="Cambria Math" w:cs="Cambria Math"/>
          </w:rPr>
          <m:t>-</m:t>
        </m:r>
        <m:sSubSup>
          <m:sSubSupPr>
            <m:ctrlPr>
              <w:rPr>
                <w:rFonts w:ascii="Cambria Math" w:eastAsia="Calibri" w:hAnsi="Cambria Math" w:cs="Cambria Math"/>
                <w:bCs/>
                <w:i/>
              </w:rPr>
            </m:ctrlPr>
          </m:sSubSupPr>
          <m:e>
            <m:r>
              <w:rPr>
                <w:rFonts w:ascii="Cambria Math" w:eastAsia="Calibri" w:hAnsi="Cambria Math" w:cs="Cambria Math"/>
              </w:rPr>
              <m:t>s</m:t>
            </m:r>
          </m:e>
          <m:sub>
            <m:r>
              <w:rPr>
                <w:rFonts w:ascii="Cambria Math" w:eastAsia="Calibri" w:hAnsi="Cambria Math" w:cs="Cambria Math"/>
              </w:rPr>
              <m:t>t, w</m:t>
            </m:r>
          </m:sub>
          <m:sup>
            <m:r>
              <w:rPr>
                <w:rFonts w:ascii="Cambria Math" w:eastAsia="Calibri" w:hAnsi="Cambria Math" w:cs="Cambria Math"/>
              </w:rPr>
              <m:t>2</m:t>
            </m:r>
          </m:sup>
        </m:sSubSup>
        <m:r>
          <w:rPr>
            <w:rFonts w:ascii="Cambria Math" w:eastAsia="Calibri" w:hAnsi="Cambria Math" w:cs="Cambria Math"/>
          </w:rPr>
          <m:t>)/</m:t>
        </m:r>
        <m:sSubSup>
          <m:sSubSupPr>
            <m:ctrlPr>
              <w:rPr>
                <w:rFonts w:ascii="Cambria Math" w:eastAsia="Calibri" w:hAnsi="Cambria Math" w:cs="Cambria Math"/>
                <w:bCs/>
                <w:i/>
              </w:rPr>
            </m:ctrlPr>
          </m:sSubSupPr>
          <m:e>
            <m:r>
              <w:rPr>
                <w:rFonts w:ascii="Cambria Math" w:eastAsia="Calibri" w:hAnsi="Cambria Math" w:cs="Cambria Math"/>
              </w:rPr>
              <m:t>s</m:t>
            </m:r>
          </m:e>
          <m:sub>
            <m:r>
              <w:rPr>
                <w:rFonts w:ascii="Cambria Math" w:eastAsia="Calibri" w:hAnsi="Cambria Math" w:cs="Cambria Math"/>
              </w:rPr>
              <m:t>t</m:t>
            </m:r>
          </m:sub>
          <m:sup>
            <m:r>
              <w:rPr>
                <w:rFonts w:ascii="Cambria Math" w:eastAsia="Calibri" w:hAnsi="Cambria Math" w:cs="Cambria Math"/>
              </w:rPr>
              <m:t>2</m:t>
            </m:r>
          </m:sup>
        </m:sSubSup>
      </m:oMath>
      <w:r w:rsidRPr="004C5689">
        <w:rPr>
          <w:rFonts w:ascii="Calibri" w:eastAsia="Calibri" w:hAnsi="Calibri" w:cs="Calibri"/>
          <w:bCs/>
        </w:rPr>
        <w:t>.</w:t>
      </w:r>
    </w:p>
    <w:p w14:paraId="7E91F6FB" w14:textId="77777777" w:rsidR="005865FF" w:rsidRPr="004C5689" w:rsidRDefault="005865FF" w:rsidP="005865FF">
      <w:pPr>
        <w:spacing w:before="240" w:after="240" w:line="240" w:lineRule="auto"/>
        <w:ind w:left="-18"/>
        <w:rPr>
          <w:rFonts w:ascii="Calibri" w:eastAsia="SimSun" w:hAnsi="Calibri" w:cs="Times New Roman"/>
        </w:rPr>
      </w:pPr>
      <w:r w:rsidRPr="004C5689">
        <w:rPr>
          <w:rFonts w:ascii="Calibri" w:eastAsia="Calibri" w:hAnsi="Calibri" w:cs="Times New Roman"/>
        </w:rPr>
        <w:t>The reliability of SFR calculation only included facilities with at least 11 patients during the entire year.</w:t>
      </w:r>
    </w:p>
    <w:p w14:paraId="40BCE7AE" w14:textId="77777777" w:rsidR="005865FF" w:rsidRPr="00A25024" w:rsidRDefault="005865FF" w:rsidP="005865FF">
      <w:pPr>
        <w:autoSpaceDE w:val="0"/>
        <w:autoSpaceDN w:val="0"/>
        <w:adjustRightInd w:val="0"/>
        <w:spacing w:after="0" w:line="240" w:lineRule="auto"/>
        <w:rPr>
          <w:rFonts w:cstheme="minorHAnsi"/>
          <w:bCs/>
        </w:rPr>
      </w:pPr>
    </w:p>
    <w:p w14:paraId="610BAA20" w14:textId="77777777" w:rsidR="005865FF" w:rsidRPr="00AD7234" w:rsidRDefault="005865FF" w:rsidP="005865FF">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2B0593E7" w14:textId="77777777" w:rsidR="005865FF" w:rsidRPr="00A25024" w:rsidRDefault="005865FF" w:rsidP="008C54A9">
      <w:pPr>
        <w:autoSpaceDE w:val="0"/>
        <w:autoSpaceDN w:val="0"/>
        <w:adjustRightInd w:val="0"/>
        <w:spacing w:after="0" w:line="240" w:lineRule="auto"/>
        <w:rPr>
          <w:rFonts w:cstheme="minorHAnsi"/>
          <w:bCs/>
        </w:rPr>
      </w:pPr>
    </w:p>
    <w:p w14:paraId="0CABCFD2" w14:textId="516664AB" w:rsidR="008C54A9" w:rsidRPr="00081339" w:rsidRDefault="00081339" w:rsidP="008C54A9">
      <w:pPr>
        <w:autoSpaceDE w:val="0"/>
        <w:autoSpaceDN w:val="0"/>
        <w:adjustRightInd w:val="0"/>
        <w:spacing w:after="0" w:line="240" w:lineRule="auto"/>
        <w:rPr>
          <w:rFonts w:cstheme="minorHAnsi"/>
          <w:bCs/>
          <w:color w:val="C00000"/>
        </w:rPr>
      </w:pPr>
      <w:r w:rsidRPr="00081339">
        <w:rPr>
          <w:rFonts w:cstheme="minorHAnsi"/>
          <w:bCs/>
          <w:color w:val="C00000"/>
        </w:rPr>
        <w:t xml:space="preserve">The methodology described above is </w:t>
      </w:r>
      <w:r w:rsidR="000A4361">
        <w:rPr>
          <w:rFonts w:cstheme="minorHAnsi"/>
          <w:bCs/>
          <w:color w:val="C00000"/>
        </w:rPr>
        <w:t>being applied to calculate IUR</w:t>
      </w:r>
      <w:r w:rsidR="000A4361" w:rsidRPr="00081339">
        <w:rPr>
          <w:rFonts w:cstheme="minorHAnsi"/>
          <w:bCs/>
          <w:color w:val="C00000"/>
        </w:rPr>
        <w:t xml:space="preserve"> </w:t>
      </w:r>
      <w:r w:rsidRPr="00081339">
        <w:rPr>
          <w:rFonts w:cstheme="minorHAnsi"/>
          <w:bCs/>
          <w:color w:val="C00000"/>
        </w:rPr>
        <w:t>for this submission, calculated with 2018 data.</w:t>
      </w:r>
    </w:p>
    <w:p w14:paraId="4DE9809A" w14:textId="77777777" w:rsidR="00081339" w:rsidRPr="00A25024" w:rsidRDefault="00081339" w:rsidP="008C54A9">
      <w:pPr>
        <w:autoSpaceDE w:val="0"/>
        <w:autoSpaceDN w:val="0"/>
        <w:adjustRightInd w:val="0"/>
        <w:spacing w:after="0" w:line="240" w:lineRule="auto"/>
        <w:rPr>
          <w:rFonts w:cstheme="minorHAnsi"/>
          <w:bCs/>
        </w:rPr>
      </w:pPr>
    </w:p>
    <w:p w14:paraId="580C71B4" w14:textId="77777777" w:rsidR="005865FF"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20A06F38" w14:textId="77777777" w:rsidR="005865FF" w:rsidRPr="004C5689" w:rsidRDefault="005865FF" w:rsidP="005865FF">
      <w:pPr>
        <w:spacing w:before="240" w:after="240" w:line="240" w:lineRule="auto"/>
        <w:rPr>
          <w:rFonts w:ascii="Calibri" w:eastAsia="SimSun" w:hAnsi="Calibri" w:cs="Times New Roman"/>
        </w:rPr>
      </w:pPr>
      <w:r w:rsidRPr="004C5689">
        <w:rPr>
          <w:rFonts w:ascii="Calibri" w:eastAsia="SimSun" w:hAnsi="Calibri" w:cs="Times New Roman"/>
        </w:rPr>
        <w:t xml:space="preserve">The IUR is 0.736 which indicates that about 74% of the variation in the annual SFR can be attributed to between-facility differences in performance (signal) and about 26% to the within-facility variation (noise). </w:t>
      </w:r>
    </w:p>
    <w:p w14:paraId="53DDE766" w14:textId="77777777" w:rsidR="005865FF" w:rsidRPr="00B035B0" w:rsidRDefault="005865FF" w:rsidP="005865FF">
      <w:pPr>
        <w:autoSpaceDE w:val="0"/>
        <w:autoSpaceDN w:val="0"/>
        <w:adjustRightInd w:val="0"/>
        <w:spacing w:after="0" w:line="240" w:lineRule="auto"/>
        <w:rPr>
          <w:rFonts w:cstheme="minorHAnsi"/>
          <w:b/>
          <w:bCs/>
          <w:color w:val="C00000"/>
          <w:u w:val="single"/>
        </w:rPr>
      </w:pPr>
      <w:r w:rsidRPr="00B035B0">
        <w:rPr>
          <w:rFonts w:cstheme="minorHAnsi"/>
          <w:b/>
          <w:bCs/>
          <w:color w:val="C00000"/>
          <w:u w:val="single"/>
        </w:rPr>
        <w:t>2019 Submission</w:t>
      </w:r>
    </w:p>
    <w:p w14:paraId="0FC304AC" w14:textId="28E75274" w:rsidR="00B035B0" w:rsidRPr="00B035B0" w:rsidRDefault="00B035B0" w:rsidP="00B035B0">
      <w:pPr>
        <w:spacing w:before="240" w:after="240" w:line="240" w:lineRule="auto"/>
        <w:rPr>
          <w:rFonts w:ascii="Calibri" w:eastAsia="SimSun" w:hAnsi="Calibri" w:cs="Times New Roman"/>
          <w:color w:val="C00000"/>
        </w:rPr>
      </w:pPr>
      <w:r w:rsidRPr="00B035B0">
        <w:rPr>
          <w:rFonts w:ascii="Calibri" w:eastAsia="SimSun" w:hAnsi="Calibri" w:cs="Times New Roman"/>
          <w:color w:val="C00000"/>
        </w:rPr>
        <w:t>The IUR is 0.755</w:t>
      </w:r>
      <w:r w:rsidR="006213BE">
        <w:rPr>
          <w:rFonts w:ascii="Calibri" w:eastAsia="SimSun" w:hAnsi="Calibri" w:cs="Times New Roman"/>
          <w:color w:val="C00000"/>
        </w:rPr>
        <w:t>,</w:t>
      </w:r>
      <w:r w:rsidRPr="00B035B0">
        <w:rPr>
          <w:rFonts w:ascii="Calibri" w:eastAsia="SimSun" w:hAnsi="Calibri" w:cs="Times New Roman"/>
          <w:color w:val="C00000"/>
        </w:rPr>
        <w:t xml:space="preserve"> which </w:t>
      </w:r>
      <w:r w:rsidRPr="00424C4A">
        <w:rPr>
          <w:rFonts w:ascii="Calibri" w:eastAsia="SimSun" w:hAnsi="Calibri" w:cs="Times New Roman"/>
          <w:color w:val="C00000"/>
        </w:rPr>
        <w:t>indicates that 75</w:t>
      </w:r>
      <w:r w:rsidR="00541C12">
        <w:rPr>
          <w:rFonts w:ascii="Calibri" w:eastAsia="SimSun" w:hAnsi="Calibri" w:cs="Times New Roman"/>
          <w:color w:val="C00000"/>
        </w:rPr>
        <w:t>.5</w:t>
      </w:r>
      <w:r w:rsidRPr="00424C4A">
        <w:rPr>
          <w:rFonts w:ascii="Calibri" w:eastAsia="SimSun" w:hAnsi="Calibri" w:cs="Times New Roman"/>
          <w:color w:val="C00000"/>
        </w:rPr>
        <w:t>% of the variation in the annual SFR can be attributed to between-facility differences in performance (signal) and 25</w:t>
      </w:r>
      <w:r w:rsidR="00541C12">
        <w:rPr>
          <w:rFonts w:ascii="Calibri" w:eastAsia="SimSun" w:hAnsi="Calibri" w:cs="Times New Roman"/>
          <w:color w:val="C00000"/>
        </w:rPr>
        <w:t>.5</w:t>
      </w:r>
      <w:r w:rsidRPr="00424C4A">
        <w:rPr>
          <w:rFonts w:ascii="Calibri" w:eastAsia="SimSun" w:hAnsi="Calibri" w:cs="Times New Roman"/>
          <w:color w:val="C00000"/>
        </w:rPr>
        <w:t>% to the within</w:t>
      </w:r>
      <w:r w:rsidRPr="00B035B0">
        <w:rPr>
          <w:rFonts w:ascii="Calibri" w:eastAsia="SimSun" w:hAnsi="Calibri" w:cs="Times New Roman"/>
          <w:color w:val="C00000"/>
        </w:rPr>
        <w:t xml:space="preserve">-facility variation (noise). </w:t>
      </w:r>
    </w:p>
    <w:p w14:paraId="0CABCFD3" w14:textId="5F2CE2FA" w:rsidR="007422FD" w:rsidRPr="00A25024" w:rsidRDefault="0048008A" w:rsidP="008C54A9">
      <w:pPr>
        <w:autoSpaceDE w:val="0"/>
        <w:autoSpaceDN w:val="0"/>
        <w:adjustRightInd w:val="0"/>
        <w:spacing w:after="0" w:line="240" w:lineRule="auto"/>
        <w:rPr>
          <w:rFonts w:cstheme="minorHAnsi"/>
          <w:bCs/>
        </w:rPr>
      </w:pPr>
      <w:r w:rsidRPr="00A25024">
        <w:rPr>
          <w:rFonts w:cstheme="minorHAnsi"/>
          <w:bCs/>
        </w:rPr>
        <w:br/>
      </w:r>
    </w:p>
    <w:p w14:paraId="03B77AF1" w14:textId="77777777" w:rsidR="005865FF" w:rsidRDefault="00092566" w:rsidP="005865FF">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30F427C0" w14:textId="77777777" w:rsidR="005865FF" w:rsidRPr="004C5689" w:rsidRDefault="005865FF" w:rsidP="005865FF">
      <w:pPr>
        <w:rPr>
          <w:rFonts w:ascii="Calibri" w:eastAsia="Calibri" w:hAnsi="Calibri" w:cs="Times New Roman"/>
        </w:rPr>
      </w:pPr>
      <w:r w:rsidRPr="004C5689">
        <w:rPr>
          <w:rFonts w:ascii="Calibri" w:eastAsia="SimSun" w:hAnsi="Calibri" w:cs="Times New Roman"/>
        </w:rPr>
        <w:t>The result of IUR</w:t>
      </w:r>
      <w:r>
        <w:rPr>
          <w:rFonts w:ascii="Calibri" w:eastAsia="SimSun" w:hAnsi="Calibri" w:cs="Times New Roman"/>
        </w:rPr>
        <w:t xml:space="preserve"> testing</w:t>
      </w:r>
      <w:r w:rsidRPr="004C5689">
        <w:rPr>
          <w:rFonts w:ascii="Calibri" w:eastAsia="SimSun" w:hAnsi="Calibri" w:cs="Times New Roman"/>
        </w:rPr>
        <w:t xml:space="preserve"> suggests a high degree of reliability.</w:t>
      </w:r>
    </w:p>
    <w:p w14:paraId="5FBBC582" w14:textId="77777777" w:rsidR="005865FF" w:rsidRPr="00AD7234" w:rsidRDefault="005865FF" w:rsidP="005865FF">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5A2D898F" w14:textId="77777777" w:rsidR="00B035B0" w:rsidRPr="00122705" w:rsidRDefault="00B035B0" w:rsidP="00B035B0">
      <w:pPr>
        <w:rPr>
          <w:rFonts w:ascii="Calibri" w:eastAsia="Calibri" w:hAnsi="Calibri" w:cs="Times New Roman"/>
          <w:color w:val="C00000"/>
        </w:rPr>
      </w:pPr>
      <w:r w:rsidRPr="00122705">
        <w:rPr>
          <w:rFonts w:ascii="Calibri" w:eastAsia="SimSun" w:hAnsi="Calibri" w:cs="Times New Roman"/>
          <w:color w:val="C00000"/>
        </w:rPr>
        <w:t>The result of IUR testing suggests a high degree of reliability.</w:t>
      </w:r>
    </w:p>
    <w:p w14:paraId="0CABCFD4" w14:textId="77777777" w:rsidR="007422FD" w:rsidRPr="00A25024" w:rsidRDefault="007422FD"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46B042EF" w:rsidR="00696262" w:rsidRPr="00A25024" w:rsidRDefault="0008116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5865FF">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2AB4BDFC" w:rsidR="000574AB" w:rsidRPr="00A25024" w:rsidRDefault="0008116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5865FF">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5865FF">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232ECAA0" w14:textId="77777777" w:rsidR="005865FF" w:rsidRDefault="009C7513" w:rsidP="005865FF">
      <w:pPr>
        <w:spacing w:before="240" w:after="240" w:line="240" w:lineRule="auto"/>
        <w:rPr>
          <w:rFonts w:ascii="Calibri" w:eastAsia="SimSun" w:hAnsi="Calibri" w:cs="Times New Roman"/>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6095B987" w14:textId="2BACE736" w:rsidR="005865FF" w:rsidRPr="004C5689" w:rsidRDefault="005865FF" w:rsidP="005865FF">
      <w:pPr>
        <w:spacing w:before="240" w:after="240" w:line="240" w:lineRule="auto"/>
        <w:rPr>
          <w:rFonts w:ascii="Calibri" w:eastAsia="SimSun" w:hAnsi="Calibri" w:cs="Times New Roman"/>
        </w:rPr>
      </w:pPr>
      <w:r w:rsidRPr="004C5689">
        <w:rPr>
          <w:rFonts w:ascii="Calibri" w:eastAsia="SimSun" w:hAnsi="Calibri" w:cs="Times New Roman"/>
        </w:rPr>
        <w:t xml:space="preserve">Validity was assessed using Poisson regression models to measure the association between facility level quintiles of performance scores and the 2014 Standardized Mortality Ratio (SMR, NQF 0369) and 2014 Standardized Hospitalization Ratio (SHR, NQF 1463). Facility-level performance scores were divided into quintiles </w:t>
      </w:r>
      <w:r>
        <w:rPr>
          <w:rFonts w:ascii="Calibri" w:eastAsia="SimSun" w:hAnsi="Calibri" w:cs="Times New Roman"/>
        </w:rPr>
        <w:t xml:space="preserve">(Q1 to Q5) </w:t>
      </w:r>
      <w:r w:rsidRPr="004C5689">
        <w:rPr>
          <w:rFonts w:ascii="Calibri" w:eastAsia="SimSun" w:hAnsi="Calibri" w:cs="Times New Roman"/>
        </w:rPr>
        <w:t>and the relative risk (RR) of mortality (and hospitalization, separately) was calculated for each quintile</w:t>
      </w:r>
      <w:r>
        <w:rPr>
          <w:rFonts w:ascii="Calibri" w:eastAsia="SimSun" w:hAnsi="Calibri" w:cs="Times New Roman"/>
        </w:rPr>
        <w:t>, using the combined Q4 and Q5</w:t>
      </w:r>
      <w:r w:rsidRPr="004C5689">
        <w:rPr>
          <w:rFonts w:ascii="Calibri" w:eastAsia="SimSun" w:hAnsi="Calibri" w:cs="Times New Roman"/>
        </w:rPr>
        <w:t xml:space="preserve"> as the reference group. Thus, a RR&gt;1.0</w:t>
      </w:r>
      <w:r>
        <w:rPr>
          <w:rFonts w:ascii="Calibri" w:eastAsia="SimSun" w:hAnsi="Calibri" w:cs="Times New Roman"/>
        </w:rPr>
        <w:t xml:space="preserve"> </w:t>
      </w:r>
      <w:r w:rsidRPr="004C5689">
        <w:rPr>
          <w:rFonts w:ascii="Calibri" w:eastAsia="SimSun" w:hAnsi="Calibri" w:cs="Times New Roman"/>
        </w:rPr>
        <w:t>would indicate a higher relative risk of mortality or hospitalization</w:t>
      </w:r>
      <w:r>
        <w:rPr>
          <w:rFonts w:ascii="Calibri" w:eastAsia="SimSun" w:hAnsi="Calibri" w:cs="Times New Roman"/>
        </w:rPr>
        <w:t>, compared to the highest performance score quintiles</w:t>
      </w:r>
      <w:r w:rsidRPr="004C5689">
        <w:rPr>
          <w:rFonts w:ascii="Calibri" w:eastAsia="SimSun" w:hAnsi="Calibri" w:cs="Times New Roman"/>
        </w:rPr>
        <w:t>.</w:t>
      </w:r>
    </w:p>
    <w:p w14:paraId="6AFB48C1" w14:textId="77777777" w:rsidR="005865FF" w:rsidRDefault="005865FF" w:rsidP="005865FF">
      <w:pPr>
        <w:autoSpaceDE w:val="0"/>
        <w:autoSpaceDN w:val="0"/>
        <w:adjustRightInd w:val="0"/>
        <w:spacing w:after="0" w:line="240" w:lineRule="auto"/>
        <w:rPr>
          <w:rFonts w:cstheme="minorHAnsi"/>
          <w:bCs/>
        </w:rPr>
      </w:pPr>
    </w:p>
    <w:p w14:paraId="452316B7" w14:textId="77777777" w:rsidR="005865FF" w:rsidRDefault="005865FF" w:rsidP="005865FF">
      <w:pPr>
        <w:autoSpaceDE w:val="0"/>
        <w:autoSpaceDN w:val="0"/>
        <w:adjustRightInd w:val="0"/>
        <w:spacing w:after="0" w:line="240" w:lineRule="auto"/>
        <w:rPr>
          <w:rFonts w:cstheme="minorHAnsi"/>
          <w:bCs/>
        </w:rPr>
      </w:pPr>
      <w:r w:rsidRPr="003F6E5F">
        <w:rPr>
          <w:rFonts w:cstheme="minorHAnsi"/>
          <w:bCs/>
        </w:rPr>
        <w:t xml:space="preserve">In 2015 a vascular access TEP was convened to provide input on the development of access measures, and specifically input on exclusions for both catheter and fistula measures, and for fistula, risk adjustment factors to be considered. </w:t>
      </w:r>
      <w:r w:rsidRPr="00E842E1">
        <w:rPr>
          <w:rFonts w:cstheme="minorHAnsi"/>
          <w:bCs/>
        </w:rPr>
        <w:t xml:space="preserve">Ultimately, evaluation and selection of the clinical and patient risk factors </w:t>
      </w:r>
      <w:r>
        <w:rPr>
          <w:rFonts w:cstheme="minorHAnsi"/>
          <w:bCs/>
        </w:rPr>
        <w:t xml:space="preserve">for this measure </w:t>
      </w:r>
      <w:r w:rsidRPr="00E842E1">
        <w:rPr>
          <w:rFonts w:cstheme="minorHAnsi"/>
          <w:bCs/>
        </w:rPr>
        <w:t>was informed by the final TEP recommendations. The TEP recognized that while fistulas are preferred, an unintended consequence of a fistula measure that doesn’t account for the patient’s overall health status could harm patients by subjecting them to fistula surgery that is less likely to succeed or limit access to care for patients with more comorbidities.  To accomplish this goal the TEP discussed adjusting the measure for conditions or scenarios where a graft may be an acceptable or preferred alternative to a fistula.</w:t>
      </w:r>
      <w:r>
        <w:rPr>
          <w:rFonts w:cstheme="minorHAnsi"/>
          <w:bCs/>
        </w:rPr>
        <w:t xml:space="preserve"> </w:t>
      </w:r>
      <w:r w:rsidRPr="003F6E5F">
        <w:rPr>
          <w:rFonts w:cstheme="minorHAnsi"/>
          <w:bCs/>
        </w:rPr>
        <w:t>The candidate measure was reviewed and validated by the Technical Expert Panel (TEP) in 2015</w:t>
      </w:r>
      <w:r>
        <w:rPr>
          <w:rFonts w:cstheme="minorHAnsi"/>
          <w:bCs/>
        </w:rPr>
        <w:t xml:space="preserve">. </w:t>
      </w:r>
    </w:p>
    <w:p w14:paraId="0CABCFDC" w14:textId="552202C1" w:rsidR="00833325" w:rsidRPr="00A25024" w:rsidRDefault="00833325" w:rsidP="00DB3627">
      <w:pPr>
        <w:autoSpaceDE w:val="0"/>
        <w:autoSpaceDN w:val="0"/>
        <w:adjustRightInd w:val="0"/>
        <w:spacing w:after="0" w:line="240" w:lineRule="auto"/>
        <w:rPr>
          <w:rFonts w:cstheme="minorHAnsi"/>
          <w:bCs/>
        </w:rPr>
      </w:pPr>
    </w:p>
    <w:p w14:paraId="35DB181B" w14:textId="77777777" w:rsidR="005865FF" w:rsidRPr="00AD7234" w:rsidRDefault="005865FF" w:rsidP="005865FF">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3D012A49" w14:textId="77777777" w:rsidR="00924033" w:rsidRPr="0066227C" w:rsidRDefault="00924033" w:rsidP="00924033">
      <w:pPr>
        <w:rPr>
          <w:color w:val="C00000"/>
        </w:rPr>
      </w:pPr>
      <w:r w:rsidRPr="0066227C">
        <w:rPr>
          <w:color w:val="C00000"/>
        </w:rPr>
        <w:t>Validity was  assessed using Poisson regression models to measure the association between facility level quintiles of performance scores and the 2018 Standardized Mortality Ratio (SMR, NQF 0369) and 2018 Standardized Hospitalization Ratio (SHR, NQF 1463). Facility-level performance scores were divided into quintiles (Q1 to Q5), and the relative risk (RR) of mortality (and hospitalization, separately) was calculated for each quintile, using the combined Q1 and Q2 as the reference group. Thus, a RR&gt;1.0 would indicate a higher relative risk of mortality or hospitalization, compared to the lowest performance score quintiles.</w:t>
      </w:r>
    </w:p>
    <w:p w14:paraId="4CFE04D9" w14:textId="04BDB1DB" w:rsidR="006D5649" w:rsidRDefault="006D5649" w:rsidP="00DB3627">
      <w:pPr>
        <w:autoSpaceDE w:val="0"/>
        <w:autoSpaceDN w:val="0"/>
        <w:adjustRightInd w:val="0"/>
        <w:spacing w:after="0" w:line="240" w:lineRule="auto"/>
        <w:rPr>
          <w:rFonts w:cstheme="minorHAnsi"/>
          <w:bCs/>
        </w:rPr>
      </w:pPr>
    </w:p>
    <w:p w14:paraId="79E0B938" w14:textId="2E5851D6" w:rsidR="00924033" w:rsidRDefault="00924033" w:rsidP="006D5649">
      <w:pPr>
        <w:pStyle w:val="ListParagraph"/>
        <w:numPr>
          <w:ilvl w:val="0"/>
          <w:numId w:val="34"/>
        </w:numPr>
        <w:autoSpaceDE w:val="0"/>
        <w:autoSpaceDN w:val="0"/>
        <w:adjustRightInd w:val="0"/>
        <w:spacing w:after="0" w:line="240" w:lineRule="auto"/>
        <w:rPr>
          <w:rFonts w:cstheme="minorHAnsi"/>
          <w:bCs/>
          <w:color w:val="C00000"/>
        </w:rPr>
      </w:pPr>
      <w:r>
        <w:rPr>
          <w:rFonts w:cstheme="minorHAnsi"/>
          <w:bCs/>
          <w:color w:val="C00000"/>
        </w:rPr>
        <w:t xml:space="preserve">SMR: We expect a negative association with SMR </w:t>
      </w:r>
      <w:r w:rsidR="000A4361" w:rsidRPr="006D5649">
        <w:rPr>
          <w:rFonts w:cstheme="minorHAnsi"/>
          <w:bCs/>
          <w:color w:val="C00000"/>
        </w:rPr>
        <w:t>since successfully creating an AVF is generally seen as representing a robust process to coordinate care outside of the dialysis facility</w:t>
      </w:r>
      <w:r w:rsidR="000A4361">
        <w:rPr>
          <w:rFonts w:cstheme="minorHAnsi"/>
          <w:bCs/>
          <w:color w:val="C00000"/>
        </w:rPr>
        <w:t>. AVFs are also associated with lower risk of infection which may reduce the risk of a life threatening infection or other poor outcomes that place patients at higher risk of mortality</w:t>
      </w:r>
      <w:r w:rsidR="000A4361" w:rsidRPr="006D5649">
        <w:rPr>
          <w:rFonts w:cstheme="minorHAnsi"/>
          <w:bCs/>
          <w:color w:val="C00000"/>
        </w:rPr>
        <w:t xml:space="preserve">. Higher </w:t>
      </w:r>
      <w:r w:rsidR="00712C19">
        <w:rPr>
          <w:rFonts w:cstheme="minorHAnsi"/>
          <w:bCs/>
          <w:color w:val="C00000"/>
        </w:rPr>
        <w:t xml:space="preserve">standardized fistula </w:t>
      </w:r>
      <w:r w:rsidR="000A4361" w:rsidRPr="006D5649">
        <w:rPr>
          <w:rFonts w:cstheme="minorHAnsi"/>
          <w:bCs/>
          <w:color w:val="C00000"/>
        </w:rPr>
        <w:t xml:space="preserve">rates will be negatively associated with </w:t>
      </w:r>
      <w:r w:rsidR="00BE2A3C">
        <w:rPr>
          <w:rFonts w:cstheme="minorHAnsi"/>
          <w:bCs/>
          <w:color w:val="C00000"/>
        </w:rPr>
        <w:t>SMR</w:t>
      </w:r>
      <w:r w:rsidR="000A4361">
        <w:rPr>
          <w:rFonts w:cstheme="minorHAnsi"/>
          <w:bCs/>
          <w:color w:val="C00000"/>
        </w:rPr>
        <w:t>.</w:t>
      </w:r>
    </w:p>
    <w:p w14:paraId="433E7206" w14:textId="7AC70858" w:rsidR="006D5649" w:rsidRPr="006D5649" w:rsidRDefault="006D5649" w:rsidP="006D5649">
      <w:pPr>
        <w:pStyle w:val="ListParagraph"/>
        <w:numPr>
          <w:ilvl w:val="0"/>
          <w:numId w:val="34"/>
        </w:numPr>
        <w:autoSpaceDE w:val="0"/>
        <w:autoSpaceDN w:val="0"/>
        <w:adjustRightInd w:val="0"/>
        <w:spacing w:after="0" w:line="240" w:lineRule="auto"/>
        <w:rPr>
          <w:rFonts w:cstheme="minorHAnsi"/>
          <w:bCs/>
          <w:color w:val="C00000"/>
        </w:rPr>
      </w:pPr>
      <w:r w:rsidRPr="006D5649">
        <w:rPr>
          <w:rFonts w:cstheme="minorHAnsi"/>
          <w:bCs/>
          <w:color w:val="C00000"/>
        </w:rPr>
        <w:t xml:space="preserve">SHR: We expect a negative association with SHR since successfully creating an AVF is generally seen as representing a robust process to coordinate care outside of the dialysis facility, and potentially reduces the </w:t>
      </w:r>
      <w:r w:rsidR="00E606F0">
        <w:rPr>
          <w:rFonts w:cstheme="minorHAnsi"/>
          <w:bCs/>
          <w:color w:val="C00000"/>
        </w:rPr>
        <w:t xml:space="preserve">risk for </w:t>
      </w:r>
      <w:r w:rsidRPr="006D5649">
        <w:rPr>
          <w:rFonts w:cstheme="minorHAnsi"/>
          <w:bCs/>
          <w:color w:val="C00000"/>
        </w:rPr>
        <w:t>patients at such facilities going to hospital</w:t>
      </w:r>
      <w:r w:rsidR="00B4071A">
        <w:rPr>
          <w:rFonts w:cstheme="minorHAnsi"/>
          <w:bCs/>
          <w:color w:val="C00000"/>
        </w:rPr>
        <w:t xml:space="preserve"> due to infections or other acute clinical events</w:t>
      </w:r>
      <w:r w:rsidRPr="006D5649">
        <w:rPr>
          <w:rFonts w:cstheme="minorHAnsi"/>
          <w:bCs/>
          <w:color w:val="C00000"/>
        </w:rPr>
        <w:t xml:space="preserve">.  Higher </w:t>
      </w:r>
      <w:r w:rsidR="00712C19">
        <w:rPr>
          <w:rFonts w:cstheme="minorHAnsi"/>
          <w:bCs/>
          <w:color w:val="C00000"/>
        </w:rPr>
        <w:t xml:space="preserve">standardized fistula rates </w:t>
      </w:r>
      <w:r w:rsidRPr="006D5649">
        <w:rPr>
          <w:rFonts w:cstheme="minorHAnsi"/>
          <w:bCs/>
          <w:color w:val="C00000"/>
        </w:rPr>
        <w:t xml:space="preserve">will be negatively associated with </w:t>
      </w:r>
      <w:r w:rsidR="00BE2A3C">
        <w:rPr>
          <w:rFonts w:cstheme="minorHAnsi"/>
          <w:bCs/>
          <w:color w:val="C00000"/>
        </w:rPr>
        <w:t>SHR</w:t>
      </w:r>
      <w:r w:rsidR="00B4071A">
        <w:rPr>
          <w:rFonts w:cstheme="minorHAnsi"/>
          <w:bCs/>
          <w:color w:val="C00000"/>
        </w:rPr>
        <w:t>.</w:t>
      </w:r>
    </w:p>
    <w:p w14:paraId="7C5CCDFC" w14:textId="1B12162F" w:rsidR="006D5649" w:rsidRDefault="006D5649" w:rsidP="00DB3627">
      <w:pPr>
        <w:autoSpaceDE w:val="0"/>
        <w:autoSpaceDN w:val="0"/>
        <w:adjustRightInd w:val="0"/>
        <w:spacing w:after="0" w:line="240" w:lineRule="auto"/>
        <w:rPr>
          <w:rFonts w:cstheme="minorHAnsi"/>
          <w:bCs/>
        </w:rPr>
      </w:pPr>
    </w:p>
    <w:p w14:paraId="1FE9C3AC" w14:textId="16D05745" w:rsidR="00924033" w:rsidRDefault="00924033" w:rsidP="00DB3627">
      <w:pPr>
        <w:autoSpaceDE w:val="0"/>
        <w:autoSpaceDN w:val="0"/>
        <w:adjustRightInd w:val="0"/>
        <w:spacing w:after="0" w:line="240" w:lineRule="auto"/>
        <w:rPr>
          <w:rFonts w:cstheme="minorHAnsi"/>
          <w:bCs/>
        </w:rPr>
      </w:pPr>
    </w:p>
    <w:p w14:paraId="00CD0127" w14:textId="01CE2878" w:rsidR="00924033" w:rsidRPr="0066227C" w:rsidRDefault="00924033" w:rsidP="00924033">
      <w:pPr>
        <w:autoSpaceDE w:val="0"/>
        <w:autoSpaceDN w:val="0"/>
        <w:adjustRightInd w:val="0"/>
        <w:spacing w:after="0" w:line="240" w:lineRule="auto"/>
        <w:rPr>
          <w:rFonts w:cstheme="minorHAnsi"/>
          <w:bCs/>
          <w:color w:val="C00000"/>
        </w:rPr>
      </w:pPr>
      <w:r>
        <w:rPr>
          <w:rFonts w:cstheme="minorHAnsi"/>
          <w:bCs/>
          <w:color w:val="C00000"/>
        </w:rPr>
        <w:t xml:space="preserve">The face validity </w:t>
      </w:r>
      <w:r w:rsidR="00FD7B18">
        <w:rPr>
          <w:rFonts w:cstheme="minorHAnsi"/>
          <w:bCs/>
          <w:color w:val="C00000"/>
        </w:rPr>
        <w:t xml:space="preserve">from </w:t>
      </w:r>
      <w:r>
        <w:rPr>
          <w:rFonts w:cstheme="minorHAnsi"/>
          <w:bCs/>
          <w:color w:val="C00000"/>
        </w:rPr>
        <w:t xml:space="preserve">the 2015 TEP described in the previous submission also </w:t>
      </w:r>
      <w:r w:rsidR="0039626B">
        <w:rPr>
          <w:rFonts w:cstheme="minorHAnsi"/>
          <w:bCs/>
          <w:color w:val="C00000"/>
        </w:rPr>
        <w:t>carrie</w:t>
      </w:r>
      <w:r w:rsidR="006213BE">
        <w:rPr>
          <w:rFonts w:cstheme="minorHAnsi"/>
          <w:bCs/>
          <w:color w:val="C00000"/>
        </w:rPr>
        <w:t>s</w:t>
      </w:r>
      <w:r w:rsidR="0039626B">
        <w:rPr>
          <w:rFonts w:cstheme="minorHAnsi"/>
          <w:bCs/>
          <w:color w:val="C00000"/>
        </w:rPr>
        <w:t xml:space="preserve"> </w:t>
      </w:r>
      <w:r>
        <w:rPr>
          <w:rFonts w:cstheme="minorHAnsi"/>
          <w:bCs/>
          <w:color w:val="C00000"/>
        </w:rPr>
        <w:t xml:space="preserve">forward for this </w:t>
      </w:r>
      <w:r w:rsidR="0039626B">
        <w:rPr>
          <w:rFonts w:cstheme="minorHAnsi"/>
          <w:bCs/>
          <w:color w:val="C00000"/>
        </w:rPr>
        <w:t xml:space="preserve">maintenance </w:t>
      </w:r>
      <w:r>
        <w:rPr>
          <w:rFonts w:cstheme="minorHAnsi"/>
          <w:bCs/>
          <w:color w:val="C00000"/>
        </w:rPr>
        <w:t xml:space="preserve">submission. </w:t>
      </w:r>
    </w:p>
    <w:p w14:paraId="51B0BFFE" w14:textId="77777777" w:rsidR="00924033" w:rsidRPr="00A25024" w:rsidRDefault="00924033" w:rsidP="00DB3627">
      <w:pPr>
        <w:autoSpaceDE w:val="0"/>
        <w:autoSpaceDN w:val="0"/>
        <w:adjustRightInd w:val="0"/>
        <w:spacing w:after="0" w:line="240" w:lineRule="auto"/>
        <w:rPr>
          <w:rFonts w:cstheme="minorHAnsi"/>
          <w:bCs/>
        </w:rPr>
      </w:pPr>
    </w:p>
    <w:p w14:paraId="0CABCFDE" w14:textId="329F7853" w:rsidR="007422FD"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1BE43030" w14:textId="77777777" w:rsidR="005865FF" w:rsidRPr="004C5689" w:rsidRDefault="005865FF" w:rsidP="005865FF">
      <w:pPr>
        <w:spacing w:before="240" w:after="240" w:line="240" w:lineRule="auto"/>
        <w:rPr>
          <w:rFonts w:ascii="Calibri" w:eastAsia="SimSun" w:hAnsi="Calibri" w:cs="Times New Roman"/>
        </w:rPr>
      </w:pPr>
      <w:r w:rsidRPr="004C5689">
        <w:rPr>
          <w:rFonts w:ascii="Calibri" w:eastAsia="SimSun" w:hAnsi="Calibri" w:cs="Times New Roman"/>
        </w:rPr>
        <w:t>Quintiles of the performance scores were defined as follows:</w:t>
      </w:r>
    </w:p>
    <w:p w14:paraId="1C195F55" w14:textId="77777777" w:rsidR="005865FF" w:rsidRPr="004C5689" w:rsidRDefault="005865FF" w:rsidP="005865FF">
      <w:pPr>
        <w:spacing w:before="240" w:after="240" w:line="240" w:lineRule="auto"/>
        <w:rPr>
          <w:rFonts w:ascii="Calibri" w:eastAsia="SimSun" w:hAnsi="Calibri" w:cs="Times New Roman"/>
        </w:rPr>
      </w:pPr>
      <w:r w:rsidRPr="004C5689">
        <w:rPr>
          <w:rFonts w:ascii="Calibri" w:eastAsia="SimSun" w:hAnsi="Calibri" w:cs="Times New Roman"/>
        </w:rPr>
        <w:t>Q1: 9.2%-&lt;55.9%</w:t>
      </w:r>
    </w:p>
    <w:p w14:paraId="146AF4B5" w14:textId="77777777" w:rsidR="005865FF" w:rsidRPr="004C5689" w:rsidRDefault="005865FF" w:rsidP="005865FF">
      <w:pPr>
        <w:spacing w:before="240" w:after="240" w:line="240" w:lineRule="auto"/>
        <w:rPr>
          <w:rFonts w:ascii="Calibri" w:eastAsia="SimSun" w:hAnsi="Calibri" w:cs="Times New Roman"/>
        </w:rPr>
      </w:pPr>
      <w:r w:rsidRPr="004C5689">
        <w:rPr>
          <w:rFonts w:ascii="Calibri" w:eastAsia="SimSun" w:hAnsi="Calibri" w:cs="Times New Roman"/>
        </w:rPr>
        <w:t>Q2: 55.9%-&lt;62.0%</w:t>
      </w:r>
    </w:p>
    <w:p w14:paraId="663A7967" w14:textId="77777777" w:rsidR="005865FF" w:rsidRPr="004C5689" w:rsidRDefault="005865FF" w:rsidP="005865FF">
      <w:pPr>
        <w:spacing w:before="240" w:after="240" w:line="240" w:lineRule="auto"/>
        <w:rPr>
          <w:rFonts w:ascii="Calibri" w:eastAsia="SimSun" w:hAnsi="Calibri" w:cs="Times New Roman"/>
        </w:rPr>
      </w:pPr>
      <w:r w:rsidRPr="004C5689">
        <w:rPr>
          <w:rFonts w:ascii="Calibri" w:eastAsia="SimSun" w:hAnsi="Calibri" w:cs="Times New Roman"/>
        </w:rPr>
        <w:t>Q3: 62.0-&lt;67.4%</w:t>
      </w:r>
    </w:p>
    <w:p w14:paraId="6C50405A" w14:textId="77777777" w:rsidR="005865FF" w:rsidRPr="00E84C7F" w:rsidRDefault="005865FF" w:rsidP="005865FF">
      <w:pPr>
        <w:spacing w:before="240" w:after="240" w:line="240" w:lineRule="auto"/>
        <w:rPr>
          <w:rFonts w:ascii="Calibri" w:eastAsia="SimSun" w:hAnsi="Calibri" w:cs="Times New Roman"/>
        </w:rPr>
      </w:pPr>
      <w:r w:rsidRPr="00E84C7F">
        <w:rPr>
          <w:rFonts w:ascii="Calibri" w:eastAsia="SimSun" w:hAnsi="Calibri" w:cs="Times New Roman"/>
        </w:rPr>
        <w:t>Q4*: 67.4%-&lt;73.4%</w:t>
      </w:r>
    </w:p>
    <w:p w14:paraId="5DC1B807" w14:textId="77777777" w:rsidR="005865FF" w:rsidRPr="00E84C7F" w:rsidRDefault="005865FF" w:rsidP="005865FF">
      <w:pPr>
        <w:spacing w:before="240" w:after="240" w:line="240" w:lineRule="auto"/>
        <w:rPr>
          <w:rFonts w:ascii="Calibri" w:eastAsia="SimSun" w:hAnsi="Calibri" w:cs="Times New Roman"/>
        </w:rPr>
      </w:pPr>
      <w:r w:rsidRPr="00E84C7F">
        <w:rPr>
          <w:rFonts w:ascii="Calibri" w:eastAsia="SimSun" w:hAnsi="Calibri" w:cs="Times New Roman"/>
        </w:rPr>
        <w:t xml:space="preserve">Q5*: 73.4%-&lt;97.5%  </w:t>
      </w:r>
    </w:p>
    <w:p w14:paraId="6BBDBDC8" w14:textId="77777777" w:rsidR="005865FF" w:rsidRPr="00E84C7F" w:rsidRDefault="005865FF" w:rsidP="005865FF">
      <w:pPr>
        <w:spacing w:before="240" w:after="240" w:line="240" w:lineRule="auto"/>
        <w:rPr>
          <w:rFonts w:ascii="Calibri" w:eastAsia="SimSun" w:hAnsi="Calibri" w:cs="Times New Roman"/>
        </w:rPr>
      </w:pPr>
      <w:r w:rsidRPr="00E84C7F">
        <w:rPr>
          <w:rFonts w:ascii="Calibri" w:eastAsia="SimSun" w:hAnsi="Calibri" w:cs="Times New Roman"/>
        </w:rPr>
        <w:t>*Q4 and Q5 as Reference</w:t>
      </w:r>
    </w:p>
    <w:p w14:paraId="6926884E" w14:textId="77777777" w:rsidR="005865FF" w:rsidRPr="00E84C7F" w:rsidRDefault="005865FF" w:rsidP="005865FF">
      <w:pPr>
        <w:spacing w:before="240" w:after="240" w:line="240" w:lineRule="auto"/>
        <w:rPr>
          <w:rFonts w:ascii="Calibri" w:eastAsia="SimSun" w:hAnsi="Calibri" w:cs="Times New Roman"/>
          <w:szCs w:val="24"/>
        </w:rPr>
      </w:pPr>
      <w:r w:rsidRPr="00E84C7F">
        <w:rPr>
          <w:rFonts w:ascii="Calibri" w:eastAsia="SimSun" w:hAnsi="Calibri" w:cs="Times New Roman"/>
        </w:rPr>
        <w:t xml:space="preserve">Results from the Poisson model indicated that the percent of patient-months with a fistula was significantly associated with </w:t>
      </w:r>
      <w:r>
        <w:rPr>
          <w:rFonts w:ascii="Calibri" w:eastAsia="SimSun" w:hAnsi="Calibri" w:cs="Times New Roman"/>
          <w:szCs w:val="24"/>
        </w:rPr>
        <w:t>the risks of mortality and hospitalization</w:t>
      </w:r>
      <w:r w:rsidRPr="00E84C7F">
        <w:rPr>
          <w:rFonts w:ascii="Calibri" w:eastAsia="SimSun" w:hAnsi="Calibri" w:cs="Times New Roman"/>
        </w:rPr>
        <w:t xml:space="preserve">.  </w:t>
      </w:r>
    </w:p>
    <w:p w14:paraId="064812D9" w14:textId="77777777" w:rsidR="005865FF" w:rsidRPr="00E84C7F" w:rsidRDefault="005865FF" w:rsidP="005865FF">
      <w:pPr>
        <w:spacing w:before="240" w:after="240" w:line="240" w:lineRule="auto"/>
        <w:rPr>
          <w:rFonts w:ascii="Calibri" w:eastAsia="SimSun" w:hAnsi="Calibri" w:cs="Times New Roman"/>
          <w:szCs w:val="24"/>
        </w:rPr>
      </w:pPr>
      <w:r w:rsidRPr="00E84C7F">
        <w:rPr>
          <w:rFonts w:ascii="Calibri" w:eastAsia="SimSun" w:hAnsi="Calibri" w:cs="Times New Roman"/>
          <w:szCs w:val="24"/>
        </w:rPr>
        <w:t>For the 2014 SMR, the relative risk of mortality increased as the performance measure quintile decreased from the reference group (</w:t>
      </w:r>
      <w:r>
        <w:rPr>
          <w:rFonts w:ascii="Calibri" w:eastAsia="SimSun" w:hAnsi="Calibri" w:cs="Times New Roman"/>
          <w:szCs w:val="24"/>
        </w:rPr>
        <w:t>combined</w:t>
      </w:r>
      <w:r w:rsidRPr="00E84C7F">
        <w:rPr>
          <w:rFonts w:ascii="Calibri" w:eastAsia="SimSun" w:hAnsi="Calibri" w:cs="Times New Roman"/>
          <w:szCs w:val="24"/>
        </w:rPr>
        <w:t xml:space="preserve"> </w:t>
      </w:r>
      <w:r>
        <w:rPr>
          <w:rFonts w:ascii="Calibri" w:eastAsia="SimSun" w:hAnsi="Calibri" w:cs="Times New Roman"/>
          <w:szCs w:val="24"/>
        </w:rPr>
        <w:t>Q</w:t>
      </w:r>
      <w:r w:rsidRPr="00E84C7F">
        <w:rPr>
          <w:rFonts w:ascii="Calibri" w:eastAsia="SimSun" w:hAnsi="Calibri" w:cs="Times New Roman"/>
          <w:szCs w:val="24"/>
        </w:rPr>
        <w:t xml:space="preserve">4 and </w:t>
      </w:r>
      <w:r>
        <w:rPr>
          <w:rFonts w:ascii="Calibri" w:eastAsia="SimSun" w:hAnsi="Calibri" w:cs="Times New Roman"/>
          <w:szCs w:val="24"/>
        </w:rPr>
        <w:t>Q</w:t>
      </w:r>
      <w:r w:rsidRPr="00E84C7F">
        <w:rPr>
          <w:rFonts w:ascii="Calibri" w:eastAsia="SimSun" w:hAnsi="Calibri" w:cs="Times New Roman"/>
          <w:szCs w:val="24"/>
        </w:rPr>
        <w:t>5)</w:t>
      </w:r>
      <w:r w:rsidRPr="0097261F">
        <w:t xml:space="preserve"> </w:t>
      </w:r>
      <w:r w:rsidRPr="0097261F">
        <w:rPr>
          <w:rFonts w:ascii="Calibri" w:eastAsia="SimSun" w:hAnsi="Calibri" w:cs="Times New Roman"/>
          <w:szCs w:val="24"/>
        </w:rPr>
        <w:t>with the highest risk in quintile 1</w:t>
      </w:r>
      <w:r w:rsidRPr="00E84C7F">
        <w:rPr>
          <w:rFonts w:ascii="Calibri" w:eastAsia="SimSun" w:hAnsi="Calibri" w:cs="Times New Roman"/>
          <w:szCs w:val="24"/>
        </w:rPr>
        <w:t>. For quintile 3, RR=1.03 (95% CI: 1.01, 1.05</w:t>
      </w:r>
      <w:r>
        <w:rPr>
          <w:rFonts w:ascii="Calibri" w:eastAsia="SimSun" w:hAnsi="Calibri" w:cs="Times New Roman"/>
          <w:szCs w:val="24"/>
        </w:rPr>
        <w:t>; p=0.003</w:t>
      </w:r>
      <w:r w:rsidRPr="00E84C7F">
        <w:rPr>
          <w:rFonts w:ascii="Calibri" w:eastAsia="SimSun" w:hAnsi="Calibri" w:cs="Times New Roman"/>
          <w:szCs w:val="24"/>
        </w:rPr>
        <w:t>), quintile 2, RR=1.05 (95% CI: 1.03, 1.07</w:t>
      </w:r>
      <w:r>
        <w:rPr>
          <w:rFonts w:ascii="Calibri" w:eastAsia="SimSun" w:hAnsi="Calibri" w:cs="Times New Roman"/>
          <w:szCs w:val="24"/>
        </w:rPr>
        <w:t>; p&lt;0.001</w:t>
      </w:r>
      <w:r w:rsidRPr="00E84C7F">
        <w:rPr>
          <w:rFonts w:ascii="Calibri" w:eastAsia="SimSun" w:hAnsi="Calibri" w:cs="Times New Roman"/>
          <w:szCs w:val="24"/>
        </w:rPr>
        <w:t>), and quintile 1, RR=1.1</w:t>
      </w:r>
      <w:r>
        <w:rPr>
          <w:rFonts w:ascii="Calibri" w:eastAsia="SimSun" w:hAnsi="Calibri" w:cs="Times New Roman"/>
          <w:szCs w:val="24"/>
        </w:rPr>
        <w:t>0</w:t>
      </w:r>
      <w:r w:rsidRPr="00E84C7F">
        <w:rPr>
          <w:rFonts w:ascii="Calibri" w:eastAsia="SimSun" w:hAnsi="Calibri" w:cs="Times New Roman"/>
          <w:szCs w:val="24"/>
        </w:rPr>
        <w:t xml:space="preserve"> (95% CI: 1.08, 1.12</w:t>
      </w:r>
      <w:r>
        <w:rPr>
          <w:rFonts w:ascii="Calibri" w:eastAsia="SimSun" w:hAnsi="Calibri" w:cs="Times New Roman"/>
          <w:szCs w:val="24"/>
        </w:rPr>
        <w:t>; p&lt;0.001</w:t>
      </w:r>
      <w:r w:rsidRPr="00E84C7F">
        <w:rPr>
          <w:rFonts w:ascii="Calibri" w:eastAsia="SimSun" w:hAnsi="Calibri" w:cs="Times New Roman"/>
          <w:szCs w:val="24"/>
        </w:rPr>
        <w:t>).</w:t>
      </w:r>
    </w:p>
    <w:p w14:paraId="1607C1A3" w14:textId="77777777" w:rsidR="005865FF" w:rsidRPr="00E84C7F" w:rsidRDefault="005865FF" w:rsidP="005865FF">
      <w:pPr>
        <w:spacing w:before="240" w:after="240" w:line="240" w:lineRule="auto"/>
        <w:rPr>
          <w:rFonts w:ascii="Calibri" w:eastAsia="SimSun" w:hAnsi="Calibri" w:cs="Times New Roman"/>
          <w:szCs w:val="24"/>
        </w:rPr>
      </w:pPr>
      <w:r w:rsidRPr="00E84C7F">
        <w:rPr>
          <w:rFonts w:ascii="Calibri" w:eastAsia="SimSun" w:hAnsi="Calibri" w:cs="Times New Roman"/>
        </w:rPr>
        <w:t xml:space="preserve">Similarly for 2014 SHR, the relative risk of hospitalization increased as the performance measure quintile decreased </w:t>
      </w:r>
      <w:r w:rsidRPr="00E84C7F">
        <w:rPr>
          <w:rFonts w:ascii="Calibri" w:eastAsia="SimSun" w:hAnsi="Calibri" w:cs="Times New Roman"/>
          <w:szCs w:val="24"/>
        </w:rPr>
        <w:t>from the reference group (</w:t>
      </w:r>
      <w:r>
        <w:rPr>
          <w:rFonts w:ascii="Calibri" w:eastAsia="SimSun" w:hAnsi="Calibri" w:cs="Times New Roman"/>
          <w:szCs w:val="24"/>
        </w:rPr>
        <w:t>combined</w:t>
      </w:r>
      <w:r w:rsidRPr="00E84C7F">
        <w:rPr>
          <w:rFonts w:ascii="Calibri" w:eastAsia="SimSun" w:hAnsi="Calibri" w:cs="Times New Roman"/>
          <w:szCs w:val="24"/>
        </w:rPr>
        <w:t xml:space="preserve"> </w:t>
      </w:r>
      <w:r>
        <w:rPr>
          <w:rFonts w:ascii="Calibri" w:eastAsia="SimSun" w:hAnsi="Calibri" w:cs="Times New Roman"/>
          <w:szCs w:val="24"/>
        </w:rPr>
        <w:t>Q</w:t>
      </w:r>
      <w:r w:rsidRPr="00E84C7F">
        <w:rPr>
          <w:rFonts w:ascii="Calibri" w:eastAsia="SimSun" w:hAnsi="Calibri" w:cs="Times New Roman"/>
          <w:szCs w:val="24"/>
        </w:rPr>
        <w:t xml:space="preserve">4 and </w:t>
      </w:r>
      <w:r>
        <w:rPr>
          <w:rFonts w:ascii="Calibri" w:eastAsia="SimSun" w:hAnsi="Calibri" w:cs="Times New Roman"/>
          <w:szCs w:val="24"/>
        </w:rPr>
        <w:t>Q</w:t>
      </w:r>
      <w:r w:rsidRPr="00E84C7F">
        <w:rPr>
          <w:rFonts w:ascii="Calibri" w:eastAsia="SimSun" w:hAnsi="Calibri" w:cs="Times New Roman"/>
          <w:szCs w:val="24"/>
        </w:rPr>
        <w:t>5)</w:t>
      </w:r>
      <w:r w:rsidRPr="00E84C7F">
        <w:rPr>
          <w:rFonts w:ascii="Calibri" w:eastAsia="SimSun" w:hAnsi="Calibri" w:cs="Times New Roman"/>
        </w:rPr>
        <w:t xml:space="preserve"> with the highest risk in quintile 1. </w:t>
      </w:r>
      <w:r w:rsidRPr="00E84C7F">
        <w:rPr>
          <w:rFonts w:ascii="Calibri" w:eastAsia="SimSun" w:hAnsi="Calibri" w:cs="Times New Roman"/>
          <w:szCs w:val="24"/>
        </w:rPr>
        <w:t>For quintile 3, RR=1.07 (95% CI: 1.06, 1.07</w:t>
      </w:r>
      <w:r>
        <w:rPr>
          <w:rFonts w:ascii="Calibri" w:eastAsia="SimSun" w:hAnsi="Calibri" w:cs="Times New Roman"/>
          <w:szCs w:val="24"/>
        </w:rPr>
        <w:t>; p&lt;0.001</w:t>
      </w:r>
      <w:r w:rsidRPr="00E84C7F">
        <w:rPr>
          <w:rFonts w:ascii="Calibri" w:eastAsia="SimSun" w:hAnsi="Calibri" w:cs="Times New Roman"/>
          <w:szCs w:val="24"/>
        </w:rPr>
        <w:t>), quintile 2, RR=1.08 (95% CI: 1.08, 1.09</w:t>
      </w:r>
      <w:r>
        <w:rPr>
          <w:rFonts w:ascii="Calibri" w:eastAsia="SimSun" w:hAnsi="Calibri" w:cs="Times New Roman"/>
          <w:szCs w:val="24"/>
        </w:rPr>
        <w:t>; p&lt;0.001</w:t>
      </w:r>
      <w:r w:rsidRPr="00E84C7F">
        <w:rPr>
          <w:rFonts w:ascii="Calibri" w:eastAsia="SimSun" w:hAnsi="Calibri" w:cs="Times New Roman"/>
          <w:szCs w:val="24"/>
        </w:rPr>
        <w:t>), and quintile 1, RR=1.11 (95% CI: 1.11, 1.11</w:t>
      </w:r>
      <w:r>
        <w:rPr>
          <w:rFonts w:ascii="Calibri" w:eastAsia="SimSun" w:hAnsi="Calibri" w:cs="Times New Roman"/>
          <w:szCs w:val="24"/>
        </w:rPr>
        <w:t>; p&lt;0.001</w:t>
      </w:r>
      <w:r w:rsidRPr="00E84C7F">
        <w:rPr>
          <w:rFonts w:ascii="Calibri" w:eastAsia="SimSun" w:hAnsi="Calibri" w:cs="Times New Roman"/>
          <w:szCs w:val="24"/>
        </w:rPr>
        <w:t>).</w:t>
      </w:r>
    </w:p>
    <w:p w14:paraId="3A0BFD77" w14:textId="478DCE17" w:rsidR="005865FF" w:rsidRDefault="005865FF" w:rsidP="005865FF">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033A60B9" w14:textId="5CF3411C" w:rsidR="009F6DCC" w:rsidRPr="009F6DCC" w:rsidRDefault="00D365E7" w:rsidP="009F6DCC">
      <w:pPr>
        <w:spacing w:before="240" w:after="240" w:line="240" w:lineRule="auto"/>
        <w:rPr>
          <w:rFonts w:ascii="Calibri" w:eastAsia="SimSun" w:hAnsi="Calibri" w:cs="Times New Roman"/>
          <w:color w:val="C00000"/>
        </w:rPr>
      </w:pPr>
      <w:r>
        <w:rPr>
          <w:rFonts w:ascii="Calibri" w:eastAsia="SimSun" w:hAnsi="Calibri" w:cs="Times New Roman"/>
          <w:color w:val="C00000"/>
        </w:rPr>
        <w:t>Cut-points for the q</w:t>
      </w:r>
      <w:r w:rsidR="009F6DCC" w:rsidRPr="009F6DCC">
        <w:rPr>
          <w:rFonts w:ascii="Calibri" w:eastAsia="SimSun" w:hAnsi="Calibri" w:cs="Times New Roman"/>
          <w:color w:val="C00000"/>
        </w:rPr>
        <w:t>uintiles of the performance scores were defined as follows:</w:t>
      </w:r>
    </w:p>
    <w:p w14:paraId="719D5885" w14:textId="7B15ADE1" w:rsidR="009F6DCC" w:rsidRPr="00424C4A" w:rsidRDefault="009F6DCC" w:rsidP="009F6DCC">
      <w:pPr>
        <w:spacing w:before="240" w:after="240" w:line="240" w:lineRule="auto"/>
        <w:rPr>
          <w:rFonts w:ascii="Calibri" w:eastAsia="SimSun" w:hAnsi="Calibri" w:cs="Times New Roman"/>
          <w:color w:val="C00000"/>
        </w:rPr>
      </w:pPr>
      <w:r w:rsidRPr="00424C4A">
        <w:rPr>
          <w:rFonts w:ascii="Calibri" w:eastAsia="SimSun" w:hAnsi="Calibri" w:cs="Times New Roman"/>
          <w:color w:val="C00000"/>
        </w:rPr>
        <w:lastRenderedPageBreak/>
        <w:t>Q1: 55.0%</w:t>
      </w:r>
    </w:p>
    <w:p w14:paraId="3C59D2D1" w14:textId="09BC985D" w:rsidR="009F6DCC" w:rsidRPr="00424C4A" w:rsidRDefault="009F6DCC" w:rsidP="009F6DCC">
      <w:pPr>
        <w:spacing w:before="240" w:after="240" w:line="240" w:lineRule="auto"/>
        <w:rPr>
          <w:rFonts w:ascii="Calibri" w:eastAsia="SimSun" w:hAnsi="Calibri" w:cs="Times New Roman"/>
          <w:color w:val="C00000"/>
        </w:rPr>
      </w:pPr>
      <w:r w:rsidRPr="00424C4A">
        <w:rPr>
          <w:rFonts w:ascii="Calibri" w:eastAsia="SimSun" w:hAnsi="Calibri" w:cs="Times New Roman"/>
          <w:color w:val="C00000"/>
        </w:rPr>
        <w:t>Q2: 61.3%</w:t>
      </w:r>
    </w:p>
    <w:p w14:paraId="5CF96714" w14:textId="232DD292" w:rsidR="009F6DCC" w:rsidRPr="00424C4A" w:rsidRDefault="009F6DCC" w:rsidP="009F6DCC">
      <w:pPr>
        <w:spacing w:before="240" w:after="240" w:line="240" w:lineRule="auto"/>
        <w:rPr>
          <w:rFonts w:ascii="Calibri" w:eastAsia="SimSun" w:hAnsi="Calibri" w:cs="Times New Roman"/>
          <w:color w:val="C00000"/>
        </w:rPr>
      </w:pPr>
      <w:r w:rsidRPr="00424C4A">
        <w:rPr>
          <w:rFonts w:ascii="Calibri" w:eastAsia="SimSun" w:hAnsi="Calibri" w:cs="Times New Roman"/>
          <w:color w:val="C00000"/>
        </w:rPr>
        <w:t>Q3: 66.5%</w:t>
      </w:r>
    </w:p>
    <w:p w14:paraId="66F44B39" w14:textId="2FF3FA04" w:rsidR="009F6DCC" w:rsidRPr="00424C4A" w:rsidRDefault="009F6DCC" w:rsidP="009F6DCC">
      <w:pPr>
        <w:spacing w:before="240" w:after="240" w:line="240" w:lineRule="auto"/>
        <w:rPr>
          <w:rFonts w:ascii="Calibri" w:eastAsia="SimSun" w:hAnsi="Calibri" w:cs="Times New Roman"/>
          <w:color w:val="C00000"/>
        </w:rPr>
      </w:pPr>
      <w:r w:rsidRPr="00424C4A">
        <w:rPr>
          <w:rFonts w:ascii="Calibri" w:eastAsia="SimSun" w:hAnsi="Calibri" w:cs="Times New Roman"/>
          <w:color w:val="C00000"/>
        </w:rPr>
        <w:t>Q4*: 72.1%</w:t>
      </w:r>
    </w:p>
    <w:p w14:paraId="44F6A532" w14:textId="3DCB302A" w:rsidR="009F6DCC" w:rsidRPr="00DD0847" w:rsidRDefault="009F6DCC" w:rsidP="009F6DCC">
      <w:pPr>
        <w:spacing w:before="240" w:after="240" w:line="240" w:lineRule="auto"/>
        <w:rPr>
          <w:rFonts w:ascii="Calibri" w:eastAsia="SimSun" w:hAnsi="Calibri" w:cs="Times New Roman"/>
          <w:color w:val="C00000"/>
        </w:rPr>
      </w:pPr>
      <w:r w:rsidRPr="00424C4A">
        <w:rPr>
          <w:rFonts w:ascii="Calibri" w:eastAsia="SimSun" w:hAnsi="Calibri" w:cs="Times New Roman"/>
          <w:color w:val="C00000"/>
        </w:rPr>
        <w:t>Q5*: 98.2%</w:t>
      </w:r>
      <w:r w:rsidRPr="00DD0847">
        <w:rPr>
          <w:rFonts w:ascii="Calibri" w:eastAsia="SimSun" w:hAnsi="Calibri" w:cs="Times New Roman"/>
          <w:color w:val="C00000"/>
        </w:rPr>
        <w:t xml:space="preserve">  </w:t>
      </w:r>
    </w:p>
    <w:p w14:paraId="452C40B0" w14:textId="77777777" w:rsidR="009F6DCC" w:rsidRPr="00DD0847" w:rsidRDefault="009F6DCC" w:rsidP="009F6DCC">
      <w:pPr>
        <w:spacing w:before="240" w:after="240" w:line="240" w:lineRule="auto"/>
        <w:rPr>
          <w:rFonts w:ascii="Calibri" w:eastAsia="SimSun" w:hAnsi="Calibri" w:cs="Times New Roman"/>
          <w:color w:val="C00000"/>
        </w:rPr>
      </w:pPr>
      <w:r w:rsidRPr="00DD0847">
        <w:rPr>
          <w:rFonts w:ascii="Calibri" w:eastAsia="SimSun" w:hAnsi="Calibri" w:cs="Times New Roman"/>
          <w:color w:val="C00000"/>
        </w:rPr>
        <w:t>*Q4 and Q5 as Reference</w:t>
      </w:r>
    </w:p>
    <w:p w14:paraId="4DBA6B64" w14:textId="77777777" w:rsidR="009F6DCC" w:rsidRPr="00DD0847" w:rsidRDefault="009F6DCC" w:rsidP="009F6DCC">
      <w:pPr>
        <w:spacing w:before="240" w:after="240" w:line="240" w:lineRule="auto"/>
        <w:rPr>
          <w:rFonts w:ascii="Calibri" w:eastAsia="SimSun" w:hAnsi="Calibri" w:cs="Times New Roman"/>
          <w:color w:val="C00000"/>
          <w:szCs w:val="24"/>
        </w:rPr>
      </w:pPr>
      <w:r w:rsidRPr="00DD0847">
        <w:rPr>
          <w:rFonts w:ascii="Calibri" w:eastAsia="SimSun" w:hAnsi="Calibri" w:cs="Times New Roman"/>
          <w:color w:val="C00000"/>
        </w:rPr>
        <w:t xml:space="preserve">Results from the Poisson model indicated that the percent of patient-months with a fistula was significantly associated with </w:t>
      </w:r>
      <w:r w:rsidRPr="00DD0847">
        <w:rPr>
          <w:rFonts w:ascii="Calibri" w:eastAsia="SimSun" w:hAnsi="Calibri" w:cs="Times New Roman"/>
          <w:color w:val="C00000"/>
          <w:szCs w:val="24"/>
        </w:rPr>
        <w:t>the risks of mortality and hospitalization</w:t>
      </w:r>
      <w:r w:rsidRPr="00DD0847">
        <w:rPr>
          <w:rFonts w:ascii="Calibri" w:eastAsia="SimSun" w:hAnsi="Calibri" w:cs="Times New Roman"/>
          <w:color w:val="C00000"/>
        </w:rPr>
        <w:t xml:space="preserve">.  </w:t>
      </w:r>
    </w:p>
    <w:p w14:paraId="03B6B1CD" w14:textId="3BD227C5" w:rsidR="009F6DCC" w:rsidRPr="00DD0847" w:rsidRDefault="009F6DCC" w:rsidP="009F6DCC">
      <w:pPr>
        <w:spacing w:before="240" w:after="240" w:line="240" w:lineRule="auto"/>
        <w:rPr>
          <w:rFonts w:ascii="Calibri" w:eastAsia="SimSun" w:hAnsi="Calibri" w:cs="Times New Roman"/>
          <w:color w:val="C00000"/>
          <w:szCs w:val="24"/>
        </w:rPr>
      </w:pPr>
      <w:r w:rsidRPr="00DD0847">
        <w:rPr>
          <w:rFonts w:ascii="Calibri" w:eastAsia="SimSun" w:hAnsi="Calibri" w:cs="Times New Roman"/>
          <w:color w:val="C00000"/>
          <w:szCs w:val="24"/>
        </w:rPr>
        <w:t>For the 2018 SMR, the relative risk of mortality increased as the performance measure quintile decreased from the reference group (combined Q4 and Q5)</w:t>
      </w:r>
      <w:r w:rsidRPr="00DD0847">
        <w:rPr>
          <w:color w:val="C00000"/>
        </w:rPr>
        <w:t xml:space="preserve"> </w:t>
      </w:r>
      <w:r w:rsidRPr="00DD0847">
        <w:rPr>
          <w:rFonts w:ascii="Calibri" w:eastAsia="SimSun" w:hAnsi="Calibri" w:cs="Times New Roman"/>
          <w:color w:val="C00000"/>
          <w:szCs w:val="24"/>
        </w:rPr>
        <w:t xml:space="preserve">with the highest risk in quintile 1. For </w:t>
      </w:r>
      <w:r w:rsidRPr="00424C4A">
        <w:rPr>
          <w:rFonts w:ascii="Calibri" w:eastAsia="SimSun" w:hAnsi="Calibri" w:cs="Times New Roman"/>
          <w:color w:val="C00000"/>
          <w:szCs w:val="24"/>
        </w:rPr>
        <w:t>quintile 3, RR=1.05 (95% CI: 1.02, 1.07; p&lt;0.001), quintile 2, RR=1.05 (95% CI: 1.03, 1.08; p&lt;0.001), and quintile 1, RR=1.08 (95% CI: 1.06, 1.10; p&lt;0.001).</w:t>
      </w:r>
    </w:p>
    <w:p w14:paraId="12CFAA1E" w14:textId="0748750C" w:rsidR="009F6DCC" w:rsidRPr="009F6DCC" w:rsidRDefault="009F6DCC" w:rsidP="009F6DCC">
      <w:pPr>
        <w:spacing w:before="240" w:after="240" w:line="240" w:lineRule="auto"/>
        <w:rPr>
          <w:rFonts w:ascii="Calibri" w:eastAsia="SimSun" w:hAnsi="Calibri" w:cs="Times New Roman"/>
          <w:color w:val="C00000"/>
          <w:szCs w:val="24"/>
        </w:rPr>
      </w:pPr>
      <w:r w:rsidRPr="00DD0847">
        <w:rPr>
          <w:rFonts w:ascii="Calibri" w:eastAsia="SimSun" w:hAnsi="Calibri" w:cs="Times New Roman"/>
          <w:color w:val="C00000"/>
        </w:rPr>
        <w:t xml:space="preserve">Similarly for 2018 SHR, the relative risk of hospitalization increased as the performance measure quintile decreased </w:t>
      </w:r>
      <w:r w:rsidRPr="00DD0847">
        <w:rPr>
          <w:rFonts w:ascii="Calibri" w:eastAsia="SimSun" w:hAnsi="Calibri" w:cs="Times New Roman"/>
          <w:color w:val="C00000"/>
          <w:szCs w:val="24"/>
        </w:rPr>
        <w:t>from the reference group (combined Q4 and Q5)</w:t>
      </w:r>
      <w:r w:rsidRPr="00DD0847">
        <w:rPr>
          <w:rFonts w:ascii="Calibri" w:eastAsia="SimSun" w:hAnsi="Calibri" w:cs="Times New Roman"/>
          <w:color w:val="C00000"/>
        </w:rPr>
        <w:t xml:space="preserve"> with the highest risk in quintile 1. </w:t>
      </w:r>
      <w:r w:rsidRPr="00DD0847">
        <w:rPr>
          <w:rFonts w:ascii="Calibri" w:eastAsia="SimSun" w:hAnsi="Calibri" w:cs="Times New Roman"/>
          <w:color w:val="C00000"/>
          <w:szCs w:val="24"/>
        </w:rPr>
        <w:t xml:space="preserve">For </w:t>
      </w:r>
      <w:r w:rsidRPr="00424C4A">
        <w:rPr>
          <w:rFonts w:ascii="Calibri" w:eastAsia="SimSun" w:hAnsi="Calibri" w:cs="Times New Roman"/>
          <w:color w:val="C00000"/>
          <w:szCs w:val="24"/>
        </w:rPr>
        <w:t>quintile 3, RR=1.04 (95% CI: 1.03, 1.05; p&lt;0.001), quintile 2, RR=1.05 (95% CI: 1.05, 1.06; p&lt;0.001), and quintile 1, RR=1.09 (95% CI: 1.08, 1.10; p&lt;0.001).</w:t>
      </w:r>
    </w:p>
    <w:p w14:paraId="262822F2" w14:textId="77777777" w:rsidR="009F6DCC" w:rsidRPr="009F6DCC" w:rsidRDefault="009F6DCC" w:rsidP="005865FF">
      <w:pPr>
        <w:autoSpaceDE w:val="0"/>
        <w:autoSpaceDN w:val="0"/>
        <w:adjustRightInd w:val="0"/>
        <w:spacing w:after="0" w:line="240" w:lineRule="auto"/>
        <w:rPr>
          <w:rFonts w:cstheme="minorHAnsi"/>
          <w:b/>
          <w:bCs/>
          <w:color w:val="C00000"/>
          <w:u w:val="single"/>
        </w:rPr>
      </w:pPr>
    </w:p>
    <w:p w14:paraId="2AD7C90B" w14:textId="77777777" w:rsidR="005865FF" w:rsidRPr="00092566" w:rsidRDefault="005865FF" w:rsidP="00092566">
      <w:pPr>
        <w:autoSpaceDE w:val="0"/>
        <w:autoSpaceDN w:val="0"/>
        <w:adjustRightInd w:val="0"/>
        <w:spacing w:after="0" w:line="240" w:lineRule="auto"/>
        <w:rPr>
          <w:rFonts w:cstheme="minorHAnsi"/>
          <w:bCs/>
        </w:rPr>
      </w:pPr>
    </w:p>
    <w:p w14:paraId="0CABCFDF" w14:textId="6D7C54CD" w:rsidR="007422FD"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55CE1D34" w14:textId="40EEC861" w:rsidR="005865FF" w:rsidRDefault="005865FF" w:rsidP="00DB3627">
      <w:pPr>
        <w:autoSpaceDE w:val="0"/>
        <w:autoSpaceDN w:val="0"/>
        <w:adjustRightInd w:val="0"/>
        <w:spacing w:after="0" w:line="240" w:lineRule="auto"/>
        <w:rPr>
          <w:rFonts w:ascii="Calibri" w:eastAsia="SimSun" w:hAnsi="Calibri" w:cs="Times New Roman"/>
          <w:szCs w:val="24"/>
        </w:rPr>
      </w:pPr>
      <w:r w:rsidRPr="004C5689">
        <w:rPr>
          <w:rFonts w:ascii="Calibri" w:eastAsia="SimSun" w:hAnsi="Calibri" w:cs="Times New Roman"/>
          <w:szCs w:val="24"/>
        </w:rPr>
        <w:t xml:space="preserve">These results of the Poisson regression suggest the predictive relationship of lower fistula use with higher mortality and hospitalization, as measured by the respective standardized mortality and hospitalization rates, </w:t>
      </w:r>
      <w:r>
        <w:rPr>
          <w:rFonts w:ascii="Calibri" w:eastAsia="SimSun" w:hAnsi="Calibri" w:cs="Times New Roman"/>
          <w:szCs w:val="24"/>
        </w:rPr>
        <w:t xml:space="preserve">and </w:t>
      </w:r>
      <w:r w:rsidRPr="004C5689">
        <w:rPr>
          <w:rFonts w:ascii="Calibri" w:eastAsia="SimSun" w:hAnsi="Calibri" w:cs="Times New Roman"/>
          <w:szCs w:val="24"/>
        </w:rPr>
        <w:t>compared to facilities with higher fistula use.</w:t>
      </w:r>
    </w:p>
    <w:p w14:paraId="2389F666" w14:textId="6B9C91C1" w:rsidR="005865FF" w:rsidRDefault="005865FF" w:rsidP="00DB3627">
      <w:pPr>
        <w:autoSpaceDE w:val="0"/>
        <w:autoSpaceDN w:val="0"/>
        <w:adjustRightInd w:val="0"/>
        <w:spacing w:after="0" w:line="240" w:lineRule="auto"/>
        <w:rPr>
          <w:rFonts w:ascii="Calibri" w:eastAsia="SimSun" w:hAnsi="Calibri" w:cs="Times New Roman"/>
          <w:szCs w:val="24"/>
        </w:rPr>
      </w:pPr>
    </w:p>
    <w:p w14:paraId="1CE5C468" w14:textId="77777777" w:rsidR="005865FF" w:rsidRPr="00AD7234" w:rsidRDefault="005865FF" w:rsidP="005865FF">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2C3B2EF6" w14:textId="77777777" w:rsidR="009F6DCC" w:rsidRDefault="009F6DCC" w:rsidP="009F6DCC">
      <w:pPr>
        <w:autoSpaceDE w:val="0"/>
        <w:autoSpaceDN w:val="0"/>
        <w:adjustRightInd w:val="0"/>
        <w:spacing w:after="0" w:line="240" w:lineRule="auto"/>
        <w:rPr>
          <w:rFonts w:cstheme="minorHAnsi"/>
          <w:bCs/>
        </w:rPr>
      </w:pPr>
    </w:p>
    <w:p w14:paraId="75856470" w14:textId="7F8D7E8A" w:rsidR="009F6DCC" w:rsidRPr="009F6DCC" w:rsidRDefault="009F6DCC" w:rsidP="009F6DCC">
      <w:pPr>
        <w:autoSpaceDE w:val="0"/>
        <w:autoSpaceDN w:val="0"/>
        <w:adjustRightInd w:val="0"/>
        <w:spacing w:after="0" w:line="240" w:lineRule="auto"/>
        <w:rPr>
          <w:rFonts w:ascii="Calibri" w:eastAsia="SimSun" w:hAnsi="Calibri" w:cs="Times New Roman"/>
          <w:color w:val="C00000"/>
          <w:szCs w:val="24"/>
        </w:rPr>
      </w:pPr>
      <w:r w:rsidRPr="009F6DCC">
        <w:rPr>
          <w:rFonts w:ascii="Calibri" w:eastAsia="SimSun" w:hAnsi="Calibri" w:cs="Times New Roman"/>
          <w:color w:val="C00000"/>
          <w:szCs w:val="24"/>
        </w:rPr>
        <w:t xml:space="preserve">These results of the Poisson regression suggest </w:t>
      </w:r>
      <w:r w:rsidR="00E150B7">
        <w:rPr>
          <w:rFonts w:ascii="Calibri" w:eastAsia="SimSun" w:hAnsi="Calibri" w:cs="Times New Roman"/>
          <w:color w:val="C00000"/>
          <w:szCs w:val="24"/>
        </w:rPr>
        <w:t xml:space="preserve">that </w:t>
      </w:r>
      <w:r w:rsidRPr="009F6DCC">
        <w:rPr>
          <w:rFonts w:ascii="Calibri" w:eastAsia="SimSun" w:hAnsi="Calibri" w:cs="Times New Roman"/>
          <w:color w:val="C00000"/>
          <w:szCs w:val="24"/>
        </w:rPr>
        <w:t xml:space="preserve">lower fistula use </w:t>
      </w:r>
      <w:r w:rsidR="00E150B7">
        <w:rPr>
          <w:rFonts w:ascii="Calibri" w:eastAsia="SimSun" w:hAnsi="Calibri" w:cs="Times New Roman"/>
          <w:color w:val="C00000"/>
          <w:szCs w:val="24"/>
        </w:rPr>
        <w:t xml:space="preserve">is associated </w:t>
      </w:r>
      <w:r w:rsidRPr="009F6DCC">
        <w:rPr>
          <w:rFonts w:ascii="Calibri" w:eastAsia="SimSun" w:hAnsi="Calibri" w:cs="Times New Roman"/>
          <w:color w:val="C00000"/>
          <w:szCs w:val="24"/>
        </w:rPr>
        <w:t xml:space="preserve">with higher </w:t>
      </w:r>
      <w:r w:rsidR="00E150B7">
        <w:rPr>
          <w:rFonts w:ascii="Calibri" w:eastAsia="SimSun" w:hAnsi="Calibri" w:cs="Times New Roman"/>
          <w:color w:val="C00000"/>
          <w:szCs w:val="24"/>
        </w:rPr>
        <w:t xml:space="preserve">risk of </w:t>
      </w:r>
      <w:r w:rsidRPr="009F6DCC">
        <w:rPr>
          <w:rFonts w:ascii="Calibri" w:eastAsia="SimSun" w:hAnsi="Calibri" w:cs="Times New Roman"/>
          <w:color w:val="C00000"/>
          <w:szCs w:val="24"/>
        </w:rPr>
        <w:t>mortality and hospitalization</w:t>
      </w:r>
      <w:r w:rsidR="00497F60">
        <w:rPr>
          <w:rFonts w:ascii="Calibri" w:eastAsia="SimSun" w:hAnsi="Calibri" w:cs="Times New Roman"/>
          <w:color w:val="C00000"/>
          <w:szCs w:val="24"/>
        </w:rPr>
        <w:t xml:space="preserve"> (</w:t>
      </w:r>
      <w:r w:rsidRPr="009F6DCC">
        <w:rPr>
          <w:rFonts w:ascii="Calibri" w:eastAsia="SimSun" w:hAnsi="Calibri" w:cs="Times New Roman"/>
          <w:color w:val="C00000"/>
          <w:szCs w:val="24"/>
        </w:rPr>
        <w:t xml:space="preserve">measured by the respective standardized mortality and hospitalization </w:t>
      </w:r>
      <w:r w:rsidR="00F72691">
        <w:rPr>
          <w:rFonts w:ascii="Calibri" w:eastAsia="SimSun" w:hAnsi="Calibri" w:cs="Times New Roman"/>
          <w:color w:val="C00000"/>
          <w:szCs w:val="24"/>
        </w:rPr>
        <w:t>ratios</w:t>
      </w:r>
      <w:r w:rsidR="00497F60">
        <w:rPr>
          <w:rFonts w:ascii="Calibri" w:eastAsia="SimSun" w:hAnsi="Calibri" w:cs="Times New Roman"/>
          <w:color w:val="C00000"/>
          <w:szCs w:val="24"/>
        </w:rPr>
        <w:t>)</w:t>
      </w:r>
      <w:r w:rsidRPr="009F6DCC">
        <w:rPr>
          <w:rFonts w:ascii="Calibri" w:eastAsia="SimSun" w:hAnsi="Calibri" w:cs="Times New Roman"/>
          <w:color w:val="C00000"/>
          <w:szCs w:val="24"/>
        </w:rPr>
        <w:t xml:space="preserve">, </w:t>
      </w:r>
      <w:r w:rsidR="00E150B7">
        <w:rPr>
          <w:rFonts w:ascii="Calibri" w:eastAsia="SimSun" w:hAnsi="Calibri" w:cs="Times New Roman"/>
          <w:color w:val="C00000"/>
          <w:szCs w:val="24"/>
        </w:rPr>
        <w:t xml:space="preserve">as </w:t>
      </w:r>
      <w:r w:rsidRPr="009F6DCC">
        <w:rPr>
          <w:rFonts w:ascii="Calibri" w:eastAsia="SimSun" w:hAnsi="Calibri" w:cs="Times New Roman"/>
          <w:color w:val="C00000"/>
          <w:szCs w:val="24"/>
        </w:rPr>
        <w:t xml:space="preserve">compared to facilities with higher </w:t>
      </w:r>
      <w:r w:rsidR="00712C19">
        <w:rPr>
          <w:rFonts w:ascii="Calibri" w:eastAsia="SimSun" w:hAnsi="Calibri" w:cs="Times New Roman"/>
          <w:color w:val="C00000"/>
          <w:szCs w:val="24"/>
        </w:rPr>
        <w:t xml:space="preserve">standardized </w:t>
      </w:r>
      <w:r w:rsidRPr="009F6DCC">
        <w:rPr>
          <w:rFonts w:ascii="Calibri" w:eastAsia="SimSun" w:hAnsi="Calibri" w:cs="Times New Roman"/>
          <w:color w:val="C00000"/>
          <w:szCs w:val="24"/>
        </w:rPr>
        <w:t xml:space="preserve">fistula </w:t>
      </w:r>
      <w:r w:rsidR="00712C19">
        <w:rPr>
          <w:rFonts w:ascii="Calibri" w:eastAsia="SimSun" w:hAnsi="Calibri" w:cs="Times New Roman"/>
          <w:color w:val="C00000"/>
          <w:szCs w:val="24"/>
        </w:rPr>
        <w:t>rates</w:t>
      </w:r>
      <w:r w:rsidRPr="009F6DCC">
        <w:rPr>
          <w:rFonts w:ascii="Calibri" w:eastAsia="SimSun" w:hAnsi="Calibri" w:cs="Times New Roman"/>
          <w:color w:val="C00000"/>
          <w:szCs w:val="24"/>
        </w:rPr>
        <w:t>.</w:t>
      </w:r>
    </w:p>
    <w:p w14:paraId="709091E5" w14:textId="77777777" w:rsidR="005865FF" w:rsidRPr="00A25024" w:rsidRDefault="005865FF"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5DCD9295" w14:textId="77777777" w:rsidR="005865FF" w:rsidRPr="004C5689" w:rsidRDefault="005865FF" w:rsidP="005865FF">
      <w:pPr>
        <w:spacing w:after="120" w:line="240" w:lineRule="auto"/>
        <w:rPr>
          <w:rFonts w:ascii="Calibri" w:eastAsia="Calibri" w:hAnsi="Calibri" w:cs="Times New Roman"/>
          <w:b/>
          <w:szCs w:val="20"/>
        </w:rPr>
      </w:pPr>
      <w:r w:rsidRPr="004C5689">
        <w:rPr>
          <w:rFonts w:ascii="Calibri" w:eastAsia="Calibri" w:hAnsi="Calibri" w:cs="Times New Roman"/>
          <w:szCs w:val="20"/>
        </w:rPr>
        <w:t>The following exclusions are applied to the denominator:</w:t>
      </w:r>
    </w:p>
    <w:p w14:paraId="327D453B" w14:textId="77777777" w:rsidR="005865FF" w:rsidRPr="004C5689" w:rsidRDefault="005865FF" w:rsidP="005865FF">
      <w:pPr>
        <w:spacing w:after="120" w:line="240" w:lineRule="auto"/>
        <w:rPr>
          <w:rFonts w:ascii="Calibri" w:eastAsia="Calibri" w:hAnsi="Calibri" w:cs="Times New Roman"/>
          <w:szCs w:val="20"/>
        </w:rPr>
      </w:pPr>
      <w:r w:rsidRPr="004C5689">
        <w:rPr>
          <w:rFonts w:ascii="Calibri" w:eastAsia="Calibri" w:hAnsi="Calibri" w:cs="Times New Roman"/>
          <w:szCs w:val="20"/>
        </w:rPr>
        <w:lastRenderedPageBreak/>
        <w:t>Patients with a catheter that have limited life expectancy</w:t>
      </w:r>
      <w:r>
        <w:rPr>
          <w:rFonts w:ascii="Calibri" w:eastAsia="Calibri" w:hAnsi="Calibri" w:cs="Times New Roman"/>
          <w:szCs w:val="20"/>
        </w:rPr>
        <w:t>. Limited life expectancy is defined as:</w:t>
      </w:r>
    </w:p>
    <w:p w14:paraId="0AD5BFE1" w14:textId="77777777" w:rsidR="005865FF" w:rsidRPr="004C5689" w:rsidRDefault="005865FF" w:rsidP="005865FF">
      <w:pPr>
        <w:numPr>
          <w:ilvl w:val="0"/>
          <w:numId w:val="32"/>
        </w:numPr>
        <w:spacing w:after="120" w:line="240" w:lineRule="auto"/>
        <w:ind w:left="1440"/>
        <w:contextualSpacing/>
        <w:rPr>
          <w:rFonts w:ascii="Calibri" w:eastAsia="MS Mincho" w:hAnsi="Calibri" w:cs="Times New Roman"/>
          <w:b/>
          <w:szCs w:val="20"/>
        </w:rPr>
      </w:pPr>
      <w:r w:rsidRPr="004C5689">
        <w:rPr>
          <w:rFonts w:ascii="Calibri" w:eastAsia="MS Mincho" w:hAnsi="Calibri" w:cs="Times New Roman"/>
          <w:szCs w:val="20"/>
        </w:rPr>
        <w:t>Patients under hospice care in the current reporting month</w:t>
      </w:r>
    </w:p>
    <w:p w14:paraId="452ECD3D" w14:textId="77777777" w:rsidR="005865FF" w:rsidRPr="004C5689" w:rsidRDefault="005865FF" w:rsidP="005865FF">
      <w:pPr>
        <w:numPr>
          <w:ilvl w:val="0"/>
          <w:numId w:val="32"/>
        </w:numPr>
        <w:spacing w:after="120" w:line="240" w:lineRule="auto"/>
        <w:ind w:left="1440"/>
        <w:contextualSpacing/>
        <w:rPr>
          <w:rFonts w:ascii="Calibri" w:eastAsia="MS Mincho" w:hAnsi="Calibri" w:cs="Times New Roman"/>
          <w:b/>
          <w:szCs w:val="20"/>
        </w:rPr>
      </w:pPr>
      <w:r w:rsidRPr="004C5689">
        <w:rPr>
          <w:rFonts w:ascii="Calibri" w:eastAsia="MS Mincho" w:hAnsi="Calibri" w:cs="Times New Roman"/>
          <w:szCs w:val="20"/>
        </w:rPr>
        <w:t>Patients with metastatic cancer in the past 12 months</w:t>
      </w:r>
    </w:p>
    <w:p w14:paraId="2F848756" w14:textId="77777777" w:rsidR="005865FF" w:rsidRPr="004C5689" w:rsidRDefault="005865FF" w:rsidP="005865FF">
      <w:pPr>
        <w:numPr>
          <w:ilvl w:val="0"/>
          <w:numId w:val="32"/>
        </w:numPr>
        <w:spacing w:after="120" w:line="240" w:lineRule="auto"/>
        <w:ind w:left="1440"/>
        <w:contextualSpacing/>
        <w:rPr>
          <w:rFonts w:ascii="Calibri" w:eastAsia="MS Mincho" w:hAnsi="Calibri" w:cs="Times New Roman"/>
          <w:b/>
          <w:szCs w:val="20"/>
        </w:rPr>
      </w:pPr>
      <w:r w:rsidRPr="004C5689">
        <w:rPr>
          <w:rFonts w:ascii="Calibri" w:eastAsia="MS Mincho" w:hAnsi="Calibri" w:cs="Times New Roman"/>
          <w:szCs w:val="20"/>
        </w:rPr>
        <w:t>Patients with end stage liver disease in the past 12 months</w:t>
      </w:r>
    </w:p>
    <w:p w14:paraId="0A48B07B" w14:textId="77777777" w:rsidR="005865FF" w:rsidRPr="004C5689" w:rsidRDefault="005865FF" w:rsidP="005865FF">
      <w:pPr>
        <w:numPr>
          <w:ilvl w:val="0"/>
          <w:numId w:val="32"/>
        </w:numPr>
        <w:spacing w:after="120" w:line="240" w:lineRule="auto"/>
        <w:ind w:left="1440"/>
        <w:contextualSpacing/>
        <w:rPr>
          <w:rFonts w:ascii="Calibri" w:eastAsia="MS Mincho" w:hAnsi="Calibri" w:cs="Times New Roman"/>
          <w:b/>
          <w:szCs w:val="20"/>
        </w:rPr>
      </w:pPr>
      <w:r w:rsidRPr="004C5689">
        <w:rPr>
          <w:rFonts w:ascii="Calibri" w:eastAsia="MS Mincho" w:hAnsi="Calibri" w:cs="Times New Roman"/>
          <w:szCs w:val="20"/>
        </w:rPr>
        <w:t>Patients with coma or anoxic brain injury in the past 12 months</w:t>
      </w:r>
    </w:p>
    <w:p w14:paraId="21A7280A" w14:textId="77777777" w:rsidR="005865FF" w:rsidRDefault="005865FF" w:rsidP="005865FF">
      <w:pPr>
        <w:autoSpaceDE w:val="0"/>
        <w:autoSpaceDN w:val="0"/>
        <w:adjustRightInd w:val="0"/>
        <w:spacing w:after="0" w:line="240" w:lineRule="auto"/>
        <w:rPr>
          <w:rFonts w:ascii="Calibri" w:eastAsia="SimSun" w:hAnsi="Calibri" w:cs="Times New Roman"/>
        </w:rPr>
      </w:pPr>
    </w:p>
    <w:p w14:paraId="24B7DACE" w14:textId="77777777" w:rsidR="005865FF" w:rsidRDefault="005865FF" w:rsidP="005865FF">
      <w:pPr>
        <w:autoSpaceDE w:val="0"/>
        <w:autoSpaceDN w:val="0"/>
        <w:adjustRightInd w:val="0"/>
        <w:spacing w:after="0" w:line="240" w:lineRule="auto"/>
        <w:rPr>
          <w:rFonts w:cstheme="minorHAnsi"/>
          <w:bCs/>
        </w:rPr>
      </w:pPr>
      <w:r w:rsidRPr="004C5689">
        <w:rPr>
          <w:rFonts w:ascii="Calibri" w:eastAsia="SimSun" w:hAnsi="Calibri" w:cs="Times New Roman"/>
        </w:rPr>
        <w:t>The facility-level standardized fistula rate with and without the patient-month exclusions are calculated and compared.</w:t>
      </w:r>
    </w:p>
    <w:p w14:paraId="0CABCFE5" w14:textId="1A2116B6" w:rsidR="00833325" w:rsidRDefault="00833325" w:rsidP="00DB3627">
      <w:pPr>
        <w:autoSpaceDE w:val="0"/>
        <w:autoSpaceDN w:val="0"/>
        <w:adjustRightInd w:val="0"/>
        <w:spacing w:after="0" w:line="240" w:lineRule="auto"/>
        <w:rPr>
          <w:rFonts w:cstheme="minorHAnsi"/>
          <w:bCs/>
        </w:rPr>
      </w:pPr>
    </w:p>
    <w:p w14:paraId="38787DAF" w14:textId="15C7D0A1" w:rsidR="009F6DCC" w:rsidRDefault="005865FF" w:rsidP="005865FF">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73F7AC78" w14:textId="65E50D92" w:rsidR="00D35EB3" w:rsidRDefault="009F6DCC" w:rsidP="00CA3B6A">
      <w:pPr>
        <w:autoSpaceDE w:val="0"/>
        <w:autoSpaceDN w:val="0"/>
        <w:adjustRightInd w:val="0"/>
        <w:spacing w:after="0" w:line="240" w:lineRule="auto"/>
        <w:rPr>
          <w:rFonts w:cstheme="minorHAnsi"/>
          <w:bCs/>
          <w:color w:val="C00000"/>
        </w:rPr>
      </w:pPr>
      <w:r w:rsidRPr="009F6DCC">
        <w:rPr>
          <w:rFonts w:cstheme="minorHAnsi"/>
          <w:bCs/>
          <w:color w:val="C00000"/>
        </w:rPr>
        <w:t xml:space="preserve">The analyses described above were </w:t>
      </w:r>
      <w:r w:rsidR="006C173A">
        <w:rPr>
          <w:rFonts w:cstheme="minorHAnsi"/>
          <w:bCs/>
          <w:color w:val="C00000"/>
        </w:rPr>
        <w:t>carried out</w:t>
      </w:r>
      <w:r w:rsidR="006C173A" w:rsidRPr="009F6DCC">
        <w:rPr>
          <w:rFonts w:cstheme="minorHAnsi"/>
          <w:bCs/>
          <w:color w:val="C00000"/>
        </w:rPr>
        <w:t xml:space="preserve"> </w:t>
      </w:r>
      <w:r w:rsidRPr="009F6DCC">
        <w:rPr>
          <w:rFonts w:cstheme="minorHAnsi"/>
          <w:bCs/>
          <w:color w:val="C00000"/>
        </w:rPr>
        <w:t xml:space="preserve">for this submission, using 2018 data. </w:t>
      </w:r>
      <w:r w:rsidR="00D35EB3">
        <w:rPr>
          <w:rFonts w:cstheme="minorHAnsi"/>
          <w:bCs/>
          <w:color w:val="C00000"/>
        </w:rPr>
        <w:t xml:space="preserve">Medicare inpatient and outpatient claims were used to </w:t>
      </w:r>
      <w:r w:rsidR="009D4E53">
        <w:rPr>
          <w:rFonts w:cstheme="minorHAnsi"/>
          <w:bCs/>
          <w:color w:val="C00000"/>
        </w:rPr>
        <w:t xml:space="preserve">determine the presence of </w:t>
      </w:r>
      <w:r w:rsidR="00D35EB3">
        <w:rPr>
          <w:rFonts w:cstheme="minorHAnsi"/>
          <w:bCs/>
          <w:color w:val="C00000"/>
        </w:rPr>
        <w:t>the exclusion condition</w:t>
      </w:r>
      <w:r w:rsidR="001932EF">
        <w:rPr>
          <w:rFonts w:cstheme="minorHAnsi"/>
          <w:bCs/>
          <w:color w:val="C00000"/>
        </w:rPr>
        <w:t>s</w:t>
      </w:r>
      <w:r w:rsidR="00D35EB3">
        <w:rPr>
          <w:rFonts w:cstheme="minorHAnsi"/>
          <w:bCs/>
          <w:color w:val="C00000"/>
        </w:rPr>
        <w:t xml:space="preserve">. </w:t>
      </w:r>
    </w:p>
    <w:p w14:paraId="0270FB0B" w14:textId="77777777" w:rsidR="005865FF" w:rsidRPr="00A25024" w:rsidRDefault="005865FF" w:rsidP="00DB3627">
      <w:pPr>
        <w:autoSpaceDE w:val="0"/>
        <w:autoSpaceDN w:val="0"/>
        <w:adjustRightInd w:val="0"/>
        <w:spacing w:after="0" w:line="240" w:lineRule="auto"/>
        <w:rPr>
          <w:rFonts w:cstheme="minorHAnsi"/>
          <w:bCs/>
        </w:rPr>
      </w:pPr>
    </w:p>
    <w:p w14:paraId="74497E7D" w14:textId="77777777" w:rsidR="005865FF"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2BDE1D84" w14:textId="77777777" w:rsidR="005865FF" w:rsidRDefault="005865FF" w:rsidP="00092566">
      <w:pPr>
        <w:autoSpaceDE w:val="0"/>
        <w:autoSpaceDN w:val="0"/>
        <w:adjustRightInd w:val="0"/>
        <w:spacing w:after="0" w:line="240" w:lineRule="auto"/>
        <w:rPr>
          <w:rFonts w:cstheme="minorHAnsi"/>
          <w:bCs/>
        </w:rPr>
      </w:pPr>
    </w:p>
    <w:p w14:paraId="5CEEEC39" w14:textId="77777777" w:rsidR="005865FF" w:rsidRPr="0028162C" w:rsidRDefault="005865FF" w:rsidP="005865FF">
      <w:pPr>
        <w:spacing w:after="120"/>
        <w:rPr>
          <w:rFonts w:ascii="Calibri" w:eastAsia="Calibri" w:hAnsi="Calibri" w:cs="Times New Roman"/>
          <w:szCs w:val="20"/>
        </w:rPr>
      </w:pPr>
      <w:r w:rsidRPr="0028162C">
        <w:rPr>
          <w:rFonts w:ascii="Calibri" w:eastAsia="Calibri" w:hAnsi="Calibri" w:cs="Times New Roman"/>
          <w:szCs w:val="20"/>
        </w:rPr>
        <w:t>The following tables show percent of patient months at risk and number of unique patients excluded as a result of the above mentioned exclusion strategy.</w:t>
      </w:r>
    </w:p>
    <w:p w14:paraId="54E92531" w14:textId="77777777" w:rsidR="005865FF" w:rsidRPr="0028162C" w:rsidRDefault="005865FF" w:rsidP="005865FF">
      <w:pPr>
        <w:spacing w:after="120"/>
        <w:rPr>
          <w:rFonts w:ascii="Calibri" w:eastAsia="Calibri" w:hAnsi="Calibri" w:cs="Times New Roman"/>
          <w:szCs w:val="20"/>
        </w:rPr>
      </w:pPr>
      <w:r w:rsidRPr="0028162C">
        <w:rPr>
          <w:rFonts w:ascii="Calibri" w:eastAsia="Calibri" w:hAnsi="Calibri" w:cs="Times New Roman"/>
          <w:szCs w:val="20"/>
        </w:rPr>
        <w:t xml:space="preserve">Table 1: Percent of patient-months at risk excluded </w:t>
      </w:r>
    </w:p>
    <w:tbl>
      <w:tblPr>
        <w:tblW w:w="5692" w:type="dxa"/>
        <w:tblInd w:w="108" w:type="dxa"/>
        <w:tblLook w:val="04A0" w:firstRow="1" w:lastRow="0" w:firstColumn="1" w:lastColumn="0" w:noHBand="0" w:noVBand="1"/>
      </w:tblPr>
      <w:tblGrid>
        <w:gridCol w:w="852"/>
        <w:gridCol w:w="1860"/>
        <w:gridCol w:w="2020"/>
        <w:gridCol w:w="960"/>
      </w:tblGrid>
      <w:tr w:rsidR="005865FF" w:rsidRPr="0083639B" w14:paraId="61021AD0" w14:textId="77777777" w:rsidTr="005865FF">
        <w:trPr>
          <w:trHeight w:val="288"/>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4A484" w14:textId="77777777" w:rsidR="005865FF" w:rsidRPr="0028162C" w:rsidRDefault="005865FF" w:rsidP="005865FF">
            <w:pPr>
              <w:spacing w:after="0" w:line="240" w:lineRule="auto"/>
              <w:jc w:val="center"/>
              <w:rPr>
                <w:rFonts w:ascii="Calibri" w:eastAsia="Times New Roman" w:hAnsi="Calibri" w:cs="Calibri"/>
                <w:b/>
              </w:rPr>
            </w:pPr>
            <w:r w:rsidRPr="0028162C">
              <w:rPr>
                <w:rFonts w:ascii="Calibri" w:eastAsia="Times New Roman" w:hAnsi="Calibri" w:cs="Calibri"/>
                <w:b/>
              </w:rPr>
              <w:t xml:space="preserve">Year </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57681C04" w14:textId="77777777" w:rsidR="005865FF" w:rsidRPr="0028162C" w:rsidRDefault="005865FF" w:rsidP="005865FF">
            <w:pPr>
              <w:spacing w:after="0" w:line="240" w:lineRule="auto"/>
              <w:jc w:val="center"/>
              <w:rPr>
                <w:rFonts w:ascii="Calibri" w:eastAsia="Times New Roman" w:hAnsi="Calibri" w:cs="Calibri"/>
                <w:b/>
              </w:rPr>
            </w:pPr>
            <w:r w:rsidRPr="0028162C">
              <w:rPr>
                <w:rFonts w:ascii="Calibri" w:eastAsia="Times New Roman" w:hAnsi="Calibri" w:cs="Calibri"/>
                <w:b/>
              </w:rPr>
              <w:t xml:space="preserve">Before Exclusion </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5007AAE8" w14:textId="77777777" w:rsidR="005865FF" w:rsidRPr="0028162C" w:rsidRDefault="005865FF" w:rsidP="005865FF">
            <w:pPr>
              <w:spacing w:after="0" w:line="240" w:lineRule="auto"/>
              <w:jc w:val="center"/>
              <w:rPr>
                <w:rFonts w:ascii="Calibri" w:eastAsia="Times New Roman" w:hAnsi="Calibri" w:cs="Calibri"/>
                <w:b/>
              </w:rPr>
            </w:pPr>
            <w:r w:rsidRPr="0028162C">
              <w:rPr>
                <w:rFonts w:ascii="Calibri" w:eastAsia="Times New Roman" w:hAnsi="Calibri" w:cs="Calibri"/>
                <w:b/>
              </w:rPr>
              <w:t xml:space="preserve">After Exclusion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1345DDF" w14:textId="77777777" w:rsidR="005865FF" w:rsidRPr="0028162C" w:rsidRDefault="005865FF" w:rsidP="005865FF">
            <w:pPr>
              <w:spacing w:after="0" w:line="240" w:lineRule="auto"/>
              <w:jc w:val="center"/>
              <w:rPr>
                <w:rFonts w:ascii="Calibri" w:eastAsia="Times New Roman" w:hAnsi="Calibri" w:cs="Calibri"/>
                <w:b/>
              </w:rPr>
            </w:pPr>
            <w:r w:rsidRPr="0028162C">
              <w:rPr>
                <w:rFonts w:ascii="Calibri" w:eastAsia="Times New Roman" w:hAnsi="Calibri" w:cs="Calibri"/>
                <w:b/>
              </w:rPr>
              <w:t>Percent</w:t>
            </w:r>
          </w:p>
        </w:tc>
      </w:tr>
      <w:tr w:rsidR="005865FF" w:rsidRPr="0083639B" w14:paraId="5FB616A3" w14:textId="77777777" w:rsidTr="005865FF">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14:paraId="28CB7F7F" w14:textId="77777777" w:rsidR="005865FF" w:rsidRPr="0083639B" w:rsidRDefault="005865FF" w:rsidP="005865FF">
            <w:pPr>
              <w:spacing w:after="0" w:line="240" w:lineRule="auto"/>
              <w:jc w:val="center"/>
              <w:rPr>
                <w:rFonts w:ascii="Calibri" w:eastAsia="Times New Roman" w:hAnsi="Calibri" w:cs="Calibri"/>
              </w:rPr>
            </w:pPr>
            <w:r w:rsidRPr="0083639B">
              <w:rPr>
                <w:rFonts w:ascii="Calibri" w:eastAsia="Times New Roman" w:hAnsi="Calibri" w:cs="Calibri"/>
              </w:rPr>
              <w:t>2014</w:t>
            </w:r>
          </w:p>
        </w:tc>
        <w:tc>
          <w:tcPr>
            <w:tcW w:w="1860" w:type="dxa"/>
            <w:tcBorders>
              <w:top w:val="nil"/>
              <w:left w:val="nil"/>
              <w:bottom w:val="single" w:sz="4" w:space="0" w:color="auto"/>
              <w:right w:val="single" w:sz="4" w:space="0" w:color="auto"/>
            </w:tcBorders>
            <w:shd w:val="clear" w:color="auto" w:fill="auto"/>
            <w:noWrap/>
            <w:vAlign w:val="bottom"/>
            <w:hideMark/>
          </w:tcPr>
          <w:p w14:paraId="21E6EE20" w14:textId="77777777" w:rsidR="005865FF" w:rsidRPr="0083639B" w:rsidRDefault="005865FF" w:rsidP="005865FF">
            <w:pPr>
              <w:spacing w:after="0" w:line="240" w:lineRule="auto"/>
              <w:jc w:val="center"/>
              <w:rPr>
                <w:rFonts w:ascii="Calibri" w:eastAsia="Times New Roman" w:hAnsi="Calibri" w:cs="Calibri"/>
              </w:rPr>
            </w:pPr>
            <w:r w:rsidRPr="0083639B">
              <w:rPr>
                <w:rFonts w:ascii="Courier New" w:eastAsia="Calibri" w:hAnsi="Courier New" w:cs="Courier New"/>
                <w:sz w:val="20"/>
                <w:szCs w:val="20"/>
                <w:shd w:val="clear" w:color="auto" w:fill="FFFFFF"/>
              </w:rPr>
              <w:t>4,314,450</w:t>
            </w:r>
          </w:p>
        </w:tc>
        <w:tc>
          <w:tcPr>
            <w:tcW w:w="2020" w:type="dxa"/>
            <w:tcBorders>
              <w:top w:val="nil"/>
              <w:left w:val="nil"/>
              <w:bottom w:val="single" w:sz="4" w:space="0" w:color="auto"/>
              <w:right w:val="single" w:sz="4" w:space="0" w:color="auto"/>
            </w:tcBorders>
            <w:shd w:val="clear" w:color="auto" w:fill="auto"/>
            <w:noWrap/>
            <w:vAlign w:val="bottom"/>
            <w:hideMark/>
          </w:tcPr>
          <w:p w14:paraId="334A03F0" w14:textId="77777777" w:rsidR="005865FF" w:rsidRPr="0083639B" w:rsidRDefault="005865FF" w:rsidP="005865FF">
            <w:pPr>
              <w:spacing w:after="0" w:line="240" w:lineRule="auto"/>
              <w:jc w:val="center"/>
              <w:rPr>
                <w:rFonts w:ascii="Calibri" w:eastAsia="Times New Roman" w:hAnsi="Calibri" w:cs="Calibri"/>
              </w:rPr>
            </w:pPr>
            <w:r w:rsidRPr="0083639B">
              <w:rPr>
                <w:rFonts w:ascii="Courier New" w:eastAsia="Calibri" w:hAnsi="Courier New" w:cs="Courier New"/>
                <w:sz w:val="20"/>
                <w:szCs w:val="20"/>
                <w:shd w:val="clear" w:color="auto" w:fill="FFFFFF"/>
              </w:rPr>
              <w:t>4,274,619</w:t>
            </w:r>
          </w:p>
        </w:tc>
        <w:tc>
          <w:tcPr>
            <w:tcW w:w="960" w:type="dxa"/>
            <w:tcBorders>
              <w:top w:val="nil"/>
              <w:left w:val="nil"/>
              <w:bottom w:val="single" w:sz="4" w:space="0" w:color="auto"/>
              <w:right w:val="single" w:sz="4" w:space="0" w:color="auto"/>
            </w:tcBorders>
            <w:shd w:val="clear" w:color="auto" w:fill="auto"/>
            <w:noWrap/>
            <w:vAlign w:val="bottom"/>
            <w:hideMark/>
          </w:tcPr>
          <w:p w14:paraId="3985DE83" w14:textId="77777777" w:rsidR="005865FF" w:rsidRPr="0083639B" w:rsidRDefault="005865FF" w:rsidP="005865FF">
            <w:pPr>
              <w:spacing w:after="0" w:line="240" w:lineRule="auto"/>
              <w:jc w:val="center"/>
              <w:rPr>
                <w:rFonts w:ascii="Calibri" w:eastAsia="Times New Roman" w:hAnsi="Calibri" w:cs="Calibri"/>
              </w:rPr>
            </w:pPr>
            <w:r w:rsidRPr="0083639B">
              <w:rPr>
                <w:rFonts w:ascii="Calibri" w:eastAsia="Times New Roman" w:hAnsi="Calibri" w:cs="Calibri"/>
              </w:rPr>
              <w:t>0.92%</w:t>
            </w:r>
          </w:p>
        </w:tc>
      </w:tr>
    </w:tbl>
    <w:p w14:paraId="678F5D41" w14:textId="77777777" w:rsidR="005865FF" w:rsidRPr="0028162C" w:rsidRDefault="005865FF" w:rsidP="005865FF">
      <w:pPr>
        <w:spacing w:before="240" w:after="240" w:line="240" w:lineRule="auto"/>
        <w:rPr>
          <w:rFonts w:ascii="Calibri" w:eastAsia="Calibri" w:hAnsi="Calibri" w:cs="Times New Roman"/>
          <w:szCs w:val="20"/>
        </w:rPr>
      </w:pPr>
      <w:r w:rsidRPr="0028162C">
        <w:rPr>
          <w:rFonts w:ascii="Calibri" w:eastAsia="Calibri" w:hAnsi="Calibri" w:cs="Times New Roman"/>
          <w:szCs w:val="20"/>
        </w:rPr>
        <w:t xml:space="preserve">Table 2: Number and percent of unique patients excluded </w:t>
      </w:r>
    </w:p>
    <w:tbl>
      <w:tblPr>
        <w:tblW w:w="5708" w:type="dxa"/>
        <w:tblInd w:w="108" w:type="dxa"/>
        <w:tblLook w:val="04A0" w:firstRow="1" w:lastRow="0" w:firstColumn="1" w:lastColumn="0" w:noHBand="0" w:noVBand="1"/>
      </w:tblPr>
      <w:tblGrid>
        <w:gridCol w:w="854"/>
        <w:gridCol w:w="1865"/>
        <w:gridCol w:w="2026"/>
        <w:gridCol w:w="963"/>
      </w:tblGrid>
      <w:tr w:rsidR="005865FF" w:rsidRPr="0083639B" w14:paraId="4DB20E0B" w14:textId="77777777" w:rsidTr="005865FF">
        <w:trPr>
          <w:trHeight w:val="296"/>
        </w:trPr>
        <w:tc>
          <w:tcPr>
            <w:tcW w:w="8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971FD" w14:textId="77777777" w:rsidR="005865FF" w:rsidRPr="0028162C" w:rsidRDefault="005865FF" w:rsidP="005865FF">
            <w:pPr>
              <w:spacing w:after="0" w:line="240" w:lineRule="auto"/>
              <w:jc w:val="center"/>
              <w:rPr>
                <w:rFonts w:ascii="Calibri" w:eastAsia="Times New Roman" w:hAnsi="Calibri" w:cs="Calibri"/>
                <w:b/>
              </w:rPr>
            </w:pPr>
            <w:r w:rsidRPr="0028162C">
              <w:rPr>
                <w:rFonts w:ascii="Calibri" w:eastAsia="Times New Roman" w:hAnsi="Calibri" w:cs="Calibri"/>
                <w:b/>
              </w:rPr>
              <w:t xml:space="preserve">Year </w:t>
            </w:r>
          </w:p>
        </w:tc>
        <w:tc>
          <w:tcPr>
            <w:tcW w:w="1865" w:type="dxa"/>
            <w:tcBorders>
              <w:top w:val="single" w:sz="4" w:space="0" w:color="auto"/>
              <w:left w:val="nil"/>
              <w:bottom w:val="single" w:sz="4" w:space="0" w:color="auto"/>
              <w:right w:val="single" w:sz="4" w:space="0" w:color="auto"/>
            </w:tcBorders>
            <w:shd w:val="clear" w:color="auto" w:fill="auto"/>
            <w:noWrap/>
            <w:vAlign w:val="bottom"/>
            <w:hideMark/>
          </w:tcPr>
          <w:p w14:paraId="5996B58D" w14:textId="77777777" w:rsidR="005865FF" w:rsidRPr="0028162C" w:rsidRDefault="005865FF" w:rsidP="005865FF">
            <w:pPr>
              <w:spacing w:after="0" w:line="240" w:lineRule="auto"/>
              <w:jc w:val="center"/>
              <w:rPr>
                <w:rFonts w:ascii="Calibri" w:eastAsia="Times New Roman" w:hAnsi="Calibri" w:cs="Calibri"/>
                <w:b/>
              </w:rPr>
            </w:pPr>
            <w:r w:rsidRPr="0028162C">
              <w:rPr>
                <w:rFonts w:ascii="Calibri" w:eastAsia="Times New Roman" w:hAnsi="Calibri" w:cs="Calibri"/>
                <w:b/>
              </w:rPr>
              <w:t xml:space="preserve">Before Exclusion </w:t>
            </w:r>
          </w:p>
        </w:tc>
        <w:tc>
          <w:tcPr>
            <w:tcW w:w="2026" w:type="dxa"/>
            <w:tcBorders>
              <w:top w:val="single" w:sz="4" w:space="0" w:color="auto"/>
              <w:left w:val="nil"/>
              <w:bottom w:val="single" w:sz="4" w:space="0" w:color="auto"/>
              <w:right w:val="single" w:sz="4" w:space="0" w:color="auto"/>
            </w:tcBorders>
            <w:shd w:val="clear" w:color="auto" w:fill="auto"/>
            <w:noWrap/>
            <w:vAlign w:val="bottom"/>
            <w:hideMark/>
          </w:tcPr>
          <w:p w14:paraId="05BFB660" w14:textId="77777777" w:rsidR="005865FF" w:rsidRPr="0028162C" w:rsidRDefault="005865FF" w:rsidP="005865FF">
            <w:pPr>
              <w:spacing w:after="0" w:line="240" w:lineRule="auto"/>
              <w:jc w:val="center"/>
              <w:rPr>
                <w:rFonts w:ascii="Calibri" w:eastAsia="Times New Roman" w:hAnsi="Calibri" w:cs="Calibri"/>
                <w:b/>
              </w:rPr>
            </w:pPr>
            <w:r w:rsidRPr="0028162C">
              <w:rPr>
                <w:rFonts w:ascii="Calibri" w:eastAsia="Times New Roman" w:hAnsi="Calibri" w:cs="Calibri"/>
                <w:b/>
              </w:rPr>
              <w:t xml:space="preserve">After Exclusion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26C42451" w14:textId="77777777" w:rsidR="005865FF" w:rsidRPr="0028162C" w:rsidRDefault="005865FF" w:rsidP="005865FF">
            <w:pPr>
              <w:spacing w:after="0" w:line="240" w:lineRule="auto"/>
              <w:jc w:val="center"/>
              <w:rPr>
                <w:rFonts w:ascii="Calibri" w:eastAsia="Times New Roman" w:hAnsi="Calibri" w:cs="Calibri"/>
                <w:b/>
              </w:rPr>
            </w:pPr>
            <w:r w:rsidRPr="0028162C">
              <w:rPr>
                <w:rFonts w:ascii="Calibri" w:eastAsia="Times New Roman" w:hAnsi="Calibri" w:cs="Calibri"/>
                <w:b/>
              </w:rPr>
              <w:t>Percent</w:t>
            </w:r>
          </w:p>
        </w:tc>
      </w:tr>
      <w:tr w:rsidR="005865FF" w:rsidRPr="0083639B" w14:paraId="66F183D9" w14:textId="77777777" w:rsidTr="005865FF">
        <w:trPr>
          <w:trHeight w:val="296"/>
        </w:trPr>
        <w:tc>
          <w:tcPr>
            <w:tcW w:w="854" w:type="dxa"/>
            <w:tcBorders>
              <w:top w:val="nil"/>
              <w:left w:val="single" w:sz="4" w:space="0" w:color="auto"/>
              <w:bottom w:val="single" w:sz="4" w:space="0" w:color="auto"/>
              <w:right w:val="single" w:sz="4" w:space="0" w:color="auto"/>
            </w:tcBorders>
            <w:shd w:val="clear" w:color="auto" w:fill="auto"/>
            <w:noWrap/>
            <w:vAlign w:val="bottom"/>
            <w:hideMark/>
          </w:tcPr>
          <w:p w14:paraId="42D194F0" w14:textId="77777777" w:rsidR="005865FF" w:rsidRPr="0083639B" w:rsidRDefault="005865FF" w:rsidP="005865FF">
            <w:pPr>
              <w:spacing w:after="0" w:line="240" w:lineRule="auto"/>
              <w:jc w:val="center"/>
              <w:rPr>
                <w:rFonts w:ascii="Calibri" w:eastAsia="Times New Roman" w:hAnsi="Calibri" w:cs="Calibri"/>
              </w:rPr>
            </w:pPr>
            <w:r w:rsidRPr="0083639B">
              <w:rPr>
                <w:rFonts w:ascii="Calibri" w:eastAsia="Times New Roman" w:hAnsi="Calibri" w:cs="Calibri"/>
              </w:rPr>
              <w:t>2014</w:t>
            </w:r>
          </w:p>
        </w:tc>
        <w:tc>
          <w:tcPr>
            <w:tcW w:w="1865" w:type="dxa"/>
            <w:tcBorders>
              <w:top w:val="nil"/>
              <w:left w:val="nil"/>
              <w:bottom w:val="single" w:sz="4" w:space="0" w:color="auto"/>
              <w:right w:val="single" w:sz="4" w:space="0" w:color="auto"/>
            </w:tcBorders>
            <w:shd w:val="clear" w:color="auto" w:fill="auto"/>
            <w:noWrap/>
            <w:vAlign w:val="bottom"/>
            <w:hideMark/>
          </w:tcPr>
          <w:p w14:paraId="7D4B85F6" w14:textId="77777777" w:rsidR="005865FF" w:rsidRPr="0083639B" w:rsidRDefault="005865FF" w:rsidP="005865FF">
            <w:pPr>
              <w:spacing w:after="0" w:line="240" w:lineRule="auto"/>
              <w:jc w:val="center"/>
              <w:rPr>
                <w:rFonts w:ascii="Calibri" w:eastAsia="Times New Roman" w:hAnsi="Calibri" w:cs="Calibri"/>
              </w:rPr>
            </w:pPr>
            <w:r w:rsidRPr="007154E2">
              <w:rPr>
                <w:rFonts w:ascii="Calibri" w:eastAsia="Calibri" w:hAnsi="Calibri" w:cs="Calibri"/>
                <w:shd w:val="clear" w:color="auto" w:fill="FFFFFF"/>
              </w:rPr>
              <w:t>468,9</w:t>
            </w:r>
            <w:r>
              <w:rPr>
                <w:rFonts w:ascii="Calibri" w:eastAsia="Calibri" w:hAnsi="Calibri" w:cs="Calibri"/>
                <w:shd w:val="clear" w:color="auto" w:fill="FFFFFF"/>
              </w:rPr>
              <w:t>10</w:t>
            </w:r>
          </w:p>
        </w:tc>
        <w:tc>
          <w:tcPr>
            <w:tcW w:w="2026" w:type="dxa"/>
            <w:tcBorders>
              <w:top w:val="nil"/>
              <w:left w:val="nil"/>
              <w:bottom w:val="single" w:sz="4" w:space="0" w:color="auto"/>
              <w:right w:val="single" w:sz="4" w:space="0" w:color="auto"/>
            </w:tcBorders>
            <w:shd w:val="clear" w:color="auto" w:fill="auto"/>
            <w:noWrap/>
            <w:vAlign w:val="bottom"/>
            <w:hideMark/>
          </w:tcPr>
          <w:p w14:paraId="555F3935" w14:textId="77777777" w:rsidR="005865FF" w:rsidRPr="0083639B" w:rsidRDefault="005865FF" w:rsidP="005865FF">
            <w:pPr>
              <w:spacing w:after="0" w:line="240" w:lineRule="auto"/>
              <w:jc w:val="center"/>
              <w:rPr>
                <w:rFonts w:ascii="Calibri" w:eastAsia="Times New Roman" w:hAnsi="Calibri" w:cs="Calibri"/>
              </w:rPr>
            </w:pPr>
            <w:r w:rsidRPr="007154E2">
              <w:rPr>
                <w:rFonts w:ascii="Calibri" w:eastAsia="Times New Roman" w:hAnsi="Calibri" w:cs="Calibri"/>
                <w:color w:val="000000"/>
              </w:rPr>
              <w:t>457,902</w:t>
            </w:r>
          </w:p>
        </w:tc>
        <w:tc>
          <w:tcPr>
            <w:tcW w:w="963" w:type="dxa"/>
            <w:tcBorders>
              <w:top w:val="nil"/>
              <w:left w:val="nil"/>
              <w:bottom w:val="single" w:sz="4" w:space="0" w:color="auto"/>
              <w:right w:val="single" w:sz="4" w:space="0" w:color="auto"/>
            </w:tcBorders>
            <w:shd w:val="clear" w:color="auto" w:fill="auto"/>
            <w:noWrap/>
            <w:vAlign w:val="bottom"/>
            <w:hideMark/>
          </w:tcPr>
          <w:p w14:paraId="4122966C" w14:textId="77777777" w:rsidR="005865FF" w:rsidRPr="0083639B" w:rsidRDefault="005865FF" w:rsidP="005865FF">
            <w:pPr>
              <w:spacing w:after="0" w:line="240" w:lineRule="auto"/>
              <w:jc w:val="center"/>
              <w:rPr>
                <w:rFonts w:ascii="Calibri" w:eastAsia="Times New Roman" w:hAnsi="Calibri" w:cs="Calibri"/>
              </w:rPr>
            </w:pPr>
            <w:r w:rsidRPr="007154E2">
              <w:rPr>
                <w:rFonts w:ascii="Calibri" w:eastAsia="Times New Roman" w:hAnsi="Calibri" w:cs="Calibri"/>
                <w:color w:val="000000"/>
              </w:rPr>
              <w:t>2.35%</w:t>
            </w:r>
          </w:p>
        </w:tc>
      </w:tr>
    </w:tbl>
    <w:p w14:paraId="5A5C1B22" w14:textId="77777777" w:rsidR="005865FF" w:rsidRPr="00874A15" w:rsidRDefault="005865FF" w:rsidP="005865FF">
      <w:pPr>
        <w:spacing w:after="120"/>
        <w:rPr>
          <w:rFonts w:ascii="Calibri" w:eastAsia="Calibri" w:hAnsi="Calibri" w:cs="Times New Roman"/>
          <w:sz w:val="20"/>
          <w:szCs w:val="20"/>
        </w:rPr>
      </w:pPr>
    </w:p>
    <w:p w14:paraId="1A89D87F" w14:textId="77777777" w:rsidR="005865FF" w:rsidRPr="0028162C" w:rsidRDefault="005865FF" w:rsidP="005865FF">
      <w:pPr>
        <w:spacing w:after="120"/>
        <w:jc w:val="both"/>
        <w:rPr>
          <w:rFonts w:ascii="Calibri" w:eastAsia="Calibri" w:hAnsi="Calibri" w:cs="Times New Roman"/>
          <w:sz w:val="24"/>
        </w:rPr>
      </w:pPr>
      <w:r w:rsidRPr="0028162C">
        <w:rPr>
          <w:rFonts w:ascii="Calibri" w:eastAsia="Calibri" w:hAnsi="Calibri" w:cs="Times New Roman"/>
          <w:szCs w:val="20"/>
        </w:rPr>
        <w:t xml:space="preserve">Table 3:  </w:t>
      </w:r>
      <w:r w:rsidRPr="0028162C">
        <w:rPr>
          <w:rFonts w:ascii="Calibri" w:eastAsia="Calibri" w:hAnsi="Calibri" w:cs="Times New Roman"/>
          <w:sz w:val="24"/>
        </w:rPr>
        <w:t>Distribution of performance scores before and after the exclusion</w:t>
      </w:r>
    </w:p>
    <w:tbl>
      <w:tblPr>
        <w:tblW w:w="6352" w:type="dxa"/>
        <w:tblInd w:w="108" w:type="dxa"/>
        <w:tblLook w:val="04A0" w:firstRow="1" w:lastRow="0" w:firstColumn="1" w:lastColumn="0" w:noHBand="0" w:noVBand="1"/>
      </w:tblPr>
      <w:tblGrid>
        <w:gridCol w:w="1417"/>
        <w:gridCol w:w="760"/>
        <w:gridCol w:w="817"/>
        <w:gridCol w:w="1099"/>
        <w:gridCol w:w="1111"/>
        <w:gridCol w:w="1148"/>
      </w:tblGrid>
      <w:tr w:rsidR="005865FF" w:rsidRPr="00874A15" w14:paraId="32250103" w14:textId="77777777" w:rsidTr="005865FF">
        <w:trPr>
          <w:trHeight w:val="1152"/>
        </w:trPr>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33E41" w14:textId="77777777" w:rsidR="005865FF" w:rsidRPr="00874A15" w:rsidRDefault="005865FF" w:rsidP="005865FF">
            <w:pPr>
              <w:spacing w:after="0" w:line="240" w:lineRule="auto"/>
              <w:jc w:val="center"/>
              <w:rPr>
                <w:rFonts w:ascii="Calibri" w:eastAsia="Times New Roman" w:hAnsi="Calibri" w:cs="Calibri"/>
                <w:b/>
                <w:bCs/>
                <w:color w:val="000000"/>
              </w:rPr>
            </w:pPr>
            <w:r w:rsidRPr="00874A15">
              <w:rPr>
                <w:rFonts w:ascii="Calibri" w:eastAsia="Times New Roman" w:hAnsi="Calibri" w:cs="Calibri"/>
                <w:b/>
                <w:bCs/>
                <w:color w:val="000000"/>
              </w:rPr>
              <w:t>Standardized Fistula Rate</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6FB80D57" w14:textId="77777777" w:rsidR="005865FF" w:rsidRPr="00874A15" w:rsidRDefault="005865FF" w:rsidP="005865FF">
            <w:pPr>
              <w:spacing w:after="0" w:line="240" w:lineRule="auto"/>
              <w:jc w:val="center"/>
              <w:rPr>
                <w:rFonts w:ascii="Calibri" w:eastAsia="Times New Roman" w:hAnsi="Calibri" w:cs="Calibri"/>
                <w:b/>
                <w:bCs/>
                <w:color w:val="000000"/>
              </w:rPr>
            </w:pPr>
            <w:r w:rsidRPr="00874A15">
              <w:rPr>
                <w:rFonts w:ascii="Calibri" w:eastAsia="Times New Roman" w:hAnsi="Calibri" w:cs="Calibri"/>
                <w:b/>
                <w:bCs/>
                <w:color w:val="000000"/>
              </w:rPr>
              <w:t>N</w:t>
            </w:r>
          </w:p>
        </w:tc>
        <w:tc>
          <w:tcPr>
            <w:tcW w:w="862" w:type="dxa"/>
            <w:tcBorders>
              <w:top w:val="single" w:sz="4" w:space="0" w:color="auto"/>
              <w:left w:val="nil"/>
              <w:bottom w:val="single" w:sz="4" w:space="0" w:color="auto"/>
              <w:right w:val="single" w:sz="4" w:space="0" w:color="auto"/>
            </w:tcBorders>
            <w:shd w:val="clear" w:color="auto" w:fill="auto"/>
            <w:vAlign w:val="center"/>
            <w:hideMark/>
          </w:tcPr>
          <w:p w14:paraId="02E4B89F" w14:textId="77777777" w:rsidR="005865FF" w:rsidRPr="00874A15" w:rsidRDefault="005865FF" w:rsidP="005865FF">
            <w:pPr>
              <w:spacing w:after="0" w:line="240" w:lineRule="auto"/>
              <w:jc w:val="center"/>
              <w:rPr>
                <w:rFonts w:ascii="Calibri" w:eastAsia="Times New Roman" w:hAnsi="Calibri" w:cs="Calibri"/>
                <w:b/>
                <w:bCs/>
                <w:color w:val="000000"/>
              </w:rPr>
            </w:pPr>
            <w:r w:rsidRPr="00874A15">
              <w:rPr>
                <w:rFonts w:ascii="Calibri" w:eastAsia="Times New Roman" w:hAnsi="Calibri" w:cs="Calibri"/>
                <w:b/>
                <w:bCs/>
                <w:color w:val="000000"/>
              </w:rPr>
              <w:t>Mean</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14:paraId="1B8B6289" w14:textId="77777777" w:rsidR="005865FF" w:rsidRPr="00874A15" w:rsidRDefault="005865FF" w:rsidP="005865FF">
            <w:pPr>
              <w:spacing w:after="0" w:line="240" w:lineRule="auto"/>
              <w:jc w:val="center"/>
              <w:rPr>
                <w:rFonts w:ascii="Calibri" w:eastAsia="Times New Roman" w:hAnsi="Calibri" w:cs="Calibri"/>
                <w:b/>
                <w:bCs/>
                <w:color w:val="000000"/>
              </w:rPr>
            </w:pPr>
            <w:r w:rsidRPr="00874A15">
              <w:rPr>
                <w:rFonts w:ascii="Calibri" w:eastAsia="Times New Roman" w:hAnsi="Calibri" w:cs="Calibri"/>
                <w:b/>
                <w:bCs/>
                <w:color w:val="000000"/>
              </w:rPr>
              <w:t>Standard Deviation</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14:paraId="4D4FF325" w14:textId="77777777" w:rsidR="005865FF" w:rsidRPr="00874A15" w:rsidRDefault="005865FF" w:rsidP="005865FF">
            <w:pPr>
              <w:spacing w:after="0" w:line="240" w:lineRule="auto"/>
              <w:jc w:val="center"/>
              <w:rPr>
                <w:rFonts w:ascii="Calibri" w:eastAsia="Times New Roman" w:hAnsi="Calibri" w:cs="Calibri"/>
                <w:b/>
                <w:bCs/>
                <w:color w:val="000000"/>
              </w:rPr>
            </w:pPr>
            <w:r w:rsidRPr="00874A15">
              <w:rPr>
                <w:rFonts w:ascii="Calibri" w:eastAsia="Times New Roman" w:hAnsi="Calibri" w:cs="Calibri"/>
                <w:b/>
                <w:bCs/>
                <w:color w:val="000000"/>
              </w:rPr>
              <w:t>Minimum</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14:paraId="0F2FA6F7" w14:textId="77777777" w:rsidR="005865FF" w:rsidRPr="00874A15" w:rsidRDefault="005865FF" w:rsidP="005865FF">
            <w:pPr>
              <w:spacing w:after="0" w:line="240" w:lineRule="auto"/>
              <w:jc w:val="center"/>
              <w:rPr>
                <w:rFonts w:ascii="Calibri" w:eastAsia="Times New Roman" w:hAnsi="Calibri" w:cs="Calibri"/>
                <w:b/>
                <w:bCs/>
                <w:color w:val="000000"/>
              </w:rPr>
            </w:pPr>
            <w:r w:rsidRPr="00874A15">
              <w:rPr>
                <w:rFonts w:ascii="Calibri" w:eastAsia="Times New Roman" w:hAnsi="Calibri" w:cs="Calibri"/>
                <w:b/>
                <w:bCs/>
                <w:color w:val="000000"/>
              </w:rPr>
              <w:t>Maximum</w:t>
            </w:r>
          </w:p>
        </w:tc>
      </w:tr>
      <w:tr w:rsidR="005865FF" w:rsidRPr="00874A15" w14:paraId="0FA72210" w14:textId="77777777" w:rsidTr="005865FF">
        <w:trPr>
          <w:trHeight w:val="576"/>
        </w:trPr>
        <w:tc>
          <w:tcPr>
            <w:tcW w:w="1309" w:type="dxa"/>
            <w:tcBorders>
              <w:top w:val="nil"/>
              <w:left w:val="single" w:sz="4" w:space="0" w:color="auto"/>
              <w:bottom w:val="single" w:sz="4" w:space="0" w:color="auto"/>
              <w:right w:val="single" w:sz="4" w:space="0" w:color="auto"/>
            </w:tcBorders>
            <w:shd w:val="clear" w:color="auto" w:fill="auto"/>
            <w:vAlign w:val="center"/>
            <w:hideMark/>
          </w:tcPr>
          <w:p w14:paraId="50A49B2B" w14:textId="77777777" w:rsidR="005865FF" w:rsidRPr="00874A15" w:rsidRDefault="005865FF" w:rsidP="005865FF">
            <w:pPr>
              <w:spacing w:after="0" w:line="240" w:lineRule="auto"/>
              <w:rPr>
                <w:rFonts w:ascii="Calibri" w:eastAsia="Times New Roman" w:hAnsi="Calibri" w:cs="Calibri"/>
                <w:color w:val="000000"/>
              </w:rPr>
            </w:pPr>
            <w:r w:rsidRPr="00874A15">
              <w:rPr>
                <w:rFonts w:ascii="Calibri" w:eastAsia="Times New Roman" w:hAnsi="Calibri" w:cs="Calibri"/>
                <w:color w:val="000000"/>
              </w:rPr>
              <w:t>Before exclusion</w:t>
            </w:r>
          </w:p>
        </w:tc>
        <w:tc>
          <w:tcPr>
            <w:tcW w:w="823" w:type="dxa"/>
            <w:tcBorders>
              <w:top w:val="nil"/>
              <w:left w:val="nil"/>
              <w:bottom w:val="single" w:sz="4" w:space="0" w:color="auto"/>
              <w:right w:val="single" w:sz="4" w:space="0" w:color="auto"/>
            </w:tcBorders>
            <w:shd w:val="clear" w:color="auto" w:fill="auto"/>
            <w:vAlign w:val="bottom"/>
            <w:hideMark/>
          </w:tcPr>
          <w:p w14:paraId="55E19A9C" w14:textId="77777777" w:rsidR="005865FF" w:rsidRPr="00874A15" w:rsidRDefault="005865FF" w:rsidP="005865FF">
            <w:pPr>
              <w:spacing w:after="0" w:line="240" w:lineRule="auto"/>
              <w:jc w:val="center"/>
              <w:rPr>
                <w:rFonts w:ascii="Calibri" w:eastAsia="Times New Roman" w:hAnsi="Calibri" w:cs="Calibri"/>
                <w:color w:val="000000"/>
              </w:rPr>
            </w:pPr>
            <w:r w:rsidRPr="00874A15">
              <w:rPr>
                <w:rFonts w:ascii="Calibri" w:eastAsia="Times New Roman" w:hAnsi="Calibri" w:cs="Calibri"/>
                <w:color w:val="000000"/>
              </w:rPr>
              <w:t>5928</w:t>
            </w:r>
          </w:p>
        </w:tc>
        <w:tc>
          <w:tcPr>
            <w:tcW w:w="862" w:type="dxa"/>
            <w:tcBorders>
              <w:top w:val="nil"/>
              <w:left w:val="nil"/>
              <w:bottom w:val="single" w:sz="4" w:space="0" w:color="auto"/>
              <w:right w:val="single" w:sz="4" w:space="0" w:color="auto"/>
            </w:tcBorders>
            <w:shd w:val="clear" w:color="auto" w:fill="auto"/>
            <w:vAlign w:val="bottom"/>
            <w:hideMark/>
          </w:tcPr>
          <w:p w14:paraId="4AF53248" w14:textId="77777777" w:rsidR="005865FF" w:rsidRPr="00874A15" w:rsidRDefault="005865FF" w:rsidP="005865FF">
            <w:pPr>
              <w:spacing w:after="0" w:line="240" w:lineRule="auto"/>
              <w:jc w:val="center"/>
              <w:rPr>
                <w:rFonts w:ascii="Calibri" w:eastAsia="Times New Roman" w:hAnsi="Calibri" w:cs="Calibri"/>
                <w:color w:val="000000"/>
              </w:rPr>
            </w:pPr>
            <w:r w:rsidRPr="00874A15">
              <w:rPr>
                <w:rFonts w:ascii="Calibri" w:eastAsia="Times New Roman" w:hAnsi="Calibri" w:cs="Calibri"/>
                <w:color w:val="000000"/>
              </w:rPr>
              <w:t>0.640</w:t>
            </w:r>
          </w:p>
        </w:tc>
        <w:tc>
          <w:tcPr>
            <w:tcW w:w="1099" w:type="dxa"/>
            <w:tcBorders>
              <w:top w:val="nil"/>
              <w:left w:val="nil"/>
              <w:bottom w:val="single" w:sz="4" w:space="0" w:color="auto"/>
              <w:right w:val="single" w:sz="4" w:space="0" w:color="auto"/>
            </w:tcBorders>
            <w:shd w:val="clear" w:color="auto" w:fill="auto"/>
            <w:vAlign w:val="bottom"/>
            <w:hideMark/>
          </w:tcPr>
          <w:p w14:paraId="3B96C54E" w14:textId="77777777" w:rsidR="005865FF" w:rsidRPr="00874A15" w:rsidRDefault="005865FF" w:rsidP="005865FF">
            <w:pPr>
              <w:spacing w:after="0" w:line="240" w:lineRule="auto"/>
              <w:jc w:val="center"/>
              <w:rPr>
                <w:rFonts w:ascii="Calibri" w:eastAsia="Times New Roman" w:hAnsi="Calibri" w:cs="Calibri"/>
                <w:color w:val="000000"/>
              </w:rPr>
            </w:pPr>
            <w:r w:rsidRPr="00874A15">
              <w:rPr>
                <w:rFonts w:ascii="Calibri" w:eastAsia="Times New Roman" w:hAnsi="Calibri" w:cs="Calibri"/>
                <w:color w:val="000000"/>
              </w:rPr>
              <w:t>0.103</w:t>
            </w:r>
          </w:p>
        </w:tc>
        <w:tc>
          <w:tcPr>
            <w:tcW w:w="1111" w:type="dxa"/>
            <w:tcBorders>
              <w:top w:val="nil"/>
              <w:left w:val="nil"/>
              <w:bottom w:val="single" w:sz="4" w:space="0" w:color="auto"/>
              <w:right w:val="single" w:sz="4" w:space="0" w:color="auto"/>
            </w:tcBorders>
            <w:shd w:val="clear" w:color="auto" w:fill="auto"/>
            <w:vAlign w:val="bottom"/>
            <w:hideMark/>
          </w:tcPr>
          <w:p w14:paraId="221C1050" w14:textId="77777777" w:rsidR="005865FF" w:rsidRPr="00874A15" w:rsidRDefault="005865FF" w:rsidP="005865FF">
            <w:pPr>
              <w:spacing w:after="0" w:line="240" w:lineRule="auto"/>
              <w:jc w:val="center"/>
              <w:rPr>
                <w:rFonts w:ascii="Calibri" w:eastAsia="Times New Roman" w:hAnsi="Calibri" w:cs="Calibri"/>
                <w:color w:val="000000"/>
              </w:rPr>
            </w:pPr>
            <w:r w:rsidRPr="00874A15">
              <w:rPr>
                <w:rFonts w:ascii="Calibri" w:eastAsia="Times New Roman" w:hAnsi="Calibri" w:cs="Calibri"/>
                <w:color w:val="000000"/>
              </w:rPr>
              <w:t>0.092</w:t>
            </w:r>
          </w:p>
        </w:tc>
        <w:tc>
          <w:tcPr>
            <w:tcW w:w="1148" w:type="dxa"/>
            <w:tcBorders>
              <w:top w:val="nil"/>
              <w:left w:val="nil"/>
              <w:bottom w:val="single" w:sz="4" w:space="0" w:color="auto"/>
              <w:right w:val="single" w:sz="4" w:space="0" w:color="auto"/>
            </w:tcBorders>
            <w:shd w:val="clear" w:color="auto" w:fill="auto"/>
            <w:vAlign w:val="bottom"/>
            <w:hideMark/>
          </w:tcPr>
          <w:p w14:paraId="29AA91C6" w14:textId="77777777" w:rsidR="005865FF" w:rsidRPr="00874A15" w:rsidRDefault="005865FF" w:rsidP="005865FF">
            <w:pPr>
              <w:spacing w:after="0" w:line="240" w:lineRule="auto"/>
              <w:jc w:val="center"/>
              <w:rPr>
                <w:rFonts w:ascii="Calibri" w:eastAsia="Times New Roman" w:hAnsi="Calibri" w:cs="Calibri"/>
                <w:color w:val="000000"/>
              </w:rPr>
            </w:pPr>
            <w:r w:rsidRPr="00874A15">
              <w:rPr>
                <w:rFonts w:ascii="Calibri" w:eastAsia="Times New Roman" w:hAnsi="Calibri" w:cs="Calibri"/>
                <w:color w:val="000000"/>
              </w:rPr>
              <w:t>0.975</w:t>
            </w:r>
          </w:p>
        </w:tc>
      </w:tr>
      <w:tr w:rsidR="005865FF" w:rsidRPr="00874A15" w14:paraId="482A80B7" w14:textId="77777777" w:rsidTr="005865FF">
        <w:trPr>
          <w:trHeight w:val="552"/>
        </w:trPr>
        <w:tc>
          <w:tcPr>
            <w:tcW w:w="1309" w:type="dxa"/>
            <w:tcBorders>
              <w:top w:val="nil"/>
              <w:left w:val="single" w:sz="4" w:space="0" w:color="auto"/>
              <w:bottom w:val="single" w:sz="4" w:space="0" w:color="auto"/>
              <w:right w:val="single" w:sz="4" w:space="0" w:color="auto"/>
            </w:tcBorders>
            <w:shd w:val="clear" w:color="auto" w:fill="auto"/>
            <w:vAlign w:val="center"/>
            <w:hideMark/>
          </w:tcPr>
          <w:p w14:paraId="19D27E15" w14:textId="77777777" w:rsidR="005865FF" w:rsidRPr="00874A15" w:rsidRDefault="005865FF" w:rsidP="005865FF">
            <w:pPr>
              <w:spacing w:after="0" w:line="240" w:lineRule="auto"/>
              <w:rPr>
                <w:rFonts w:ascii="Calibri" w:eastAsia="Times New Roman" w:hAnsi="Calibri" w:cs="Calibri"/>
                <w:color w:val="000000"/>
              </w:rPr>
            </w:pPr>
            <w:r w:rsidRPr="00874A15">
              <w:rPr>
                <w:rFonts w:ascii="Calibri" w:eastAsia="Times New Roman" w:hAnsi="Calibri" w:cs="Calibri"/>
                <w:color w:val="000000"/>
              </w:rPr>
              <w:t>After exclusion</w:t>
            </w:r>
          </w:p>
        </w:tc>
        <w:tc>
          <w:tcPr>
            <w:tcW w:w="823" w:type="dxa"/>
            <w:tcBorders>
              <w:top w:val="nil"/>
              <w:left w:val="nil"/>
              <w:bottom w:val="single" w:sz="4" w:space="0" w:color="auto"/>
              <w:right w:val="single" w:sz="4" w:space="0" w:color="auto"/>
            </w:tcBorders>
            <w:shd w:val="clear" w:color="auto" w:fill="auto"/>
            <w:vAlign w:val="bottom"/>
            <w:hideMark/>
          </w:tcPr>
          <w:p w14:paraId="3B3B9CEF" w14:textId="77777777" w:rsidR="005865FF" w:rsidRPr="00874A15" w:rsidRDefault="005865FF" w:rsidP="005865FF">
            <w:pPr>
              <w:spacing w:after="0" w:line="240" w:lineRule="auto"/>
              <w:jc w:val="center"/>
              <w:rPr>
                <w:rFonts w:ascii="Calibri" w:eastAsia="Times New Roman" w:hAnsi="Calibri" w:cs="Calibri"/>
                <w:color w:val="000000"/>
              </w:rPr>
            </w:pPr>
            <w:r w:rsidRPr="00874A15">
              <w:rPr>
                <w:rFonts w:ascii="Calibri" w:eastAsia="Times New Roman" w:hAnsi="Calibri" w:cs="Calibri"/>
                <w:color w:val="000000"/>
              </w:rPr>
              <w:t>5928</w:t>
            </w:r>
          </w:p>
        </w:tc>
        <w:tc>
          <w:tcPr>
            <w:tcW w:w="862" w:type="dxa"/>
            <w:tcBorders>
              <w:top w:val="nil"/>
              <w:left w:val="nil"/>
              <w:bottom w:val="single" w:sz="4" w:space="0" w:color="auto"/>
              <w:right w:val="single" w:sz="4" w:space="0" w:color="auto"/>
            </w:tcBorders>
            <w:shd w:val="clear" w:color="auto" w:fill="auto"/>
            <w:vAlign w:val="bottom"/>
            <w:hideMark/>
          </w:tcPr>
          <w:p w14:paraId="7900443A" w14:textId="77777777" w:rsidR="005865FF" w:rsidRPr="00874A15" w:rsidRDefault="005865FF" w:rsidP="005865FF">
            <w:pPr>
              <w:spacing w:after="0" w:line="240" w:lineRule="auto"/>
              <w:jc w:val="center"/>
              <w:rPr>
                <w:rFonts w:ascii="Calibri" w:eastAsia="Times New Roman" w:hAnsi="Calibri" w:cs="Calibri"/>
                <w:color w:val="000000"/>
              </w:rPr>
            </w:pPr>
            <w:r w:rsidRPr="00874A15">
              <w:rPr>
                <w:rFonts w:ascii="Calibri" w:eastAsia="Times New Roman" w:hAnsi="Calibri" w:cs="Calibri"/>
                <w:color w:val="000000"/>
              </w:rPr>
              <w:t>0.646</w:t>
            </w:r>
          </w:p>
        </w:tc>
        <w:tc>
          <w:tcPr>
            <w:tcW w:w="1099" w:type="dxa"/>
            <w:tcBorders>
              <w:top w:val="nil"/>
              <w:left w:val="nil"/>
              <w:bottom w:val="single" w:sz="4" w:space="0" w:color="auto"/>
              <w:right w:val="single" w:sz="4" w:space="0" w:color="auto"/>
            </w:tcBorders>
            <w:shd w:val="clear" w:color="auto" w:fill="auto"/>
            <w:vAlign w:val="bottom"/>
            <w:hideMark/>
          </w:tcPr>
          <w:p w14:paraId="1A46693F" w14:textId="77777777" w:rsidR="005865FF" w:rsidRPr="00874A15" w:rsidRDefault="005865FF" w:rsidP="005865FF">
            <w:pPr>
              <w:spacing w:after="0" w:line="240" w:lineRule="auto"/>
              <w:jc w:val="center"/>
              <w:rPr>
                <w:rFonts w:ascii="Calibri" w:eastAsia="Times New Roman" w:hAnsi="Calibri" w:cs="Calibri"/>
                <w:color w:val="000000"/>
              </w:rPr>
            </w:pPr>
            <w:r w:rsidRPr="00874A15">
              <w:rPr>
                <w:rFonts w:ascii="Calibri" w:eastAsia="Times New Roman" w:hAnsi="Calibri" w:cs="Calibri"/>
                <w:color w:val="000000"/>
              </w:rPr>
              <w:t>0.104</w:t>
            </w:r>
          </w:p>
        </w:tc>
        <w:tc>
          <w:tcPr>
            <w:tcW w:w="1111" w:type="dxa"/>
            <w:tcBorders>
              <w:top w:val="nil"/>
              <w:left w:val="nil"/>
              <w:bottom w:val="single" w:sz="4" w:space="0" w:color="auto"/>
              <w:right w:val="single" w:sz="4" w:space="0" w:color="auto"/>
            </w:tcBorders>
            <w:shd w:val="clear" w:color="auto" w:fill="auto"/>
            <w:vAlign w:val="bottom"/>
            <w:hideMark/>
          </w:tcPr>
          <w:p w14:paraId="1A405940" w14:textId="77777777" w:rsidR="005865FF" w:rsidRPr="00874A15" w:rsidRDefault="005865FF" w:rsidP="005865FF">
            <w:pPr>
              <w:spacing w:after="0" w:line="240" w:lineRule="auto"/>
              <w:jc w:val="center"/>
              <w:rPr>
                <w:rFonts w:ascii="Calibri" w:eastAsia="Times New Roman" w:hAnsi="Calibri" w:cs="Calibri"/>
                <w:color w:val="000000"/>
              </w:rPr>
            </w:pPr>
            <w:r w:rsidRPr="00874A15">
              <w:rPr>
                <w:rFonts w:ascii="Calibri" w:eastAsia="Times New Roman" w:hAnsi="Calibri" w:cs="Calibri"/>
                <w:color w:val="000000"/>
              </w:rPr>
              <w:t>0.092</w:t>
            </w:r>
          </w:p>
        </w:tc>
        <w:tc>
          <w:tcPr>
            <w:tcW w:w="1148" w:type="dxa"/>
            <w:tcBorders>
              <w:top w:val="nil"/>
              <w:left w:val="nil"/>
              <w:bottom w:val="single" w:sz="4" w:space="0" w:color="auto"/>
              <w:right w:val="single" w:sz="4" w:space="0" w:color="auto"/>
            </w:tcBorders>
            <w:shd w:val="clear" w:color="auto" w:fill="auto"/>
            <w:vAlign w:val="bottom"/>
            <w:hideMark/>
          </w:tcPr>
          <w:p w14:paraId="31ACAB0B" w14:textId="77777777" w:rsidR="005865FF" w:rsidRPr="00874A15" w:rsidRDefault="005865FF" w:rsidP="005865FF">
            <w:pPr>
              <w:spacing w:after="0" w:line="240" w:lineRule="auto"/>
              <w:jc w:val="center"/>
              <w:rPr>
                <w:rFonts w:ascii="Calibri" w:eastAsia="Times New Roman" w:hAnsi="Calibri" w:cs="Calibri"/>
                <w:color w:val="000000"/>
              </w:rPr>
            </w:pPr>
            <w:r w:rsidRPr="00874A15">
              <w:rPr>
                <w:rFonts w:ascii="Calibri" w:eastAsia="Times New Roman" w:hAnsi="Calibri" w:cs="Calibri"/>
                <w:color w:val="000000"/>
              </w:rPr>
              <w:t>0.975</w:t>
            </w:r>
          </w:p>
        </w:tc>
      </w:tr>
    </w:tbl>
    <w:p w14:paraId="2198BD68" w14:textId="77777777" w:rsidR="005865FF" w:rsidRPr="00874A15" w:rsidRDefault="005865FF" w:rsidP="005865FF">
      <w:pPr>
        <w:spacing w:after="120"/>
        <w:ind w:left="432"/>
        <w:jc w:val="both"/>
        <w:rPr>
          <w:rFonts w:ascii="Calibri" w:eastAsia="Calibri" w:hAnsi="Calibri" w:cs="Times New Roman"/>
        </w:rPr>
      </w:pPr>
    </w:p>
    <w:p w14:paraId="39076C8D" w14:textId="77777777" w:rsidR="00081161" w:rsidRDefault="00081161" w:rsidP="005865FF">
      <w:pPr>
        <w:spacing w:after="120"/>
        <w:rPr>
          <w:rFonts w:ascii="Calibri" w:eastAsia="Calibri" w:hAnsi="Calibri" w:cs="Times New Roman"/>
          <w:szCs w:val="20"/>
        </w:rPr>
      </w:pPr>
    </w:p>
    <w:p w14:paraId="01B3A0E2" w14:textId="77777777" w:rsidR="00081161" w:rsidRDefault="00081161" w:rsidP="005865FF">
      <w:pPr>
        <w:spacing w:after="120"/>
        <w:rPr>
          <w:rFonts w:ascii="Calibri" w:eastAsia="Calibri" w:hAnsi="Calibri" w:cs="Times New Roman"/>
          <w:szCs w:val="20"/>
        </w:rPr>
      </w:pPr>
    </w:p>
    <w:p w14:paraId="47035AF6" w14:textId="77777777" w:rsidR="00081161" w:rsidRDefault="00081161" w:rsidP="005865FF">
      <w:pPr>
        <w:spacing w:after="120"/>
        <w:rPr>
          <w:rFonts w:ascii="Calibri" w:eastAsia="Calibri" w:hAnsi="Calibri" w:cs="Times New Roman"/>
          <w:szCs w:val="20"/>
        </w:rPr>
      </w:pPr>
    </w:p>
    <w:p w14:paraId="7BA6F8D9" w14:textId="029270F0" w:rsidR="005865FF" w:rsidRPr="0028162C" w:rsidRDefault="005865FF" w:rsidP="005865FF">
      <w:pPr>
        <w:spacing w:after="120"/>
        <w:rPr>
          <w:rFonts w:ascii="Calibri" w:eastAsia="Calibri" w:hAnsi="Calibri" w:cs="Times New Roman"/>
          <w:szCs w:val="20"/>
        </w:rPr>
      </w:pPr>
      <w:r w:rsidRPr="0028162C">
        <w:rPr>
          <w:rFonts w:ascii="Calibri" w:eastAsia="Calibri" w:hAnsi="Calibri" w:cs="Times New Roman"/>
          <w:szCs w:val="20"/>
        </w:rPr>
        <w:t xml:space="preserve">Figure 1: Scatterplot –SFR with and without measure exclusions </w:t>
      </w:r>
    </w:p>
    <w:p w14:paraId="4FA59444" w14:textId="77777777" w:rsidR="005865FF" w:rsidRPr="00874A15" w:rsidRDefault="005865FF" w:rsidP="005865FF">
      <w:pPr>
        <w:spacing w:after="120"/>
        <w:rPr>
          <w:rFonts w:ascii="Calibri" w:eastAsia="Calibri" w:hAnsi="Calibri" w:cs="Times New Roman"/>
          <w:sz w:val="20"/>
          <w:szCs w:val="20"/>
        </w:rPr>
      </w:pPr>
      <w:r w:rsidRPr="00874A15">
        <w:rPr>
          <w:rFonts w:ascii="Arial" w:eastAsia="Calibri" w:hAnsi="Arial" w:cs="Arial"/>
          <w:noProof/>
          <w:color w:val="000000"/>
          <w:sz w:val="20"/>
          <w:szCs w:val="20"/>
        </w:rPr>
        <w:lastRenderedPageBreak/>
        <w:drawing>
          <wp:inline distT="0" distB="0" distL="0" distR="0" wp14:anchorId="16A6E88C" wp14:editId="74C4DB92">
            <wp:extent cx="3589325" cy="2691994"/>
            <wp:effectExtent l="0" t="0" r="0" b="0"/>
            <wp:docPr id="1" name="Picture 1" descr="Plot of pie_j_noexc by PIE_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ot of pie_j_noexc by PIE_J"/>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2311" cy="2694233"/>
                    </a:xfrm>
                    <a:prstGeom prst="rect">
                      <a:avLst/>
                    </a:prstGeom>
                    <a:noFill/>
                    <a:ln>
                      <a:noFill/>
                    </a:ln>
                  </pic:spPr>
                </pic:pic>
              </a:graphicData>
            </a:graphic>
          </wp:inline>
        </w:drawing>
      </w:r>
    </w:p>
    <w:p w14:paraId="1E35E33A" w14:textId="77777777" w:rsidR="005865FF" w:rsidRDefault="005865FF" w:rsidP="005865FF">
      <w:pPr>
        <w:autoSpaceDE w:val="0"/>
        <w:autoSpaceDN w:val="0"/>
        <w:adjustRightInd w:val="0"/>
        <w:spacing w:after="0" w:line="240" w:lineRule="auto"/>
        <w:rPr>
          <w:rFonts w:cstheme="minorHAnsi"/>
          <w:bCs/>
        </w:rPr>
      </w:pPr>
    </w:p>
    <w:p w14:paraId="145AD87A" w14:textId="77777777" w:rsidR="005865FF" w:rsidRDefault="005865FF" w:rsidP="005865FF">
      <w:pPr>
        <w:autoSpaceDE w:val="0"/>
        <w:autoSpaceDN w:val="0"/>
        <w:adjustRightInd w:val="0"/>
        <w:spacing w:after="0" w:line="240" w:lineRule="auto"/>
        <w:rPr>
          <w:rFonts w:cstheme="minorHAnsi"/>
          <w:bCs/>
        </w:rPr>
      </w:pPr>
    </w:p>
    <w:p w14:paraId="456E5447" w14:textId="77777777" w:rsidR="005865FF" w:rsidRDefault="005865FF" w:rsidP="005865FF">
      <w:pPr>
        <w:autoSpaceDE w:val="0"/>
        <w:autoSpaceDN w:val="0"/>
        <w:adjustRightInd w:val="0"/>
        <w:spacing w:after="0" w:line="240" w:lineRule="auto"/>
        <w:rPr>
          <w:rFonts w:cstheme="minorHAnsi"/>
          <w:bCs/>
        </w:rPr>
      </w:pPr>
    </w:p>
    <w:p w14:paraId="34A40D06" w14:textId="77777777" w:rsidR="005865FF" w:rsidRPr="0028162C" w:rsidRDefault="005865FF" w:rsidP="005865FF">
      <w:r w:rsidRPr="0028162C">
        <w:rPr>
          <w:rFonts w:cstheme="minorHAnsi"/>
          <w:bCs/>
        </w:rPr>
        <w:t xml:space="preserve">Figure 2. </w:t>
      </w:r>
      <w:r w:rsidRPr="0028162C">
        <w:rPr>
          <w:rFonts w:cs="Arial"/>
          <w:color w:val="000000"/>
        </w:rPr>
        <w:t>Distribution of Excluded Patients at facility level for 2014</w:t>
      </w:r>
    </w:p>
    <w:p w14:paraId="149461DE" w14:textId="77777777" w:rsidR="005865FF" w:rsidRDefault="005865FF" w:rsidP="005865FF">
      <w:pPr>
        <w:autoSpaceDE w:val="0"/>
        <w:autoSpaceDN w:val="0"/>
        <w:adjustRightInd w:val="0"/>
        <w:spacing w:after="0" w:line="240" w:lineRule="auto"/>
        <w:rPr>
          <w:rFonts w:cstheme="minorHAnsi"/>
          <w:bCs/>
        </w:rPr>
      </w:pPr>
    </w:p>
    <w:p w14:paraId="1B7B4E74" w14:textId="77777777" w:rsidR="005865FF" w:rsidRPr="00E84C7F" w:rsidRDefault="005865FF" w:rsidP="005865FF">
      <w:pPr>
        <w:spacing w:after="120"/>
        <w:ind w:left="432"/>
        <w:rPr>
          <w:rFonts w:ascii="Calibri" w:eastAsia="Calibri" w:hAnsi="Calibri" w:cs="Times New Roman"/>
        </w:rPr>
      </w:pPr>
    </w:p>
    <w:p w14:paraId="647D7295" w14:textId="77777777" w:rsidR="005865FF" w:rsidRPr="00E84C7F" w:rsidRDefault="005865FF" w:rsidP="005865FF">
      <w:pPr>
        <w:spacing w:after="120"/>
        <w:rPr>
          <w:rFonts w:ascii="Calibri" w:eastAsia="Calibri" w:hAnsi="Calibri" w:cs="Times New Roman"/>
          <w:sz w:val="24"/>
          <w:szCs w:val="24"/>
        </w:rPr>
      </w:pPr>
      <w:r>
        <w:rPr>
          <w:noProof/>
        </w:rPr>
        <w:drawing>
          <wp:inline distT="0" distB="0" distL="0" distR="0" wp14:anchorId="110AEC95" wp14:editId="61AC2F03">
            <wp:extent cx="3866185" cy="2726156"/>
            <wp:effectExtent l="0" t="0" r="1270" b="0"/>
            <wp:docPr id="7" name="Picture 7" descr="C:\Users\jmsto.KECC.002\AppData\Local\Microsoft\Windows\Temporary Internet Files\Content.Word\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msto.KECC.002\AppData\Local\Microsoft\Windows\Temporary Internet Files\Content.Word\Picture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77777" cy="2734330"/>
                    </a:xfrm>
                    <a:prstGeom prst="rect">
                      <a:avLst/>
                    </a:prstGeom>
                    <a:noFill/>
                    <a:ln>
                      <a:noFill/>
                    </a:ln>
                  </pic:spPr>
                </pic:pic>
              </a:graphicData>
            </a:graphic>
          </wp:inline>
        </w:drawing>
      </w:r>
    </w:p>
    <w:p w14:paraId="3BA1B20B" w14:textId="77777777" w:rsidR="005865FF" w:rsidRPr="00E84C7F" w:rsidRDefault="005865FF" w:rsidP="005865FF">
      <w:pPr>
        <w:spacing w:after="120"/>
        <w:ind w:left="432"/>
        <w:rPr>
          <w:rFonts w:ascii="Calibri" w:eastAsia="Calibri" w:hAnsi="Calibri" w:cs="Times New Roman"/>
        </w:rPr>
      </w:pPr>
    </w:p>
    <w:p w14:paraId="453829C3" w14:textId="77777777" w:rsidR="005865FF" w:rsidRDefault="005865FF" w:rsidP="005865FF">
      <w:pPr>
        <w:autoSpaceDE w:val="0"/>
        <w:autoSpaceDN w:val="0"/>
        <w:adjustRightInd w:val="0"/>
        <w:spacing w:after="0" w:line="240" w:lineRule="auto"/>
        <w:rPr>
          <w:rFonts w:cstheme="minorHAnsi"/>
          <w:bCs/>
        </w:rPr>
      </w:pPr>
    </w:p>
    <w:p w14:paraId="7D7A84B7" w14:textId="77777777" w:rsidR="00081161" w:rsidRDefault="00081161" w:rsidP="005865FF">
      <w:pPr>
        <w:autoSpaceDE w:val="0"/>
        <w:autoSpaceDN w:val="0"/>
        <w:adjustRightInd w:val="0"/>
        <w:spacing w:after="0" w:line="240" w:lineRule="auto"/>
        <w:rPr>
          <w:rFonts w:cstheme="minorHAnsi"/>
          <w:b/>
          <w:bCs/>
          <w:color w:val="C00000"/>
          <w:u w:val="single"/>
        </w:rPr>
      </w:pPr>
    </w:p>
    <w:p w14:paraId="7E72529F" w14:textId="77777777" w:rsidR="00081161" w:rsidRDefault="00081161" w:rsidP="005865FF">
      <w:pPr>
        <w:autoSpaceDE w:val="0"/>
        <w:autoSpaceDN w:val="0"/>
        <w:adjustRightInd w:val="0"/>
        <w:spacing w:after="0" w:line="240" w:lineRule="auto"/>
        <w:rPr>
          <w:rFonts w:cstheme="minorHAnsi"/>
          <w:b/>
          <w:bCs/>
          <w:color w:val="C00000"/>
          <w:u w:val="single"/>
        </w:rPr>
      </w:pPr>
    </w:p>
    <w:p w14:paraId="6FD4E710" w14:textId="77777777" w:rsidR="00081161" w:rsidRDefault="00081161" w:rsidP="005865FF">
      <w:pPr>
        <w:autoSpaceDE w:val="0"/>
        <w:autoSpaceDN w:val="0"/>
        <w:adjustRightInd w:val="0"/>
        <w:spacing w:after="0" w:line="240" w:lineRule="auto"/>
        <w:rPr>
          <w:rFonts w:cstheme="minorHAnsi"/>
          <w:b/>
          <w:bCs/>
          <w:color w:val="C00000"/>
          <w:u w:val="single"/>
        </w:rPr>
      </w:pPr>
    </w:p>
    <w:p w14:paraId="4D3C56DC" w14:textId="4EFA3520" w:rsidR="005865FF" w:rsidRPr="00AD7234" w:rsidRDefault="005865FF" w:rsidP="005865FF">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4CEC27D4" w14:textId="0695F0AE" w:rsidR="0035286C" w:rsidRPr="0035286C" w:rsidRDefault="00833325" w:rsidP="0035286C">
      <w:pPr>
        <w:spacing w:after="120"/>
        <w:rPr>
          <w:rFonts w:ascii="Calibri" w:eastAsia="Calibri" w:hAnsi="Calibri" w:cs="Times New Roman"/>
          <w:color w:val="C00000"/>
          <w:szCs w:val="20"/>
        </w:rPr>
      </w:pPr>
      <w:r w:rsidRPr="00A25024">
        <w:rPr>
          <w:rFonts w:cstheme="minorHAnsi"/>
          <w:bCs/>
        </w:rPr>
        <w:br/>
      </w:r>
      <w:r w:rsidR="0035286C" w:rsidRPr="0035286C">
        <w:rPr>
          <w:rFonts w:ascii="Calibri" w:eastAsia="Calibri" w:hAnsi="Calibri" w:cs="Times New Roman"/>
          <w:color w:val="C00000"/>
          <w:szCs w:val="20"/>
        </w:rPr>
        <w:t xml:space="preserve">The following tables show </w:t>
      </w:r>
      <w:r w:rsidR="00935917">
        <w:rPr>
          <w:rFonts w:ascii="Calibri" w:eastAsia="Calibri" w:hAnsi="Calibri" w:cs="Times New Roman"/>
          <w:color w:val="C00000"/>
          <w:szCs w:val="20"/>
        </w:rPr>
        <w:t xml:space="preserve">the </w:t>
      </w:r>
      <w:r w:rsidR="0035286C" w:rsidRPr="0035286C">
        <w:rPr>
          <w:rFonts w:ascii="Calibri" w:eastAsia="Calibri" w:hAnsi="Calibri" w:cs="Times New Roman"/>
          <w:color w:val="C00000"/>
          <w:szCs w:val="20"/>
        </w:rPr>
        <w:t>percent of patient</w:t>
      </w:r>
      <w:r w:rsidR="006C173A">
        <w:rPr>
          <w:rFonts w:ascii="Calibri" w:eastAsia="Calibri" w:hAnsi="Calibri" w:cs="Times New Roman"/>
          <w:color w:val="C00000"/>
          <w:szCs w:val="20"/>
        </w:rPr>
        <w:t>-</w:t>
      </w:r>
      <w:r w:rsidR="0035286C" w:rsidRPr="0035286C">
        <w:rPr>
          <w:rFonts w:ascii="Calibri" w:eastAsia="Calibri" w:hAnsi="Calibri" w:cs="Times New Roman"/>
          <w:color w:val="C00000"/>
          <w:szCs w:val="20"/>
        </w:rPr>
        <w:t xml:space="preserve">months at risk and </w:t>
      </w:r>
      <w:r w:rsidR="00935917">
        <w:rPr>
          <w:rFonts w:ascii="Calibri" w:eastAsia="Calibri" w:hAnsi="Calibri" w:cs="Times New Roman"/>
          <w:color w:val="C00000"/>
          <w:szCs w:val="20"/>
        </w:rPr>
        <w:t xml:space="preserve">the </w:t>
      </w:r>
      <w:r w:rsidR="0035286C" w:rsidRPr="0035286C">
        <w:rPr>
          <w:rFonts w:ascii="Calibri" w:eastAsia="Calibri" w:hAnsi="Calibri" w:cs="Times New Roman"/>
          <w:color w:val="C00000"/>
          <w:szCs w:val="20"/>
        </w:rPr>
        <w:t>number of unique patients excluded as a result of the above mentioned exclusion strategy.</w:t>
      </w:r>
    </w:p>
    <w:p w14:paraId="1AC0C630" w14:textId="63D6702E" w:rsidR="0035286C" w:rsidRPr="0035286C" w:rsidRDefault="0035286C" w:rsidP="0035286C">
      <w:pPr>
        <w:spacing w:after="120"/>
        <w:rPr>
          <w:rFonts w:ascii="Calibri" w:eastAsia="Calibri" w:hAnsi="Calibri" w:cs="Times New Roman"/>
          <w:color w:val="C00000"/>
          <w:szCs w:val="20"/>
        </w:rPr>
      </w:pPr>
      <w:r w:rsidRPr="0035286C">
        <w:rPr>
          <w:rFonts w:ascii="Calibri" w:eastAsia="Calibri" w:hAnsi="Calibri" w:cs="Times New Roman"/>
          <w:color w:val="C00000"/>
          <w:szCs w:val="20"/>
        </w:rPr>
        <w:lastRenderedPageBreak/>
        <w:t>Table 1: Percent of patient-months at risk excluded</w:t>
      </w:r>
      <w:r w:rsidR="00304F63">
        <w:rPr>
          <w:rFonts w:ascii="Calibri" w:eastAsia="Calibri" w:hAnsi="Calibri" w:cs="Times New Roman"/>
          <w:color w:val="C00000"/>
          <w:szCs w:val="20"/>
        </w:rPr>
        <w:t xml:space="preserve">, 2018 data </w:t>
      </w:r>
    </w:p>
    <w:tbl>
      <w:tblPr>
        <w:tblW w:w="5692" w:type="dxa"/>
        <w:tblInd w:w="108" w:type="dxa"/>
        <w:tblLook w:val="04A0" w:firstRow="1" w:lastRow="0" w:firstColumn="1" w:lastColumn="0" w:noHBand="0" w:noVBand="1"/>
      </w:tblPr>
      <w:tblGrid>
        <w:gridCol w:w="852"/>
        <w:gridCol w:w="1860"/>
        <w:gridCol w:w="2020"/>
        <w:gridCol w:w="960"/>
      </w:tblGrid>
      <w:tr w:rsidR="0035286C" w:rsidRPr="0035286C" w14:paraId="285DBA48" w14:textId="77777777" w:rsidTr="000A4361">
        <w:trPr>
          <w:trHeight w:val="288"/>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7FCE91" w14:textId="77777777" w:rsidR="0035286C" w:rsidRPr="0035286C" w:rsidRDefault="0035286C" w:rsidP="000A4361">
            <w:pPr>
              <w:spacing w:after="0" w:line="240" w:lineRule="auto"/>
              <w:jc w:val="center"/>
              <w:rPr>
                <w:rFonts w:ascii="Calibri" w:eastAsia="Times New Roman" w:hAnsi="Calibri" w:cs="Calibri"/>
                <w:b/>
                <w:color w:val="C00000"/>
              </w:rPr>
            </w:pPr>
            <w:r w:rsidRPr="0035286C">
              <w:rPr>
                <w:rFonts w:ascii="Calibri" w:eastAsia="Times New Roman" w:hAnsi="Calibri" w:cs="Calibri"/>
                <w:b/>
                <w:color w:val="C00000"/>
              </w:rPr>
              <w:t xml:space="preserve">Year </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7224742E" w14:textId="77777777" w:rsidR="0035286C" w:rsidRPr="0035286C" w:rsidRDefault="0035286C" w:rsidP="000A4361">
            <w:pPr>
              <w:spacing w:after="0" w:line="240" w:lineRule="auto"/>
              <w:jc w:val="center"/>
              <w:rPr>
                <w:rFonts w:ascii="Calibri" w:eastAsia="Times New Roman" w:hAnsi="Calibri" w:cs="Calibri"/>
                <w:b/>
                <w:color w:val="C00000"/>
              </w:rPr>
            </w:pPr>
            <w:r w:rsidRPr="0035286C">
              <w:rPr>
                <w:rFonts w:ascii="Calibri" w:eastAsia="Times New Roman" w:hAnsi="Calibri" w:cs="Calibri"/>
                <w:b/>
                <w:color w:val="C00000"/>
              </w:rPr>
              <w:t xml:space="preserve">Before Exclusion </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7B89EAF0" w14:textId="77777777" w:rsidR="0035286C" w:rsidRPr="0035286C" w:rsidRDefault="0035286C" w:rsidP="000A4361">
            <w:pPr>
              <w:spacing w:after="0" w:line="240" w:lineRule="auto"/>
              <w:jc w:val="center"/>
              <w:rPr>
                <w:rFonts w:ascii="Calibri" w:eastAsia="Times New Roman" w:hAnsi="Calibri" w:cs="Calibri"/>
                <w:b/>
                <w:color w:val="C00000"/>
              </w:rPr>
            </w:pPr>
            <w:r w:rsidRPr="0035286C">
              <w:rPr>
                <w:rFonts w:ascii="Calibri" w:eastAsia="Times New Roman" w:hAnsi="Calibri" w:cs="Calibri"/>
                <w:b/>
                <w:color w:val="C00000"/>
              </w:rPr>
              <w:t xml:space="preserve">After Exclusion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506FE7B" w14:textId="77777777" w:rsidR="0035286C" w:rsidRPr="0035286C" w:rsidRDefault="0035286C" w:rsidP="000A4361">
            <w:pPr>
              <w:spacing w:after="0" w:line="240" w:lineRule="auto"/>
              <w:jc w:val="center"/>
              <w:rPr>
                <w:rFonts w:ascii="Calibri" w:eastAsia="Times New Roman" w:hAnsi="Calibri" w:cs="Calibri"/>
                <w:b/>
                <w:color w:val="C00000"/>
              </w:rPr>
            </w:pPr>
            <w:r w:rsidRPr="0035286C">
              <w:rPr>
                <w:rFonts w:ascii="Calibri" w:eastAsia="Times New Roman" w:hAnsi="Calibri" w:cs="Calibri"/>
                <w:b/>
                <w:color w:val="C00000"/>
              </w:rPr>
              <w:t>Percent</w:t>
            </w:r>
          </w:p>
        </w:tc>
      </w:tr>
      <w:tr w:rsidR="0035286C" w:rsidRPr="0035286C" w14:paraId="05A0C7CB" w14:textId="77777777" w:rsidTr="00304F63">
        <w:trPr>
          <w:trHeight w:val="288"/>
        </w:trPr>
        <w:tc>
          <w:tcPr>
            <w:tcW w:w="852" w:type="dxa"/>
            <w:tcBorders>
              <w:top w:val="nil"/>
              <w:left w:val="single" w:sz="4" w:space="0" w:color="auto"/>
              <w:bottom w:val="single" w:sz="4" w:space="0" w:color="auto"/>
              <w:right w:val="single" w:sz="4" w:space="0" w:color="auto"/>
            </w:tcBorders>
            <w:shd w:val="clear" w:color="auto" w:fill="auto"/>
            <w:noWrap/>
            <w:hideMark/>
          </w:tcPr>
          <w:p w14:paraId="2EC030E7" w14:textId="235D9DA9" w:rsidR="0035286C" w:rsidRPr="00304F63" w:rsidRDefault="0035286C" w:rsidP="00304F63">
            <w:pPr>
              <w:spacing w:after="0" w:line="240" w:lineRule="auto"/>
              <w:rPr>
                <w:rFonts w:ascii="Calibri" w:hAnsi="Calibri" w:cs="Calibri"/>
                <w:color w:val="C00000"/>
              </w:rPr>
            </w:pPr>
            <w:r w:rsidRPr="00304F63">
              <w:rPr>
                <w:rFonts w:ascii="Calibri" w:hAnsi="Calibri" w:cs="Calibri"/>
                <w:color w:val="C00000"/>
              </w:rPr>
              <w:t>2018</w:t>
            </w:r>
          </w:p>
        </w:tc>
        <w:tc>
          <w:tcPr>
            <w:tcW w:w="1860" w:type="dxa"/>
            <w:tcBorders>
              <w:top w:val="nil"/>
              <w:left w:val="nil"/>
              <w:bottom w:val="single" w:sz="4" w:space="0" w:color="auto"/>
              <w:right w:val="single" w:sz="4" w:space="0" w:color="auto"/>
            </w:tcBorders>
            <w:shd w:val="clear" w:color="auto" w:fill="auto"/>
            <w:noWrap/>
            <w:hideMark/>
          </w:tcPr>
          <w:p w14:paraId="1E20D21B" w14:textId="349A8913" w:rsidR="0035286C" w:rsidRPr="00304F63" w:rsidRDefault="002F44A0" w:rsidP="00304F63">
            <w:pPr>
              <w:rPr>
                <w:rFonts w:ascii="Calibri" w:hAnsi="Calibri" w:cs="Calibri"/>
                <w:color w:val="C00000"/>
              </w:rPr>
            </w:pPr>
            <w:r w:rsidRPr="00304F63">
              <w:rPr>
                <w:rFonts w:ascii="Calibri" w:hAnsi="Calibri" w:cs="Calibri"/>
                <w:color w:val="C00000"/>
              </w:rPr>
              <w:t>5,130,745</w:t>
            </w:r>
          </w:p>
        </w:tc>
        <w:tc>
          <w:tcPr>
            <w:tcW w:w="2020" w:type="dxa"/>
            <w:tcBorders>
              <w:top w:val="nil"/>
              <w:left w:val="nil"/>
              <w:bottom w:val="single" w:sz="4" w:space="0" w:color="auto"/>
              <w:right w:val="single" w:sz="4" w:space="0" w:color="auto"/>
            </w:tcBorders>
            <w:shd w:val="clear" w:color="auto" w:fill="auto"/>
            <w:noWrap/>
            <w:hideMark/>
          </w:tcPr>
          <w:p w14:paraId="6C291485" w14:textId="4B275867" w:rsidR="0035286C" w:rsidRPr="00304F63" w:rsidRDefault="0035286C" w:rsidP="00304F63">
            <w:pPr>
              <w:spacing w:after="0" w:line="240" w:lineRule="auto"/>
              <w:rPr>
                <w:rFonts w:ascii="Calibri" w:hAnsi="Calibri" w:cs="Calibri"/>
                <w:color w:val="C00000"/>
              </w:rPr>
            </w:pPr>
            <w:r w:rsidRPr="0035286C">
              <w:rPr>
                <w:rFonts w:ascii="Calibri" w:hAnsi="Calibri" w:cs="Calibri"/>
                <w:color w:val="C00000"/>
              </w:rPr>
              <w:t>5,068,460</w:t>
            </w:r>
          </w:p>
        </w:tc>
        <w:tc>
          <w:tcPr>
            <w:tcW w:w="960" w:type="dxa"/>
            <w:tcBorders>
              <w:top w:val="nil"/>
              <w:left w:val="nil"/>
              <w:bottom w:val="single" w:sz="4" w:space="0" w:color="auto"/>
              <w:right w:val="single" w:sz="4" w:space="0" w:color="auto"/>
            </w:tcBorders>
            <w:shd w:val="clear" w:color="auto" w:fill="auto"/>
            <w:noWrap/>
            <w:hideMark/>
          </w:tcPr>
          <w:p w14:paraId="7F0533CA" w14:textId="5FCCB317" w:rsidR="0035286C" w:rsidRPr="00304F63" w:rsidRDefault="0035286C" w:rsidP="00304F63">
            <w:pPr>
              <w:spacing w:after="0" w:line="240" w:lineRule="auto"/>
              <w:rPr>
                <w:rFonts w:ascii="Calibri" w:hAnsi="Calibri" w:cs="Calibri"/>
                <w:color w:val="C00000"/>
              </w:rPr>
            </w:pPr>
            <w:r w:rsidRPr="0035286C">
              <w:rPr>
                <w:rFonts w:ascii="Calibri" w:hAnsi="Calibri" w:cs="Calibri"/>
                <w:color w:val="C00000"/>
              </w:rPr>
              <w:t>1.22%</w:t>
            </w:r>
          </w:p>
        </w:tc>
      </w:tr>
    </w:tbl>
    <w:p w14:paraId="041D7085" w14:textId="27897B1D" w:rsidR="0035286C" w:rsidRPr="0035286C" w:rsidRDefault="0035286C" w:rsidP="0035286C">
      <w:pPr>
        <w:spacing w:before="240" w:after="240" w:line="240" w:lineRule="auto"/>
        <w:rPr>
          <w:rFonts w:ascii="Calibri" w:eastAsia="Calibri" w:hAnsi="Calibri" w:cs="Times New Roman"/>
          <w:color w:val="C00000"/>
          <w:szCs w:val="20"/>
        </w:rPr>
      </w:pPr>
      <w:r w:rsidRPr="0035286C">
        <w:rPr>
          <w:rFonts w:ascii="Calibri" w:eastAsia="Calibri" w:hAnsi="Calibri" w:cs="Times New Roman"/>
          <w:color w:val="C00000"/>
          <w:szCs w:val="20"/>
        </w:rPr>
        <w:t>Table 2: Number and percent of unique patients excluded</w:t>
      </w:r>
      <w:r w:rsidR="00304F63">
        <w:rPr>
          <w:rFonts w:ascii="Calibri" w:eastAsia="Calibri" w:hAnsi="Calibri" w:cs="Times New Roman"/>
          <w:color w:val="C00000"/>
          <w:szCs w:val="20"/>
        </w:rPr>
        <w:t>, 2018 data</w:t>
      </w:r>
    </w:p>
    <w:tbl>
      <w:tblPr>
        <w:tblW w:w="5708" w:type="dxa"/>
        <w:tblInd w:w="108" w:type="dxa"/>
        <w:tblLook w:val="04A0" w:firstRow="1" w:lastRow="0" w:firstColumn="1" w:lastColumn="0" w:noHBand="0" w:noVBand="1"/>
      </w:tblPr>
      <w:tblGrid>
        <w:gridCol w:w="854"/>
        <w:gridCol w:w="1865"/>
        <w:gridCol w:w="2026"/>
        <w:gridCol w:w="963"/>
      </w:tblGrid>
      <w:tr w:rsidR="0035286C" w:rsidRPr="0035286C" w14:paraId="222B85CF" w14:textId="77777777" w:rsidTr="00304F63">
        <w:trPr>
          <w:trHeight w:val="296"/>
        </w:trPr>
        <w:tc>
          <w:tcPr>
            <w:tcW w:w="854" w:type="dxa"/>
            <w:tcBorders>
              <w:top w:val="single" w:sz="4" w:space="0" w:color="auto"/>
              <w:left w:val="single" w:sz="4" w:space="0" w:color="auto"/>
              <w:bottom w:val="single" w:sz="4" w:space="0" w:color="auto"/>
              <w:right w:val="single" w:sz="4" w:space="0" w:color="auto"/>
            </w:tcBorders>
            <w:shd w:val="clear" w:color="auto" w:fill="auto"/>
            <w:noWrap/>
            <w:hideMark/>
          </w:tcPr>
          <w:p w14:paraId="78725383" w14:textId="77777777" w:rsidR="0035286C" w:rsidRPr="0035286C" w:rsidRDefault="0035286C" w:rsidP="000A4361">
            <w:pPr>
              <w:spacing w:after="0" w:line="240" w:lineRule="auto"/>
              <w:jc w:val="center"/>
              <w:rPr>
                <w:rFonts w:ascii="Calibri" w:eastAsia="Times New Roman" w:hAnsi="Calibri" w:cs="Calibri"/>
                <w:b/>
                <w:color w:val="C00000"/>
              </w:rPr>
            </w:pPr>
            <w:r w:rsidRPr="0035286C">
              <w:rPr>
                <w:rFonts w:ascii="Calibri" w:eastAsia="Times New Roman" w:hAnsi="Calibri" w:cs="Calibri"/>
                <w:b/>
                <w:color w:val="C00000"/>
              </w:rPr>
              <w:t xml:space="preserve">Year </w:t>
            </w:r>
          </w:p>
        </w:tc>
        <w:tc>
          <w:tcPr>
            <w:tcW w:w="1865" w:type="dxa"/>
            <w:tcBorders>
              <w:top w:val="single" w:sz="4" w:space="0" w:color="auto"/>
              <w:left w:val="nil"/>
              <w:bottom w:val="single" w:sz="4" w:space="0" w:color="auto"/>
              <w:right w:val="single" w:sz="4" w:space="0" w:color="auto"/>
            </w:tcBorders>
            <w:shd w:val="clear" w:color="auto" w:fill="auto"/>
            <w:noWrap/>
            <w:hideMark/>
          </w:tcPr>
          <w:p w14:paraId="54FAC771" w14:textId="77777777" w:rsidR="0035286C" w:rsidRPr="0035286C" w:rsidRDefault="0035286C" w:rsidP="000A4361">
            <w:pPr>
              <w:spacing w:after="0" w:line="240" w:lineRule="auto"/>
              <w:jc w:val="center"/>
              <w:rPr>
                <w:rFonts w:ascii="Calibri" w:eastAsia="Times New Roman" w:hAnsi="Calibri" w:cs="Calibri"/>
                <w:b/>
                <w:color w:val="C00000"/>
              </w:rPr>
            </w:pPr>
            <w:r w:rsidRPr="0035286C">
              <w:rPr>
                <w:rFonts w:ascii="Calibri" w:eastAsia="Times New Roman" w:hAnsi="Calibri" w:cs="Calibri"/>
                <w:b/>
                <w:color w:val="C00000"/>
              </w:rPr>
              <w:t xml:space="preserve">Before Exclusion </w:t>
            </w:r>
          </w:p>
        </w:tc>
        <w:tc>
          <w:tcPr>
            <w:tcW w:w="2026" w:type="dxa"/>
            <w:tcBorders>
              <w:top w:val="single" w:sz="4" w:space="0" w:color="auto"/>
              <w:left w:val="nil"/>
              <w:bottom w:val="single" w:sz="4" w:space="0" w:color="auto"/>
              <w:right w:val="single" w:sz="4" w:space="0" w:color="auto"/>
            </w:tcBorders>
            <w:shd w:val="clear" w:color="auto" w:fill="auto"/>
            <w:noWrap/>
            <w:hideMark/>
          </w:tcPr>
          <w:p w14:paraId="33C227D2" w14:textId="77777777" w:rsidR="0035286C" w:rsidRPr="0035286C" w:rsidRDefault="0035286C" w:rsidP="000A4361">
            <w:pPr>
              <w:spacing w:after="0" w:line="240" w:lineRule="auto"/>
              <w:jc w:val="center"/>
              <w:rPr>
                <w:rFonts w:ascii="Calibri" w:eastAsia="Times New Roman" w:hAnsi="Calibri" w:cs="Calibri"/>
                <w:b/>
                <w:color w:val="C00000"/>
              </w:rPr>
            </w:pPr>
            <w:r w:rsidRPr="0035286C">
              <w:rPr>
                <w:rFonts w:ascii="Calibri" w:eastAsia="Times New Roman" w:hAnsi="Calibri" w:cs="Calibri"/>
                <w:b/>
                <w:color w:val="C00000"/>
              </w:rPr>
              <w:t xml:space="preserve">After Exclusion </w:t>
            </w:r>
          </w:p>
        </w:tc>
        <w:tc>
          <w:tcPr>
            <w:tcW w:w="963" w:type="dxa"/>
            <w:tcBorders>
              <w:top w:val="single" w:sz="4" w:space="0" w:color="auto"/>
              <w:left w:val="nil"/>
              <w:bottom w:val="single" w:sz="4" w:space="0" w:color="auto"/>
              <w:right w:val="single" w:sz="4" w:space="0" w:color="auto"/>
            </w:tcBorders>
            <w:shd w:val="clear" w:color="auto" w:fill="auto"/>
            <w:noWrap/>
            <w:hideMark/>
          </w:tcPr>
          <w:p w14:paraId="3A7E811A" w14:textId="77777777" w:rsidR="0035286C" w:rsidRPr="0035286C" w:rsidRDefault="0035286C" w:rsidP="000A4361">
            <w:pPr>
              <w:spacing w:after="0" w:line="240" w:lineRule="auto"/>
              <w:jc w:val="center"/>
              <w:rPr>
                <w:rFonts w:ascii="Calibri" w:eastAsia="Times New Roman" w:hAnsi="Calibri" w:cs="Calibri"/>
                <w:b/>
                <w:color w:val="C00000"/>
              </w:rPr>
            </w:pPr>
            <w:r w:rsidRPr="0035286C">
              <w:rPr>
                <w:rFonts w:ascii="Calibri" w:eastAsia="Times New Roman" w:hAnsi="Calibri" w:cs="Calibri"/>
                <w:b/>
                <w:color w:val="C00000"/>
              </w:rPr>
              <w:t>Percent</w:t>
            </w:r>
          </w:p>
        </w:tc>
      </w:tr>
      <w:tr w:rsidR="0035286C" w:rsidRPr="0035286C" w14:paraId="5F8F428B" w14:textId="77777777" w:rsidTr="00304F63">
        <w:trPr>
          <w:trHeight w:val="296"/>
        </w:trPr>
        <w:tc>
          <w:tcPr>
            <w:tcW w:w="854" w:type="dxa"/>
            <w:tcBorders>
              <w:top w:val="nil"/>
              <w:left w:val="single" w:sz="4" w:space="0" w:color="auto"/>
              <w:bottom w:val="single" w:sz="4" w:space="0" w:color="auto"/>
              <w:right w:val="single" w:sz="4" w:space="0" w:color="auto"/>
            </w:tcBorders>
            <w:shd w:val="clear" w:color="auto" w:fill="auto"/>
            <w:noWrap/>
            <w:hideMark/>
          </w:tcPr>
          <w:p w14:paraId="7AB914FC" w14:textId="1FDBF559" w:rsidR="0035286C" w:rsidRPr="00175229" w:rsidRDefault="0035286C" w:rsidP="0035286C">
            <w:pPr>
              <w:spacing w:after="0" w:line="240" w:lineRule="auto"/>
              <w:jc w:val="center"/>
              <w:rPr>
                <w:rFonts w:ascii="Calibri" w:eastAsia="Times New Roman" w:hAnsi="Calibri" w:cs="Calibri"/>
                <w:color w:val="C00000"/>
              </w:rPr>
            </w:pPr>
            <w:r w:rsidRPr="00175229">
              <w:rPr>
                <w:rFonts w:ascii="Calibri" w:hAnsi="Calibri" w:cs="Calibri"/>
                <w:color w:val="C00000"/>
              </w:rPr>
              <w:t>2018</w:t>
            </w:r>
          </w:p>
        </w:tc>
        <w:tc>
          <w:tcPr>
            <w:tcW w:w="1865" w:type="dxa"/>
            <w:tcBorders>
              <w:top w:val="nil"/>
              <w:left w:val="nil"/>
              <w:bottom w:val="single" w:sz="4" w:space="0" w:color="auto"/>
              <w:right w:val="single" w:sz="4" w:space="0" w:color="auto"/>
            </w:tcBorders>
            <w:shd w:val="clear" w:color="auto" w:fill="auto"/>
            <w:noWrap/>
            <w:hideMark/>
          </w:tcPr>
          <w:p w14:paraId="29670FFE" w14:textId="6044DFE0" w:rsidR="0035286C" w:rsidRPr="00175229" w:rsidRDefault="002F44A0" w:rsidP="00304F63">
            <w:pPr>
              <w:jc w:val="center"/>
              <w:rPr>
                <w:rFonts w:ascii="Calibri" w:eastAsia="Times New Roman" w:hAnsi="Calibri" w:cs="Calibri"/>
                <w:color w:val="C00000"/>
              </w:rPr>
            </w:pPr>
            <w:r w:rsidRPr="00304F63">
              <w:rPr>
                <w:rFonts w:ascii="Calibri" w:hAnsi="Calibri" w:cs="Calibri"/>
                <w:color w:val="C00000"/>
              </w:rPr>
              <w:t>544,904</w:t>
            </w:r>
          </w:p>
        </w:tc>
        <w:tc>
          <w:tcPr>
            <w:tcW w:w="2026" w:type="dxa"/>
            <w:tcBorders>
              <w:top w:val="nil"/>
              <w:left w:val="nil"/>
              <w:bottom w:val="single" w:sz="4" w:space="0" w:color="auto"/>
              <w:right w:val="single" w:sz="4" w:space="0" w:color="auto"/>
            </w:tcBorders>
            <w:shd w:val="clear" w:color="auto" w:fill="auto"/>
            <w:noWrap/>
            <w:hideMark/>
          </w:tcPr>
          <w:p w14:paraId="71DD5445" w14:textId="125407B1" w:rsidR="0035286C" w:rsidRPr="0035286C" w:rsidRDefault="0035286C" w:rsidP="0035286C">
            <w:pPr>
              <w:spacing w:after="0" w:line="240" w:lineRule="auto"/>
              <w:jc w:val="center"/>
              <w:rPr>
                <w:rFonts w:ascii="Calibri" w:eastAsia="Times New Roman" w:hAnsi="Calibri" w:cs="Calibri"/>
                <w:color w:val="C00000"/>
              </w:rPr>
            </w:pPr>
            <w:r w:rsidRPr="0035286C">
              <w:rPr>
                <w:rFonts w:ascii="Calibri" w:hAnsi="Calibri" w:cs="Calibri"/>
                <w:color w:val="C00000"/>
              </w:rPr>
              <w:t>539,550</w:t>
            </w:r>
          </w:p>
        </w:tc>
        <w:tc>
          <w:tcPr>
            <w:tcW w:w="963" w:type="dxa"/>
            <w:tcBorders>
              <w:top w:val="nil"/>
              <w:left w:val="nil"/>
              <w:bottom w:val="single" w:sz="4" w:space="0" w:color="auto"/>
              <w:right w:val="single" w:sz="4" w:space="0" w:color="auto"/>
            </w:tcBorders>
            <w:shd w:val="clear" w:color="auto" w:fill="auto"/>
            <w:noWrap/>
            <w:hideMark/>
          </w:tcPr>
          <w:p w14:paraId="52F6C277" w14:textId="7423F402" w:rsidR="0035286C" w:rsidRPr="0035286C" w:rsidRDefault="0035286C" w:rsidP="0035286C">
            <w:pPr>
              <w:spacing w:after="0" w:line="240" w:lineRule="auto"/>
              <w:jc w:val="center"/>
              <w:rPr>
                <w:rFonts w:ascii="Calibri" w:eastAsia="Times New Roman" w:hAnsi="Calibri" w:cs="Calibri"/>
                <w:color w:val="C00000"/>
              </w:rPr>
            </w:pPr>
            <w:r w:rsidRPr="0035286C">
              <w:rPr>
                <w:rFonts w:ascii="Calibri" w:hAnsi="Calibri" w:cs="Calibri"/>
                <w:color w:val="C00000"/>
              </w:rPr>
              <w:t>0.99%</w:t>
            </w:r>
          </w:p>
        </w:tc>
      </w:tr>
    </w:tbl>
    <w:p w14:paraId="15F8BD3E" w14:textId="77777777" w:rsidR="0035286C" w:rsidRPr="0035286C" w:rsidRDefault="0035286C" w:rsidP="0035286C">
      <w:pPr>
        <w:spacing w:after="120"/>
        <w:rPr>
          <w:rFonts w:ascii="Calibri" w:eastAsia="Calibri" w:hAnsi="Calibri" w:cs="Times New Roman"/>
          <w:color w:val="C00000"/>
          <w:sz w:val="20"/>
          <w:szCs w:val="20"/>
        </w:rPr>
      </w:pPr>
    </w:p>
    <w:p w14:paraId="0280B8D6" w14:textId="3214F357" w:rsidR="0035286C" w:rsidRPr="0035286C" w:rsidRDefault="0035286C" w:rsidP="0035286C">
      <w:pPr>
        <w:spacing w:after="120"/>
        <w:jc w:val="both"/>
        <w:rPr>
          <w:rFonts w:ascii="Calibri" w:eastAsia="Calibri" w:hAnsi="Calibri" w:cs="Times New Roman"/>
          <w:color w:val="C00000"/>
          <w:sz w:val="24"/>
        </w:rPr>
      </w:pPr>
      <w:r w:rsidRPr="0035286C">
        <w:rPr>
          <w:rFonts w:ascii="Calibri" w:eastAsia="Calibri" w:hAnsi="Calibri" w:cs="Times New Roman"/>
          <w:color w:val="C00000"/>
          <w:szCs w:val="20"/>
        </w:rPr>
        <w:t xml:space="preserve">Table 3:  </w:t>
      </w:r>
      <w:r w:rsidRPr="0035286C">
        <w:rPr>
          <w:rFonts w:ascii="Calibri" w:eastAsia="Calibri" w:hAnsi="Calibri" w:cs="Times New Roman"/>
          <w:color w:val="C00000"/>
          <w:sz w:val="24"/>
        </w:rPr>
        <w:t>Distribution of performance scores before and after the exclusion</w:t>
      </w:r>
      <w:r w:rsidR="00304F63">
        <w:rPr>
          <w:rFonts w:ascii="Calibri" w:eastAsia="Calibri" w:hAnsi="Calibri" w:cs="Times New Roman"/>
          <w:color w:val="C00000"/>
          <w:szCs w:val="20"/>
        </w:rPr>
        <w:t>, 2018 data</w:t>
      </w:r>
    </w:p>
    <w:tbl>
      <w:tblPr>
        <w:tblW w:w="6352" w:type="dxa"/>
        <w:tblInd w:w="108" w:type="dxa"/>
        <w:tblLook w:val="04A0" w:firstRow="1" w:lastRow="0" w:firstColumn="1" w:lastColumn="0" w:noHBand="0" w:noVBand="1"/>
      </w:tblPr>
      <w:tblGrid>
        <w:gridCol w:w="1417"/>
        <w:gridCol w:w="737"/>
        <w:gridCol w:w="840"/>
        <w:gridCol w:w="1099"/>
        <w:gridCol w:w="1111"/>
        <w:gridCol w:w="1148"/>
      </w:tblGrid>
      <w:tr w:rsidR="0035286C" w:rsidRPr="0035286C" w14:paraId="7D7ECA41" w14:textId="77777777" w:rsidTr="00DD0847">
        <w:trPr>
          <w:trHeight w:val="1152"/>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F9DE5" w14:textId="77777777" w:rsidR="0035286C" w:rsidRPr="0035286C" w:rsidRDefault="0035286C" w:rsidP="000A4361">
            <w:pPr>
              <w:spacing w:after="0" w:line="240" w:lineRule="auto"/>
              <w:jc w:val="center"/>
              <w:rPr>
                <w:rFonts w:ascii="Calibri" w:eastAsia="Times New Roman" w:hAnsi="Calibri" w:cs="Calibri"/>
                <w:b/>
                <w:bCs/>
                <w:color w:val="C00000"/>
              </w:rPr>
            </w:pPr>
            <w:r w:rsidRPr="0035286C">
              <w:rPr>
                <w:rFonts w:ascii="Calibri" w:eastAsia="Times New Roman" w:hAnsi="Calibri" w:cs="Calibri"/>
                <w:b/>
                <w:bCs/>
                <w:color w:val="C00000"/>
              </w:rPr>
              <w:t>Standardized Fistula Rate</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66991DDA" w14:textId="77777777" w:rsidR="0035286C" w:rsidRPr="0035286C" w:rsidRDefault="0035286C" w:rsidP="000A4361">
            <w:pPr>
              <w:spacing w:after="0" w:line="240" w:lineRule="auto"/>
              <w:jc w:val="center"/>
              <w:rPr>
                <w:rFonts w:ascii="Calibri" w:eastAsia="Times New Roman" w:hAnsi="Calibri" w:cs="Calibri"/>
                <w:b/>
                <w:bCs/>
                <w:color w:val="C00000"/>
              </w:rPr>
            </w:pPr>
            <w:r w:rsidRPr="0035286C">
              <w:rPr>
                <w:rFonts w:ascii="Calibri" w:eastAsia="Times New Roman" w:hAnsi="Calibri" w:cs="Calibri"/>
                <w:b/>
                <w:bCs/>
                <w:color w:val="C00000"/>
              </w:rPr>
              <w:t>N</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1B1B25DD" w14:textId="77777777" w:rsidR="0035286C" w:rsidRPr="0035286C" w:rsidRDefault="0035286C" w:rsidP="000A4361">
            <w:pPr>
              <w:spacing w:after="0" w:line="240" w:lineRule="auto"/>
              <w:jc w:val="center"/>
              <w:rPr>
                <w:rFonts w:ascii="Calibri" w:eastAsia="Times New Roman" w:hAnsi="Calibri" w:cs="Calibri"/>
                <w:b/>
                <w:bCs/>
                <w:color w:val="C00000"/>
              </w:rPr>
            </w:pPr>
            <w:r w:rsidRPr="0035286C">
              <w:rPr>
                <w:rFonts w:ascii="Calibri" w:eastAsia="Times New Roman" w:hAnsi="Calibri" w:cs="Calibri"/>
                <w:b/>
                <w:bCs/>
                <w:color w:val="C00000"/>
              </w:rPr>
              <w:t>Mean</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14:paraId="7B8857D0" w14:textId="77777777" w:rsidR="0035286C" w:rsidRPr="0035286C" w:rsidRDefault="0035286C" w:rsidP="000A4361">
            <w:pPr>
              <w:spacing w:after="0" w:line="240" w:lineRule="auto"/>
              <w:jc w:val="center"/>
              <w:rPr>
                <w:rFonts w:ascii="Calibri" w:eastAsia="Times New Roman" w:hAnsi="Calibri" w:cs="Calibri"/>
                <w:b/>
                <w:bCs/>
                <w:color w:val="C00000"/>
              </w:rPr>
            </w:pPr>
            <w:r w:rsidRPr="0035286C">
              <w:rPr>
                <w:rFonts w:ascii="Calibri" w:eastAsia="Times New Roman" w:hAnsi="Calibri" w:cs="Calibri"/>
                <w:b/>
                <w:bCs/>
                <w:color w:val="C00000"/>
              </w:rPr>
              <w:t>Standard Deviation</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14:paraId="389DC02C" w14:textId="77777777" w:rsidR="0035286C" w:rsidRPr="0035286C" w:rsidRDefault="0035286C" w:rsidP="000A4361">
            <w:pPr>
              <w:spacing w:after="0" w:line="240" w:lineRule="auto"/>
              <w:jc w:val="center"/>
              <w:rPr>
                <w:rFonts w:ascii="Calibri" w:eastAsia="Times New Roman" w:hAnsi="Calibri" w:cs="Calibri"/>
                <w:b/>
                <w:bCs/>
                <w:color w:val="C00000"/>
              </w:rPr>
            </w:pPr>
            <w:r w:rsidRPr="0035286C">
              <w:rPr>
                <w:rFonts w:ascii="Calibri" w:eastAsia="Times New Roman" w:hAnsi="Calibri" w:cs="Calibri"/>
                <w:b/>
                <w:bCs/>
                <w:color w:val="C00000"/>
              </w:rPr>
              <w:t>Minimum</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14:paraId="16E22A55" w14:textId="77777777" w:rsidR="0035286C" w:rsidRPr="0035286C" w:rsidRDefault="0035286C" w:rsidP="000A4361">
            <w:pPr>
              <w:spacing w:after="0" w:line="240" w:lineRule="auto"/>
              <w:jc w:val="center"/>
              <w:rPr>
                <w:rFonts w:ascii="Calibri" w:eastAsia="Times New Roman" w:hAnsi="Calibri" w:cs="Calibri"/>
                <w:b/>
                <w:bCs/>
                <w:color w:val="C00000"/>
              </w:rPr>
            </w:pPr>
            <w:r w:rsidRPr="0035286C">
              <w:rPr>
                <w:rFonts w:ascii="Calibri" w:eastAsia="Times New Roman" w:hAnsi="Calibri" w:cs="Calibri"/>
                <w:b/>
                <w:bCs/>
                <w:color w:val="C00000"/>
              </w:rPr>
              <w:t>Maximum</w:t>
            </w:r>
          </w:p>
        </w:tc>
      </w:tr>
      <w:tr w:rsidR="00DD0847" w:rsidRPr="0035286C" w14:paraId="4FCDA13F" w14:textId="77777777" w:rsidTr="00424C4A">
        <w:trPr>
          <w:trHeight w:val="576"/>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0422157B" w14:textId="77777777" w:rsidR="00DD0847" w:rsidRPr="0035286C" w:rsidRDefault="00DD0847" w:rsidP="00DD0847">
            <w:pPr>
              <w:spacing w:after="0" w:line="240" w:lineRule="auto"/>
              <w:rPr>
                <w:rFonts w:ascii="Calibri" w:eastAsia="Times New Roman" w:hAnsi="Calibri" w:cs="Calibri"/>
                <w:color w:val="C00000"/>
              </w:rPr>
            </w:pPr>
            <w:r w:rsidRPr="0035286C">
              <w:rPr>
                <w:rFonts w:ascii="Calibri" w:eastAsia="Times New Roman" w:hAnsi="Calibri" w:cs="Calibri"/>
                <w:color w:val="C00000"/>
              </w:rPr>
              <w:t>Before exclusion</w:t>
            </w:r>
          </w:p>
        </w:tc>
        <w:tc>
          <w:tcPr>
            <w:tcW w:w="737" w:type="dxa"/>
            <w:tcBorders>
              <w:top w:val="nil"/>
              <w:left w:val="nil"/>
              <w:bottom w:val="single" w:sz="4" w:space="0" w:color="auto"/>
              <w:right w:val="single" w:sz="4" w:space="0" w:color="auto"/>
            </w:tcBorders>
            <w:shd w:val="clear" w:color="auto" w:fill="auto"/>
            <w:vAlign w:val="center"/>
          </w:tcPr>
          <w:p w14:paraId="2A9EB885" w14:textId="4D4D7422" w:rsidR="00DD0847" w:rsidRPr="00424C4A" w:rsidRDefault="002F44A0" w:rsidP="00DD0847">
            <w:pPr>
              <w:spacing w:after="0" w:line="240" w:lineRule="auto"/>
              <w:jc w:val="center"/>
              <w:rPr>
                <w:rFonts w:ascii="Calibri" w:eastAsia="Times New Roman" w:hAnsi="Calibri" w:cs="Calibri"/>
                <w:color w:val="C00000"/>
              </w:rPr>
            </w:pPr>
            <w:r w:rsidRPr="00424C4A">
              <w:rPr>
                <w:rFonts w:ascii="Calibri" w:hAnsi="Calibri" w:cs="Calibri"/>
                <w:color w:val="C00000"/>
              </w:rPr>
              <w:t>6838</w:t>
            </w:r>
          </w:p>
        </w:tc>
        <w:tc>
          <w:tcPr>
            <w:tcW w:w="840" w:type="dxa"/>
            <w:tcBorders>
              <w:top w:val="nil"/>
              <w:left w:val="nil"/>
              <w:bottom w:val="single" w:sz="4" w:space="0" w:color="auto"/>
              <w:right w:val="single" w:sz="4" w:space="0" w:color="auto"/>
            </w:tcBorders>
            <w:shd w:val="clear" w:color="auto" w:fill="auto"/>
            <w:vAlign w:val="center"/>
          </w:tcPr>
          <w:p w14:paraId="26199FEF" w14:textId="0BA20DD5" w:rsidR="00DD0847" w:rsidRPr="00424C4A" w:rsidRDefault="00DD0847" w:rsidP="00DD0847">
            <w:pPr>
              <w:spacing w:after="0" w:line="240" w:lineRule="auto"/>
              <w:jc w:val="center"/>
              <w:rPr>
                <w:rFonts w:ascii="Calibri" w:eastAsia="Times New Roman" w:hAnsi="Calibri" w:cs="Calibri"/>
                <w:color w:val="C00000"/>
              </w:rPr>
            </w:pPr>
            <w:r w:rsidRPr="00424C4A">
              <w:rPr>
                <w:rFonts w:ascii="Calibri" w:hAnsi="Calibri" w:cs="Calibri"/>
                <w:color w:val="C00000"/>
              </w:rPr>
              <w:t>0.624</w:t>
            </w:r>
          </w:p>
        </w:tc>
        <w:tc>
          <w:tcPr>
            <w:tcW w:w="1099" w:type="dxa"/>
            <w:tcBorders>
              <w:top w:val="nil"/>
              <w:left w:val="nil"/>
              <w:bottom w:val="single" w:sz="4" w:space="0" w:color="auto"/>
              <w:right w:val="single" w:sz="4" w:space="0" w:color="auto"/>
            </w:tcBorders>
            <w:shd w:val="clear" w:color="auto" w:fill="auto"/>
            <w:vAlign w:val="center"/>
          </w:tcPr>
          <w:p w14:paraId="40195097" w14:textId="2F6D1B70" w:rsidR="00DD0847" w:rsidRPr="00424C4A" w:rsidRDefault="00DD0847" w:rsidP="00DD0847">
            <w:pPr>
              <w:spacing w:after="0" w:line="240" w:lineRule="auto"/>
              <w:jc w:val="center"/>
              <w:rPr>
                <w:rFonts w:ascii="Calibri" w:eastAsia="Times New Roman" w:hAnsi="Calibri" w:cs="Calibri"/>
                <w:color w:val="C00000"/>
              </w:rPr>
            </w:pPr>
            <w:r w:rsidRPr="00424C4A">
              <w:rPr>
                <w:rFonts w:ascii="Calibri" w:hAnsi="Calibri" w:cs="Calibri"/>
                <w:color w:val="C00000"/>
              </w:rPr>
              <w:t>0.11</w:t>
            </w:r>
            <w:r w:rsidR="002F44A0">
              <w:rPr>
                <w:rFonts w:ascii="Calibri" w:hAnsi="Calibri" w:cs="Calibri"/>
                <w:color w:val="C00000"/>
              </w:rPr>
              <w:t>0</w:t>
            </w:r>
          </w:p>
        </w:tc>
        <w:tc>
          <w:tcPr>
            <w:tcW w:w="1111" w:type="dxa"/>
            <w:tcBorders>
              <w:top w:val="nil"/>
              <w:left w:val="nil"/>
              <w:bottom w:val="single" w:sz="4" w:space="0" w:color="auto"/>
              <w:right w:val="single" w:sz="4" w:space="0" w:color="auto"/>
            </w:tcBorders>
            <w:shd w:val="clear" w:color="auto" w:fill="auto"/>
            <w:vAlign w:val="center"/>
          </w:tcPr>
          <w:p w14:paraId="2635969C" w14:textId="10A3F5A4" w:rsidR="00DD0847" w:rsidRPr="00424C4A" w:rsidRDefault="00DD0847" w:rsidP="00DD0847">
            <w:pPr>
              <w:spacing w:after="0" w:line="240" w:lineRule="auto"/>
              <w:jc w:val="center"/>
              <w:rPr>
                <w:rFonts w:ascii="Calibri" w:eastAsia="Times New Roman" w:hAnsi="Calibri" w:cs="Calibri"/>
                <w:color w:val="C00000"/>
              </w:rPr>
            </w:pPr>
            <w:r w:rsidRPr="00424C4A">
              <w:rPr>
                <w:rFonts w:ascii="Calibri" w:hAnsi="Calibri" w:cs="Calibri"/>
                <w:color w:val="C00000"/>
              </w:rPr>
              <w:t>0</w:t>
            </w:r>
          </w:p>
        </w:tc>
        <w:tc>
          <w:tcPr>
            <w:tcW w:w="1148" w:type="dxa"/>
            <w:tcBorders>
              <w:top w:val="nil"/>
              <w:left w:val="nil"/>
              <w:bottom w:val="single" w:sz="4" w:space="0" w:color="auto"/>
              <w:right w:val="single" w:sz="4" w:space="0" w:color="auto"/>
            </w:tcBorders>
            <w:shd w:val="clear" w:color="auto" w:fill="auto"/>
            <w:vAlign w:val="center"/>
          </w:tcPr>
          <w:p w14:paraId="70DFABC5" w14:textId="7D13589C" w:rsidR="00DD0847" w:rsidRPr="00424C4A" w:rsidRDefault="00DD0847" w:rsidP="00DD0847">
            <w:pPr>
              <w:spacing w:after="0" w:line="240" w:lineRule="auto"/>
              <w:jc w:val="center"/>
              <w:rPr>
                <w:rFonts w:ascii="Calibri" w:eastAsia="Times New Roman" w:hAnsi="Calibri" w:cs="Calibri"/>
                <w:color w:val="C00000"/>
              </w:rPr>
            </w:pPr>
            <w:r w:rsidRPr="00424C4A">
              <w:rPr>
                <w:rFonts w:ascii="Calibri" w:hAnsi="Calibri" w:cs="Calibri"/>
                <w:color w:val="C00000"/>
              </w:rPr>
              <w:t>0.969</w:t>
            </w:r>
          </w:p>
        </w:tc>
      </w:tr>
      <w:tr w:rsidR="00DD0847" w:rsidRPr="0035286C" w14:paraId="0346BD56" w14:textId="77777777" w:rsidTr="00424C4A">
        <w:trPr>
          <w:trHeight w:val="552"/>
        </w:trPr>
        <w:tc>
          <w:tcPr>
            <w:tcW w:w="1417" w:type="dxa"/>
            <w:tcBorders>
              <w:top w:val="nil"/>
              <w:left w:val="single" w:sz="4" w:space="0" w:color="auto"/>
              <w:bottom w:val="single" w:sz="4" w:space="0" w:color="auto"/>
              <w:right w:val="single" w:sz="4" w:space="0" w:color="auto"/>
            </w:tcBorders>
            <w:shd w:val="clear" w:color="auto" w:fill="auto"/>
            <w:vAlign w:val="center"/>
            <w:hideMark/>
          </w:tcPr>
          <w:p w14:paraId="1EAFD152" w14:textId="77777777" w:rsidR="00DD0847" w:rsidRPr="0035286C" w:rsidRDefault="00DD0847" w:rsidP="00DD0847">
            <w:pPr>
              <w:spacing w:after="0" w:line="240" w:lineRule="auto"/>
              <w:rPr>
                <w:rFonts w:ascii="Calibri" w:eastAsia="Times New Roman" w:hAnsi="Calibri" w:cs="Calibri"/>
                <w:color w:val="C00000"/>
              </w:rPr>
            </w:pPr>
            <w:r w:rsidRPr="0035286C">
              <w:rPr>
                <w:rFonts w:ascii="Calibri" w:eastAsia="Times New Roman" w:hAnsi="Calibri" w:cs="Calibri"/>
                <w:color w:val="C00000"/>
              </w:rPr>
              <w:t>After exclusion</w:t>
            </w:r>
          </w:p>
        </w:tc>
        <w:tc>
          <w:tcPr>
            <w:tcW w:w="737" w:type="dxa"/>
            <w:tcBorders>
              <w:top w:val="nil"/>
              <w:left w:val="nil"/>
              <w:bottom w:val="single" w:sz="4" w:space="0" w:color="auto"/>
              <w:right w:val="single" w:sz="4" w:space="0" w:color="auto"/>
            </w:tcBorders>
            <w:shd w:val="clear" w:color="auto" w:fill="auto"/>
            <w:vAlign w:val="center"/>
          </w:tcPr>
          <w:p w14:paraId="59FDEBB0" w14:textId="6A3B562D" w:rsidR="00DD0847" w:rsidRPr="00424C4A" w:rsidRDefault="00DD0847" w:rsidP="00DD0847">
            <w:pPr>
              <w:spacing w:after="0" w:line="240" w:lineRule="auto"/>
              <w:jc w:val="center"/>
              <w:rPr>
                <w:rFonts w:ascii="Calibri" w:eastAsia="Times New Roman" w:hAnsi="Calibri" w:cs="Calibri"/>
                <w:color w:val="C00000"/>
              </w:rPr>
            </w:pPr>
            <w:r w:rsidRPr="00424C4A">
              <w:rPr>
                <w:rFonts w:ascii="Calibri" w:hAnsi="Calibri" w:cs="Calibri"/>
                <w:color w:val="C00000"/>
              </w:rPr>
              <w:t>6838</w:t>
            </w:r>
          </w:p>
        </w:tc>
        <w:tc>
          <w:tcPr>
            <w:tcW w:w="840" w:type="dxa"/>
            <w:tcBorders>
              <w:top w:val="nil"/>
              <w:left w:val="nil"/>
              <w:bottom w:val="single" w:sz="4" w:space="0" w:color="auto"/>
              <w:right w:val="single" w:sz="4" w:space="0" w:color="auto"/>
            </w:tcBorders>
            <w:shd w:val="clear" w:color="auto" w:fill="auto"/>
            <w:vAlign w:val="center"/>
          </w:tcPr>
          <w:p w14:paraId="7D47A1EA" w14:textId="0165DFC8" w:rsidR="00DD0847" w:rsidRPr="00424C4A" w:rsidRDefault="00DD0847" w:rsidP="00DD0847">
            <w:pPr>
              <w:spacing w:after="0" w:line="240" w:lineRule="auto"/>
              <w:jc w:val="center"/>
              <w:rPr>
                <w:rFonts w:ascii="Calibri" w:eastAsia="Times New Roman" w:hAnsi="Calibri" w:cs="Calibri"/>
                <w:color w:val="C00000"/>
              </w:rPr>
            </w:pPr>
            <w:r w:rsidRPr="00424C4A">
              <w:rPr>
                <w:rFonts w:ascii="Calibri" w:hAnsi="Calibri" w:cs="Calibri"/>
                <w:color w:val="C00000"/>
              </w:rPr>
              <w:t>0.632</w:t>
            </w:r>
          </w:p>
        </w:tc>
        <w:tc>
          <w:tcPr>
            <w:tcW w:w="1099" w:type="dxa"/>
            <w:tcBorders>
              <w:top w:val="nil"/>
              <w:left w:val="nil"/>
              <w:bottom w:val="single" w:sz="4" w:space="0" w:color="auto"/>
              <w:right w:val="single" w:sz="4" w:space="0" w:color="auto"/>
            </w:tcBorders>
            <w:shd w:val="clear" w:color="auto" w:fill="auto"/>
            <w:vAlign w:val="center"/>
          </w:tcPr>
          <w:p w14:paraId="401B8C30" w14:textId="3C46B08E" w:rsidR="00DD0847" w:rsidRPr="00424C4A" w:rsidRDefault="00DD0847" w:rsidP="00DD0847">
            <w:pPr>
              <w:spacing w:after="0" w:line="240" w:lineRule="auto"/>
              <w:jc w:val="center"/>
              <w:rPr>
                <w:rFonts w:ascii="Calibri" w:eastAsia="Times New Roman" w:hAnsi="Calibri" w:cs="Calibri"/>
                <w:color w:val="C00000"/>
              </w:rPr>
            </w:pPr>
            <w:r w:rsidRPr="00424C4A">
              <w:rPr>
                <w:rFonts w:ascii="Calibri" w:hAnsi="Calibri" w:cs="Calibri"/>
                <w:color w:val="C00000"/>
              </w:rPr>
              <w:t>0.111</w:t>
            </w:r>
          </w:p>
        </w:tc>
        <w:tc>
          <w:tcPr>
            <w:tcW w:w="1111" w:type="dxa"/>
            <w:tcBorders>
              <w:top w:val="nil"/>
              <w:left w:val="nil"/>
              <w:bottom w:val="single" w:sz="4" w:space="0" w:color="auto"/>
              <w:right w:val="single" w:sz="4" w:space="0" w:color="auto"/>
            </w:tcBorders>
            <w:shd w:val="clear" w:color="auto" w:fill="auto"/>
            <w:vAlign w:val="center"/>
          </w:tcPr>
          <w:p w14:paraId="7BDDE2C7" w14:textId="7EF01A90" w:rsidR="00DD0847" w:rsidRPr="00424C4A" w:rsidRDefault="00DD0847" w:rsidP="00DD0847">
            <w:pPr>
              <w:spacing w:after="0" w:line="240" w:lineRule="auto"/>
              <w:jc w:val="center"/>
              <w:rPr>
                <w:rFonts w:ascii="Calibri" w:eastAsia="Times New Roman" w:hAnsi="Calibri" w:cs="Calibri"/>
                <w:color w:val="C00000"/>
              </w:rPr>
            </w:pPr>
            <w:r w:rsidRPr="00424C4A">
              <w:rPr>
                <w:rFonts w:ascii="Calibri" w:hAnsi="Calibri" w:cs="Calibri"/>
                <w:color w:val="C00000"/>
              </w:rPr>
              <w:t>0</w:t>
            </w:r>
          </w:p>
        </w:tc>
        <w:tc>
          <w:tcPr>
            <w:tcW w:w="1148" w:type="dxa"/>
            <w:tcBorders>
              <w:top w:val="nil"/>
              <w:left w:val="nil"/>
              <w:bottom w:val="single" w:sz="4" w:space="0" w:color="auto"/>
              <w:right w:val="single" w:sz="4" w:space="0" w:color="auto"/>
            </w:tcBorders>
            <w:shd w:val="clear" w:color="auto" w:fill="auto"/>
            <w:vAlign w:val="center"/>
          </w:tcPr>
          <w:p w14:paraId="0A51E83A" w14:textId="5C380FF4" w:rsidR="00DD0847" w:rsidRPr="00424C4A" w:rsidRDefault="00DD0847" w:rsidP="00DD0847">
            <w:pPr>
              <w:spacing w:after="0" w:line="240" w:lineRule="auto"/>
              <w:jc w:val="center"/>
              <w:rPr>
                <w:rFonts w:ascii="Calibri" w:eastAsia="Times New Roman" w:hAnsi="Calibri" w:cs="Calibri"/>
                <w:color w:val="C00000"/>
              </w:rPr>
            </w:pPr>
            <w:r w:rsidRPr="00424C4A">
              <w:rPr>
                <w:rFonts w:ascii="Calibri" w:hAnsi="Calibri" w:cs="Calibri"/>
                <w:color w:val="C00000"/>
              </w:rPr>
              <w:t>0.982</w:t>
            </w:r>
          </w:p>
        </w:tc>
      </w:tr>
    </w:tbl>
    <w:p w14:paraId="4BDA2B90" w14:textId="77777777" w:rsidR="0035286C" w:rsidRPr="0035286C" w:rsidRDefault="0035286C" w:rsidP="0035286C">
      <w:pPr>
        <w:spacing w:after="120"/>
        <w:ind w:left="432"/>
        <w:jc w:val="both"/>
        <w:rPr>
          <w:rFonts w:ascii="Calibri" w:eastAsia="Calibri" w:hAnsi="Calibri" w:cs="Times New Roman"/>
          <w:color w:val="C00000"/>
        </w:rPr>
      </w:pPr>
    </w:p>
    <w:p w14:paraId="0BC60A4F" w14:textId="574F0382" w:rsidR="0035286C" w:rsidRPr="0035286C" w:rsidRDefault="0035286C" w:rsidP="0035286C">
      <w:pPr>
        <w:spacing w:after="120"/>
        <w:rPr>
          <w:rFonts w:ascii="Calibri" w:eastAsia="Calibri" w:hAnsi="Calibri" w:cs="Times New Roman"/>
          <w:color w:val="C00000"/>
          <w:szCs w:val="20"/>
        </w:rPr>
      </w:pPr>
      <w:r w:rsidRPr="0035286C">
        <w:rPr>
          <w:rFonts w:ascii="Calibri" w:eastAsia="Calibri" w:hAnsi="Calibri" w:cs="Times New Roman"/>
          <w:color w:val="C00000"/>
          <w:szCs w:val="20"/>
        </w:rPr>
        <w:t>Figure 1: Scatterplot –SFR with and without measure exclusions</w:t>
      </w:r>
      <w:r w:rsidR="00304F63">
        <w:rPr>
          <w:rFonts w:ascii="Calibri" w:eastAsia="Calibri" w:hAnsi="Calibri" w:cs="Times New Roman"/>
          <w:color w:val="C00000"/>
          <w:szCs w:val="20"/>
        </w:rPr>
        <w:t>, 2018 data</w:t>
      </w:r>
      <w:r w:rsidRPr="0035286C">
        <w:rPr>
          <w:rFonts w:ascii="Calibri" w:eastAsia="Calibri" w:hAnsi="Calibri" w:cs="Times New Roman"/>
          <w:color w:val="C00000"/>
          <w:szCs w:val="20"/>
        </w:rPr>
        <w:t xml:space="preserve"> </w:t>
      </w:r>
    </w:p>
    <w:p w14:paraId="47863EC2" w14:textId="3E1904DC" w:rsidR="0035286C" w:rsidRPr="0035286C" w:rsidRDefault="00DD0847" w:rsidP="0035286C">
      <w:pPr>
        <w:spacing w:after="120"/>
        <w:rPr>
          <w:rFonts w:ascii="Calibri" w:eastAsia="Calibri" w:hAnsi="Calibri" w:cs="Times New Roman"/>
          <w:color w:val="C00000"/>
          <w:sz w:val="20"/>
          <w:szCs w:val="20"/>
        </w:rPr>
      </w:pPr>
      <w:r>
        <w:rPr>
          <w:noProof/>
        </w:rPr>
        <w:drawing>
          <wp:inline distT="0" distB="0" distL="0" distR="0" wp14:anchorId="60DC3FC4" wp14:editId="7C8725DB">
            <wp:extent cx="3267075" cy="2443163"/>
            <wp:effectExtent l="0" t="0" r="0" b="0"/>
            <wp:docPr id="10" name="Picture 9" descr="Plot of sfr_f_b4 by sfr_f_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Plot of sfr_f_b4 by sfr_f_a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7075" cy="244316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4226BF3" w14:textId="77777777" w:rsidR="0035286C" w:rsidRPr="0035286C" w:rsidRDefault="0035286C" w:rsidP="0035286C">
      <w:pPr>
        <w:autoSpaceDE w:val="0"/>
        <w:autoSpaceDN w:val="0"/>
        <w:adjustRightInd w:val="0"/>
        <w:spacing w:after="0" w:line="240" w:lineRule="auto"/>
        <w:rPr>
          <w:rFonts w:cstheme="minorHAnsi"/>
          <w:bCs/>
          <w:color w:val="C00000"/>
        </w:rPr>
      </w:pPr>
    </w:p>
    <w:p w14:paraId="37940A17" w14:textId="77777777" w:rsidR="0035286C" w:rsidRPr="0035286C" w:rsidRDefault="0035286C" w:rsidP="0035286C">
      <w:pPr>
        <w:autoSpaceDE w:val="0"/>
        <w:autoSpaceDN w:val="0"/>
        <w:adjustRightInd w:val="0"/>
        <w:spacing w:after="0" w:line="240" w:lineRule="auto"/>
        <w:rPr>
          <w:rFonts w:cstheme="minorHAnsi"/>
          <w:bCs/>
          <w:color w:val="C00000"/>
        </w:rPr>
      </w:pPr>
    </w:p>
    <w:p w14:paraId="4553F2C4" w14:textId="77777777" w:rsidR="0035286C" w:rsidRPr="0035286C" w:rsidRDefault="0035286C" w:rsidP="0035286C">
      <w:pPr>
        <w:autoSpaceDE w:val="0"/>
        <w:autoSpaceDN w:val="0"/>
        <w:adjustRightInd w:val="0"/>
        <w:spacing w:after="0" w:line="240" w:lineRule="auto"/>
        <w:rPr>
          <w:rFonts w:cstheme="minorHAnsi"/>
          <w:bCs/>
          <w:color w:val="C00000"/>
        </w:rPr>
      </w:pPr>
    </w:p>
    <w:p w14:paraId="40951DF3" w14:textId="572978FB" w:rsidR="0035286C" w:rsidRPr="0035286C" w:rsidRDefault="0035286C" w:rsidP="0035286C">
      <w:pPr>
        <w:rPr>
          <w:color w:val="C00000"/>
        </w:rPr>
      </w:pPr>
      <w:r w:rsidRPr="0035286C">
        <w:rPr>
          <w:rFonts w:cstheme="minorHAnsi"/>
          <w:bCs/>
          <w:color w:val="C00000"/>
        </w:rPr>
        <w:t xml:space="preserve">Figure 2. </w:t>
      </w:r>
      <w:r w:rsidRPr="0035286C">
        <w:rPr>
          <w:rFonts w:cs="Arial"/>
          <w:color w:val="C00000"/>
        </w:rPr>
        <w:t>Distribution of Excluded Patients at facility level for 2018</w:t>
      </w:r>
    </w:p>
    <w:p w14:paraId="33AAB777" w14:textId="77777777" w:rsidR="0035286C" w:rsidRDefault="0035286C" w:rsidP="0035286C">
      <w:pPr>
        <w:autoSpaceDE w:val="0"/>
        <w:autoSpaceDN w:val="0"/>
        <w:adjustRightInd w:val="0"/>
        <w:spacing w:after="0" w:line="240" w:lineRule="auto"/>
        <w:rPr>
          <w:rFonts w:cstheme="minorHAnsi"/>
          <w:bCs/>
        </w:rPr>
      </w:pPr>
    </w:p>
    <w:p w14:paraId="374D0EF2" w14:textId="4CB0DBAE" w:rsidR="0035286C" w:rsidRPr="00E84C7F" w:rsidRDefault="00DD0847" w:rsidP="0035286C">
      <w:pPr>
        <w:spacing w:after="120"/>
        <w:ind w:left="432"/>
        <w:rPr>
          <w:rFonts w:ascii="Calibri" w:eastAsia="Calibri" w:hAnsi="Calibri" w:cs="Times New Roman"/>
        </w:rPr>
      </w:pPr>
      <w:r>
        <w:rPr>
          <w:noProof/>
        </w:rPr>
        <w:lastRenderedPageBreak/>
        <w:drawing>
          <wp:inline distT="0" distB="0" distL="0" distR="0" wp14:anchorId="37E877DB" wp14:editId="6C4AD7A2">
            <wp:extent cx="4165600" cy="3114675"/>
            <wp:effectExtent l="0" t="0" r="6350" b="9525"/>
            <wp:docPr id="11" name="Picture 10" descr="Box Plot for diff_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Box Plot for diff_p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5600" cy="31146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CABCFE6" w14:textId="2BF68878" w:rsidR="007422FD" w:rsidRDefault="007422FD"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1936CA4D" w14:textId="77777777" w:rsidR="005865FF" w:rsidRDefault="00092566" w:rsidP="005865FF">
      <w:pPr>
        <w:autoSpaceDE w:val="0"/>
        <w:autoSpaceDN w:val="0"/>
        <w:adjustRightInd w:val="0"/>
        <w:spacing w:after="0" w:line="240" w:lineRule="auto"/>
        <w:rPr>
          <w:rFonts w:ascii="Calibri" w:eastAsia="SimSun" w:hAnsi="Calibri" w:cs="Times New Roman"/>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31818C0" w14:textId="2FDF0104" w:rsidR="005865FF" w:rsidRDefault="005865FF" w:rsidP="005865FF">
      <w:pPr>
        <w:autoSpaceDE w:val="0"/>
        <w:autoSpaceDN w:val="0"/>
        <w:adjustRightInd w:val="0"/>
        <w:spacing w:after="0" w:line="240" w:lineRule="auto"/>
        <w:rPr>
          <w:rFonts w:cstheme="minorHAnsi"/>
          <w:bCs/>
        </w:rPr>
      </w:pPr>
      <w:r w:rsidRPr="00874A15">
        <w:rPr>
          <w:rFonts w:ascii="Calibri" w:eastAsia="SimSun" w:hAnsi="Calibri" w:cs="Times New Roman"/>
        </w:rPr>
        <w:t xml:space="preserve">The exclusion criteria are necessary since the percentage of patients excluded at each facility is not evenly distributed across facilities </w:t>
      </w:r>
      <w:r w:rsidRPr="00FF4BB5">
        <w:rPr>
          <w:rFonts w:ascii="Calibri" w:eastAsia="Calibri" w:hAnsi="Calibri" w:cs="Times New Roman"/>
        </w:rPr>
        <w:t>(</w:t>
      </w:r>
      <w:r w:rsidRPr="00FF4BB5">
        <w:rPr>
          <w:rFonts w:ascii="Calibri" w:eastAsia="SimSun" w:hAnsi="Calibri" w:cs="Times New Roman"/>
        </w:rPr>
        <w:t xml:space="preserve">Distribution </w:t>
      </w:r>
      <w:r w:rsidRPr="00293DAC">
        <w:rPr>
          <w:rFonts w:ascii="Calibri" w:eastAsia="SimSun" w:hAnsi="Calibri" w:cs="Times New Roman"/>
        </w:rPr>
        <w:t xml:space="preserve">shown in the boxplot </w:t>
      </w:r>
      <w:r>
        <w:rPr>
          <w:rFonts w:ascii="Calibri" w:eastAsia="SimSun" w:hAnsi="Calibri" w:cs="Times New Roman"/>
        </w:rPr>
        <w:t>above</w:t>
      </w:r>
      <w:r w:rsidRPr="00FF4BB5">
        <w:rPr>
          <w:rFonts w:ascii="Calibri" w:eastAsia="SimSun" w:hAnsi="Calibri" w:cs="Times New Roman"/>
        </w:rPr>
        <w:t>)</w:t>
      </w:r>
      <w:r w:rsidRPr="00FF4BB5">
        <w:rPr>
          <w:rFonts w:ascii="Calibri" w:eastAsia="Calibri" w:hAnsi="Calibri" w:cs="Times New Roman"/>
        </w:rPr>
        <w:t>.</w:t>
      </w:r>
      <w:r w:rsidRPr="00874A15">
        <w:rPr>
          <w:rFonts w:ascii="Calibri" w:eastAsia="Calibri" w:hAnsi="Calibri" w:cs="Times New Roman"/>
        </w:rPr>
        <w:t xml:space="preserve">  Due to the unequal distribution across facilities, the exclusion criteria take into account that some facilities treat a higher portion of patients with limited life expectancy.  Additionally, our results shown in both the scatter-plot </w:t>
      </w:r>
      <w:r w:rsidRPr="00874A15">
        <w:rPr>
          <w:rFonts w:ascii="Calibri" w:eastAsia="SimSun" w:hAnsi="Calibri" w:cs="Times New Roman"/>
        </w:rPr>
        <w:t>(Figure 1)</w:t>
      </w:r>
      <w:r w:rsidRPr="00874A15">
        <w:rPr>
          <w:rFonts w:ascii="Calibri" w:eastAsia="Calibri" w:hAnsi="Calibri" w:cs="Times New Roman"/>
        </w:rPr>
        <w:t xml:space="preserve"> as well as the </w:t>
      </w:r>
      <w:r w:rsidRPr="00874A15">
        <w:rPr>
          <w:rFonts w:ascii="Calibri" w:eastAsia="Calibri" w:hAnsi="Calibri" w:cs="Calibri"/>
        </w:rPr>
        <w:t xml:space="preserve">Pearson Correlation Coefficient of 0.998 (p-value &lt;0.0001) between SFRs with and without the exclusion </w:t>
      </w:r>
      <w:r w:rsidRPr="00874A15">
        <w:rPr>
          <w:rFonts w:ascii="Calibri" w:eastAsia="Calibri" w:hAnsi="Calibri" w:cs="Times New Roman"/>
        </w:rPr>
        <w:t>suggests that the overall impact of the exclusion on the measure’s validity is not substantial since the two are highly correlated.</w:t>
      </w:r>
    </w:p>
    <w:p w14:paraId="20AD926A" w14:textId="77777777" w:rsidR="005865FF" w:rsidRDefault="005865FF" w:rsidP="005865FF">
      <w:pPr>
        <w:autoSpaceDE w:val="0"/>
        <w:autoSpaceDN w:val="0"/>
        <w:adjustRightInd w:val="0"/>
        <w:spacing w:after="0" w:line="240" w:lineRule="auto"/>
        <w:rPr>
          <w:rFonts w:cstheme="minorHAnsi"/>
          <w:b/>
          <w:bCs/>
          <w:color w:val="C00000"/>
          <w:u w:val="single"/>
        </w:rPr>
      </w:pPr>
    </w:p>
    <w:p w14:paraId="6970D95F" w14:textId="4A2EAA67" w:rsidR="005865FF" w:rsidRDefault="005865FF" w:rsidP="005865FF">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70997DE8" w14:textId="4F5E3576" w:rsidR="00904A8F" w:rsidRDefault="00904A8F" w:rsidP="0035286C">
      <w:pPr>
        <w:autoSpaceDE w:val="0"/>
        <w:autoSpaceDN w:val="0"/>
        <w:adjustRightInd w:val="0"/>
        <w:spacing w:after="0" w:line="240" w:lineRule="auto"/>
        <w:rPr>
          <w:rFonts w:cstheme="minorHAnsi"/>
          <w:bCs/>
          <w:color w:val="C00000"/>
        </w:rPr>
      </w:pPr>
      <w:r w:rsidRPr="00904A8F">
        <w:rPr>
          <w:rFonts w:cstheme="minorHAnsi"/>
          <w:bCs/>
          <w:color w:val="C00000"/>
        </w:rPr>
        <w:t>Using 2018 data, we show the exclusion criteria are necessary since the percentage of patients excluded at each facility is not evenly distributed across facili</w:t>
      </w:r>
      <w:r w:rsidR="00F72691">
        <w:rPr>
          <w:rFonts w:cstheme="minorHAnsi"/>
          <w:bCs/>
          <w:color w:val="C00000"/>
        </w:rPr>
        <w:t>ties (d</w:t>
      </w:r>
      <w:r w:rsidRPr="00904A8F">
        <w:rPr>
          <w:rFonts w:cstheme="minorHAnsi"/>
          <w:bCs/>
          <w:color w:val="C00000"/>
        </w:rPr>
        <w:t xml:space="preserve">istribution shown in the boxplot above, figure 2).  Due to the unequal distribution across facilities, the exclusion criteria take into account that some facilities treat a higher </w:t>
      </w:r>
      <w:r w:rsidR="00F72691">
        <w:rPr>
          <w:rFonts w:cstheme="minorHAnsi"/>
          <w:bCs/>
          <w:color w:val="C00000"/>
        </w:rPr>
        <w:t>pro</w:t>
      </w:r>
      <w:r w:rsidRPr="00904A8F">
        <w:rPr>
          <w:rFonts w:cstheme="minorHAnsi"/>
          <w:bCs/>
          <w:color w:val="C00000"/>
        </w:rPr>
        <w:t>portion of patients with limited life expectancy.  Additionally, our results shown in both the scatter-plot (Figure 1) as well as the Pearson Correlation Coefficient of 0.998 (p-value &lt;0.0001) between SFRs with and without the exclusion suggest that the overall impact of the exclusion on the measure’s validity is not substantial since the two are highly correlated.</w:t>
      </w:r>
    </w:p>
    <w:p w14:paraId="7B4C07F5" w14:textId="77777777" w:rsidR="0035286C" w:rsidRPr="00AD7234" w:rsidRDefault="0035286C" w:rsidP="005865FF">
      <w:pPr>
        <w:autoSpaceDE w:val="0"/>
        <w:autoSpaceDN w:val="0"/>
        <w:adjustRightInd w:val="0"/>
        <w:spacing w:after="0" w:line="240" w:lineRule="auto"/>
        <w:rPr>
          <w:rFonts w:cstheme="minorHAnsi"/>
          <w:b/>
          <w:bCs/>
          <w:color w:val="C00000"/>
          <w:u w:val="single"/>
        </w:rPr>
      </w:pPr>
    </w:p>
    <w:p w14:paraId="0CABCFE8" w14:textId="06255C2C" w:rsidR="007422FD" w:rsidRPr="00A25024" w:rsidRDefault="007422FD"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lastRenderedPageBreak/>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7777777" w:rsidR="00033038" w:rsidRPr="005232D6" w:rsidRDefault="0008116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618A9AC0" w:rsidR="00743E46" w:rsidRPr="005232D6" w:rsidRDefault="0008116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5865FF">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E12743">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6D4119" w:rsidRPr="00081161">
            <w:rPr>
              <w:rStyle w:val="Style4"/>
              <w:u w:val="none"/>
            </w:rPr>
            <w:t>17</w:t>
          </w:r>
        </w:sdtContent>
      </w:sdt>
      <w:r w:rsidR="00E562C0" w:rsidRPr="00E12743">
        <w:rPr>
          <w:rStyle w:val="Style4"/>
          <w:u w:val="none"/>
        </w:rPr>
        <w:t xml:space="preserve"> </w:t>
      </w:r>
      <w:r w:rsidR="00743E46" w:rsidRPr="00E12743">
        <w:rPr>
          <w:rFonts w:cstheme="minorHAnsi"/>
          <w:b/>
          <w:bCs/>
        </w:rPr>
        <w:t>risk</w:t>
      </w:r>
      <w:r w:rsidR="00743E46" w:rsidRPr="005232D6">
        <w:rPr>
          <w:rFonts w:cstheme="minorHAnsi"/>
          <w:b/>
          <w:bCs/>
        </w:rPr>
        <w:t xml:space="preserve"> factors</w:t>
      </w:r>
    </w:p>
    <w:p w14:paraId="0CABCFEF" w14:textId="77777777" w:rsidR="00743E46" w:rsidRPr="005232D6" w:rsidRDefault="0008116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08116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5663044E" w14:textId="4615631E" w:rsidR="005865FF" w:rsidRPr="005865FF" w:rsidRDefault="005865FF" w:rsidP="005865FF">
      <w:pPr>
        <w:spacing w:after="0"/>
        <w:rPr>
          <w:rFonts w:ascii="Calibri" w:eastAsia="Times New Roman" w:hAnsi="Calibri" w:cs="Times New Roman"/>
          <w:bCs/>
          <w:szCs w:val="20"/>
          <w:shd w:val="clear" w:color="auto" w:fill="FFFFFF"/>
        </w:rPr>
      </w:pPr>
      <w:r w:rsidRPr="005865FF">
        <w:rPr>
          <w:rFonts w:ascii="Calibri" w:eastAsia="Times New Roman" w:hAnsi="Calibri" w:cs="Times New Roman"/>
          <w:bCs/>
          <w:szCs w:val="20"/>
          <w:shd w:val="clear" w:color="auto" w:fill="FFFFFF"/>
        </w:rPr>
        <w:br/>
        <w:t>The proposed SFR measure is a directly standardized percentage, in that each facility’s percentage of AVF use is adjusted to the national distribution of covariates (risk factors) (with ‘national’ here referring to all-facilities-combined).  The SFR for facility i is an estimate of what the facility’s percentage of AVF would equal if the facility’s patient mix was equal to that of the nation as a whole.  The measure is adjusted for patient demographic and clinical characteristics based on a logistic regression model. This model includes the facility indicators and assumes that the regression coefficients of risk factors are the same across all facilities. The common risk effects are assumed in order to improve computational stability in estimating facility-specific effects.</w:t>
      </w:r>
    </w:p>
    <w:p w14:paraId="2FA8FBA1" w14:textId="77777777" w:rsidR="005865FF" w:rsidRPr="00080223" w:rsidRDefault="005865FF" w:rsidP="005865FF">
      <w:pPr>
        <w:spacing w:after="0"/>
        <w:rPr>
          <w:rFonts w:ascii="Calibri" w:eastAsia="Times New Roman" w:hAnsi="Calibri" w:cs="Times New Roman"/>
          <w:bCs/>
          <w:color w:val="0000FF"/>
          <w:sz w:val="20"/>
          <w:szCs w:val="20"/>
          <w:shd w:val="clear" w:color="auto" w:fill="FFFFFF"/>
        </w:rPr>
      </w:pPr>
    </w:p>
    <w:p w14:paraId="00CA1A6C" w14:textId="77777777" w:rsidR="005865FF" w:rsidRPr="00AE37A9" w:rsidRDefault="005865FF" w:rsidP="005865FF">
      <w:p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The patient characteristics included in the logistic regression model as covariates are:</w:t>
      </w:r>
    </w:p>
    <w:p w14:paraId="646446EC" w14:textId="4E55C935" w:rsidR="005865FF" w:rsidRPr="00AE37A9" w:rsidRDefault="005865FF" w:rsidP="00AE37A9">
      <w:pPr>
        <w:pStyle w:val="ListParagraph"/>
        <w:numPr>
          <w:ilvl w:val="0"/>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Age</w:t>
      </w:r>
    </w:p>
    <w:p w14:paraId="7601B395" w14:textId="52F4B5A0" w:rsidR="005865FF" w:rsidRPr="00AE37A9" w:rsidRDefault="005865FF" w:rsidP="00AE37A9">
      <w:pPr>
        <w:pStyle w:val="ListParagraph"/>
        <w:numPr>
          <w:ilvl w:val="0"/>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BMI at incidence</w:t>
      </w:r>
    </w:p>
    <w:p w14:paraId="3A535D5B" w14:textId="451EF0AD" w:rsidR="005865FF" w:rsidRPr="00AE37A9" w:rsidRDefault="005865FF" w:rsidP="00AE37A9">
      <w:pPr>
        <w:pStyle w:val="ListParagraph"/>
        <w:numPr>
          <w:ilvl w:val="0"/>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Nursing home status in previous year</w:t>
      </w:r>
    </w:p>
    <w:p w14:paraId="2B313A36" w14:textId="7074EC41" w:rsidR="005865FF" w:rsidRPr="00AE37A9" w:rsidRDefault="005865FF" w:rsidP="00AE37A9">
      <w:pPr>
        <w:pStyle w:val="ListParagraph"/>
        <w:numPr>
          <w:ilvl w:val="0"/>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Nephrologist’s care prior to ESRD</w:t>
      </w:r>
    </w:p>
    <w:p w14:paraId="1A92EE67" w14:textId="70F994BB" w:rsidR="005865FF" w:rsidRPr="00AE37A9" w:rsidRDefault="005865FF" w:rsidP="00AE37A9">
      <w:pPr>
        <w:pStyle w:val="ListParagraph"/>
        <w:numPr>
          <w:ilvl w:val="0"/>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Duration of ESRD</w:t>
      </w:r>
    </w:p>
    <w:p w14:paraId="11D0B585" w14:textId="2CDDAA77" w:rsidR="005865FF" w:rsidRPr="00AE37A9" w:rsidRDefault="005865FF" w:rsidP="00AE37A9">
      <w:pPr>
        <w:pStyle w:val="ListParagraph"/>
        <w:numPr>
          <w:ilvl w:val="0"/>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Inability to ambulate/transfer at ESRD incidence (CMS-2728 form)</w:t>
      </w:r>
    </w:p>
    <w:p w14:paraId="0ED06977" w14:textId="5A7867F7" w:rsidR="005865FF" w:rsidRPr="00AE37A9" w:rsidRDefault="005865FF" w:rsidP="00AE37A9">
      <w:pPr>
        <w:pStyle w:val="ListParagraph"/>
        <w:numPr>
          <w:ilvl w:val="0"/>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Comorbidities either at ESRD incidence (CMS-2728 form) or prevalent comorbidities based on Medicare claims filed in prior 12 months</w:t>
      </w:r>
    </w:p>
    <w:p w14:paraId="6C6AABE8" w14:textId="5F19A42A" w:rsidR="005865FF" w:rsidRPr="00AE37A9" w:rsidRDefault="005865FF" w:rsidP="00AE37A9">
      <w:pPr>
        <w:pStyle w:val="ListParagraph"/>
        <w:numPr>
          <w:ilvl w:val="1"/>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Diabetes</w:t>
      </w:r>
    </w:p>
    <w:p w14:paraId="5351CD87" w14:textId="5A03A7DA" w:rsidR="005865FF" w:rsidRPr="00AE37A9" w:rsidRDefault="005865FF" w:rsidP="00AE37A9">
      <w:pPr>
        <w:pStyle w:val="ListParagraph"/>
        <w:numPr>
          <w:ilvl w:val="1"/>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Heart diseases</w:t>
      </w:r>
    </w:p>
    <w:p w14:paraId="0446A3C4" w14:textId="16386E6A" w:rsidR="005865FF" w:rsidRPr="00AE37A9" w:rsidRDefault="005865FF" w:rsidP="00AE37A9">
      <w:pPr>
        <w:pStyle w:val="ListParagraph"/>
        <w:numPr>
          <w:ilvl w:val="1"/>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Peripheral vascular disease</w:t>
      </w:r>
    </w:p>
    <w:p w14:paraId="25054303" w14:textId="02453178" w:rsidR="005865FF" w:rsidRPr="00AE37A9" w:rsidRDefault="005865FF" w:rsidP="00AE37A9">
      <w:pPr>
        <w:pStyle w:val="ListParagraph"/>
        <w:numPr>
          <w:ilvl w:val="1"/>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Cerebrovascular disease</w:t>
      </w:r>
    </w:p>
    <w:p w14:paraId="55E89564" w14:textId="6B45AF86" w:rsidR="005865FF" w:rsidRPr="00AE37A9" w:rsidRDefault="005865FF" w:rsidP="00AE37A9">
      <w:pPr>
        <w:pStyle w:val="ListParagraph"/>
        <w:numPr>
          <w:ilvl w:val="1"/>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Chronic obstructive pulmonary disease</w:t>
      </w:r>
    </w:p>
    <w:p w14:paraId="56B80C39" w14:textId="4C5C6280" w:rsidR="005865FF" w:rsidRPr="00AE37A9" w:rsidRDefault="005865FF" w:rsidP="00AE37A9">
      <w:pPr>
        <w:pStyle w:val="ListParagraph"/>
        <w:numPr>
          <w:ilvl w:val="1"/>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Anemia (unrelated to ESRD/CKD)</w:t>
      </w:r>
    </w:p>
    <w:p w14:paraId="6DB9B9F3" w14:textId="778DFCF3" w:rsidR="005865FF" w:rsidRPr="00AE37A9" w:rsidRDefault="005865FF" w:rsidP="00AE37A9">
      <w:pPr>
        <w:pStyle w:val="ListParagraph"/>
        <w:numPr>
          <w:ilvl w:val="1"/>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Non-Vascular Access-Related Infections</w:t>
      </w:r>
    </w:p>
    <w:p w14:paraId="091F97EA" w14:textId="5ADFF518" w:rsidR="005865FF" w:rsidRPr="00AE37A9" w:rsidRDefault="005865FF" w:rsidP="00AE37A9">
      <w:pPr>
        <w:pStyle w:val="ListParagraph"/>
        <w:numPr>
          <w:ilvl w:val="1"/>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Drug dependence</w:t>
      </w:r>
    </w:p>
    <w:p w14:paraId="1C13B092" w14:textId="51199169" w:rsidR="005865FF" w:rsidRPr="00AE37A9" w:rsidRDefault="00AE37A9" w:rsidP="00AE37A9">
      <w:pPr>
        <w:pStyle w:val="ListParagraph"/>
        <w:numPr>
          <w:ilvl w:val="0"/>
          <w:numId w:val="33"/>
        </w:numPr>
        <w:spacing w:after="0"/>
        <w:rPr>
          <w:rFonts w:ascii="Calibri" w:eastAsia="Times New Roman" w:hAnsi="Calibri" w:cs="Times New Roman"/>
          <w:bCs/>
          <w:szCs w:val="20"/>
          <w:shd w:val="clear" w:color="auto" w:fill="FFFFFF"/>
        </w:rPr>
      </w:pPr>
      <w:r w:rsidRPr="00AE37A9">
        <w:rPr>
          <w:rFonts w:ascii="Calibri" w:eastAsia="Times New Roman" w:hAnsi="Calibri" w:cs="Times New Roman"/>
          <w:bCs/>
          <w:szCs w:val="20"/>
          <w:shd w:val="clear" w:color="auto" w:fill="FFFFFF"/>
        </w:rPr>
        <w:t>I</w:t>
      </w:r>
      <w:r w:rsidR="005865FF" w:rsidRPr="00AE37A9">
        <w:rPr>
          <w:rFonts w:ascii="Calibri" w:eastAsia="Times New Roman" w:hAnsi="Calibri" w:cs="Times New Roman"/>
          <w:bCs/>
          <w:szCs w:val="20"/>
          <w:shd w:val="clear" w:color="auto" w:fill="FFFFFF"/>
        </w:rPr>
        <w:t>ndicator for Medicare coverage for at least 6 months during the past 12 months</w:t>
      </w:r>
    </w:p>
    <w:p w14:paraId="3A698C3C" w14:textId="77777777" w:rsidR="005865FF" w:rsidRPr="00756F1D" w:rsidRDefault="005865FF" w:rsidP="005865FF">
      <w:pPr>
        <w:spacing w:after="0"/>
        <w:rPr>
          <w:rFonts w:ascii="Calibri" w:eastAsia="Times New Roman" w:hAnsi="Calibri" w:cs="Times New Roman"/>
          <w:b/>
          <w:bCs/>
          <w:sz w:val="20"/>
          <w:szCs w:val="20"/>
          <w:shd w:val="clear" w:color="auto" w:fill="FFFFFF"/>
        </w:rPr>
      </w:pPr>
    </w:p>
    <w:p w14:paraId="39C1F31A" w14:textId="77777777" w:rsidR="00081161" w:rsidRDefault="00081161" w:rsidP="00AE37A9">
      <w:pPr>
        <w:autoSpaceDE w:val="0"/>
        <w:autoSpaceDN w:val="0"/>
        <w:adjustRightInd w:val="0"/>
        <w:spacing w:after="0" w:line="240" w:lineRule="auto"/>
        <w:rPr>
          <w:rFonts w:cstheme="minorHAnsi"/>
          <w:b/>
          <w:bCs/>
          <w:color w:val="C00000"/>
          <w:u w:val="single"/>
        </w:rPr>
      </w:pPr>
    </w:p>
    <w:p w14:paraId="25430EDE" w14:textId="77777777" w:rsidR="00081161" w:rsidRDefault="00081161" w:rsidP="00AE37A9">
      <w:pPr>
        <w:autoSpaceDE w:val="0"/>
        <w:autoSpaceDN w:val="0"/>
        <w:adjustRightInd w:val="0"/>
        <w:spacing w:after="0" w:line="240" w:lineRule="auto"/>
        <w:rPr>
          <w:rFonts w:cstheme="minorHAnsi"/>
          <w:b/>
          <w:bCs/>
          <w:color w:val="C00000"/>
          <w:u w:val="single"/>
        </w:rPr>
      </w:pPr>
    </w:p>
    <w:p w14:paraId="1F7A0A8F" w14:textId="7BC08F36" w:rsidR="00AE37A9" w:rsidRPr="00AD7234" w:rsidRDefault="00AE37A9" w:rsidP="00AE37A9">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0F928BD9" w14:textId="65091D2E" w:rsidR="0035286C" w:rsidRPr="0035286C" w:rsidRDefault="00EE4104" w:rsidP="0035286C">
      <w:pPr>
        <w:spacing w:after="0"/>
        <w:rPr>
          <w:rFonts w:ascii="Calibri" w:eastAsia="Times New Roman" w:hAnsi="Calibri" w:cs="Times New Roman"/>
          <w:bCs/>
          <w:color w:val="C00000"/>
          <w:szCs w:val="20"/>
          <w:shd w:val="clear" w:color="auto" w:fill="FFFFFF"/>
        </w:rPr>
      </w:pPr>
      <w:r w:rsidRPr="00EE4104">
        <w:rPr>
          <w:rFonts w:ascii="Calibri" w:eastAsia="Times New Roman" w:hAnsi="Calibri" w:cs="Times New Roman"/>
          <w:bCs/>
          <w:color w:val="C00000"/>
          <w:szCs w:val="20"/>
          <w:shd w:val="clear" w:color="auto" w:fill="FFFFFF"/>
        </w:rPr>
        <w:t xml:space="preserve">The SFR measure is a directly standardized percentage, in that each facility’s percentage of AVF use is adjusted to the national distribution of covariates (risk factors) (with ‘national’ here referring to all-facilities-combined).  </w:t>
      </w:r>
      <w:r w:rsidR="0035286C" w:rsidRPr="0035286C">
        <w:rPr>
          <w:rFonts w:ascii="Calibri" w:eastAsia="Times New Roman" w:hAnsi="Calibri" w:cs="Times New Roman"/>
          <w:bCs/>
          <w:color w:val="C00000"/>
          <w:szCs w:val="20"/>
          <w:shd w:val="clear" w:color="auto" w:fill="FFFFFF"/>
        </w:rPr>
        <w:t xml:space="preserve">The SFR for facility </w:t>
      </w:r>
      <w:r w:rsidR="0035286C" w:rsidRPr="00822F36">
        <w:rPr>
          <w:rFonts w:ascii="Calibri" w:eastAsia="Times New Roman" w:hAnsi="Calibri" w:cs="Times New Roman"/>
          <w:bCs/>
          <w:i/>
          <w:color w:val="C00000"/>
          <w:szCs w:val="20"/>
          <w:shd w:val="clear" w:color="auto" w:fill="FFFFFF"/>
        </w:rPr>
        <w:t>i</w:t>
      </w:r>
      <w:r w:rsidR="0035286C" w:rsidRPr="0035286C">
        <w:rPr>
          <w:rFonts w:ascii="Calibri" w:eastAsia="Times New Roman" w:hAnsi="Calibri" w:cs="Times New Roman"/>
          <w:bCs/>
          <w:color w:val="C00000"/>
          <w:szCs w:val="20"/>
          <w:shd w:val="clear" w:color="auto" w:fill="FFFFFF"/>
        </w:rPr>
        <w:t xml:space="preserve"> is an estimate of what the facility’s percentage of AVF would equal if the facility’s patient mix was equal to that of the nation as a whole.  The measure is adjusted for </w:t>
      </w:r>
      <w:r w:rsidR="0035286C" w:rsidRPr="0035286C">
        <w:rPr>
          <w:rFonts w:ascii="Calibri" w:eastAsia="Times New Roman" w:hAnsi="Calibri" w:cs="Times New Roman"/>
          <w:bCs/>
          <w:color w:val="C00000"/>
          <w:szCs w:val="20"/>
          <w:shd w:val="clear" w:color="auto" w:fill="FFFFFF"/>
        </w:rPr>
        <w:lastRenderedPageBreak/>
        <w:t xml:space="preserve">patient demographic and clinical characteristics based on a logistic regression model. This model includes the facility indicators and assumes that the regression coefficients of </w:t>
      </w:r>
      <w:r>
        <w:rPr>
          <w:rFonts w:ascii="Calibri" w:eastAsia="Times New Roman" w:hAnsi="Calibri" w:cs="Times New Roman"/>
          <w:bCs/>
          <w:color w:val="C00000"/>
          <w:szCs w:val="20"/>
          <w:shd w:val="clear" w:color="auto" w:fill="FFFFFF"/>
        </w:rPr>
        <w:t xml:space="preserve">the </w:t>
      </w:r>
      <w:r w:rsidR="0035286C" w:rsidRPr="0035286C">
        <w:rPr>
          <w:rFonts w:ascii="Calibri" w:eastAsia="Times New Roman" w:hAnsi="Calibri" w:cs="Times New Roman"/>
          <w:bCs/>
          <w:color w:val="C00000"/>
          <w:szCs w:val="20"/>
          <w:shd w:val="clear" w:color="auto" w:fill="FFFFFF"/>
        </w:rPr>
        <w:t>risk factors are the same across all facilities. The common risk</w:t>
      </w:r>
      <w:r w:rsidR="005E29AD">
        <w:rPr>
          <w:rFonts w:ascii="Calibri" w:eastAsia="Times New Roman" w:hAnsi="Calibri" w:cs="Times New Roman"/>
          <w:bCs/>
          <w:color w:val="C00000"/>
          <w:szCs w:val="20"/>
          <w:shd w:val="clear" w:color="auto" w:fill="FFFFFF"/>
        </w:rPr>
        <w:t xml:space="preserve"> factor</w:t>
      </w:r>
      <w:r w:rsidR="0035286C" w:rsidRPr="0035286C">
        <w:rPr>
          <w:rFonts w:ascii="Calibri" w:eastAsia="Times New Roman" w:hAnsi="Calibri" w:cs="Times New Roman"/>
          <w:bCs/>
          <w:color w:val="C00000"/>
          <w:szCs w:val="20"/>
          <w:shd w:val="clear" w:color="auto" w:fill="FFFFFF"/>
        </w:rPr>
        <w:t xml:space="preserve"> effects are assumed in order to improve computational stability in estimating facility-specific effects.</w:t>
      </w:r>
    </w:p>
    <w:p w14:paraId="040BCB18" w14:textId="77777777" w:rsidR="0035286C" w:rsidRPr="0035286C" w:rsidRDefault="0035286C" w:rsidP="0035286C">
      <w:pPr>
        <w:spacing w:after="0"/>
        <w:rPr>
          <w:rFonts w:ascii="Calibri" w:eastAsia="Times New Roman" w:hAnsi="Calibri" w:cs="Times New Roman"/>
          <w:bCs/>
          <w:color w:val="C00000"/>
          <w:sz w:val="20"/>
          <w:szCs w:val="20"/>
          <w:shd w:val="clear" w:color="auto" w:fill="FFFFFF"/>
        </w:rPr>
      </w:pPr>
    </w:p>
    <w:p w14:paraId="537B013A" w14:textId="77777777" w:rsidR="0035286C" w:rsidRPr="0035286C" w:rsidRDefault="0035286C" w:rsidP="0035286C">
      <w:p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The patient characteristics included in the logistic regression model as covariates are:</w:t>
      </w:r>
    </w:p>
    <w:p w14:paraId="30EB000A" w14:textId="77777777" w:rsidR="0035286C" w:rsidRPr="0035286C" w:rsidRDefault="0035286C" w:rsidP="0035286C">
      <w:pPr>
        <w:pStyle w:val="ListParagraph"/>
        <w:numPr>
          <w:ilvl w:val="0"/>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Age</w:t>
      </w:r>
    </w:p>
    <w:p w14:paraId="426D3DAC" w14:textId="0BCBAEA1" w:rsidR="0035286C" w:rsidRDefault="0035286C" w:rsidP="0035286C">
      <w:pPr>
        <w:pStyle w:val="ListParagraph"/>
        <w:numPr>
          <w:ilvl w:val="0"/>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BMI at incidence</w:t>
      </w:r>
      <w:r w:rsidR="003B0F84">
        <w:rPr>
          <w:rFonts w:ascii="Calibri" w:eastAsia="Times New Roman" w:hAnsi="Calibri" w:cs="Times New Roman"/>
          <w:bCs/>
          <w:color w:val="C00000"/>
          <w:szCs w:val="20"/>
          <w:shd w:val="clear" w:color="auto" w:fill="FFFFFF"/>
        </w:rPr>
        <w:t>*</w:t>
      </w:r>
    </w:p>
    <w:p w14:paraId="4B7F2C66" w14:textId="281AC75D" w:rsidR="00304F63" w:rsidRPr="00304F63" w:rsidRDefault="00304F63" w:rsidP="00304F63">
      <w:pPr>
        <w:pStyle w:val="ListParagraph"/>
        <w:numPr>
          <w:ilvl w:val="1"/>
          <w:numId w:val="33"/>
        </w:numPr>
        <w:spacing w:after="0"/>
        <w:rPr>
          <w:rFonts w:ascii="Calibri" w:eastAsia="Times New Roman" w:hAnsi="Calibri" w:cs="Times New Roman"/>
          <w:bCs/>
          <w:color w:val="C00000"/>
          <w:szCs w:val="20"/>
          <w:shd w:val="clear" w:color="auto" w:fill="FFFFFF"/>
        </w:rPr>
      </w:pPr>
      <w:r w:rsidRPr="00304F63">
        <w:rPr>
          <w:rFonts w:ascii="Calibri" w:eastAsia="Times New Roman" w:hAnsi="Calibri" w:cs="Times New Roman"/>
          <w:bCs/>
          <w:color w:val="C00000"/>
          <w:szCs w:val="20"/>
          <w:shd w:val="clear" w:color="auto" w:fill="FFFFFF"/>
        </w:rPr>
        <w:t>&lt;18.5</w:t>
      </w:r>
    </w:p>
    <w:p w14:paraId="68D71C7E" w14:textId="05D3CA92" w:rsidR="00304F63" w:rsidRPr="00304F63" w:rsidRDefault="00304F63" w:rsidP="00304F63">
      <w:pPr>
        <w:pStyle w:val="ListParagraph"/>
        <w:numPr>
          <w:ilvl w:val="1"/>
          <w:numId w:val="33"/>
        </w:numPr>
        <w:spacing w:after="0"/>
        <w:rPr>
          <w:rFonts w:ascii="Calibri" w:eastAsia="Times New Roman" w:hAnsi="Calibri" w:cs="Times New Roman"/>
          <w:bCs/>
          <w:color w:val="C00000"/>
          <w:szCs w:val="20"/>
          <w:shd w:val="clear" w:color="auto" w:fill="FFFFFF"/>
        </w:rPr>
      </w:pPr>
      <w:r w:rsidRPr="00304F63">
        <w:rPr>
          <w:rFonts w:ascii="Calibri" w:eastAsia="Times New Roman" w:hAnsi="Calibri" w:cs="Times New Roman"/>
          <w:bCs/>
          <w:color w:val="C00000"/>
          <w:szCs w:val="20"/>
          <w:shd w:val="clear" w:color="auto" w:fill="FFFFFF"/>
        </w:rPr>
        <w:t>18.5-25</w:t>
      </w:r>
    </w:p>
    <w:p w14:paraId="1F6D0D01" w14:textId="6B2568E4" w:rsidR="00304F63" w:rsidRPr="00304F63" w:rsidRDefault="00304F63" w:rsidP="00304F63">
      <w:pPr>
        <w:pStyle w:val="ListParagraph"/>
        <w:numPr>
          <w:ilvl w:val="1"/>
          <w:numId w:val="33"/>
        </w:numPr>
        <w:spacing w:after="0"/>
        <w:rPr>
          <w:rFonts w:ascii="Calibri" w:eastAsia="Times New Roman" w:hAnsi="Calibri" w:cs="Times New Roman"/>
          <w:bCs/>
          <w:color w:val="C00000"/>
          <w:szCs w:val="20"/>
          <w:shd w:val="clear" w:color="auto" w:fill="FFFFFF"/>
        </w:rPr>
      </w:pPr>
      <w:r w:rsidRPr="00304F63">
        <w:rPr>
          <w:rFonts w:ascii="Calibri" w:eastAsia="Times New Roman" w:hAnsi="Calibri" w:cs="Times New Roman"/>
          <w:bCs/>
          <w:color w:val="C00000"/>
          <w:szCs w:val="20"/>
          <w:shd w:val="clear" w:color="auto" w:fill="FFFFFF"/>
        </w:rPr>
        <w:t>25-30</w:t>
      </w:r>
    </w:p>
    <w:p w14:paraId="1F68561E" w14:textId="4C558C2C" w:rsidR="00522B2F" w:rsidRDefault="00304F63" w:rsidP="00522B2F">
      <w:pPr>
        <w:pStyle w:val="ListParagraph"/>
        <w:numPr>
          <w:ilvl w:val="1"/>
          <w:numId w:val="33"/>
        </w:numPr>
        <w:spacing w:after="0"/>
        <w:rPr>
          <w:rFonts w:ascii="Calibri" w:eastAsia="Times New Roman" w:hAnsi="Calibri" w:cs="Times New Roman"/>
          <w:bCs/>
          <w:color w:val="C00000"/>
          <w:szCs w:val="20"/>
          <w:shd w:val="clear" w:color="auto" w:fill="FFFFFF"/>
        </w:rPr>
      </w:pPr>
      <w:r w:rsidRPr="00304F63">
        <w:rPr>
          <w:rFonts w:ascii="Calibri" w:eastAsia="Times New Roman" w:hAnsi="Calibri" w:cs="Times New Roman"/>
          <w:bCs/>
          <w:color w:val="C00000"/>
          <w:szCs w:val="20"/>
          <w:shd w:val="clear" w:color="auto" w:fill="FFFFFF"/>
        </w:rPr>
        <w:t>&gt;=30</w:t>
      </w:r>
    </w:p>
    <w:p w14:paraId="73E3D89B" w14:textId="08EF4E20" w:rsidR="0035286C" w:rsidRDefault="0035286C" w:rsidP="0035286C">
      <w:pPr>
        <w:pStyle w:val="ListParagraph"/>
        <w:numPr>
          <w:ilvl w:val="0"/>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 xml:space="preserve">Nursing home status in </w:t>
      </w:r>
      <w:r w:rsidR="00E05AED">
        <w:rPr>
          <w:rFonts w:ascii="Calibri" w:eastAsia="Times New Roman" w:hAnsi="Calibri" w:cs="Times New Roman"/>
          <w:bCs/>
          <w:color w:val="C00000"/>
          <w:szCs w:val="20"/>
          <w:shd w:val="clear" w:color="auto" w:fill="FFFFFF"/>
        </w:rPr>
        <w:t>prior 12 months</w:t>
      </w:r>
    </w:p>
    <w:p w14:paraId="30CBE6F2" w14:textId="6EB4161A" w:rsidR="00E05AED" w:rsidRDefault="00E05AED" w:rsidP="0035286C">
      <w:pPr>
        <w:pStyle w:val="ListParagraph"/>
        <w:numPr>
          <w:ilvl w:val="1"/>
          <w:numId w:val="33"/>
        </w:numPr>
        <w:spacing w:after="0"/>
        <w:rPr>
          <w:rFonts w:ascii="Calibri" w:eastAsia="Times New Roman" w:hAnsi="Calibri" w:cs="Times New Roman"/>
          <w:bCs/>
          <w:color w:val="C00000"/>
          <w:szCs w:val="20"/>
          <w:shd w:val="clear" w:color="auto" w:fill="FFFFFF"/>
        </w:rPr>
      </w:pPr>
      <w:r>
        <w:rPr>
          <w:rFonts w:eastAsia="Times New Roman" w:cs="Calibri"/>
          <w:bCs/>
          <w:color w:val="C00000"/>
        </w:rPr>
        <w:t>No nursing home care</w:t>
      </w:r>
      <w:r w:rsidR="00BE4F5C">
        <w:rPr>
          <w:rFonts w:eastAsia="Times New Roman" w:cs="Calibri"/>
          <w:bCs/>
          <w:color w:val="C00000"/>
        </w:rPr>
        <w:t>:</w:t>
      </w:r>
      <w:r>
        <w:rPr>
          <w:rFonts w:eastAsia="Times New Roman" w:cs="Calibri"/>
          <w:bCs/>
          <w:color w:val="C00000"/>
        </w:rPr>
        <w:t xml:space="preserve"> 0 day</w:t>
      </w:r>
      <w:r w:rsidR="00BE4F5C">
        <w:rPr>
          <w:rFonts w:eastAsia="Times New Roman" w:cs="Calibri"/>
          <w:bCs/>
          <w:color w:val="C00000"/>
        </w:rPr>
        <w:t>s</w:t>
      </w:r>
      <w:r w:rsidR="0035286C">
        <w:rPr>
          <w:rFonts w:ascii="Calibri" w:eastAsia="Times New Roman" w:hAnsi="Calibri" w:cs="Times New Roman"/>
          <w:bCs/>
          <w:color w:val="C00000"/>
          <w:szCs w:val="20"/>
          <w:shd w:val="clear" w:color="auto" w:fill="FFFFFF"/>
        </w:rPr>
        <w:t xml:space="preserve"> </w:t>
      </w:r>
    </w:p>
    <w:p w14:paraId="78A5EF32" w14:textId="4F54607B" w:rsidR="0035286C" w:rsidRPr="0035286C" w:rsidRDefault="00BE4F5C" w:rsidP="0035286C">
      <w:pPr>
        <w:pStyle w:val="ListParagraph"/>
        <w:numPr>
          <w:ilvl w:val="1"/>
          <w:numId w:val="33"/>
        </w:numPr>
        <w:spacing w:after="0"/>
        <w:rPr>
          <w:rFonts w:ascii="Calibri" w:eastAsia="Times New Roman" w:hAnsi="Calibri" w:cs="Times New Roman"/>
          <w:bCs/>
          <w:color w:val="C00000"/>
          <w:szCs w:val="20"/>
          <w:shd w:val="clear" w:color="auto" w:fill="FFFFFF"/>
        </w:rPr>
      </w:pPr>
      <w:r>
        <w:rPr>
          <w:rFonts w:ascii="Calibri" w:eastAsia="Times New Roman" w:hAnsi="Calibri" w:cs="Times New Roman"/>
          <w:bCs/>
          <w:color w:val="C00000"/>
          <w:szCs w:val="20"/>
          <w:shd w:val="clear" w:color="auto" w:fill="FFFFFF"/>
        </w:rPr>
        <w:t xml:space="preserve">Short term </w:t>
      </w:r>
      <w:r w:rsidRPr="0035286C">
        <w:rPr>
          <w:rFonts w:ascii="Calibri" w:eastAsia="Times New Roman" w:hAnsi="Calibri" w:cs="Times New Roman"/>
          <w:bCs/>
          <w:color w:val="C00000"/>
          <w:szCs w:val="20"/>
          <w:shd w:val="clear" w:color="auto" w:fill="FFFFFF"/>
        </w:rPr>
        <w:t>nursing home</w:t>
      </w:r>
      <w:r>
        <w:rPr>
          <w:rFonts w:ascii="Calibri" w:eastAsia="Times New Roman" w:hAnsi="Calibri" w:cs="Times New Roman"/>
          <w:bCs/>
          <w:color w:val="C00000"/>
          <w:szCs w:val="20"/>
          <w:shd w:val="clear" w:color="auto" w:fill="FFFFFF"/>
        </w:rPr>
        <w:t>:</w:t>
      </w:r>
      <w:r w:rsidRPr="0035286C" w:rsidDel="00E05AED">
        <w:rPr>
          <w:rFonts w:ascii="Calibri" w:eastAsia="Times New Roman" w:hAnsi="Calibri" w:cs="Times New Roman"/>
          <w:bCs/>
          <w:color w:val="C00000"/>
          <w:szCs w:val="20"/>
          <w:shd w:val="clear" w:color="auto" w:fill="FFFFFF"/>
        </w:rPr>
        <w:t xml:space="preserve"> </w:t>
      </w:r>
      <w:r w:rsidR="00E05AED">
        <w:rPr>
          <w:rFonts w:ascii="Calibri" w:eastAsia="Times New Roman" w:hAnsi="Calibri" w:cs="Times New Roman"/>
          <w:bCs/>
          <w:color w:val="C00000"/>
          <w:szCs w:val="20"/>
          <w:shd w:val="clear" w:color="auto" w:fill="FFFFFF"/>
        </w:rPr>
        <w:t>1-89</w:t>
      </w:r>
      <w:r w:rsidR="0035286C" w:rsidRPr="0035286C">
        <w:rPr>
          <w:rFonts w:ascii="Calibri" w:eastAsia="Times New Roman" w:hAnsi="Calibri" w:cs="Times New Roman"/>
          <w:bCs/>
          <w:color w:val="C00000"/>
          <w:szCs w:val="20"/>
          <w:shd w:val="clear" w:color="auto" w:fill="FFFFFF"/>
        </w:rPr>
        <w:t xml:space="preserve"> days </w:t>
      </w:r>
    </w:p>
    <w:p w14:paraId="5ECAF1BF" w14:textId="04CE4F28" w:rsidR="0035286C" w:rsidRPr="0035286C" w:rsidRDefault="00BE4F5C" w:rsidP="00424C4A">
      <w:pPr>
        <w:pStyle w:val="ListParagraph"/>
        <w:numPr>
          <w:ilvl w:val="1"/>
          <w:numId w:val="33"/>
        </w:numPr>
        <w:spacing w:after="0"/>
        <w:rPr>
          <w:rFonts w:ascii="Calibri" w:eastAsia="Times New Roman" w:hAnsi="Calibri" w:cs="Times New Roman"/>
          <w:bCs/>
          <w:color w:val="C00000"/>
          <w:szCs w:val="20"/>
          <w:shd w:val="clear" w:color="auto" w:fill="FFFFFF"/>
        </w:rPr>
      </w:pPr>
      <w:r>
        <w:rPr>
          <w:rFonts w:ascii="Calibri" w:eastAsia="Times New Roman" w:hAnsi="Calibri" w:cs="Times New Roman"/>
          <w:bCs/>
          <w:color w:val="C00000"/>
          <w:szCs w:val="20"/>
          <w:shd w:val="clear" w:color="auto" w:fill="FFFFFF"/>
        </w:rPr>
        <w:t xml:space="preserve">Long term </w:t>
      </w:r>
      <w:r w:rsidRPr="0035286C">
        <w:rPr>
          <w:rFonts w:ascii="Calibri" w:eastAsia="Times New Roman" w:hAnsi="Calibri" w:cs="Times New Roman"/>
          <w:bCs/>
          <w:color w:val="C00000"/>
          <w:szCs w:val="20"/>
          <w:shd w:val="clear" w:color="auto" w:fill="FFFFFF"/>
        </w:rPr>
        <w:t>nursing home</w:t>
      </w:r>
      <w:r>
        <w:rPr>
          <w:rFonts w:ascii="Calibri" w:eastAsia="Times New Roman" w:hAnsi="Calibri" w:cs="Times New Roman"/>
          <w:bCs/>
          <w:color w:val="C00000"/>
          <w:szCs w:val="20"/>
          <w:shd w:val="clear" w:color="auto" w:fill="FFFFFF"/>
        </w:rPr>
        <w:t>:</w:t>
      </w:r>
      <w:r w:rsidRPr="0035286C">
        <w:rPr>
          <w:rFonts w:ascii="Calibri" w:eastAsia="Times New Roman" w:hAnsi="Calibri" w:cs="Times New Roman"/>
          <w:bCs/>
          <w:color w:val="C00000"/>
          <w:szCs w:val="20"/>
          <w:shd w:val="clear" w:color="auto" w:fill="FFFFFF"/>
        </w:rPr>
        <w:t xml:space="preserve"> </w:t>
      </w:r>
      <w:r w:rsidR="0035286C" w:rsidRPr="0035286C">
        <w:rPr>
          <w:rFonts w:ascii="Calibri" w:eastAsia="Times New Roman" w:hAnsi="Calibri" w:cs="Times New Roman"/>
          <w:bCs/>
          <w:color w:val="C00000"/>
          <w:szCs w:val="20"/>
          <w:shd w:val="clear" w:color="auto" w:fill="FFFFFF"/>
        </w:rPr>
        <w:t>&gt;90 days</w:t>
      </w:r>
    </w:p>
    <w:p w14:paraId="06F9AC72" w14:textId="2965A633" w:rsidR="0035286C" w:rsidRPr="0035286C" w:rsidRDefault="0035286C" w:rsidP="0035286C">
      <w:pPr>
        <w:pStyle w:val="ListParagraph"/>
        <w:numPr>
          <w:ilvl w:val="0"/>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Nephrologist’s care prior to ESRD</w:t>
      </w:r>
      <w:r w:rsidR="00712C19">
        <w:rPr>
          <w:rFonts w:ascii="Calibri" w:eastAsia="Times New Roman" w:hAnsi="Calibri" w:cs="Times New Roman"/>
          <w:bCs/>
          <w:color w:val="C00000"/>
          <w:szCs w:val="20"/>
          <w:shd w:val="clear" w:color="auto" w:fill="FFFFFF"/>
        </w:rPr>
        <w:t xml:space="preserve"> (CMS-2728 form)</w:t>
      </w:r>
    </w:p>
    <w:p w14:paraId="335947E3" w14:textId="3CE99E2E" w:rsidR="0035286C" w:rsidRDefault="0035286C" w:rsidP="0035286C">
      <w:pPr>
        <w:pStyle w:val="ListParagraph"/>
        <w:numPr>
          <w:ilvl w:val="0"/>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Duration of ESRD</w:t>
      </w:r>
    </w:p>
    <w:p w14:paraId="57B98E93" w14:textId="77777777" w:rsidR="00E05AED" w:rsidRPr="00E05AED" w:rsidRDefault="00E05AED" w:rsidP="00081161">
      <w:pPr>
        <w:pStyle w:val="ListParagraph"/>
        <w:numPr>
          <w:ilvl w:val="1"/>
          <w:numId w:val="33"/>
        </w:numPr>
        <w:spacing w:after="0"/>
        <w:rPr>
          <w:rFonts w:ascii="Calibri" w:eastAsia="Times New Roman" w:hAnsi="Calibri" w:cs="Times New Roman"/>
          <w:bCs/>
          <w:color w:val="C00000"/>
          <w:szCs w:val="20"/>
          <w:shd w:val="clear" w:color="auto" w:fill="FFFFFF"/>
        </w:rPr>
      </w:pPr>
      <w:r w:rsidRPr="00E05AED">
        <w:rPr>
          <w:rFonts w:ascii="Calibri" w:eastAsia="Times New Roman" w:hAnsi="Calibri" w:cs="Times New Roman"/>
          <w:bCs/>
          <w:color w:val="C00000"/>
          <w:szCs w:val="20"/>
          <w:shd w:val="clear" w:color="auto" w:fill="FFFFFF"/>
        </w:rPr>
        <w:t>&lt;1 year</w:t>
      </w:r>
    </w:p>
    <w:p w14:paraId="049F8675" w14:textId="77777777" w:rsidR="00E05AED" w:rsidRPr="00E05AED" w:rsidRDefault="00E05AED" w:rsidP="00081161">
      <w:pPr>
        <w:pStyle w:val="ListParagraph"/>
        <w:numPr>
          <w:ilvl w:val="1"/>
          <w:numId w:val="33"/>
        </w:numPr>
        <w:spacing w:after="0"/>
        <w:rPr>
          <w:rFonts w:ascii="Calibri" w:eastAsia="Times New Roman" w:hAnsi="Calibri" w:cs="Times New Roman"/>
          <w:bCs/>
          <w:color w:val="C00000"/>
          <w:szCs w:val="20"/>
          <w:shd w:val="clear" w:color="auto" w:fill="FFFFFF"/>
        </w:rPr>
      </w:pPr>
      <w:r w:rsidRPr="00E05AED">
        <w:rPr>
          <w:rFonts w:ascii="Calibri" w:eastAsia="Times New Roman" w:hAnsi="Calibri" w:cs="Times New Roman"/>
          <w:bCs/>
          <w:color w:val="C00000"/>
          <w:szCs w:val="20"/>
          <w:shd w:val="clear" w:color="auto" w:fill="FFFFFF"/>
        </w:rPr>
        <w:t>1-&lt;5 years</w:t>
      </w:r>
    </w:p>
    <w:p w14:paraId="76F5DCF0" w14:textId="77777777" w:rsidR="00E05AED" w:rsidRPr="00E05AED" w:rsidRDefault="00E05AED" w:rsidP="00081161">
      <w:pPr>
        <w:pStyle w:val="ListParagraph"/>
        <w:numPr>
          <w:ilvl w:val="1"/>
          <w:numId w:val="33"/>
        </w:numPr>
        <w:spacing w:after="0"/>
        <w:rPr>
          <w:rFonts w:ascii="Calibri" w:eastAsia="Times New Roman" w:hAnsi="Calibri" w:cs="Times New Roman"/>
          <w:bCs/>
          <w:color w:val="C00000"/>
          <w:szCs w:val="20"/>
          <w:shd w:val="clear" w:color="auto" w:fill="FFFFFF"/>
        </w:rPr>
      </w:pPr>
      <w:r w:rsidRPr="00E05AED">
        <w:rPr>
          <w:rFonts w:ascii="Calibri" w:eastAsia="Times New Roman" w:hAnsi="Calibri" w:cs="Times New Roman"/>
          <w:bCs/>
          <w:color w:val="C00000"/>
          <w:szCs w:val="20"/>
          <w:shd w:val="clear" w:color="auto" w:fill="FFFFFF"/>
        </w:rPr>
        <w:t>5-&lt;9 years</w:t>
      </w:r>
    </w:p>
    <w:p w14:paraId="6966175C" w14:textId="5129EA5B" w:rsidR="00E05AED" w:rsidRPr="0035286C" w:rsidRDefault="00E05AED" w:rsidP="00081161">
      <w:pPr>
        <w:pStyle w:val="ListParagraph"/>
        <w:numPr>
          <w:ilvl w:val="1"/>
          <w:numId w:val="33"/>
        </w:numPr>
        <w:spacing w:after="0"/>
        <w:rPr>
          <w:rFonts w:ascii="Calibri" w:eastAsia="Times New Roman" w:hAnsi="Calibri" w:cs="Times New Roman"/>
          <w:bCs/>
          <w:color w:val="C00000"/>
          <w:szCs w:val="20"/>
          <w:shd w:val="clear" w:color="auto" w:fill="FFFFFF"/>
        </w:rPr>
      </w:pPr>
      <w:r w:rsidRPr="00E05AED">
        <w:rPr>
          <w:rFonts w:ascii="Calibri" w:eastAsia="Times New Roman" w:hAnsi="Calibri" w:cs="Times New Roman"/>
          <w:bCs/>
          <w:color w:val="C00000"/>
          <w:szCs w:val="20"/>
          <w:shd w:val="clear" w:color="auto" w:fill="FFFFFF"/>
        </w:rPr>
        <w:t>9+</w:t>
      </w:r>
    </w:p>
    <w:p w14:paraId="0327AB55" w14:textId="77777777" w:rsidR="0035286C" w:rsidRPr="0035286C" w:rsidRDefault="0035286C" w:rsidP="0035286C">
      <w:pPr>
        <w:pStyle w:val="ListParagraph"/>
        <w:numPr>
          <w:ilvl w:val="0"/>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Inability to ambulate/transfer at ESRD incidence (CMS-2728 form)</w:t>
      </w:r>
    </w:p>
    <w:p w14:paraId="23E48385" w14:textId="27724199" w:rsidR="0035286C" w:rsidRPr="0035286C" w:rsidRDefault="0035286C" w:rsidP="0035286C">
      <w:pPr>
        <w:pStyle w:val="ListParagraph"/>
        <w:numPr>
          <w:ilvl w:val="0"/>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 xml:space="preserve">Comorbidities either at ESRD incidence (CMS-2728 form) or prevalent comorbidities based on Medicare claims in </w:t>
      </w:r>
      <w:r w:rsidR="00EE4104">
        <w:rPr>
          <w:rFonts w:ascii="Calibri" w:eastAsia="Times New Roman" w:hAnsi="Calibri" w:cs="Times New Roman"/>
          <w:bCs/>
          <w:color w:val="C00000"/>
          <w:szCs w:val="20"/>
          <w:shd w:val="clear" w:color="auto" w:fill="FFFFFF"/>
        </w:rPr>
        <w:t xml:space="preserve">the </w:t>
      </w:r>
      <w:r w:rsidRPr="0035286C">
        <w:rPr>
          <w:rFonts w:ascii="Calibri" w:eastAsia="Times New Roman" w:hAnsi="Calibri" w:cs="Times New Roman"/>
          <w:bCs/>
          <w:color w:val="C00000"/>
          <w:szCs w:val="20"/>
          <w:shd w:val="clear" w:color="auto" w:fill="FFFFFF"/>
        </w:rPr>
        <w:t>prior 12 months</w:t>
      </w:r>
    </w:p>
    <w:p w14:paraId="10963C2B" w14:textId="77777777" w:rsidR="0035286C" w:rsidRPr="0035286C" w:rsidRDefault="0035286C" w:rsidP="0035286C">
      <w:pPr>
        <w:pStyle w:val="ListParagraph"/>
        <w:numPr>
          <w:ilvl w:val="1"/>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Diabetes</w:t>
      </w:r>
    </w:p>
    <w:p w14:paraId="6E8F0699" w14:textId="77777777" w:rsidR="0035286C" w:rsidRPr="0035286C" w:rsidRDefault="0035286C" w:rsidP="0035286C">
      <w:pPr>
        <w:pStyle w:val="ListParagraph"/>
        <w:numPr>
          <w:ilvl w:val="1"/>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Heart diseases</w:t>
      </w:r>
    </w:p>
    <w:p w14:paraId="7FFD18A2" w14:textId="77777777" w:rsidR="0035286C" w:rsidRPr="0035286C" w:rsidRDefault="0035286C" w:rsidP="0035286C">
      <w:pPr>
        <w:pStyle w:val="ListParagraph"/>
        <w:numPr>
          <w:ilvl w:val="1"/>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Peripheral vascular disease</w:t>
      </w:r>
    </w:p>
    <w:p w14:paraId="2BA70533" w14:textId="77777777" w:rsidR="0035286C" w:rsidRPr="0035286C" w:rsidRDefault="0035286C" w:rsidP="0035286C">
      <w:pPr>
        <w:pStyle w:val="ListParagraph"/>
        <w:numPr>
          <w:ilvl w:val="1"/>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Cerebrovascular disease</w:t>
      </w:r>
    </w:p>
    <w:p w14:paraId="417F433A" w14:textId="77777777" w:rsidR="0035286C" w:rsidRPr="0035286C" w:rsidRDefault="0035286C" w:rsidP="0035286C">
      <w:pPr>
        <w:pStyle w:val="ListParagraph"/>
        <w:numPr>
          <w:ilvl w:val="1"/>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Chronic obstructive pulmonary disease</w:t>
      </w:r>
    </w:p>
    <w:p w14:paraId="4A42EFC5" w14:textId="77777777" w:rsidR="0035286C" w:rsidRPr="0035286C" w:rsidRDefault="0035286C" w:rsidP="0035286C">
      <w:pPr>
        <w:pStyle w:val="ListParagraph"/>
        <w:numPr>
          <w:ilvl w:val="1"/>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Anemia (unrelated to ESRD/CKD)</w:t>
      </w:r>
    </w:p>
    <w:p w14:paraId="04F54165" w14:textId="77777777" w:rsidR="0035286C" w:rsidRPr="0035286C" w:rsidRDefault="0035286C" w:rsidP="0035286C">
      <w:pPr>
        <w:pStyle w:val="ListParagraph"/>
        <w:numPr>
          <w:ilvl w:val="1"/>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Non-Vascular Access-Related Infections</w:t>
      </w:r>
    </w:p>
    <w:p w14:paraId="4FDA7796" w14:textId="77777777" w:rsidR="0035286C" w:rsidRPr="0035286C" w:rsidRDefault="0035286C" w:rsidP="0035286C">
      <w:pPr>
        <w:pStyle w:val="ListParagraph"/>
        <w:numPr>
          <w:ilvl w:val="1"/>
          <w:numId w:val="33"/>
        </w:numPr>
        <w:spacing w:after="0"/>
        <w:rPr>
          <w:rFonts w:ascii="Calibri" w:eastAsia="Times New Roman" w:hAnsi="Calibri" w:cs="Times New Roman"/>
          <w:bCs/>
          <w:color w:val="C00000"/>
          <w:szCs w:val="20"/>
          <w:shd w:val="clear" w:color="auto" w:fill="FFFFFF"/>
        </w:rPr>
      </w:pPr>
      <w:r w:rsidRPr="0035286C">
        <w:rPr>
          <w:rFonts w:ascii="Calibri" w:eastAsia="Times New Roman" w:hAnsi="Calibri" w:cs="Times New Roman"/>
          <w:bCs/>
          <w:color w:val="C00000"/>
          <w:szCs w:val="20"/>
          <w:shd w:val="clear" w:color="auto" w:fill="FFFFFF"/>
        </w:rPr>
        <w:t>Drug dependence</w:t>
      </w:r>
    </w:p>
    <w:p w14:paraId="143BA575" w14:textId="415BAF53" w:rsidR="008E3044" w:rsidRPr="00081161" w:rsidRDefault="008E3044">
      <w:pPr>
        <w:pStyle w:val="ListParagraph"/>
        <w:numPr>
          <w:ilvl w:val="0"/>
          <w:numId w:val="33"/>
        </w:numPr>
        <w:spacing w:after="0"/>
        <w:rPr>
          <w:rFonts w:ascii="Calibri" w:eastAsia="Times New Roman" w:hAnsi="Calibri" w:cs="Times New Roman"/>
          <w:bCs/>
          <w:color w:val="C00000"/>
          <w:szCs w:val="20"/>
          <w:shd w:val="clear" w:color="auto" w:fill="FFFFFF"/>
        </w:rPr>
      </w:pPr>
      <w:r>
        <w:rPr>
          <w:rFonts w:ascii="Calibri" w:eastAsia="Times New Roman" w:hAnsi="Calibri" w:cs="Times New Roman"/>
          <w:bCs/>
          <w:color w:val="C00000"/>
          <w:szCs w:val="20"/>
          <w:shd w:val="clear" w:color="auto" w:fill="FFFFFF"/>
        </w:rPr>
        <w:t xml:space="preserve">Indicator for having at least one of the comorbid conditions listed above </w:t>
      </w:r>
      <w:r w:rsidR="00E05AED">
        <w:rPr>
          <w:rFonts w:ascii="Calibri" w:eastAsia="Times New Roman" w:hAnsi="Calibri" w:cs="Times New Roman"/>
          <w:bCs/>
          <w:color w:val="C00000"/>
          <w:szCs w:val="20"/>
          <w:shd w:val="clear" w:color="auto" w:fill="FFFFFF"/>
        </w:rPr>
        <w:t>Indicator for missing a CMS-2728 form</w:t>
      </w:r>
    </w:p>
    <w:p w14:paraId="171101BC" w14:textId="20D70AC6" w:rsidR="00E05AED" w:rsidRDefault="00EE4104">
      <w:pPr>
        <w:pStyle w:val="ListParagraph"/>
        <w:numPr>
          <w:ilvl w:val="0"/>
          <w:numId w:val="33"/>
        </w:numPr>
        <w:spacing w:after="0"/>
        <w:rPr>
          <w:rFonts w:ascii="Calibri" w:eastAsia="Times New Roman" w:hAnsi="Calibri" w:cs="Times New Roman"/>
          <w:bCs/>
          <w:color w:val="C00000"/>
          <w:szCs w:val="20"/>
          <w:shd w:val="clear" w:color="auto" w:fill="FFFFFF"/>
        </w:rPr>
      </w:pPr>
      <w:r>
        <w:rPr>
          <w:rFonts w:ascii="Calibri" w:eastAsia="Times New Roman" w:hAnsi="Calibri" w:cs="Times New Roman"/>
          <w:bCs/>
          <w:color w:val="C00000"/>
          <w:szCs w:val="20"/>
          <w:shd w:val="clear" w:color="auto" w:fill="FFFFFF"/>
        </w:rPr>
        <w:t xml:space="preserve">Medicare </w:t>
      </w:r>
      <w:r w:rsidR="0035286C" w:rsidRPr="0035286C">
        <w:rPr>
          <w:rFonts w:ascii="Calibri" w:eastAsia="Times New Roman" w:hAnsi="Calibri" w:cs="Times New Roman"/>
          <w:bCs/>
          <w:color w:val="C00000"/>
          <w:szCs w:val="20"/>
          <w:shd w:val="clear" w:color="auto" w:fill="FFFFFF"/>
        </w:rPr>
        <w:t>Indicator</w:t>
      </w:r>
      <w:r w:rsidR="00E05AED">
        <w:rPr>
          <w:rFonts w:ascii="Calibri" w:eastAsia="Times New Roman" w:hAnsi="Calibri" w:cs="Times New Roman"/>
          <w:bCs/>
          <w:color w:val="C00000"/>
          <w:szCs w:val="20"/>
          <w:shd w:val="clear" w:color="auto" w:fill="FFFFFF"/>
        </w:rPr>
        <w:t xml:space="preserve">: </w:t>
      </w:r>
      <w:r w:rsidR="00D96EC4">
        <w:rPr>
          <w:rFonts w:ascii="Calibri" w:eastAsia="Times New Roman" w:hAnsi="Calibri" w:cs="Times New Roman"/>
          <w:bCs/>
          <w:color w:val="C00000"/>
          <w:szCs w:val="20"/>
          <w:shd w:val="clear" w:color="auto" w:fill="FFFFFF"/>
        </w:rPr>
        <w:t xml:space="preserve">This indicator is used to ascertain prevalent comorbidities: </w:t>
      </w:r>
    </w:p>
    <w:p w14:paraId="0B2AA2AB" w14:textId="2142361B" w:rsidR="0035286C" w:rsidRPr="00081161" w:rsidRDefault="0035286C" w:rsidP="00081161">
      <w:pPr>
        <w:pStyle w:val="ListParagraph"/>
        <w:numPr>
          <w:ilvl w:val="1"/>
          <w:numId w:val="33"/>
        </w:numPr>
        <w:spacing w:after="0"/>
        <w:rPr>
          <w:rFonts w:ascii="Calibri" w:eastAsia="Times New Roman" w:hAnsi="Calibri" w:cs="Times New Roman"/>
          <w:bCs/>
          <w:color w:val="C00000"/>
          <w:szCs w:val="20"/>
          <w:shd w:val="clear" w:color="auto" w:fill="FFFFFF"/>
        </w:rPr>
      </w:pPr>
      <w:r w:rsidRPr="00081161">
        <w:rPr>
          <w:rFonts w:ascii="Calibri" w:eastAsia="Times New Roman" w:hAnsi="Calibri" w:cs="Times New Roman"/>
          <w:bCs/>
          <w:color w:val="C00000"/>
          <w:szCs w:val="20"/>
          <w:shd w:val="clear" w:color="auto" w:fill="FFFFFF"/>
        </w:rPr>
        <w:t xml:space="preserve">Medicare coverage for at least 6 months </w:t>
      </w:r>
      <w:r w:rsidR="00EE4104" w:rsidRPr="00081161">
        <w:rPr>
          <w:rFonts w:ascii="Calibri" w:eastAsia="Times New Roman" w:hAnsi="Calibri" w:cs="Times New Roman"/>
          <w:bCs/>
          <w:color w:val="C00000"/>
          <w:szCs w:val="20"/>
          <w:shd w:val="clear" w:color="auto" w:fill="FFFFFF"/>
        </w:rPr>
        <w:t>or more</w:t>
      </w:r>
      <w:r w:rsidR="00E05AED" w:rsidRPr="00081161">
        <w:rPr>
          <w:rFonts w:ascii="Calibri" w:eastAsia="Times New Roman" w:hAnsi="Calibri" w:cs="Times New Roman"/>
          <w:bCs/>
          <w:color w:val="C00000"/>
          <w:szCs w:val="20"/>
          <w:shd w:val="clear" w:color="auto" w:fill="FFFFFF"/>
        </w:rPr>
        <w:t xml:space="preserve"> in the prior 12 months</w:t>
      </w:r>
      <w:r w:rsidR="00E05AED" w:rsidRPr="00CA3B6A">
        <w:rPr>
          <w:rFonts w:ascii="Calibri" w:eastAsia="Times New Roman" w:hAnsi="Calibri" w:cs="Times New Roman"/>
          <w:bCs/>
          <w:color w:val="C00000"/>
          <w:szCs w:val="20"/>
          <w:shd w:val="clear" w:color="auto" w:fill="FFFFFF"/>
        </w:rPr>
        <w:t xml:space="preserve"> </w:t>
      </w:r>
      <w:r w:rsidR="00E05AED" w:rsidRPr="00081161">
        <w:rPr>
          <w:rFonts w:ascii="Calibri" w:eastAsia="Times New Roman" w:hAnsi="Calibri" w:cs="Times New Roman"/>
          <w:bCs/>
          <w:color w:val="C00000"/>
          <w:szCs w:val="20"/>
          <w:shd w:val="clear" w:color="auto" w:fill="FFFFFF"/>
        </w:rPr>
        <w:t>OR</w:t>
      </w:r>
      <w:r w:rsidR="00D96EC4" w:rsidRPr="00CA3B6A">
        <w:rPr>
          <w:rFonts w:ascii="Calibri" w:eastAsia="Times New Roman" w:hAnsi="Calibri" w:cs="Times New Roman"/>
          <w:bCs/>
          <w:color w:val="C00000"/>
          <w:szCs w:val="20"/>
          <w:shd w:val="clear" w:color="auto" w:fill="FFFFFF"/>
        </w:rPr>
        <w:t xml:space="preserve">, </w:t>
      </w:r>
      <w:r w:rsidR="00EE4104" w:rsidRPr="00081161">
        <w:rPr>
          <w:rFonts w:ascii="Calibri" w:eastAsia="Times New Roman" w:hAnsi="Calibri" w:cs="Times New Roman"/>
          <w:bCs/>
          <w:color w:val="C00000"/>
          <w:szCs w:val="20"/>
          <w:shd w:val="clear" w:color="auto" w:fill="FFFFFF"/>
        </w:rPr>
        <w:t>Medicare Advantage coverage for one or more months in the prior 12 months.</w:t>
      </w:r>
    </w:p>
    <w:p w14:paraId="2E9240AB" w14:textId="25E5B5B1" w:rsidR="005865FF" w:rsidRDefault="005865FF" w:rsidP="009D3882">
      <w:pPr>
        <w:rPr>
          <w:rFonts w:cs="Calibri"/>
          <w:b/>
          <w:bCs/>
          <w:color w:val="C00000"/>
        </w:rPr>
      </w:pPr>
    </w:p>
    <w:p w14:paraId="3BBB59F3" w14:textId="149C1A36" w:rsidR="00AE37A9" w:rsidRPr="00AE37A9" w:rsidRDefault="009C7513" w:rsidP="009D3882">
      <w:pPr>
        <w:rPr>
          <w:rFonts w:cstheme="minorHAnsi"/>
          <w:b/>
          <w:bCs/>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w:t>
      </w:r>
      <w:r w:rsidR="009D3882">
        <w:rPr>
          <w:rFonts w:cs="Calibri"/>
          <w:b/>
          <w:bCs/>
        </w:rPr>
        <w:lastRenderedPageBreak/>
        <w:t>mix) is not needed to achieve fair comparisons across measured entities</w:t>
      </w:r>
      <w:r w:rsidR="009D3882">
        <w:rPr>
          <w:rFonts w:cs="Calibri"/>
          <w:bCs/>
        </w:rPr>
        <w:t xml:space="preserve">. </w:t>
      </w:r>
      <w:r w:rsidR="009D3882">
        <w:rPr>
          <w:rFonts w:cs="Calibri"/>
          <w:bCs/>
        </w:rPr>
        <w:br/>
      </w:r>
      <w:r w:rsidR="00AE37A9" w:rsidRPr="00AE37A9">
        <w:rPr>
          <w:rFonts w:cstheme="minorHAnsi"/>
          <w:bCs/>
        </w:rPr>
        <w:t>N/A</w:t>
      </w:r>
    </w:p>
    <w:p w14:paraId="4196437A" w14:textId="77777777" w:rsidR="00AE37A9"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4A91AF28" w14:textId="77777777" w:rsidR="00AE37A9" w:rsidRPr="00874A15" w:rsidRDefault="00AE37A9" w:rsidP="00AE37A9">
      <w:r w:rsidRPr="00874A15">
        <w:t xml:space="preserve">Although there have been significant gains in the proportion of dialysis patients that have an AV fistula, it is generally recognized that some patients on hemodialysis will need to have an AV graft or even a catheter.  As evidence, the CMS AV fistula target at the facility level is 68%, rather than 100%, which recognizes that one third of patients will require a different type of access.  Given that there is variation in the burden of comorbidities between different facilities, adjusting for these factors when calculating an AV fistula rate implicitly recognizes that some patients are more likely to have AV grafts.   Several of the studies </w:t>
      </w:r>
      <w:r>
        <w:t>(</w:t>
      </w:r>
      <w:r w:rsidRPr="00874A15">
        <w:t>listed in 1a.7.9</w:t>
      </w:r>
      <w:r>
        <w:t>)</w:t>
      </w:r>
      <w:r w:rsidRPr="00874A15">
        <w:t xml:space="preserve"> detail particular patient characteristics that are associated with a decreased likelihood of having a successful AV fistula created.   Ultimately, evaluation and selection of the clinical and patient risk factors was informed by the final TEP recommendations. The TEP recognized that while fistulas are preferred, an unintended consequence of a fistula measure that doesn’t account for the patient’s overall health status could harm patients by subjecting them to fistula surgery that is less likely to succeed or limit access to care for patients with more comorbidities.  The TEP recognized that they could not make the statement that fistulas and grafts are truly equivalent in all patients, but wanted to ensure that grafts were a strongly preferred outcome to catheters and should not be disincentivized. To accomplish this goal the TEP discussed adjusting the measure for conditions or scenarios where a graft may be an acceptable or preferred alternative to a fistula. The covariates in the final model represent a combination of those recommended by the TEP for inclusion as well as factors that empiric analyses indicated were predictive of AV fistula use.  Final decisions of the risk factors were based on both the clinical and statistical association with the lower likelihood of fistula use in patients with these risk factors, and that these factors were not likely to be associated with facility care. </w:t>
      </w:r>
    </w:p>
    <w:p w14:paraId="51F969B9" w14:textId="77777777" w:rsidR="00AE37A9" w:rsidRPr="00874A15" w:rsidRDefault="00AE37A9" w:rsidP="00AE37A9">
      <w:pPr>
        <w:rPr>
          <w:rFonts w:eastAsia="Times New Roman"/>
        </w:rPr>
      </w:pPr>
      <w:r w:rsidRPr="00874A15">
        <w:rPr>
          <w:rFonts w:eastAsia="Times New Roman"/>
        </w:rPr>
        <w:t>Risk adjustment is based on a multivariate logistic regression model. The adjustment is made for age, BMI at incident, nursing home status, nephrologist’s care prior to ESRD, duration of ESRD, diabetes as primary cause of ESRD</w:t>
      </w:r>
      <w:r>
        <w:rPr>
          <w:rFonts w:eastAsia="Times New Roman"/>
        </w:rPr>
        <w:t xml:space="preserve">, </w:t>
      </w:r>
      <w:r w:rsidRPr="00874A15">
        <w:rPr>
          <w:rFonts w:eastAsia="Times New Roman"/>
        </w:rPr>
        <w:t xml:space="preserve">and comorbidities. Although covariates are assumed to have the same effects across facilities, the adjustment model is fitted with different facility effects (through facility-specific intercept terms), which provides valid estimates even if the distribution of adjustment variables differs across facilities. </w:t>
      </w:r>
      <w:r w:rsidRPr="00874A15">
        <w:rPr>
          <w:rFonts w:eastAsia="Calibri"/>
        </w:rPr>
        <w:t xml:space="preserve">The common risk effects are assumed in order to improve computational stability in estimating facility-specific effects. </w:t>
      </w:r>
      <w:r w:rsidRPr="00874A15">
        <w:rPr>
          <w:rFonts w:eastAsia="Times New Roman"/>
        </w:rPr>
        <w:t xml:space="preserve">All analyses are done using SAS. </w:t>
      </w:r>
    </w:p>
    <w:p w14:paraId="6859B007" w14:textId="77777777" w:rsidR="00AE37A9" w:rsidRPr="00874A15" w:rsidRDefault="00AE37A9" w:rsidP="00AE37A9">
      <w:pPr>
        <w:rPr>
          <w:rFonts w:eastAsia="Times New Roman"/>
        </w:rPr>
      </w:pPr>
      <w:r w:rsidRPr="00874A15">
        <w:rPr>
          <w:rFonts w:eastAsia="Times New Roman"/>
        </w:rPr>
        <w:t xml:space="preserve">In general, adjustment factors for the SFR were selected based on several considerations. We began with a large set of patient characteristics, including demographics, comorbidities at ESRD incidence or past 12 months, and other characteristics. We used an indicator to identify patients with &lt; 6 months of Medicare </w:t>
      </w:r>
      <w:r>
        <w:rPr>
          <w:rFonts w:eastAsia="Times New Roman"/>
        </w:rPr>
        <w:t>coverage</w:t>
      </w:r>
      <w:r w:rsidRPr="00874A15">
        <w:rPr>
          <w:rFonts w:eastAsia="Times New Roman"/>
        </w:rPr>
        <w:t xml:space="preserve"> in the past 12 months as part of the analyses that relied on Medicare claims for </w:t>
      </w:r>
      <w:r w:rsidRPr="00874A15">
        <w:rPr>
          <w:rFonts w:eastAsia="Times New Roman"/>
        </w:rPr>
        <w:lastRenderedPageBreak/>
        <w:t xml:space="preserve">comorbidities.  Factors considered appropriate were then investigated with statistical models to determine if they were related to AVF use. Factors related to the SFR were also evaluated for face validity before being included. </w:t>
      </w:r>
    </w:p>
    <w:p w14:paraId="53C2E3DE" w14:textId="77777777" w:rsidR="00AE37A9" w:rsidRPr="008C41C6" w:rsidRDefault="00AE37A9" w:rsidP="00AE37A9">
      <w:pPr>
        <w:rPr>
          <w:rFonts w:eastAsia="Times New Roman"/>
        </w:rPr>
      </w:pPr>
      <w:r w:rsidRPr="008C41C6">
        <w:rPr>
          <w:rFonts w:eastAsia="Times New Roman"/>
        </w:rPr>
        <w:t xml:space="preserve">We used two data sources to collect comorbidity information: CMS-2728 and Medicare claims filed in prior 12 months. The covariates for comorbidities included in the final model take a value of 1 if there was any evidence of the condition in either CMS-2728 or Medicare claims, otherwise 0. Some patient characteristics or comorbidities are only available in CMS-2728, some are only available in Medicare claims, and some are available from both sources.  We considered the condition to be present if it was noted in either the CMS-2728 form, or Medicare claims, or both.  Table 4 shows that </w:t>
      </w:r>
      <w:r>
        <w:rPr>
          <w:rFonts w:eastAsia="Times New Roman"/>
        </w:rPr>
        <w:t xml:space="preserve">most </w:t>
      </w:r>
      <w:r w:rsidRPr="008C41C6">
        <w:rPr>
          <w:rFonts w:eastAsia="Times New Roman"/>
        </w:rPr>
        <w:t xml:space="preserve">all of the comorbidities had a statistically significant association with AVF use. As a comparison, using data from January 2014 we compared analysis results of two additional risk adjustment models that included: 1) no comorbidity adjustment at all (denoted as Model 0), and 2) comorbidities defined by CMS-2728 only (denoted as Model 1). </w:t>
      </w:r>
      <w:r>
        <w:rPr>
          <w:rFonts w:eastAsia="Times New Roman"/>
        </w:rPr>
        <w:t>Table A1 in the Appendix</w:t>
      </w:r>
      <w:r w:rsidRPr="008C41C6">
        <w:rPr>
          <w:rFonts w:eastAsia="Times New Roman"/>
        </w:rPr>
        <w:t xml:space="preserve"> shows that the c-statistic of our final model was the highest, compared with Model 0 and Model 1 (c-statistic=0.688 for Model 0; 0.691 for Model 1; and 0.700 for our final model). In Table A2 of </w:t>
      </w:r>
      <w:r>
        <w:rPr>
          <w:rFonts w:eastAsia="Times New Roman"/>
        </w:rPr>
        <w:t xml:space="preserve">the </w:t>
      </w:r>
      <w:r w:rsidRPr="008C41C6">
        <w:rPr>
          <w:rFonts w:eastAsia="Times New Roman"/>
        </w:rPr>
        <w:t>Appendix, some of regression coefficients (especially for age, nursing home status and peripheral vascular disease) increased or decreased from those in Models 0 and 1.</w:t>
      </w:r>
    </w:p>
    <w:p w14:paraId="76ACA7FE" w14:textId="77777777" w:rsidR="00AE37A9" w:rsidRDefault="00AE37A9" w:rsidP="00AE37A9">
      <w:r>
        <w:rPr>
          <w:rFonts w:cstheme="minorHAnsi"/>
          <w:bCs/>
        </w:rPr>
        <w:t xml:space="preserve">In response to the requirements for NQF’s Trial Period for the assessment of sociodemographic risk adjustment factors for quality measures, we investigated several patient and zip code level data elements (see list in 1.8). </w:t>
      </w:r>
      <w:r>
        <w:t xml:space="preserve">Sociodemographic factors included in the analysis were based on conceptual criteria and empirically demonstrated findings in the literature which have shown differences in fistula use exist among racial minorities, women and the poor.  In addition, the particular patient and area level variables chosen were based on availability of data for the analyses. We were able to acquire individual area-level variables included in the Area Deprivation Index (ADI) developed by </w:t>
      </w:r>
      <w:r w:rsidRPr="0010639C">
        <w:t>Singh</w:t>
      </w:r>
      <w:r>
        <w:t xml:space="preserve"> and colleagues at the University of Wisconsin[1]. </w:t>
      </w:r>
    </w:p>
    <w:p w14:paraId="6FFC2AC3" w14:textId="71DB015F" w:rsidR="00AE37A9" w:rsidRPr="00AD7234" w:rsidDel="00712C19" w:rsidRDefault="00AE37A9" w:rsidP="00AE37A9">
      <w:pPr>
        <w:autoSpaceDE w:val="0"/>
        <w:autoSpaceDN w:val="0"/>
        <w:adjustRightInd w:val="0"/>
        <w:spacing w:after="0" w:line="240" w:lineRule="auto"/>
        <w:rPr>
          <w:rFonts w:cstheme="minorHAnsi"/>
          <w:b/>
          <w:bCs/>
          <w:color w:val="C00000"/>
          <w:u w:val="single"/>
        </w:rPr>
      </w:pPr>
      <w:r w:rsidRPr="00AD7234" w:rsidDel="00712C19">
        <w:rPr>
          <w:rFonts w:cstheme="minorHAnsi"/>
          <w:b/>
          <w:bCs/>
          <w:color w:val="C00000"/>
          <w:u w:val="single"/>
        </w:rPr>
        <w:t>2019 Submission</w:t>
      </w:r>
    </w:p>
    <w:p w14:paraId="352941A2" w14:textId="2B5D2765" w:rsidR="0035286C" w:rsidRPr="00236B7C" w:rsidDel="00712C19" w:rsidRDefault="00661E56" w:rsidP="00690E9C">
      <w:pPr>
        <w:rPr>
          <w:rFonts w:cstheme="minorHAnsi"/>
          <w:bCs/>
          <w:color w:val="C00000"/>
        </w:rPr>
      </w:pPr>
      <w:r w:rsidRPr="00236B7C" w:rsidDel="00712C19">
        <w:rPr>
          <w:rFonts w:cstheme="minorHAnsi"/>
          <w:bCs/>
          <w:color w:val="C00000"/>
        </w:rPr>
        <w:t xml:space="preserve">We use the same model and risk factors as described above for the original 2016 submission.  </w:t>
      </w:r>
      <w:r w:rsidR="00690E9C" w:rsidRPr="00236B7C" w:rsidDel="00712C19">
        <w:rPr>
          <w:rFonts w:cstheme="minorHAnsi"/>
          <w:bCs/>
          <w:color w:val="C00000"/>
        </w:rPr>
        <w:t xml:space="preserve">We also added two binary indicators: missing a CMS-2728 form; and </w:t>
      </w:r>
      <w:r w:rsidR="00F72691" w:rsidRPr="00236B7C" w:rsidDel="00712C19">
        <w:rPr>
          <w:rFonts w:cstheme="minorHAnsi"/>
          <w:bCs/>
          <w:color w:val="C00000"/>
        </w:rPr>
        <w:t xml:space="preserve">an indicator </w:t>
      </w:r>
      <w:r w:rsidR="00690E9C" w:rsidRPr="00236B7C" w:rsidDel="00712C19">
        <w:rPr>
          <w:rFonts w:cstheme="minorHAnsi"/>
          <w:bCs/>
          <w:color w:val="C00000"/>
        </w:rPr>
        <w:t>for if at least one of the comorbidities were present.  A</w:t>
      </w:r>
      <w:r w:rsidRPr="00236B7C" w:rsidDel="00712C19">
        <w:rPr>
          <w:rFonts w:cstheme="minorHAnsi"/>
          <w:bCs/>
          <w:color w:val="C00000"/>
        </w:rPr>
        <w:t xml:space="preserve">dditionally, we revised the Medicare indicator used to ascertain prevalent comorbidities.  The binary </w:t>
      </w:r>
      <w:r w:rsidR="0060274C" w:rsidRPr="00236B7C" w:rsidDel="00712C19">
        <w:rPr>
          <w:rFonts w:cstheme="minorHAnsi"/>
          <w:bCs/>
          <w:color w:val="C00000"/>
        </w:rPr>
        <w:t xml:space="preserve">indicator </w:t>
      </w:r>
      <w:r w:rsidRPr="00236B7C" w:rsidDel="00712C19">
        <w:rPr>
          <w:rFonts w:cstheme="minorHAnsi"/>
          <w:bCs/>
          <w:color w:val="C00000"/>
        </w:rPr>
        <w:t xml:space="preserve">is used define </w:t>
      </w:r>
      <w:r w:rsidR="0060274C" w:rsidRPr="00236B7C" w:rsidDel="00712C19">
        <w:rPr>
          <w:rFonts w:cstheme="minorHAnsi"/>
          <w:bCs/>
          <w:color w:val="C00000"/>
        </w:rPr>
        <w:t xml:space="preserve">patients with 6 months or more of Medicare coverage or one or more months of Medicare Advantage coverage, in the past 12 months. This was used to determine sufficient Medicare claims history for counting Medicare claims based prevalent comorbidities. </w:t>
      </w:r>
      <w:r w:rsidRPr="00236B7C" w:rsidDel="00712C19">
        <w:rPr>
          <w:rFonts w:cstheme="minorHAnsi"/>
          <w:bCs/>
          <w:color w:val="C00000"/>
        </w:rPr>
        <w:t>We also revised the nursing home indicator. This is now two binary variables. One for nursing homes stays of less than 90 days</w:t>
      </w:r>
      <w:r w:rsidR="00F72691" w:rsidRPr="00236B7C" w:rsidDel="00712C19">
        <w:rPr>
          <w:rFonts w:cstheme="minorHAnsi"/>
          <w:bCs/>
          <w:color w:val="C00000"/>
        </w:rPr>
        <w:t xml:space="preserve"> (short term)</w:t>
      </w:r>
      <w:r w:rsidRPr="00236B7C" w:rsidDel="00712C19">
        <w:rPr>
          <w:rFonts w:cstheme="minorHAnsi"/>
          <w:bCs/>
          <w:color w:val="C00000"/>
        </w:rPr>
        <w:t xml:space="preserve">, and the other to indicate nursing home stays of 90 days or more </w:t>
      </w:r>
      <w:r w:rsidR="00F72691" w:rsidRPr="00236B7C" w:rsidDel="00712C19">
        <w:rPr>
          <w:rFonts w:cstheme="minorHAnsi"/>
          <w:bCs/>
          <w:color w:val="C00000"/>
        </w:rPr>
        <w:t xml:space="preserve">(long term) </w:t>
      </w:r>
      <w:r w:rsidRPr="00236B7C" w:rsidDel="00712C19">
        <w:rPr>
          <w:rFonts w:cstheme="minorHAnsi"/>
          <w:bCs/>
          <w:color w:val="C00000"/>
        </w:rPr>
        <w:t xml:space="preserve">in the reporting period. </w:t>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7D58BF47" w:rsidR="00275563" w:rsidRPr="005232D6" w:rsidRDefault="0008116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Content>
          <w:r w:rsidR="00AE37A9">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0FEBC75F" w:rsidR="00275563" w:rsidRPr="005232D6" w:rsidRDefault="0008116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Content>
          <w:r w:rsidR="00AE37A9">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08116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4121FC3E" w14:textId="77777777" w:rsidR="00081161" w:rsidRDefault="00081161" w:rsidP="00BE2A3C">
      <w:pPr>
        <w:rPr>
          <w:rFonts w:cstheme="minorHAnsi"/>
          <w:bCs/>
          <w:color w:val="C00000"/>
        </w:rPr>
      </w:pPr>
    </w:p>
    <w:p w14:paraId="3F2C1012" w14:textId="1A0B5E01" w:rsidR="00BE2A3C" w:rsidRPr="00236B7C" w:rsidDel="00712C19" w:rsidRDefault="00BE2A3C" w:rsidP="00BE2A3C">
      <w:pPr>
        <w:rPr>
          <w:rFonts w:cstheme="minorHAnsi"/>
          <w:bCs/>
          <w:color w:val="C00000"/>
        </w:rPr>
      </w:pPr>
      <w:r w:rsidRPr="00236B7C" w:rsidDel="00712C19">
        <w:rPr>
          <w:rFonts w:cstheme="minorHAnsi"/>
          <w:bCs/>
          <w:color w:val="C00000"/>
        </w:rPr>
        <w:t>For the SES/SDS testing we investigated several patient and zip code level data elements (see list in 1.8). Sociodemographic factors included in the analysis were based on conceptual criteria and empirically demonstrated findings in the literature which have shown differences in fistula use exist among racial minorities, women and the poor.  In addition, the particular patient and area level variables chosen were based on availability of data for the analyses. We use the publicly available Area Deprivation Index (ADI) originally developed by Singh and colleagues at the University of Wisconsin. We applied the updated ADI based on 2009-2013 census data (University of Wisconsin, 2013 v1.5). The ADI reflects a set of SES characteristics, including measures of income, education, and employment status, measured at the ZIP code level.</w:t>
      </w:r>
    </w:p>
    <w:p w14:paraId="7C5644B4" w14:textId="03DAB223" w:rsidR="00275563" w:rsidRDefault="00BE2A3C" w:rsidP="00BE2A3C">
      <w:pPr>
        <w:autoSpaceDE w:val="0"/>
        <w:autoSpaceDN w:val="0"/>
        <w:adjustRightInd w:val="0"/>
        <w:spacing w:after="0" w:line="240" w:lineRule="auto"/>
        <w:rPr>
          <w:color w:val="C00000"/>
        </w:rPr>
      </w:pPr>
      <w:r w:rsidRPr="00236B7C" w:rsidDel="00712C19">
        <w:rPr>
          <w:rFonts w:cstheme="minorHAnsi"/>
          <w:bCs/>
          <w:color w:val="C00000"/>
        </w:rPr>
        <w:br/>
      </w:r>
      <w:r w:rsidR="00E05AED">
        <w:rPr>
          <w:rFonts w:cstheme="minorHAnsi"/>
          <w:bCs/>
          <w:color w:val="C00000"/>
        </w:rPr>
        <w:t xml:space="preserve">1. </w:t>
      </w:r>
      <w:r w:rsidRPr="00236B7C" w:rsidDel="00712C19">
        <w:rPr>
          <w:rFonts w:cstheme="minorHAnsi"/>
          <w:bCs/>
          <w:color w:val="C00000"/>
        </w:rPr>
        <w:t>University of Wisconsin School of Medicine Public Health. 2013 Area Deprivation Index v1.5. Downloaded from https://www.neighborhoodatlas.medicine.wisc.edu/ October 31, 2018</w:t>
      </w:r>
      <w:r w:rsidRPr="00236B7C" w:rsidDel="00712C19">
        <w:rPr>
          <w:color w:val="C00000"/>
        </w:rPr>
        <w:t>.</w:t>
      </w:r>
    </w:p>
    <w:p w14:paraId="66217DF3" w14:textId="77777777" w:rsidR="00BE2A3C" w:rsidRDefault="00BE2A3C" w:rsidP="00BE2A3C">
      <w:pPr>
        <w:autoSpaceDE w:val="0"/>
        <w:autoSpaceDN w:val="0"/>
        <w:adjustRightInd w:val="0"/>
        <w:spacing w:after="0" w:line="240" w:lineRule="auto"/>
        <w:rPr>
          <w:rFonts w:cstheme="minorHAnsi"/>
          <w:b/>
          <w:bCs/>
        </w:rPr>
      </w:pPr>
    </w:p>
    <w:p w14:paraId="28E2AE54" w14:textId="77777777" w:rsidR="00AE37A9"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48958A7A" w14:textId="77777777" w:rsidR="00AE37A9" w:rsidRDefault="00AE37A9" w:rsidP="00001D73">
      <w:pPr>
        <w:autoSpaceDE w:val="0"/>
        <w:autoSpaceDN w:val="0"/>
        <w:adjustRightInd w:val="0"/>
        <w:spacing w:after="0" w:line="240" w:lineRule="auto"/>
        <w:rPr>
          <w:rFonts w:cstheme="minorHAnsi"/>
          <w:b/>
          <w:bCs/>
        </w:rPr>
      </w:pPr>
    </w:p>
    <w:p w14:paraId="05F83DAC" w14:textId="77777777" w:rsidR="00AE37A9" w:rsidRDefault="00AE37A9" w:rsidP="00AE37A9">
      <w:r w:rsidRPr="00874A15">
        <w:t xml:space="preserve">In the table below, we list results from the adjusted model described above. For a given covariate, the regression coefficient represents the logit of the rate.  We also report the odds ratio for each covariate. With </w:t>
      </w:r>
      <w:r>
        <w:t>a few</w:t>
      </w:r>
      <w:r w:rsidRPr="00874A15">
        <w:t xml:space="preserve"> exception</w:t>
      </w:r>
      <w:r>
        <w:t>s</w:t>
      </w:r>
      <w:r w:rsidRPr="00874A15">
        <w:t xml:space="preserve"> </w:t>
      </w:r>
      <w:r>
        <w:t>(</w:t>
      </w:r>
      <w:r w:rsidRPr="00874A15">
        <w:t>youngest age group</w:t>
      </w:r>
      <w:r>
        <w:t>, other heart diseases and anemia)</w:t>
      </w:r>
      <w:r w:rsidRPr="00874A15">
        <w:t>, all main effects are statistically significant at the 0.05 level.</w:t>
      </w:r>
    </w:p>
    <w:p w14:paraId="1F62A4D6" w14:textId="77777777" w:rsidR="00AE37A9" w:rsidRPr="00874A15" w:rsidRDefault="00AE37A9" w:rsidP="00AE37A9">
      <w:pPr>
        <w:rPr>
          <w:rFonts w:eastAsia="Times New Roman"/>
        </w:rPr>
      </w:pPr>
      <w:r w:rsidRPr="00874A15">
        <w:t xml:space="preserve">Table </w:t>
      </w:r>
      <w:r>
        <w:t>4</w:t>
      </w:r>
      <w:r w:rsidRPr="00874A15">
        <w:t xml:space="preserve">. </w:t>
      </w:r>
      <w:r w:rsidRPr="00874A15">
        <w:rPr>
          <w:rFonts w:eastAsia="Times New Roman"/>
        </w:rPr>
        <w:t>Model Coefficients and Odds Ratios, Data Year 2014</w:t>
      </w:r>
    </w:p>
    <w:tbl>
      <w:tblPr>
        <w:tblW w:w="69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0"/>
        <w:gridCol w:w="1206"/>
        <w:gridCol w:w="1120"/>
        <w:gridCol w:w="1120"/>
      </w:tblGrid>
      <w:tr w:rsidR="00AE37A9" w:rsidRPr="0028162C" w14:paraId="268CE348" w14:textId="77777777" w:rsidTr="00E547BF">
        <w:trPr>
          <w:trHeight w:val="300"/>
          <w:tblHeader/>
        </w:trPr>
        <w:tc>
          <w:tcPr>
            <w:tcW w:w="3622" w:type="dxa"/>
            <w:shd w:val="clear" w:color="auto" w:fill="auto"/>
            <w:noWrap/>
            <w:vAlign w:val="center"/>
            <w:hideMark/>
          </w:tcPr>
          <w:p w14:paraId="265A65CF" w14:textId="77777777" w:rsidR="00AE37A9" w:rsidRPr="0028162C" w:rsidRDefault="00AE37A9" w:rsidP="00E547BF">
            <w:pPr>
              <w:spacing w:after="0" w:line="240" w:lineRule="auto"/>
              <w:rPr>
                <w:rFonts w:eastAsia="Times New Roman" w:cs="Calibri"/>
                <w:b/>
                <w:bCs/>
                <w:color w:val="000000"/>
              </w:rPr>
            </w:pPr>
            <w:r w:rsidRPr="0028162C">
              <w:rPr>
                <w:rFonts w:eastAsia="Times New Roman" w:cs="Calibri"/>
                <w:b/>
                <w:bCs/>
                <w:color w:val="000000"/>
              </w:rPr>
              <w:t>Covariate</w:t>
            </w:r>
          </w:p>
        </w:tc>
        <w:tc>
          <w:tcPr>
            <w:tcW w:w="1120" w:type="dxa"/>
            <w:shd w:val="clear" w:color="auto" w:fill="auto"/>
            <w:noWrap/>
            <w:vAlign w:val="center"/>
            <w:hideMark/>
          </w:tcPr>
          <w:p w14:paraId="75007549" w14:textId="77777777" w:rsidR="00AE37A9" w:rsidRPr="0028162C" w:rsidRDefault="00AE37A9" w:rsidP="00E547BF">
            <w:pPr>
              <w:spacing w:after="0" w:line="240" w:lineRule="auto"/>
              <w:jc w:val="center"/>
              <w:rPr>
                <w:rFonts w:eastAsia="Times New Roman" w:cs="Calibri"/>
                <w:b/>
                <w:bCs/>
                <w:color w:val="000000"/>
              </w:rPr>
            </w:pPr>
            <w:r w:rsidRPr="0028162C">
              <w:rPr>
                <w:rFonts w:eastAsia="Times New Roman" w:cs="Calibri"/>
                <w:b/>
                <w:bCs/>
                <w:color w:val="000000"/>
              </w:rPr>
              <w:t>Coefficient</w:t>
            </w:r>
          </w:p>
        </w:tc>
        <w:tc>
          <w:tcPr>
            <w:tcW w:w="1120" w:type="dxa"/>
            <w:shd w:val="clear" w:color="auto" w:fill="auto"/>
            <w:noWrap/>
            <w:vAlign w:val="center"/>
            <w:hideMark/>
          </w:tcPr>
          <w:p w14:paraId="2DA06F7A" w14:textId="77777777" w:rsidR="00AE37A9" w:rsidRPr="0028162C" w:rsidRDefault="00AE37A9" w:rsidP="00E547BF">
            <w:pPr>
              <w:spacing w:after="0" w:line="240" w:lineRule="auto"/>
              <w:jc w:val="center"/>
              <w:rPr>
                <w:rFonts w:eastAsia="Times New Roman" w:cs="Calibri"/>
                <w:b/>
                <w:bCs/>
                <w:color w:val="000000"/>
              </w:rPr>
            </w:pPr>
            <w:r w:rsidRPr="0028162C">
              <w:rPr>
                <w:rFonts w:eastAsia="Times New Roman" w:cs="Calibri"/>
                <w:b/>
                <w:bCs/>
                <w:color w:val="000000"/>
              </w:rPr>
              <w:t>Odds Ratio</w:t>
            </w:r>
          </w:p>
        </w:tc>
        <w:tc>
          <w:tcPr>
            <w:tcW w:w="1120" w:type="dxa"/>
            <w:shd w:val="clear" w:color="auto" w:fill="auto"/>
            <w:noWrap/>
            <w:vAlign w:val="center"/>
            <w:hideMark/>
          </w:tcPr>
          <w:p w14:paraId="7EE15BD4" w14:textId="77777777" w:rsidR="00AE37A9" w:rsidRPr="0028162C" w:rsidRDefault="00AE37A9" w:rsidP="00E547BF">
            <w:pPr>
              <w:spacing w:after="0" w:line="240" w:lineRule="auto"/>
              <w:jc w:val="center"/>
              <w:rPr>
                <w:rFonts w:eastAsia="Times New Roman" w:cs="Calibri"/>
                <w:b/>
                <w:bCs/>
                <w:color w:val="000000"/>
              </w:rPr>
            </w:pPr>
            <w:r w:rsidRPr="0028162C">
              <w:rPr>
                <w:rFonts w:eastAsia="Times New Roman" w:cs="Calibri"/>
                <w:b/>
                <w:bCs/>
                <w:color w:val="000000"/>
              </w:rPr>
              <w:t>P-value</w:t>
            </w:r>
          </w:p>
        </w:tc>
      </w:tr>
      <w:tr w:rsidR="00AE37A9" w:rsidRPr="0028162C" w14:paraId="47F0150B" w14:textId="77777777" w:rsidTr="00E547BF">
        <w:trPr>
          <w:trHeight w:val="552"/>
        </w:trPr>
        <w:tc>
          <w:tcPr>
            <w:tcW w:w="3622" w:type="dxa"/>
            <w:shd w:val="clear" w:color="auto" w:fill="auto"/>
            <w:vAlign w:val="center"/>
            <w:hideMark/>
          </w:tcPr>
          <w:p w14:paraId="05F80006" w14:textId="77777777" w:rsidR="00AE37A9" w:rsidRPr="0028162C" w:rsidRDefault="00AE37A9" w:rsidP="00E547BF">
            <w:pPr>
              <w:spacing w:after="0" w:line="240" w:lineRule="auto"/>
              <w:rPr>
                <w:rFonts w:eastAsia="Times New Roman" w:cs="Calibri"/>
                <w:b/>
                <w:bCs/>
                <w:color w:val="000000"/>
              </w:rPr>
            </w:pPr>
            <w:r w:rsidRPr="0028162C">
              <w:rPr>
                <w:rFonts w:eastAsia="Times New Roman" w:cs="Calibri"/>
                <w:b/>
                <w:bCs/>
                <w:color w:val="000000"/>
              </w:rPr>
              <w:t xml:space="preserve">Age </w:t>
            </w:r>
          </w:p>
        </w:tc>
        <w:tc>
          <w:tcPr>
            <w:tcW w:w="1120" w:type="dxa"/>
            <w:shd w:val="clear" w:color="auto" w:fill="auto"/>
            <w:noWrap/>
            <w:vAlign w:val="center"/>
            <w:hideMark/>
          </w:tcPr>
          <w:p w14:paraId="1625A8DE" w14:textId="77777777" w:rsidR="00AE37A9" w:rsidRPr="0028162C" w:rsidRDefault="00AE37A9" w:rsidP="00E547BF">
            <w:pPr>
              <w:spacing w:after="0" w:line="240" w:lineRule="auto"/>
              <w:rPr>
                <w:rFonts w:eastAsia="Times New Roman" w:cs="Calibri"/>
                <w:color w:val="000000"/>
              </w:rPr>
            </w:pPr>
          </w:p>
        </w:tc>
        <w:tc>
          <w:tcPr>
            <w:tcW w:w="1120" w:type="dxa"/>
            <w:shd w:val="clear" w:color="auto" w:fill="auto"/>
            <w:noWrap/>
            <w:vAlign w:val="center"/>
            <w:hideMark/>
          </w:tcPr>
          <w:p w14:paraId="3DCC1973" w14:textId="77777777" w:rsidR="00AE37A9" w:rsidRPr="0028162C" w:rsidRDefault="00AE37A9" w:rsidP="00E547BF">
            <w:pPr>
              <w:spacing w:after="0" w:line="240" w:lineRule="auto"/>
              <w:rPr>
                <w:rFonts w:eastAsia="Times New Roman" w:cs="Calibri"/>
                <w:color w:val="000000"/>
              </w:rPr>
            </w:pPr>
          </w:p>
        </w:tc>
        <w:tc>
          <w:tcPr>
            <w:tcW w:w="1120" w:type="dxa"/>
            <w:shd w:val="clear" w:color="auto" w:fill="auto"/>
            <w:noWrap/>
            <w:vAlign w:val="center"/>
            <w:hideMark/>
          </w:tcPr>
          <w:p w14:paraId="59F93195" w14:textId="77777777" w:rsidR="00AE37A9" w:rsidRPr="0028162C" w:rsidRDefault="00AE37A9" w:rsidP="00E547BF">
            <w:pPr>
              <w:spacing w:after="0" w:line="240" w:lineRule="auto"/>
              <w:rPr>
                <w:rFonts w:eastAsia="Times New Roman" w:cs="Calibri"/>
                <w:color w:val="000000"/>
              </w:rPr>
            </w:pPr>
          </w:p>
        </w:tc>
      </w:tr>
      <w:tr w:rsidR="00AE37A9" w:rsidRPr="0028162C" w14:paraId="2A68600B" w14:textId="77777777" w:rsidTr="00E547BF">
        <w:trPr>
          <w:trHeight w:val="288"/>
        </w:trPr>
        <w:tc>
          <w:tcPr>
            <w:tcW w:w="3622" w:type="dxa"/>
            <w:shd w:val="clear" w:color="auto" w:fill="auto"/>
            <w:vAlign w:val="center"/>
            <w:hideMark/>
          </w:tcPr>
          <w:p w14:paraId="606420C2" w14:textId="77777777" w:rsidR="00AE37A9" w:rsidRPr="0028162C" w:rsidRDefault="00AE37A9" w:rsidP="00E547BF">
            <w:pPr>
              <w:spacing w:after="0" w:line="240" w:lineRule="auto"/>
              <w:rPr>
                <w:rFonts w:eastAsia="Times New Roman" w:cs="Calibri"/>
                <w:color w:val="000000"/>
              </w:rPr>
            </w:pPr>
            <w:r>
              <w:rPr>
                <w:rFonts w:eastAsia="Times New Roman" w:cs="Calibri"/>
                <w:color w:val="000000"/>
              </w:rPr>
              <w:t>1</w:t>
            </w:r>
            <w:r w:rsidRPr="0028162C">
              <w:rPr>
                <w:rFonts w:eastAsia="Times New Roman" w:cs="Calibri"/>
                <w:color w:val="000000"/>
              </w:rPr>
              <w:t>8-&lt;25</w:t>
            </w:r>
          </w:p>
        </w:tc>
        <w:tc>
          <w:tcPr>
            <w:tcW w:w="1120" w:type="dxa"/>
            <w:shd w:val="clear" w:color="auto" w:fill="auto"/>
            <w:vAlign w:val="center"/>
            <w:hideMark/>
          </w:tcPr>
          <w:p w14:paraId="7C49A38A"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0.073</w:t>
            </w:r>
          </w:p>
        </w:tc>
        <w:tc>
          <w:tcPr>
            <w:tcW w:w="1120" w:type="dxa"/>
            <w:shd w:val="clear" w:color="auto" w:fill="auto"/>
            <w:vAlign w:val="center"/>
            <w:hideMark/>
          </w:tcPr>
          <w:p w14:paraId="3013E902"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1.076</w:t>
            </w:r>
          </w:p>
        </w:tc>
        <w:tc>
          <w:tcPr>
            <w:tcW w:w="1120" w:type="dxa"/>
            <w:shd w:val="clear" w:color="auto" w:fill="auto"/>
            <w:vAlign w:val="center"/>
            <w:hideMark/>
          </w:tcPr>
          <w:p w14:paraId="06DEBF95"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0.530</w:t>
            </w:r>
          </w:p>
        </w:tc>
      </w:tr>
      <w:tr w:rsidR="00AE37A9" w:rsidRPr="0028162C" w14:paraId="4010DCD7" w14:textId="77777777" w:rsidTr="00E547BF">
        <w:trPr>
          <w:trHeight w:val="288"/>
        </w:trPr>
        <w:tc>
          <w:tcPr>
            <w:tcW w:w="3622" w:type="dxa"/>
            <w:shd w:val="clear" w:color="auto" w:fill="auto"/>
            <w:vAlign w:val="center"/>
            <w:hideMark/>
          </w:tcPr>
          <w:p w14:paraId="01394038"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25-&lt;59</w:t>
            </w:r>
          </w:p>
        </w:tc>
        <w:tc>
          <w:tcPr>
            <w:tcW w:w="1120" w:type="dxa"/>
            <w:shd w:val="clear" w:color="auto" w:fill="auto"/>
            <w:vAlign w:val="center"/>
            <w:hideMark/>
          </w:tcPr>
          <w:p w14:paraId="0C615CFE"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0.087</w:t>
            </w:r>
          </w:p>
        </w:tc>
        <w:tc>
          <w:tcPr>
            <w:tcW w:w="1120" w:type="dxa"/>
            <w:shd w:val="clear" w:color="auto" w:fill="auto"/>
            <w:vAlign w:val="center"/>
            <w:hideMark/>
          </w:tcPr>
          <w:p w14:paraId="0E393C0B"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1.091</w:t>
            </w:r>
          </w:p>
        </w:tc>
        <w:tc>
          <w:tcPr>
            <w:tcW w:w="1120" w:type="dxa"/>
            <w:shd w:val="clear" w:color="auto" w:fill="auto"/>
            <w:vAlign w:val="center"/>
            <w:hideMark/>
          </w:tcPr>
          <w:p w14:paraId="44C120B7"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0.000</w:t>
            </w:r>
          </w:p>
        </w:tc>
      </w:tr>
      <w:tr w:rsidR="00AE37A9" w:rsidRPr="0028162C" w14:paraId="30A9C2F1" w14:textId="77777777" w:rsidTr="00E547BF">
        <w:trPr>
          <w:trHeight w:val="288"/>
        </w:trPr>
        <w:tc>
          <w:tcPr>
            <w:tcW w:w="3622" w:type="dxa"/>
            <w:shd w:val="clear" w:color="auto" w:fill="auto"/>
            <w:vAlign w:val="center"/>
            <w:hideMark/>
          </w:tcPr>
          <w:p w14:paraId="61F509DB"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60-&lt;75</w:t>
            </w:r>
          </w:p>
        </w:tc>
        <w:tc>
          <w:tcPr>
            <w:tcW w:w="1120" w:type="dxa"/>
            <w:shd w:val="clear" w:color="auto" w:fill="auto"/>
            <w:noWrap/>
            <w:vAlign w:val="center"/>
            <w:hideMark/>
          </w:tcPr>
          <w:p w14:paraId="10880A07"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reference</w:t>
            </w:r>
          </w:p>
        </w:tc>
        <w:tc>
          <w:tcPr>
            <w:tcW w:w="1120" w:type="dxa"/>
            <w:shd w:val="clear" w:color="auto" w:fill="auto"/>
            <w:vAlign w:val="center"/>
            <w:hideMark/>
          </w:tcPr>
          <w:p w14:paraId="4DF55E7F"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 xml:space="preserve"> </w:t>
            </w:r>
          </w:p>
        </w:tc>
        <w:tc>
          <w:tcPr>
            <w:tcW w:w="1120" w:type="dxa"/>
            <w:shd w:val="clear" w:color="auto" w:fill="auto"/>
            <w:noWrap/>
            <w:vAlign w:val="center"/>
            <w:hideMark/>
          </w:tcPr>
          <w:p w14:paraId="59371191" w14:textId="77777777" w:rsidR="00AE37A9" w:rsidRPr="0028162C" w:rsidRDefault="00AE37A9" w:rsidP="00E547BF">
            <w:pPr>
              <w:spacing w:after="0" w:line="240" w:lineRule="auto"/>
              <w:jc w:val="center"/>
              <w:rPr>
                <w:rFonts w:eastAsia="Times New Roman" w:cs="Calibri"/>
                <w:color w:val="000000"/>
              </w:rPr>
            </w:pPr>
          </w:p>
        </w:tc>
      </w:tr>
      <w:tr w:rsidR="00AE37A9" w:rsidRPr="0028162C" w14:paraId="7FF0036D" w14:textId="77777777" w:rsidTr="00E547BF">
        <w:trPr>
          <w:trHeight w:val="288"/>
        </w:trPr>
        <w:tc>
          <w:tcPr>
            <w:tcW w:w="3622" w:type="dxa"/>
            <w:shd w:val="clear" w:color="auto" w:fill="auto"/>
            <w:vAlign w:val="center"/>
            <w:hideMark/>
          </w:tcPr>
          <w:p w14:paraId="7BA8542A"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75+</w:t>
            </w:r>
          </w:p>
        </w:tc>
        <w:tc>
          <w:tcPr>
            <w:tcW w:w="1120" w:type="dxa"/>
            <w:shd w:val="clear" w:color="auto" w:fill="auto"/>
            <w:noWrap/>
            <w:vAlign w:val="center"/>
            <w:hideMark/>
          </w:tcPr>
          <w:p w14:paraId="03B1CD71"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-0.202</w:t>
            </w:r>
          </w:p>
        </w:tc>
        <w:tc>
          <w:tcPr>
            <w:tcW w:w="1120" w:type="dxa"/>
            <w:shd w:val="clear" w:color="auto" w:fill="auto"/>
            <w:vAlign w:val="center"/>
            <w:hideMark/>
          </w:tcPr>
          <w:p w14:paraId="57231708"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0.817</w:t>
            </w:r>
          </w:p>
        </w:tc>
        <w:tc>
          <w:tcPr>
            <w:tcW w:w="1120" w:type="dxa"/>
            <w:shd w:val="clear" w:color="auto" w:fill="auto"/>
            <w:noWrap/>
            <w:vAlign w:val="center"/>
            <w:hideMark/>
          </w:tcPr>
          <w:p w14:paraId="78376379"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&lt;.0001</w:t>
            </w:r>
          </w:p>
        </w:tc>
      </w:tr>
      <w:tr w:rsidR="00AE37A9" w:rsidRPr="0028162C" w14:paraId="2A10B8AB" w14:textId="77777777" w:rsidTr="00E547BF">
        <w:trPr>
          <w:trHeight w:val="288"/>
        </w:trPr>
        <w:tc>
          <w:tcPr>
            <w:tcW w:w="3622" w:type="dxa"/>
            <w:shd w:val="clear" w:color="auto" w:fill="auto"/>
            <w:vAlign w:val="center"/>
            <w:hideMark/>
          </w:tcPr>
          <w:p w14:paraId="35C07126" w14:textId="77777777" w:rsidR="00AE37A9" w:rsidRPr="0028162C" w:rsidRDefault="00AE37A9" w:rsidP="00E547BF">
            <w:pPr>
              <w:spacing w:after="0" w:line="240" w:lineRule="auto"/>
              <w:rPr>
                <w:rFonts w:eastAsia="Times New Roman" w:cs="Calibri"/>
                <w:b/>
                <w:bCs/>
                <w:color w:val="000000"/>
              </w:rPr>
            </w:pPr>
            <w:r w:rsidRPr="0028162C">
              <w:rPr>
                <w:rFonts w:eastAsia="Times New Roman" w:cs="Calibri"/>
                <w:b/>
                <w:bCs/>
                <w:color w:val="000000"/>
              </w:rPr>
              <w:t xml:space="preserve">BMI </w:t>
            </w:r>
          </w:p>
        </w:tc>
        <w:tc>
          <w:tcPr>
            <w:tcW w:w="1120" w:type="dxa"/>
            <w:shd w:val="clear" w:color="auto" w:fill="auto"/>
            <w:noWrap/>
            <w:vAlign w:val="center"/>
            <w:hideMark/>
          </w:tcPr>
          <w:p w14:paraId="32C17EB8" w14:textId="77777777" w:rsidR="00AE37A9" w:rsidRPr="0028162C" w:rsidRDefault="00AE37A9" w:rsidP="00E547BF">
            <w:pPr>
              <w:spacing w:after="0" w:line="240" w:lineRule="auto"/>
              <w:jc w:val="center"/>
              <w:rPr>
                <w:rFonts w:eastAsia="Times New Roman" w:cs="Calibri"/>
                <w:color w:val="000000"/>
              </w:rPr>
            </w:pPr>
          </w:p>
        </w:tc>
        <w:tc>
          <w:tcPr>
            <w:tcW w:w="1120" w:type="dxa"/>
            <w:shd w:val="clear" w:color="auto" w:fill="auto"/>
            <w:vAlign w:val="center"/>
            <w:hideMark/>
          </w:tcPr>
          <w:p w14:paraId="4427305C"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 xml:space="preserve"> </w:t>
            </w:r>
          </w:p>
        </w:tc>
        <w:tc>
          <w:tcPr>
            <w:tcW w:w="1120" w:type="dxa"/>
            <w:shd w:val="clear" w:color="auto" w:fill="auto"/>
            <w:noWrap/>
            <w:vAlign w:val="center"/>
            <w:hideMark/>
          </w:tcPr>
          <w:p w14:paraId="2E771942" w14:textId="77777777" w:rsidR="00AE37A9" w:rsidRPr="0028162C" w:rsidRDefault="00AE37A9" w:rsidP="00E547BF">
            <w:pPr>
              <w:spacing w:after="0" w:line="240" w:lineRule="auto"/>
              <w:jc w:val="center"/>
              <w:rPr>
                <w:rFonts w:eastAsia="Times New Roman" w:cs="Calibri"/>
                <w:color w:val="000000"/>
              </w:rPr>
            </w:pPr>
          </w:p>
        </w:tc>
      </w:tr>
      <w:tr w:rsidR="00AE37A9" w:rsidRPr="0028162C" w14:paraId="51656625" w14:textId="77777777" w:rsidTr="00E547BF">
        <w:trPr>
          <w:trHeight w:val="288"/>
        </w:trPr>
        <w:tc>
          <w:tcPr>
            <w:tcW w:w="3622" w:type="dxa"/>
            <w:shd w:val="clear" w:color="auto" w:fill="auto"/>
            <w:vAlign w:val="center"/>
            <w:hideMark/>
          </w:tcPr>
          <w:p w14:paraId="5E893ABB"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underweight(&lt; 18.5)</w:t>
            </w:r>
          </w:p>
        </w:tc>
        <w:tc>
          <w:tcPr>
            <w:tcW w:w="1120" w:type="dxa"/>
            <w:shd w:val="clear" w:color="auto" w:fill="auto"/>
            <w:noWrap/>
            <w:vAlign w:val="center"/>
            <w:hideMark/>
          </w:tcPr>
          <w:p w14:paraId="519F0421"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-0.215</w:t>
            </w:r>
          </w:p>
        </w:tc>
        <w:tc>
          <w:tcPr>
            <w:tcW w:w="1120" w:type="dxa"/>
            <w:shd w:val="clear" w:color="auto" w:fill="auto"/>
            <w:vAlign w:val="center"/>
            <w:hideMark/>
          </w:tcPr>
          <w:p w14:paraId="5C6E4AEA"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0.806</w:t>
            </w:r>
          </w:p>
        </w:tc>
        <w:tc>
          <w:tcPr>
            <w:tcW w:w="1120" w:type="dxa"/>
            <w:shd w:val="clear" w:color="auto" w:fill="auto"/>
            <w:vAlign w:val="center"/>
            <w:hideMark/>
          </w:tcPr>
          <w:p w14:paraId="0E3CE68D"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0.001</w:t>
            </w:r>
          </w:p>
        </w:tc>
      </w:tr>
      <w:tr w:rsidR="00AE37A9" w:rsidRPr="0028162C" w14:paraId="37BDCE7E" w14:textId="77777777" w:rsidTr="00E547BF">
        <w:trPr>
          <w:trHeight w:val="288"/>
        </w:trPr>
        <w:tc>
          <w:tcPr>
            <w:tcW w:w="3622" w:type="dxa"/>
            <w:shd w:val="clear" w:color="auto" w:fill="auto"/>
            <w:vAlign w:val="center"/>
            <w:hideMark/>
          </w:tcPr>
          <w:p w14:paraId="3A0C78C0"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normal(18.5 - 24.9)</w:t>
            </w:r>
          </w:p>
        </w:tc>
        <w:tc>
          <w:tcPr>
            <w:tcW w:w="1120" w:type="dxa"/>
            <w:shd w:val="clear" w:color="auto" w:fill="auto"/>
            <w:noWrap/>
            <w:vAlign w:val="center"/>
            <w:hideMark/>
          </w:tcPr>
          <w:p w14:paraId="0B813964"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reference</w:t>
            </w:r>
          </w:p>
        </w:tc>
        <w:tc>
          <w:tcPr>
            <w:tcW w:w="1120" w:type="dxa"/>
            <w:shd w:val="clear" w:color="auto" w:fill="auto"/>
            <w:vAlign w:val="center"/>
            <w:hideMark/>
          </w:tcPr>
          <w:p w14:paraId="77836A6C"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 xml:space="preserve"> </w:t>
            </w:r>
          </w:p>
        </w:tc>
        <w:tc>
          <w:tcPr>
            <w:tcW w:w="1120" w:type="dxa"/>
            <w:shd w:val="clear" w:color="auto" w:fill="auto"/>
            <w:noWrap/>
            <w:vAlign w:val="center"/>
            <w:hideMark/>
          </w:tcPr>
          <w:p w14:paraId="07969AD0" w14:textId="77777777" w:rsidR="00AE37A9" w:rsidRPr="0028162C" w:rsidRDefault="00AE37A9" w:rsidP="00E547BF">
            <w:pPr>
              <w:spacing w:after="0" w:line="240" w:lineRule="auto"/>
              <w:jc w:val="center"/>
              <w:rPr>
                <w:rFonts w:eastAsia="Times New Roman" w:cs="Calibri"/>
                <w:color w:val="000000"/>
              </w:rPr>
            </w:pPr>
          </w:p>
        </w:tc>
      </w:tr>
      <w:tr w:rsidR="00AE37A9" w:rsidRPr="0028162C" w14:paraId="5ED0F071" w14:textId="77777777" w:rsidTr="00E547BF">
        <w:trPr>
          <w:trHeight w:val="288"/>
        </w:trPr>
        <w:tc>
          <w:tcPr>
            <w:tcW w:w="3622" w:type="dxa"/>
            <w:shd w:val="clear" w:color="auto" w:fill="auto"/>
            <w:vAlign w:val="center"/>
            <w:hideMark/>
          </w:tcPr>
          <w:p w14:paraId="07A782B5"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overweight(&gt;24.9 )</w:t>
            </w:r>
          </w:p>
        </w:tc>
        <w:tc>
          <w:tcPr>
            <w:tcW w:w="1120" w:type="dxa"/>
            <w:shd w:val="clear" w:color="auto" w:fill="auto"/>
            <w:vAlign w:val="center"/>
            <w:hideMark/>
          </w:tcPr>
          <w:p w14:paraId="404DFF71"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0.054</w:t>
            </w:r>
          </w:p>
        </w:tc>
        <w:tc>
          <w:tcPr>
            <w:tcW w:w="1120" w:type="dxa"/>
            <w:shd w:val="clear" w:color="auto" w:fill="auto"/>
            <w:vAlign w:val="center"/>
            <w:hideMark/>
          </w:tcPr>
          <w:p w14:paraId="0B4D79E8"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1.055</w:t>
            </w:r>
          </w:p>
        </w:tc>
        <w:tc>
          <w:tcPr>
            <w:tcW w:w="1120" w:type="dxa"/>
            <w:shd w:val="clear" w:color="auto" w:fill="auto"/>
            <w:vAlign w:val="center"/>
            <w:hideMark/>
          </w:tcPr>
          <w:p w14:paraId="364A6351"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0.026</w:t>
            </w:r>
          </w:p>
        </w:tc>
      </w:tr>
      <w:tr w:rsidR="00AE37A9" w:rsidRPr="0028162C" w14:paraId="7608B3BA" w14:textId="77777777" w:rsidTr="00E547BF">
        <w:trPr>
          <w:trHeight w:val="288"/>
        </w:trPr>
        <w:tc>
          <w:tcPr>
            <w:tcW w:w="3622" w:type="dxa"/>
            <w:shd w:val="clear" w:color="auto" w:fill="auto"/>
            <w:vAlign w:val="center"/>
            <w:hideMark/>
          </w:tcPr>
          <w:p w14:paraId="10A50CF9" w14:textId="77777777" w:rsidR="00AE37A9" w:rsidRPr="0028162C" w:rsidRDefault="00AE37A9" w:rsidP="00E547BF">
            <w:pPr>
              <w:spacing w:after="0" w:line="240" w:lineRule="auto"/>
              <w:rPr>
                <w:rFonts w:eastAsia="Times New Roman" w:cs="Calibri"/>
                <w:b/>
                <w:bCs/>
                <w:color w:val="000000"/>
              </w:rPr>
            </w:pPr>
            <w:r w:rsidRPr="0028162C">
              <w:rPr>
                <w:rFonts w:eastAsia="Times New Roman" w:cs="Calibri"/>
                <w:b/>
                <w:bCs/>
                <w:color w:val="000000"/>
              </w:rPr>
              <w:t>Nursing home status*</w:t>
            </w:r>
          </w:p>
        </w:tc>
        <w:tc>
          <w:tcPr>
            <w:tcW w:w="1120" w:type="dxa"/>
            <w:shd w:val="clear" w:color="auto" w:fill="auto"/>
            <w:noWrap/>
            <w:vAlign w:val="center"/>
            <w:hideMark/>
          </w:tcPr>
          <w:p w14:paraId="26EF71D8"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-0.321</w:t>
            </w:r>
          </w:p>
        </w:tc>
        <w:tc>
          <w:tcPr>
            <w:tcW w:w="1120" w:type="dxa"/>
            <w:shd w:val="clear" w:color="auto" w:fill="auto"/>
            <w:vAlign w:val="center"/>
            <w:hideMark/>
          </w:tcPr>
          <w:p w14:paraId="4AEF2696"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0.726</w:t>
            </w:r>
          </w:p>
        </w:tc>
        <w:tc>
          <w:tcPr>
            <w:tcW w:w="1120" w:type="dxa"/>
            <w:shd w:val="clear" w:color="auto" w:fill="auto"/>
            <w:noWrap/>
            <w:vAlign w:val="center"/>
            <w:hideMark/>
          </w:tcPr>
          <w:p w14:paraId="53A82E65"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&lt;.0001</w:t>
            </w:r>
          </w:p>
        </w:tc>
      </w:tr>
      <w:tr w:rsidR="00AE37A9" w:rsidRPr="0028162C" w14:paraId="73F1EBD1" w14:textId="77777777" w:rsidTr="00E547BF">
        <w:trPr>
          <w:trHeight w:val="576"/>
        </w:trPr>
        <w:tc>
          <w:tcPr>
            <w:tcW w:w="3622" w:type="dxa"/>
            <w:shd w:val="clear" w:color="auto" w:fill="auto"/>
            <w:vAlign w:val="center"/>
            <w:hideMark/>
          </w:tcPr>
          <w:p w14:paraId="46E3DB02" w14:textId="77777777" w:rsidR="00AE37A9" w:rsidRPr="0028162C" w:rsidRDefault="00AE37A9" w:rsidP="00E547BF">
            <w:pPr>
              <w:spacing w:after="0" w:line="240" w:lineRule="auto"/>
              <w:rPr>
                <w:rFonts w:eastAsia="Times New Roman" w:cs="Calibri"/>
                <w:b/>
                <w:bCs/>
                <w:color w:val="000000"/>
              </w:rPr>
            </w:pPr>
            <w:r w:rsidRPr="0028162C">
              <w:rPr>
                <w:rFonts w:eastAsia="Times New Roman" w:cs="Calibri"/>
                <w:b/>
                <w:bCs/>
                <w:color w:val="000000"/>
              </w:rPr>
              <w:t>Nephrologist's Care prior to ESRD*</w:t>
            </w:r>
          </w:p>
        </w:tc>
        <w:tc>
          <w:tcPr>
            <w:tcW w:w="1120" w:type="dxa"/>
            <w:shd w:val="clear" w:color="auto" w:fill="auto"/>
            <w:vAlign w:val="center"/>
            <w:hideMark/>
          </w:tcPr>
          <w:p w14:paraId="2E55C00F"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0.257</w:t>
            </w:r>
          </w:p>
        </w:tc>
        <w:tc>
          <w:tcPr>
            <w:tcW w:w="1120" w:type="dxa"/>
            <w:shd w:val="clear" w:color="auto" w:fill="auto"/>
            <w:vAlign w:val="center"/>
            <w:hideMark/>
          </w:tcPr>
          <w:p w14:paraId="2AB5BB3E"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1.293</w:t>
            </w:r>
          </w:p>
        </w:tc>
        <w:tc>
          <w:tcPr>
            <w:tcW w:w="1120" w:type="dxa"/>
            <w:shd w:val="clear" w:color="auto" w:fill="auto"/>
            <w:noWrap/>
            <w:vAlign w:val="center"/>
            <w:hideMark/>
          </w:tcPr>
          <w:p w14:paraId="18DD116B"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&lt;.0001</w:t>
            </w:r>
          </w:p>
        </w:tc>
      </w:tr>
      <w:tr w:rsidR="00AE37A9" w:rsidRPr="0028162C" w14:paraId="67A74883" w14:textId="77777777" w:rsidTr="00E547BF">
        <w:trPr>
          <w:trHeight w:val="552"/>
        </w:trPr>
        <w:tc>
          <w:tcPr>
            <w:tcW w:w="3622" w:type="dxa"/>
            <w:shd w:val="clear" w:color="auto" w:fill="auto"/>
            <w:vAlign w:val="center"/>
            <w:hideMark/>
          </w:tcPr>
          <w:p w14:paraId="22F0A8BD" w14:textId="77777777" w:rsidR="00AE37A9" w:rsidRPr="0028162C" w:rsidRDefault="00AE37A9" w:rsidP="00E547BF">
            <w:pPr>
              <w:spacing w:after="0" w:line="240" w:lineRule="auto"/>
              <w:rPr>
                <w:rFonts w:eastAsia="Times New Roman" w:cs="Calibri"/>
                <w:b/>
                <w:bCs/>
                <w:color w:val="000000"/>
              </w:rPr>
            </w:pPr>
            <w:r w:rsidRPr="0028162C">
              <w:rPr>
                <w:rFonts w:eastAsia="Times New Roman" w:cs="Calibri"/>
                <w:b/>
                <w:bCs/>
                <w:color w:val="000000"/>
              </w:rPr>
              <w:t>Duration of ESRD</w:t>
            </w:r>
          </w:p>
        </w:tc>
        <w:tc>
          <w:tcPr>
            <w:tcW w:w="1120" w:type="dxa"/>
            <w:shd w:val="clear" w:color="auto" w:fill="auto"/>
            <w:noWrap/>
            <w:vAlign w:val="center"/>
            <w:hideMark/>
          </w:tcPr>
          <w:p w14:paraId="05861F39" w14:textId="77777777" w:rsidR="00AE37A9" w:rsidRPr="0028162C" w:rsidRDefault="00AE37A9" w:rsidP="00E547BF">
            <w:pPr>
              <w:spacing w:after="0" w:line="240" w:lineRule="auto"/>
              <w:jc w:val="center"/>
              <w:rPr>
                <w:rFonts w:eastAsia="Times New Roman" w:cs="Calibri"/>
                <w:color w:val="000000"/>
              </w:rPr>
            </w:pPr>
          </w:p>
        </w:tc>
        <w:tc>
          <w:tcPr>
            <w:tcW w:w="1120" w:type="dxa"/>
            <w:shd w:val="clear" w:color="auto" w:fill="auto"/>
            <w:vAlign w:val="center"/>
            <w:hideMark/>
          </w:tcPr>
          <w:p w14:paraId="056888E7"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 xml:space="preserve"> </w:t>
            </w:r>
          </w:p>
        </w:tc>
        <w:tc>
          <w:tcPr>
            <w:tcW w:w="1120" w:type="dxa"/>
            <w:shd w:val="clear" w:color="auto" w:fill="auto"/>
            <w:noWrap/>
            <w:vAlign w:val="center"/>
            <w:hideMark/>
          </w:tcPr>
          <w:p w14:paraId="1658CC6E" w14:textId="77777777" w:rsidR="00AE37A9" w:rsidRPr="0028162C" w:rsidRDefault="00AE37A9" w:rsidP="00E547BF">
            <w:pPr>
              <w:spacing w:after="0" w:line="240" w:lineRule="auto"/>
              <w:jc w:val="center"/>
              <w:rPr>
                <w:rFonts w:eastAsia="Times New Roman" w:cs="Calibri"/>
                <w:color w:val="000000"/>
              </w:rPr>
            </w:pPr>
          </w:p>
        </w:tc>
      </w:tr>
      <w:tr w:rsidR="00AE37A9" w:rsidRPr="0028162C" w14:paraId="5D2EDA57" w14:textId="77777777" w:rsidTr="00E547BF">
        <w:trPr>
          <w:trHeight w:val="288"/>
        </w:trPr>
        <w:tc>
          <w:tcPr>
            <w:tcW w:w="3622" w:type="dxa"/>
            <w:shd w:val="clear" w:color="auto" w:fill="auto"/>
            <w:vAlign w:val="center"/>
            <w:hideMark/>
          </w:tcPr>
          <w:p w14:paraId="1795BE68"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&lt;1 year</w:t>
            </w:r>
          </w:p>
        </w:tc>
        <w:tc>
          <w:tcPr>
            <w:tcW w:w="1120" w:type="dxa"/>
            <w:shd w:val="clear" w:color="auto" w:fill="auto"/>
            <w:noWrap/>
            <w:vAlign w:val="center"/>
            <w:hideMark/>
          </w:tcPr>
          <w:p w14:paraId="66B65613"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-1.171</w:t>
            </w:r>
          </w:p>
        </w:tc>
        <w:tc>
          <w:tcPr>
            <w:tcW w:w="1120" w:type="dxa"/>
            <w:shd w:val="clear" w:color="auto" w:fill="auto"/>
            <w:vAlign w:val="center"/>
            <w:hideMark/>
          </w:tcPr>
          <w:p w14:paraId="7C10FCE0"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0.310</w:t>
            </w:r>
          </w:p>
        </w:tc>
        <w:tc>
          <w:tcPr>
            <w:tcW w:w="1120" w:type="dxa"/>
            <w:shd w:val="clear" w:color="auto" w:fill="auto"/>
            <w:vAlign w:val="center"/>
            <w:hideMark/>
          </w:tcPr>
          <w:p w14:paraId="32C225BF"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0.000</w:t>
            </w:r>
          </w:p>
        </w:tc>
      </w:tr>
      <w:tr w:rsidR="00AE37A9" w:rsidRPr="0028162C" w14:paraId="0E89FC8A" w14:textId="77777777" w:rsidTr="00E547BF">
        <w:trPr>
          <w:trHeight w:val="552"/>
        </w:trPr>
        <w:tc>
          <w:tcPr>
            <w:tcW w:w="3622" w:type="dxa"/>
            <w:shd w:val="clear" w:color="auto" w:fill="auto"/>
            <w:vAlign w:val="center"/>
            <w:hideMark/>
          </w:tcPr>
          <w:p w14:paraId="697B2028" w14:textId="77777777" w:rsidR="00AE37A9" w:rsidRPr="0028162C" w:rsidRDefault="00AE37A9" w:rsidP="00E547BF">
            <w:pPr>
              <w:spacing w:after="0" w:line="240" w:lineRule="auto"/>
              <w:rPr>
                <w:rFonts w:eastAsia="Times New Roman" w:cs="Calibri"/>
                <w:color w:val="000000"/>
              </w:rPr>
            </w:pPr>
            <w:r>
              <w:rPr>
                <w:rFonts w:eastAsia="Times New Roman" w:cs="Calibri"/>
                <w:color w:val="000000"/>
              </w:rPr>
              <w:lastRenderedPageBreak/>
              <w:t>1</w:t>
            </w:r>
            <w:r w:rsidRPr="0028162C">
              <w:rPr>
                <w:rFonts w:eastAsia="Times New Roman" w:cs="Calibri"/>
                <w:color w:val="000000"/>
              </w:rPr>
              <w:t>-&lt;5 years</w:t>
            </w:r>
          </w:p>
        </w:tc>
        <w:tc>
          <w:tcPr>
            <w:tcW w:w="1120" w:type="dxa"/>
            <w:shd w:val="clear" w:color="auto" w:fill="auto"/>
            <w:noWrap/>
            <w:vAlign w:val="center"/>
            <w:hideMark/>
          </w:tcPr>
          <w:p w14:paraId="338D9598"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reference</w:t>
            </w:r>
          </w:p>
        </w:tc>
        <w:tc>
          <w:tcPr>
            <w:tcW w:w="1120" w:type="dxa"/>
            <w:shd w:val="clear" w:color="auto" w:fill="auto"/>
            <w:vAlign w:val="center"/>
            <w:hideMark/>
          </w:tcPr>
          <w:p w14:paraId="59B0B3BF"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 xml:space="preserve"> </w:t>
            </w:r>
          </w:p>
        </w:tc>
        <w:tc>
          <w:tcPr>
            <w:tcW w:w="1120" w:type="dxa"/>
            <w:shd w:val="clear" w:color="auto" w:fill="auto"/>
            <w:noWrap/>
            <w:vAlign w:val="center"/>
            <w:hideMark/>
          </w:tcPr>
          <w:p w14:paraId="6AEC83D2" w14:textId="77777777" w:rsidR="00AE37A9" w:rsidRPr="0028162C" w:rsidRDefault="00AE37A9" w:rsidP="00E547BF">
            <w:pPr>
              <w:spacing w:after="0" w:line="240" w:lineRule="auto"/>
              <w:jc w:val="center"/>
              <w:rPr>
                <w:rFonts w:eastAsia="Times New Roman" w:cs="Calibri"/>
                <w:color w:val="000000"/>
              </w:rPr>
            </w:pPr>
          </w:p>
        </w:tc>
      </w:tr>
      <w:tr w:rsidR="00AE37A9" w:rsidRPr="0028162C" w14:paraId="3C626410" w14:textId="77777777" w:rsidTr="00E547BF">
        <w:trPr>
          <w:trHeight w:val="552"/>
        </w:trPr>
        <w:tc>
          <w:tcPr>
            <w:tcW w:w="3622" w:type="dxa"/>
            <w:shd w:val="clear" w:color="auto" w:fill="auto"/>
            <w:vAlign w:val="center"/>
            <w:hideMark/>
          </w:tcPr>
          <w:p w14:paraId="5EA9E750"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5-&lt;9 years</w:t>
            </w:r>
          </w:p>
        </w:tc>
        <w:tc>
          <w:tcPr>
            <w:tcW w:w="1120" w:type="dxa"/>
            <w:shd w:val="clear" w:color="auto" w:fill="auto"/>
            <w:noWrap/>
            <w:vAlign w:val="center"/>
            <w:hideMark/>
          </w:tcPr>
          <w:p w14:paraId="371BD635"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-0.234</w:t>
            </w:r>
          </w:p>
        </w:tc>
        <w:tc>
          <w:tcPr>
            <w:tcW w:w="1120" w:type="dxa"/>
            <w:shd w:val="clear" w:color="auto" w:fill="auto"/>
            <w:vAlign w:val="center"/>
            <w:hideMark/>
          </w:tcPr>
          <w:p w14:paraId="41F5898B"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0.792</w:t>
            </w:r>
          </w:p>
        </w:tc>
        <w:tc>
          <w:tcPr>
            <w:tcW w:w="1120" w:type="dxa"/>
            <w:shd w:val="clear" w:color="auto" w:fill="auto"/>
            <w:vAlign w:val="center"/>
            <w:hideMark/>
          </w:tcPr>
          <w:p w14:paraId="03AA6E9E"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0.000</w:t>
            </w:r>
          </w:p>
        </w:tc>
      </w:tr>
      <w:tr w:rsidR="00AE37A9" w:rsidRPr="0028162C" w14:paraId="2EC0E1EA" w14:textId="77777777" w:rsidTr="00E547BF">
        <w:trPr>
          <w:trHeight w:val="288"/>
        </w:trPr>
        <w:tc>
          <w:tcPr>
            <w:tcW w:w="3622" w:type="dxa"/>
            <w:shd w:val="clear" w:color="auto" w:fill="auto"/>
            <w:vAlign w:val="center"/>
            <w:hideMark/>
          </w:tcPr>
          <w:p w14:paraId="25A58A4A"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9+</w:t>
            </w:r>
          </w:p>
        </w:tc>
        <w:tc>
          <w:tcPr>
            <w:tcW w:w="1120" w:type="dxa"/>
            <w:shd w:val="clear" w:color="auto" w:fill="auto"/>
            <w:noWrap/>
            <w:vAlign w:val="center"/>
            <w:hideMark/>
          </w:tcPr>
          <w:p w14:paraId="5AB6EF81"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-0.602</w:t>
            </w:r>
          </w:p>
        </w:tc>
        <w:tc>
          <w:tcPr>
            <w:tcW w:w="1120" w:type="dxa"/>
            <w:shd w:val="clear" w:color="auto" w:fill="auto"/>
            <w:vAlign w:val="center"/>
            <w:hideMark/>
          </w:tcPr>
          <w:p w14:paraId="370F11AA"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0.548</w:t>
            </w:r>
          </w:p>
        </w:tc>
        <w:tc>
          <w:tcPr>
            <w:tcW w:w="1120" w:type="dxa"/>
            <w:shd w:val="clear" w:color="auto" w:fill="auto"/>
            <w:vAlign w:val="center"/>
            <w:hideMark/>
          </w:tcPr>
          <w:p w14:paraId="58256C84"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0.000</w:t>
            </w:r>
          </w:p>
        </w:tc>
      </w:tr>
      <w:tr w:rsidR="00AE37A9" w:rsidRPr="0028162C" w14:paraId="21BCBDF2" w14:textId="77777777" w:rsidTr="00E547BF">
        <w:trPr>
          <w:trHeight w:val="288"/>
        </w:trPr>
        <w:tc>
          <w:tcPr>
            <w:tcW w:w="3622" w:type="dxa"/>
            <w:shd w:val="clear" w:color="auto" w:fill="auto"/>
            <w:vAlign w:val="center"/>
            <w:hideMark/>
          </w:tcPr>
          <w:p w14:paraId="38A79F4E" w14:textId="77777777" w:rsidR="00AE37A9" w:rsidRPr="0028162C" w:rsidRDefault="00AE37A9" w:rsidP="00E547BF">
            <w:pPr>
              <w:spacing w:after="0" w:line="240" w:lineRule="auto"/>
              <w:rPr>
                <w:rFonts w:eastAsia="Times New Roman" w:cs="Calibri"/>
                <w:b/>
                <w:bCs/>
                <w:color w:val="000000"/>
              </w:rPr>
            </w:pPr>
            <w:r w:rsidRPr="0028162C">
              <w:rPr>
                <w:rFonts w:eastAsia="Times New Roman" w:cs="Calibri"/>
                <w:b/>
                <w:bCs/>
                <w:color w:val="000000"/>
              </w:rPr>
              <w:t>Primary Cause of ESRD</w:t>
            </w:r>
          </w:p>
        </w:tc>
        <w:tc>
          <w:tcPr>
            <w:tcW w:w="1120" w:type="dxa"/>
            <w:shd w:val="clear" w:color="auto" w:fill="auto"/>
            <w:noWrap/>
            <w:vAlign w:val="center"/>
            <w:hideMark/>
          </w:tcPr>
          <w:p w14:paraId="11975040" w14:textId="77777777" w:rsidR="00AE37A9" w:rsidRPr="0028162C" w:rsidRDefault="00AE37A9" w:rsidP="00E547BF">
            <w:pPr>
              <w:spacing w:after="0" w:line="240" w:lineRule="auto"/>
              <w:jc w:val="center"/>
              <w:rPr>
                <w:rFonts w:eastAsia="Times New Roman" w:cs="Calibri"/>
                <w:color w:val="000000"/>
              </w:rPr>
            </w:pPr>
          </w:p>
        </w:tc>
        <w:tc>
          <w:tcPr>
            <w:tcW w:w="1120" w:type="dxa"/>
            <w:shd w:val="clear" w:color="auto" w:fill="auto"/>
            <w:vAlign w:val="center"/>
            <w:hideMark/>
          </w:tcPr>
          <w:p w14:paraId="74EE63B7"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 xml:space="preserve"> </w:t>
            </w:r>
          </w:p>
        </w:tc>
        <w:tc>
          <w:tcPr>
            <w:tcW w:w="1120" w:type="dxa"/>
            <w:shd w:val="clear" w:color="auto" w:fill="auto"/>
            <w:noWrap/>
            <w:vAlign w:val="center"/>
            <w:hideMark/>
          </w:tcPr>
          <w:p w14:paraId="787453B8" w14:textId="77777777" w:rsidR="00AE37A9" w:rsidRPr="0028162C" w:rsidRDefault="00AE37A9" w:rsidP="00E547BF">
            <w:pPr>
              <w:spacing w:after="0" w:line="240" w:lineRule="auto"/>
              <w:jc w:val="center"/>
              <w:rPr>
                <w:rFonts w:eastAsia="Times New Roman" w:cs="Calibri"/>
                <w:color w:val="000000"/>
              </w:rPr>
            </w:pPr>
          </w:p>
        </w:tc>
      </w:tr>
      <w:tr w:rsidR="00AE37A9" w:rsidRPr="0028162C" w14:paraId="6D43709E" w14:textId="77777777" w:rsidTr="00E547BF">
        <w:trPr>
          <w:trHeight w:val="552"/>
        </w:trPr>
        <w:tc>
          <w:tcPr>
            <w:tcW w:w="3622" w:type="dxa"/>
            <w:shd w:val="clear" w:color="auto" w:fill="auto"/>
            <w:vAlign w:val="center"/>
            <w:hideMark/>
          </w:tcPr>
          <w:p w14:paraId="60CFA961"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Diabetes</w:t>
            </w:r>
          </w:p>
        </w:tc>
        <w:tc>
          <w:tcPr>
            <w:tcW w:w="1120" w:type="dxa"/>
            <w:shd w:val="clear" w:color="auto" w:fill="auto"/>
            <w:noWrap/>
            <w:vAlign w:val="center"/>
            <w:hideMark/>
          </w:tcPr>
          <w:p w14:paraId="19A1DE7C"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-0.053</w:t>
            </w:r>
          </w:p>
        </w:tc>
        <w:tc>
          <w:tcPr>
            <w:tcW w:w="1120" w:type="dxa"/>
            <w:shd w:val="clear" w:color="auto" w:fill="auto"/>
            <w:vAlign w:val="center"/>
            <w:hideMark/>
          </w:tcPr>
          <w:p w14:paraId="71E0F244"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0.948</w:t>
            </w:r>
          </w:p>
        </w:tc>
        <w:tc>
          <w:tcPr>
            <w:tcW w:w="1120" w:type="dxa"/>
            <w:shd w:val="clear" w:color="auto" w:fill="auto"/>
            <w:vAlign w:val="center"/>
            <w:hideMark/>
          </w:tcPr>
          <w:p w14:paraId="5DBB15E2"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0.034</w:t>
            </w:r>
          </w:p>
        </w:tc>
      </w:tr>
      <w:tr w:rsidR="00AE37A9" w:rsidRPr="0028162C" w14:paraId="03A77EF6" w14:textId="77777777" w:rsidTr="00E547BF">
        <w:trPr>
          <w:trHeight w:val="288"/>
        </w:trPr>
        <w:tc>
          <w:tcPr>
            <w:tcW w:w="3622" w:type="dxa"/>
            <w:shd w:val="clear" w:color="auto" w:fill="auto"/>
            <w:vAlign w:val="center"/>
            <w:hideMark/>
          </w:tcPr>
          <w:p w14:paraId="4F443E5B"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Other</w:t>
            </w:r>
          </w:p>
        </w:tc>
        <w:tc>
          <w:tcPr>
            <w:tcW w:w="1120" w:type="dxa"/>
            <w:shd w:val="clear" w:color="auto" w:fill="auto"/>
            <w:noWrap/>
            <w:vAlign w:val="center"/>
            <w:hideMark/>
          </w:tcPr>
          <w:p w14:paraId="081904B3"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reference</w:t>
            </w:r>
          </w:p>
        </w:tc>
        <w:tc>
          <w:tcPr>
            <w:tcW w:w="1120" w:type="dxa"/>
            <w:shd w:val="clear" w:color="auto" w:fill="auto"/>
            <w:vAlign w:val="center"/>
            <w:hideMark/>
          </w:tcPr>
          <w:p w14:paraId="42D6001F"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 xml:space="preserve"> </w:t>
            </w:r>
          </w:p>
        </w:tc>
        <w:tc>
          <w:tcPr>
            <w:tcW w:w="1120" w:type="dxa"/>
            <w:shd w:val="clear" w:color="auto" w:fill="auto"/>
            <w:noWrap/>
            <w:vAlign w:val="center"/>
            <w:hideMark/>
          </w:tcPr>
          <w:p w14:paraId="26CF8ED6" w14:textId="77777777" w:rsidR="00AE37A9" w:rsidRPr="0028162C" w:rsidRDefault="00AE37A9" w:rsidP="00E547BF">
            <w:pPr>
              <w:spacing w:after="0" w:line="240" w:lineRule="auto"/>
              <w:jc w:val="center"/>
              <w:rPr>
                <w:rFonts w:eastAsia="Times New Roman" w:cs="Calibri"/>
                <w:color w:val="000000"/>
              </w:rPr>
            </w:pPr>
          </w:p>
        </w:tc>
      </w:tr>
      <w:tr w:rsidR="00AE37A9" w:rsidRPr="0028162C" w14:paraId="44E33238" w14:textId="77777777" w:rsidTr="00E547BF">
        <w:trPr>
          <w:trHeight w:val="552"/>
        </w:trPr>
        <w:tc>
          <w:tcPr>
            <w:tcW w:w="3622" w:type="dxa"/>
            <w:shd w:val="clear" w:color="auto" w:fill="auto"/>
            <w:vAlign w:val="center"/>
            <w:hideMark/>
          </w:tcPr>
          <w:p w14:paraId="4BBE6754" w14:textId="77777777" w:rsidR="00AE37A9" w:rsidRPr="0028162C" w:rsidRDefault="00AE37A9" w:rsidP="00E547BF">
            <w:pPr>
              <w:spacing w:after="0" w:line="240" w:lineRule="auto"/>
              <w:rPr>
                <w:rFonts w:eastAsia="Times New Roman" w:cs="Calibri"/>
                <w:b/>
                <w:bCs/>
                <w:color w:val="000000"/>
              </w:rPr>
            </w:pPr>
            <w:r w:rsidRPr="0028162C">
              <w:rPr>
                <w:rFonts w:eastAsia="Times New Roman" w:cs="Calibri"/>
                <w:b/>
                <w:bCs/>
                <w:color w:val="000000"/>
              </w:rPr>
              <w:t xml:space="preserve">Comorbidities* </w:t>
            </w:r>
          </w:p>
        </w:tc>
        <w:tc>
          <w:tcPr>
            <w:tcW w:w="1120" w:type="dxa"/>
            <w:shd w:val="clear" w:color="auto" w:fill="auto"/>
            <w:noWrap/>
            <w:vAlign w:val="center"/>
            <w:hideMark/>
          </w:tcPr>
          <w:p w14:paraId="628ED1B0" w14:textId="77777777" w:rsidR="00AE37A9" w:rsidRPr="0028162C" w:rsidRDefault="00AE37A9" w:rsidP="00E547BF">
            <w:pPr>
              <w:spacing w:after="0" w:line="240" w:lineRule="auto"/>
              <w:jc w:val="center"/>
              <w:rPr>
                <w:rFonts w:eastAsia="Times New Roman" w:cs="Calibri"/>
                <w:color w:val="000000"/>
              </w:rPr>
            </w:pPr>
          </w:p>
        </w:tc>
        <w:tc>
          <w:tcPr>
            <w:tcW w:w="1120" w:type="dxa"/>
            <w:shd w:val="clear" w:color="auto" w:fill="auto"/>
            <w:vAlign w:val="center"/>
            <w:hideMark/>
          </w:tcPr>
          <w:p w14:paraId="1C0F346A"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 xml:space="preserve"> </w:t>
            </w:r>
          </w:p>
        </w:tc>
        <w:tc>
          <w:tcPr>
            <w:tcW w:w="1120" w:type="dxa"/>
            <w:shd w:val="clear" w:color="auto" w:fill="auto"/>
            <w:noWrap/>
            <w:vAlign w:val="center"/>
            <w:hideMark/>
          </w:tcPr>
          <w:p w14:paraId="0E5A9A6E" w14:textId="77777777" w:rsidR="00AE37A9" w:rsidRPr="0028162C" w:rsidRDefault="00AE37A9" w:rsidP="00E547BF">
            <w:pPr>
              <w:spacing w:after="0" w:line="240" w:lineRule="auto"/>
              <w:jc w:val="center"/>
              <w:rPr>
                <w:rFonts w:eastAsia="Times New Roman" w:cs="Calibri"/>
                <w:color w:val="000000"/>
              </w:rPr>
            </w:pPr>
          </w:p>
        </w:tc>
      </w:tr>
      <w:tr w:rsidR="00AE37A9" w:rsidRPr="0028162C" w14:paraId="73CAB4BB" w14:textId="77777777" w:rsidTr="00E547BF">
        <w:trPr>
          <w:trHeight w:val="576"/>
        </w:trPr>
        <w:tc>
          <w:tcPr>
            <w:tcW w:w="3622" w:type="dxa"/>
            <w:shd w:val="clear" w:color="auto" w:fill="auto"/>
            <w:vAlign w:val="center"/>
            <w:hideMark/>
          </w:tcPr>
          <w:p w14:paraId="5B0A7A64"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 xml:space="preserve">Diabetes (NOT as primary cause of </w:t>
            </w:r>
            <w:r>
              <w:rPr>
                <w:rFonts w:eastAsia="Times New Roman" w:cs="Calibri"/>
                <w:color w:val="000000"/>
              </w:rPr>
              <w:t xml:space="preserve">  </w:t>
            </w:r>
            <w:r w:rsidRPr="0028162C">
              <w:rPr>
                <w:rFonts w:eastAsia="Times New Roman" w:cs="Calibri"/>
                <w:color w:val="000000"/>
              </w:rPr>
              <w:t>ESRD)</w:t>
            </w:r>
          </w:p>
        </w:tc>
        <w:tc>
          <w:tcPr>
            <w:tcW w:w="1120" w:type="dxa"/>
            <w:shd w:val="clear" w:color="auto" w:fill="auto"/>
            <w:noWrap/>
            <w:vAlign w:val="center"/>
            <w:hideMark/>
          </w:tcPr>
          <w:p w14:paraId="3C062552"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-0.121</w:t>
            </w:r>
          </w:p>
        </w:tc>
        <w:tc>
          <w:tcPr>
            <w:tcW w:w="1120" w:type="dxa"/>
            <w:shd w:val="clear" w:color="auto" w:fill="auto"/>
            <w:vAlign w:val="center"/>
            <w:hideMark/>
          </w:tcPr>
          <w:p w14:paraId="52D29035"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0.886</w:t>
            </w:r>
          </w:p>
        </w:tc>
        <w:tc>
          <w:tcPr>
            <w:tcW w:w="1120" w:type="dxa"/>
            <w:shd w:val="clear" w:color="auto" w:fill="auto"/>
            <w:vAlign w:val="center"/>
            <w:hideMark/>
          </w:tcPr>
          <w:p w14:paraId="72F31DCA"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&lt;.0001</w:t>
            </w:r>
          </w:p>
        </w:tc>
      </w:tr>
      <w:tr w:rsidR="00AE37A9" w:rsidRPr="0028162C" w14:paraId="7E8AF1D4" w14:textId="77777777" w:rsidTr="00E547BF">
        <w:trPr>
          <w:trHeight w:val="552"/>
        </w:trPr>
        <w:tc>
          <w:tcPr>
            <w:tcW w:w="3622" w:type="dxa"/>
            <w:shd w:val="clear" w:color="auto" w:fill="auto"/>
            <w:vAlign w:val="center"/>
            <w:hideMark/>
          </w:tcPr>
          <w:p w14:paraId="42846EEE"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Heart  Failure</w:t>
            </w:r>
          </w:p>
        </w:tc>
        <w:tc>
          <w:tcPr>
            <w:tcW w:w="1120" w:type="dxa"/>
            <w:shd w:val="clear" w:color="auto" w:fill="auto"/>
            <w:noWrap/>
            <w:vAlign w:val="center"/>
            <w:hideMark/>
          </w:tcPr>
          <w:p w14:paraId="6DA08A2F"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-0.046</w:t>
            </w:r>
          </w:p>
        </w:tc>
        <w:tc>
          <w:tcPr>
            <w:tcW w:w="1120" w:type="dxa"/>
            <w:shd w:val="clear" w:color="auto" w:fill="auto"/>
            <w:vAlign w:val="center"/>
            <w:hideMark/>
          </w:tcPr>
          <w:p w14:paraId="42E2123A"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0.955</w:t>
            </w:r>
          </w:p>
        </w:tc>
        <w:tc>
          <w:tcPr>
            <w:tcW w:w="1120" w:type="dxa"/>
            <w:shd w:val="clear" w:color="auto" w:fill="auto"/>
            <w:vAlign w:val="center"/>
            <w:hideMark/>
          </w:tcPr>
          <w:p w14:paraId="75E21D4C"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0.038</w:t>
            </w:r>
          </w:p>
        </w:tc>
      </w:tr>
      <w:tr w:rsidR="00AE37A9" w:rsidRPr="0028162C" w14:paraId="5293733D" w14:textId="77777777" w:rsidTr="00E547BF">
        <w:trPr>
          <w:trHeight w:val="552"/>
        </w:trPr>
        <w:tc>
          <w:tcPr>
            <w:tcW w:w="3622" w:type="dxa"/>
            <w:shd w:val="clear" w:color="auto" w:fill="auto"/>
            <w:vAlign w:val="center"/>
            <w:hideMark/>
          </w:tcPr>
          <w:p w14:paraId="336C50B8"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Other Heart Diseases</w:t>
            </w:r>
          </w:p>
        </w:tc>
        <w:tc>
          <w:tcPr>
            <w:tcW w:w="1120" w:type="dxa"/>
            <w:shd w:val="clear" w:color="auto" w:fill="auto"/>
            <w:noWrap/>
            <w:vAlign w:val="center"/>
            <w:hideMark/>
          </w:tcPr>
          <w:p w14:paraId="5D6182AD"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-0.037</w:t>
            </w:r>
          </w:p>
        </w:tc>
        <w:tc>
          <w:tcPr>
            <w:tcW w:w="1120" w:type="dxa"/>
            <w:shd w:val="clear" w:color="auto" w:fill="auto"/>
            <w:vAlign w:val="center"/>
            <w:hideMark/>
          </w:tcPr>
          <w:p w14:paraId="00DF0CE7"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0.963</w:t>
            </w:r>
          </w:p>
        </w:tc>
        <w:tc>
          <w:tcPr>
            <w:tcW w:w="1120" w:type="dxa"/>
            <w:shd w:val="clear" w:color="auto" w:fill="auto"/>
            <w:vAlign w:val="center"/>
            <w:hideMark/>
          </w:tcPr>
          <w:p w14:paraId="07FEBC88"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0.114</w:t>
            </w:r>
          </w:p>
        </w:tc>
      </w:tr>
      <w:tr w:rsidR="00AE37A9" w:rsidRPr="0028162C" w14:paraId="2810C556" w14:textId="77777777" w:rsidTr="00E547BF">
        <w:trPr>
          <w:trHeight w:val="288"/>
        </w:trPr>
        <w:tc>
          <w:tcPr>
            <w:tcW w:w="3622" w:type="dxa"/>
            <w:shd w:val="clear" w:color="auto" w:fill="auto"/>
            <w:noWrap/>
            <w:vAlign w:val="center"/>
            <w:hideMark/>
          </w:tcPr>
          <w:p w14:paraId="7DB8DB96"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Peripheral Vascular Disease</w:t>
            </w:r>
          </w:p>
        </w:tc>
        <w:tc>
          <w:tcPr>
            <w:tcW w:w="1120" w:type="dxa"/>
            <w:shd w:val="clear" w:color="auto" w:fill="auto"/>
            <w:noWrap/>
            <w:vAlign w:val="center"/>
            <w:hideMark/>
          </w:tcPr>
          <w:p w14:paraId="37CD0BB8"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-0.340</w:t>
            </w:r>
          </w:p>
        </w:tc>
        <w:tc>
          <w:tcPr>
            <w:tcW w:w="1120" w:type="dxa"/>
            <w:shd w:val="clear" w:color="auto" w:fill="auto"/>
            <w:vAlign w:val="center"/>
            <w:hideMark/>
          </w:tcPr>
          <w:p w14:paraId="50475FFE"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0.712</w:t>
            </w:r>
          </w:p>
        </w:tc>
        <w:tc>
          <w:tcPr>
            <w:tcW w:w="1120" w:type="dxa"/>
            <w:shd w:val="clear" w:color="auto" w:fill="auto"/>
            <w:vAlign w:val="center"/>
            <w:hideMark/>
          </w:tcPr>
          <w:p w14:paraId="5D3A7E6B"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&lt;.0001</w:t>
            </w:r>
          </w:p>
        </w:tc>
      </w:tr>
      <w:tr w:rsidR="00AE37A9" w:rsidRPr="0028162C" w14:paraId="1AF9A3C3" w14:textId="77777777" w:rsidTr="00E547BF">
        <w:trPr>
          <w:trHeight w:val="288"/>
        </w:trPr>
        <w:tc>
          <w:tcPr>
            <w:tcW w:w="3622" w:type="dxa"/>
            <w:shd w:val="clear" w:color="auto" w:fill="auto"/>
            <w:vAlign w:val="center"/>
            <w:hideMark/>
          </w:tcPr>
          <w:p w14:paraId="266F2E63"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Cerebrovascular Disease</w:t>
            </w:r>
          </w:p>
        </w:tc>
        <w:tc>
          <w:tcPr>
            <w:tcW w:w="1120" w:type="dxa"/>
            <w:shd w:val="clear" w:color="auto" w:fill="auto"/>
            <w:noWrap/>
            <w:vAlign w:val="center"/>
            <w:hideMark/>
          </w:tcPr>
          <w:p w14:paraId="12536402"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-0.113</w:t>
            </w:r>
          </w:p>
        </w:tc>
        <w:tc>
          <w:tcPr>
            <w:tcW w:w="1120" w:type="dxa"/>
            <w:shd w:val="clear" w:color="auto" w:fill="auto"/>
            <w:vAlign w:val="center"/>
            <w:hideMark/>
          </w:tcPr>
          <w:p w14:paraId="2430649D"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0.893</w:t>
            </w:r>
          </w:p>
        </w:tc>
        <w:tc>
          <w:tcPr>
            <w:tcW w:w="1120" w:type="dxa"/>
            <w:shd w:val="clear" w:color="auto" w:fill="auto"/>
            <w:vAlign w:val="center"/>
            <w:hideMark/>
          </w:tcPr>
          <w:p w14:paraId="6F90A43D"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&lt;.0001</w:t>
            </w:r>
          </w:p>
        </w:tc>
      </w:tr>
      <w:tr w:rsidR="00AE37A9" w:rsidRPr="0028162C" w14:paraId="3CD8E39D" w14:textId="77777777" w:rsidTr="00E547BF">
        <w:trPr>
          <w:trHeight w:val="576"/>
        </w:trPr>
        <w:tc>
          <w:tcPr>
            <w:tcW w:w="3622" w:type="dxa"/>
            <w:shd w:val="clear" w:color="auto" w:fill="auto"/>
            <w:vAlign w:val="center"/>
            <w:hideMark/>
          </w:tcPr>
          <w:p w14:paraId="760C1D05"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 xml:space="preserve">Chronic Obstructive Pulmonary Disease </w:t>
            </w:r>
          </w:p>
        </w:tc>
        <w:tc>
          <w:tcPr>
            <w:tcW w:w="1120" w:type="dxa"/>
            <w:shd w:val="clear" w:color="auto" w:fill="auto"/>
            <w:noWrap/>
            <w:vAlign w:val="center"/>
            <w:hideMark/>
          </w:tcPr>
          <w:p w14:paraId="49C236F6"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-0.083</w:t>
            </w:r>
          </w:p>
        </w:tc>
        <w:tc>
          <w:tcPr>
            <w:tcW w:w="1120" w:type="dxa"/>
            <w:shd w:val="clear" w:color="auto" w:fill="auto"/>
            <w:vAlign w:val="center"/>
            <w:hideMark/>
          </w:tcPr>
          <w:p w14:paraId="3AC355CE"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0.921</w:t>
            </w:r>
          </w:p>
        </w:tc>
        <w:tc>
          <w:tcPr>
            <w:tcW w:w="1120" w:type="dxa"/>
            <w:shd w:val="clear" w:color="auto" w:fill="auto"/>
            <w:vAlign w:val="center"/>
            <w:hideMark/>
          </w:tcPr>
          <w:p w14:paraId="72BFA2E3"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0.001</w:t>
            </w:r>
          </w:p>
        </w:tc>
      </w:tr>
      <w:tr w:rsidR="00AE37A9" w:rsidRPr="0028162C" w14:paraId="69DFC481" w14:textId="77777777" w:rsidTr="00E547BF">
        <w:trPr>
          <w:trHeight w:val="288"/>
        </w:trPr>
        <w:tc>
          <w:tcPr>
            <w:tcW w:w="3622" w:type="dxa"/>
            <w:shd w:val="clear" w:color="auto" w:fill="auto"/>
            <w:vAlign w:val="center"/>
            <w:hideMark/>
          </w:tcPr>
          <w:p w14:paraId="67A0CF55" w14:textId="77777777" w:rsidR="00AE37A9" w:rsidRPr="0028162C" w:rsidRDefault="00AE37A9" w:rsidP="00E547BF">
            <w:pPr>
              <w:spacing w:after="0" w:line="240" w:lineRule="auto"/>
              <w:rPr>
                <w:rFonts w:eastAsia="Times New Roman" w:cs="Calibri"/>
                <w:color w:val="000000"/>
              </w:rPr>
            </w:pPr>
            <w:r>
              <w:rPr>
                <w:rFonts w:eastAsia="Times New Roman" w:cs="Calibri"/>
                <w:color w:val="000000"/>
              </w:rPr>
              <w:t>D</w:t>
            </w:r>
            <w:r w:rsidRPr="0028162C">
              <w:rPr>
                <w:rFonts w:eastAsia="Times New Roman" w:cs="Calibri"/>
                <w:color w:val="000000"/>
              </w:rPr>
              <w:t>rug Dependence</w:t>
            </w:r>
            <w:r w:rsidRPr="0028162C">
              <w:rPr>
                <w:rFonts w:eastAsia="Times New Roman" w:cs="Calibri"/>
                <w:color w:val="000000"/>
                <w:vertAlign w:val="superscript"/>
              </w:rPr>
              <w:t xml:space="preserve"> </w:t>
            </w:r>
          </w:p>
        </w:tc>
        <w:tc>
          <w:tcPr>
            <w:tcW w:w="1120" w:type="dxa"/>
            <w:shd w:val="clear" w:color="auto" w:fill="auto"/>
            <w:noWrap/>
            <w:vAlign w:val="center"/>
            <w:hideMark/>
          </w:tcPr>
          <w:p w14:paraId="1F3ECCCB"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-0.207</w:t>
            </w:r>
          </w:p>
        </w:tc>
        <w:tc>
          <w:tcPr>
            <w:tcW w:w="1120" w:type="dxa"/>
            <w:shd w:val="clear" w:color="auto" w:fill="auto"/>
            <w:vAlign w:val="center"/>
            <w:hideMark/>
          </w:tcPr>
          <w:p w14:paraId="47434437"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0.813</w:t>
            </w:r>
          </w:p>
        </w:tc>
        <w:tc>
          <w:tcPr>
            <w:tcW w:w="1120" w:type="dxa"/>
            <w:shd w:val="clear" w:color="auto" w:fill="auto"/>
            <w:vAlign w:val="center"/>
            <w:hideMark/>
          </w:tcPr>
          <w:p w14:paraId="7A9CBBDB"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&lt;.0001</w:t>
            </w:r>
          </w:p>
        </w:tc>
      </w:tr>
      <w:tr w:rsidR="00AE37A9" w:rsidRPr="0028162C" w14:paraId="65348639" w14:textId="77777777" w:rsidTr="00E547BF">
        <w:trPr>
          <w:trHeight w:val="576"/>
        </w:trPr>
        <w:tc>
          <w:tcPr>
            <w:tcW w:w="3622" w:type="dxa"/>
            <w:shd w:val="clear" w:color="auto" w:fill="auto"/>
            <w:vAlign w:val="center"/>
            <w:hideMark/>
          </w:tcPr>
          <w:p w14:paraId="4882841F"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Inability to ambulate/transfer</w:t>
            </w:r>
          </w:p>
        </w:tc>
        <w:tc>
          <w:tcPr>
            <w:tcW w:w="1120" w:type="dxa"/>
            <w:shd w:val="clear" w:color="auto" w:fill="auto"/>
            <w:noWrap/>
            <w:vAlign w:val="center"/>
            <w:hideMark/>
          </w:tcPr>
          <w:p w14:paraId="52136B62"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-0.497</w:t>
            </w:r>
          </w:p>
        </w:tc>
        <w:tc>
          <w:tcPr>
            <w:tcW w:w="1120" w:type="dxa"/>
            <w:shd w:val="clear" w:color="auto" w:fill="auto"/>
            <w:vAlign w:val="center"/>
            <w:hideMark/>
          </w:tcPr>
          <w:p w14:paraId="4E0B6B70"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0.609</w:t>
            </w:r>
          </w:p>
        </w:tc>
        <w:tc>
          <w:tcPr>
            <w:tcW w:w="1120" w:type="dxa"/>
            <w:shd w:val="clear" w:color="auto" w:fill="auto"/>
            <w:vAlign w:val="center"/>
            <w:hideMark/>
          </w:tcPr>
          <w:p w14:paraId="2725838D"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&lt;.0001</w:t>
            </w:r>
          </w:p>
        </w:tc>
      </w:tr>
      <w:tr w:rsidR="00AE37A9" w:rsidRPr="0028162C" w14:paraId="520DA2AC" w14:textId="77777777" w:rsidTr="00E547BF">
        <w:trPr>
          <w:trHeight w:val="576"/>
        </w:trPr>
        <w:tc>
          <w:tcPr>
            <w:tcW w:w="3622" w:type="dxa"/>
            <w:shd w:val="clear" w:color="auto" w:fill="auto"/>
            <w:vAlign w:val="center"/>
            <w:hideMark/>
          </w:tcPr>
          <w:p w14:paraId="2B0E15EB"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 xml:space="preserve">Anemia (unrelated to ESRD/CKD)  </w:t>
            </w:r>
          </w:p>
        </w:tc>
        <w:tc>
          <w:tcPr>
            <w:tcW w:w="1120" w:type="dxa"/>
            <w:shd w:val="clear" w:color="auto" w:fill="auto"/>
            <w:noWrap/>
            <w:vAlign w:val="center"/>
            <w:hideMark/>
          </w:tcPr>
          <w:p w14:paraId="566BB0B6"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-0.049</w:t>
            </w:r>
          </w:p>
        </w:tc>
        <w:tc>
          <w:tcPr>
            <w:tcW w:w="1120" w:type="dxa"/>
            <w:shd w:val="clear" w:color="auto" w:fill="auto"/>
            <w:vAlign w:val="center"/>
            <w:hideMark/>
          </w:tcPr>
          <w:p w14:paraId="7C6715DF"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0.952</w:t>
            </w:r>
          </w:p>
        </w:tc>
        <w:tc>
          <w:tcPr>
            <w:tcW w:w="1120" w:type="dxa"/>
            <w:shd w:val="clear" w:color="auto" w:fill="auto"/>
            <w:vAlign w:val="center"/>
            <w:hideMark/>
          </w:tcPr>
          <w:p w14:paraId="19BF1176"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0.228</w:t>
            </w:r>
          </w:p>
        </w:tc>
      </w:tr>
      <w:tr w:rsidR="00AE37A9" w:rsidRPr="0028162C" w14:paraId="74542139" w14:textId="77777777" w:rsidTr="00E547BF">
        <w:trPr>
          <w:trHeight w:val="1152"/>
        </w:trPr>
        <w:tc>
          <w:tcPr>
            <w:tcW w:w="3622" w:type="dxa"/>
            <w:shd w:val="clear" w:color="auto" w:fill="auto"/>
            <w:vAlign w:val="center"/>
            <w:hideMark/>
          </w:tcPr>
          <w:p w14:paraId="70269346" w14:textId="77777777" w:rsidR="00AE37A9" w:rsidRPr="0028162C" w:rsidRDefault="00AE37A9" w:rsidP="00E547BF">
            <w:pPr>
              <w:spacing w:after="0" w:line="240" w:lineRule="auto"/>
              <w:rPr>
                <w:rFonts w:eastAsia="Times New Roman" w:cs="Calibri"/>
                <w:color w:val="000000"/>
              </w:rPr>
            </w:pPr>
            <w:r>
              <w:rPr>
                <w:rFonts w:eastAsia="Times New Roman" w:cs="Calibri"/>
                <w:color w:val="000000"/>
              </w:rPr>
              <w:t>N</w:t>
            </w:r>
            <w:r w:rsidRPr="0028162C">
              <w:rPr>
                <w:rFonts w:eastAsia="Times New Roman" w:cs="Calibri"/>
                <w:color w:val="000000"/>
              </w:rPr>
              <w:t xml:space="preserve">on-Vascular Access-Related </w:t>
            </w:r>
            <w:r>
              <w:rPr>
                <w:rFonts w:eastAsia="Times New Roman" w:cs="Calibri"/>
                <w:color w:val="000000"/>
              </w:rPr>
              <w:t xml:space="preserve"> </w:t>
            </w:r>
            <w:r w:rsidRPr="0028162C">
              <w:rPr>
                <w:rFonts w:eastAsia="Times New Roman" w:cs="Calibri"/>
                <w:color w:val="000000"/>
              </w:rPr>
              <w:t xml:space="preserve">Infections:  </w:t>
            </w:r>
            <w:r>
              <w:rPr>
                <w:rFonts w:eastAsia="Times New Roman" w:cs="Calibri"/>
                <w:color w:val="000000"/>
              </w:rPr>
              <w:t xml:space="preserve"> </w:t>
            </w:r>
            <w:r w:rsidRPr="0028162C">
              <w:rPr>
                <w:rFonts w:eastAsia="Times New Roman" w:cs="Calibri"/>
                <w:color w:val="000000"/>
              </w:rPr>
              <w:t>Pneumonia/Hepatitis/HIV/Tuberculosis</w:t>
            </w:r>
          </w:p>
        </w:tc>
        <w:tc>
          <w:tcPr>
            <w:tcW w:w="1120" w:type="dxa"/>
            <w:shd w:val="clear" w:color="auto" w:fill="auto"/>
            <w:noWrap/>
            <w:vAlign w:val="center"/>
            <w:hideMark/>
          </w:tcPr>
          <w:p w14:paraId="12ECC8C3"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-0.286</w:t>
            </w:r>
          </w:p>
        </w:tc>
        <w:tc>
          <w:tcPr>
            <w:tcW w:w="1120" w:type="dxa"/>
            <w:shd w:val="clear" w:color="auto" w:fill="auto"/>
            <w:vAlign w:val="center"/>
            <w:hideMark/>
          </w:tcPr>
          <w:p w14:paraId="20DE9CB6"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0.751</w:t>
            </w:r>
          </w:p>
        </w:tc>
        <w:tc>
          <w:tcPr>
            <w:tcW w:w="1120" w:type="dxa"/>
            <w:shd w:val="clear" w:color="auto" w:fill="auto"/>
            <w:vAlign w:val="center"/>
            <w:hideMark/>
          </w:tcPr>
          <w:p w14:paraId="172EAA9E"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&lt;.0001</w:t>
            </w:r>
          </w:p>
        </w:tc>
      </w:tr>
      <w:tr w:rsidR="00AE37A9" w:rsidRPr="0028162C" w14:paraId="3452FE70" w14:textId="77777777" w:rsidTr="00E547BF">
        <w:trPr>
          <w:trHeight w:val="588"/>
        </w:trPr>
        <w:tc>
          <w:tcPr>
            <w:tcW w:w="3622" w:type="dxa"/>
            <w:shd w:val="clear" w:color="auto" w:fill="auto"/>
            <w:vAlign w:val="center"/>
            <w:hideMark/>
          </w:tcPr>
          <w:p w14:paraId="5A8B7FE4"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 xml:space="preserve">Less than 6-months of Medicare </w:t>
            </w:r>
            <w:r>
              <w:rPr>
                <w:rFonts w:eastAsia="Times New Roman" w:cs="Calibri"/>
                <w:color w:val="000000"/>
              </w:rPr>
              <w:t>coverage</w:t>
            </w:r>
            <w:r w:rsidRPr="0028162C">
              <w:rPr>
                <w:rFonts w:eastAsia="Times New Roman" w:cs="Calibri"/>
                <w:color w:val="000000"/>
              </w:rPr>
              <w:t xml:space="preserve"> in past 12 months</w:t>
            </w:r>
          </w:p>
        </w:tc>
        <w:tc>
          <w:tcPr>
            <w:tcW w:w="1120" w:type="dxa"/>
            <w:shd w:val="clear" w:color="auto" w:fill="auto"/>
            <w:noWrap/>
            <w:vAlign w:val="center"/>
            <w:hideMark/>
          </w:tcPr>
          <w:p w14:paraId="34B63528"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-0.447</w:t>
            </w:r>
          </w:p>
        </w:tc>
        <w:tc>
          <w:tcPr>
            <w:tcW w:w="1120" w:type="dxa"/>
            <w:shd w:val="clear" w:color="auto" w:fill="auto"/>
            <w:vAlign w:val="center"/>
            <w:hideMark/>
          </w:tcPr>
          <w:p w14:paraId="4D220584"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0.640</w:t>
            </w:r>
          </w:p>
        </w:tc>
        <w:tc>
          <w:tcPr>
            <w:tcW w:w="1120" w:type="dxa"/>
            <w:shd w:val="clear" w:color="auto" w:fill="auto"/>
            <w:vAlign w:val="center"/>
            <w:hideMark/>
          </w:tcPr>
          <w:p w14:paraId="2D3A6575" w14:textId="77777777" w:rsidR="00AE37A9" w:rsidRPr="0028162C" w:rsidRDefault="00AE37A9" w:rsidP="00E547BF">
            <w:pPr>
              <w:spacing w:after="0" w:line="240" w:lineRule="auto"/>
              <w:jc w:val="center"/>
              <w:rPr>
                <w:rFonts w:eastAsia="Times New Roman" w:cs="Calibri"/>
                <w:color w:val="000000"/>
              </w:rPr>
            </w:pPr>
            <w:r w:rsidRPr="0028162C">
              <w:rPr>
                <w:rFonts w:eastAsia="Times New Roman" w:cs="Calibri"/>
                <w:color w:val="000000"/>
              </w:rPr>
              <w:t>&lt;.0001</w:t>
            </w:r>
          </w:p>
        </w:tc>
      </w:tr>
      <w:tr w:rsidR="00AE37A9" w:rsidRPr="0028162C" w14:paraId="38414D79" w14:textId="77777777" w:rsidTr="00E547BF">
        <w:trPr>
          <w:trHeight w:val="312"/>
        </w:trPr>
        <w:tc>
          <w:tcPr>
            <w:tcW w:w="6982" w:type="dxa"/>
            <w:gridSpan w:val="4"/>
            <w:shd w:val="clear" w:color="auto" w:fill="auto"/>
            <w:vAlign w:val="center"/>
            <w:hideMark/>
          </w:tcPr>
          <w:p w14:paraId="6EF7ECB8" w14:textId="77777777" w:rsidR="00AE37A9" w:rsidRPr="0028162C" w:rsidRDefault="00AE37A9" w:rsidP="00E547BF">
            <w:pPr>
              <w:spacing w:after="0" w:line="240" w:lineRule="auto"/>
              <w:rPr>
                <w:rFonts w:eastAsia="Times New Roman" w:cs="Calibri"/>
                <w:color w:val="000000"/>
              </w:rPr>
            </w:pPr>
            <w:r w:rsidRPr="0028162C">
              <w:rPr>
                <w:rFonts w:eastAsia="Times New Roman" w:cs="Calibri"/>
                <w:color w:val="000000"/>
              </w:rPr>
              <w:t>* ‘No’ was used as reference.</w:t>
            </w:r>
          </w:p>
        </w:tc>
      </w:tr>
    </w:tbl>
    <w:p w14:paraId="4AD744CF" w14:textId="77777777" w:rsidR="00AE37A9" w:rsidRDefault="00AE37A9" w:rsidP="00001D73">
      <w:pPr>
        <w:autoSpaceDE w:val="0"/>
        <w:autoSpaceDN w:val="0"/>
        <w:adjustRightInd w:val="0"/>
        <w:spacing w:after="0" w:line="240" w:lineRule="auto"/>
        <w:rPr>
          <w:rFonts w:cstheme="minorHAnsi"/>
          <w:b/>
          <w:bCs/>
        </w:rPr>
      </w:pPr>
    </w:p>
    <w:p w14:paraId="49D63D13" w14:textId="77777777" w:rsidR="00AE37A9" w:rsidRDefault="00AE37A9" w:rsidP="00001D73">
      <w:pPr>
        <w:autoSpaceDE w:val="0"/>
        <w:autoSpaceDN w:val="0"/>
        <w:adjustRightInd w:val="0"/>
        <w:spacing w:after="0" w:line="240" w:lineRule="auto"/>
        <w:rPr>
          <w:rFonts w:cstheme="minorHAnsi"/>
          <w:b/>
          <w:bCs/>
        </w:rPr>
      </w:pPr>
    </w:p>
    <w:p w14:paraId="45DD138B" w14:textId="77777777" w:rsidR="00081161" w:rsidRDefault="00081161" w:rsidP="00AE37A9">
      <w:pPr>
        <w:autoSpaceDE w:val="0"/>
        <w:autoSpaceDN w:val="0"/>
        <w:adjustRightInd w:val="0"/>
        <w:spacing w:after="0" w:line="240" w:lineRule="auto"/>
        <w:rPr>
          <w:rFonts w:cstheme="minorHAnsi"/>
          <w:b/>
          <w:bCs/>
          <w:color w:val="C00000"/>
          <w:u w:val="single"/>
        </w:rPr>
      </w:pPr>
    </w:p>
    <w:p w14:paraId="29BB6495" w14:textId="66BB5FA0" w:rsidR="00AE37A9" w:rsidRPr="00AD7234" w:rsidRDefault="00AE37A9" w:rsidP="00AE37A9">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570AB97F" w14:textId="7101138C" w:rsidR="003B0F84" w:rsidRDefault="003B0F84" w:rsidP="003B0F84">
      <w:pPr>
        <w:rPr>
          <w:color w:val="C00000"/>
        </w:rPr>
      </w:pPr>
      <w:r w:rsidRPr="003B0F84">
        <w:rPr>
          <w:color w:val="C00000"/>
        </w:rPr>
        <w:t xml:space="preserve">In the table below, we list results from the adjusted model described above. For a given covariate, the regression coefficient represents the logit of the rate.  We also report the odds ratio for each covariate. With a few exceptions (youngest age group, </w:t>
      </w:r>
      <w:r w:rsidR="00870FD8">
        <w:rPr>
          <w:color w:val="C00000"/>
        </w:rPr>
        <w:t xml:space="preserve">diabetes as cause of ESRD, duration of ESRD 5- &lt;9 years, </w:t>
      </w:r>
      <w:r w:rsidRPr="003B0F84">
        <w:rPr>
          <w:color w:val="C00000"/>
        </w:rPr>
        <w:t>other heart diseases and anemia), all main effects are statistically significant at the 0.05 level.</w:t>
      </w:r>
    </w:p>
    <w:p w14:paraId="5157D3C0" w14:textId="5533F11F" w:rsidR="00081161" w:rsidRDefault="00081161" w:rsidP="003B0F84">
      <w:pPr>
        <w:rPr>
          <w:color w:val="C00000"/>
        </w:rPr>
      </w:pPr>
      <w:r w:rsidRPr="00081161">
        <w:rPr>
          <w:rFonts w:ascii="Calibri" w:eastAsia="SimSun" w:hAnsi="Calibri" w:cs="Times New Roman"/>
          <w:b/>
          <w:color w:val="C00000"/>
        </w:rPr>
        <w:t>Table 4. Model Coefficients and Odds Ratios, using 2018 data</w:t>
      </w:r>
    </w:p>
    <w:tbl>
      <w:tblPr>
        <w:tblStyle w:val="TableGrid"/>
        <w:tblW w:w="0" w:type="auto"/>
        <w:tblLook w:val="04A0" w:firstRow="1" w:lastRow="0" w:firstColumn="1" w:lastColumn="0" w:noHBand="0" w:noVBand="1"/>
      </w:tblPr>
      <w:tblGrid>
        <w:gridCol w:w="4492"/>
        <w:gridCol w:w="1713"/>
        <w:gridCol w:w="1620"/>
        <w:gridCol w:w="1525"/>
      </w:tblGrid>
      <w:tr w:rsidR="00484C9D" w:rsidRPr="00484C9D" w14:paraId="7F0DDBB5" w14:textId="77777777" w:rsidTr="005006AF">
        <w:trPr>
          <w:tblHeader/>
        </w:trPr>
        <w:tc>
          <w:tcPr>
            <w:tcW w:w="4492" w:type="dxa"/>
          </w:tcPr>
          <w:p w14:paraId="2CF92946" w14:textId="77777777" w:rsidR="00484C9D" w:rsidRPr="00484C9D" w:rsidRDefault="00484C9D" w:rsidP="005006AF">
            <w:pPr>
              <w:rPr>
                <w:b/>
                <w:color w:val="C00000"/>
              </w:rPr>
            </w:pPr>
            <w:r w:rsidRPr="00484C9D">
              <w:rPr>
                <w:b/>
                <w:color w:val="C00000"/>
              </w:rPr>
              <w:t>Covariate</w:t>
            </w:r>
          </w:p>
        </w:tc>
        <w:tc>
          <w:tcPr>
            <w:tcW w:w="1713" w:type="dxa"/>
          </w:tcPr>
          <w:p w14:paraId="6DB12E8E" w14:textId="77777777" w:rsidR="00484C9D" w:rsidRPr="00484C9D" w:rsidRDefault="00484C9D" w:rsidP="005006AF">
            <w:pPr>
              <w:rPr>
                <w:b/>
                <w:color w:val="C00000"/>
              </w:rPr>
            </w:pPr>
            <w:r w:rsidRPr="00484C9D">
              <w:rPr>
                <w:b/>
                <w:color w:val="C00000"/>
              </w:rPr>
              <w:t>Coefficient</w:t>
            </w:r>
          </w:p>
        </w:tc>
        <w:tc>
          <w:tcPr>
            <w:tcW w:w="1620" w:type="dxa"/>
          </w:tcPr>
          <w:p w14:paraId="4153EC68" w14:textId="77777777" w:rsidR="00484C9D" w:rsidRPr="00484C9D" w:rsidRDefault="00484C9D" w:rsidP="005006AF">
            <w:pPr>
              <w:rPr>
                <w:b/>
                <w:color w:val="C00000"/>
              </w:rPr>
            </w:pPr>
            <w:r w:rsidRPr="00484C9D">
              <w:rPr>
                <w:b/>
                <w:color w:val="C00000"/>
              </w:rPr>
              <w:t>Odds Ratio</w:t>
            </w:r>
          </w:p>
        </w:tc>
        <w:tc>
          <w:tcPr>
            <w:tcW w:w="1525" w:type="dxa"/>
          </w:tcPr>
          <w:p w14:paraId="4BA11E22" w14:textId="77777777" w:rsidR="00484C9D" w:rsidRPr="00484C9D" w:rsidRDefault="00484C9D" w:rsidP="005006AF">
            <w:pPr>
              <w:rPr>
                <w:b/>
                <w:color w:val="C00000"/>
              </w:rPr>
            </w:pPr>
            <w:r w:rsidRPr="00484C9D">
              <w:rPr>
                <w:b/>
                <w:color w:val="C00000"/>
              </w:rPr>
              <w:t>P-value</w:t>
            </w:r>
          </w:p>
        </w:tc>
      </w:tr>
      <w:tr w:rsidR="00484C9D" w:rsidRPr="00484C9D" w14:paraId="5851AF2C" w14:textId="77777777" w:rsidTr="005006AF">
        <w:tc>
          <w:tcPr>
            <w:tcW w:w="4492" w:type="dxa"/>
          </w:tcPr>
          <w:p w14:paraId="51B2BB65" w14:textId="77777777" w:rsidR="00484C9D" w:rsidRPr="00484C9D" w:rsidRDefault="00484C9D" w:rsidP="005006AF">
            <w:pPr>
              <w:rPr>
                <w:b/>
                <w:color w:val="C00000"/>
              </w:rPr>
            </w:pPr>
            <w:r w:rsidRPr="00484C9D">
              <w:rPr>
                <w:b/>
                <w:color w:val="C00000"/>
              </w:rPr>
              <w:t xml:space="preserve">Age </w:t>
            </w:r>
          </w:p>
        </w:tc>
        <w:tc>
          <w:tcPr>
            <w:tcW w:w="1713" w:type="dxa"/>
          </w:tcPr>
          <w:p w14:paraId="50CBE948" w14:textId="77777777" w:rsidR="00484C9D" w:rsidRPr="00484C9D" w:rsidRDefault="00484C9D" w:rsidP="005006AF">
            <w:pPr>
              <w:rPr>
                <w:color w:val="C00000"/>
              </w:rPr>
            </w:pPr>
            <w:r w:rsidRPr="00484C9D">
              <w:rPr>
                <w:color w:val="C00000"/>
              </w:rPr>
              <w:t xml:space="preserve"> </w:t>
            </w:r>
          </w:p>
        </w:tc>
        <w:tc>
          <w:tcPr>
            <w:tcW w:w="1620" w:type="dxa"/>
          </w:tcPr>
          <w:p w14:paraId="39C155F5" w14:textId="77777777" w:rsidR="00484C9D" w:rsidRPr="00484C9D" w:rsidRDefault="00484C9D" w:rsidP="005006AF">
            <w:pPr>
              <w:rPr>
                <w:color w:val="C00000"/>
              </w:rPr>
            </w:pPr>
            <w:r w:rsidRPr="00484C9D">
              <w:rPr>
                <w:color w:val="C00000"/>
              </w:rPr>
              <w:t xml:space="preserve"> </w:t>
            </w:r>
          </w:p>
        </w:tc>
        <w:tc>
          <w:tcPr>
            <w:tcW w:w="1525" w:type="dxa"/>
          </w:tcPr>
          <w:p w14:paraId="490B79EF" w14:textId="77777777" w:rsidR="00484C9D" w:rsidRPr="00484C9D" w:rsidRDefault="00484C9D" w:rsidP="005006AF">
            <w:pPr>
              <w:rPr>
                <w:color w:val="C00000"/>
              </w:rPr>
            </w:pPr>
            <w:r w:rsidRPr="00484C9D">
              <w:rPr>
                <w:color w:val="C00000"/>
              </w:rPr>
              <w:t xml:space="preserve"> </w:t>
            </w:r>
          </w:p>
        </w:tc>
      </w:tr>
      <w:tr w:rsidR="00484C9D" w:rsidRPr="00484C9D" w14:paraId="4C69B705" w14:textId="77777777" w:rsidTr="005006AF">
        <w:tc>
          <w:tcPr>
            <w:tcW w:w="4492" w:type="dxa"/>
          </w:tcPr>
          <w:p w14:paraId="50BA13A9" w14:textId="77777777" w:rsidR="00484C9D" w:rsidRPr="00484C9D" w:rsidRDefault="00484C9D" w:rsidP="005006AF">
            <w:pPr>
              <w:rPr>
                <w:color w:val="C00000"/>
              </w:rPr>
            </w:pPr>
            <w:r w:rsidRPr="00484C9D">
              <w:rPr>
                <w:color w:val="C00000"/>
              </w:rPr>
              <w:t>18-&lt;25</w:t>
            </w:r>
          </w:p>
        </w:tc>
        <w:tc>
          <w:tcPr>
            <w:tcW w:w="1713" w:type="dxa"/>
          </w:tcPr>
          <w:p w14:paraId="0D910AB9" w14:textId="77777777" w:rsidR="00484C9D" w:rsidRPr="00484C9D" w:rsidRDefault="00484C9D" w:rsidP="005006AF">
            <w:pPr>
              <w:rPr>
                <w:color w:val="C00000"/>
              </w:rPr>
            </w:pPr>
            <w:r w:rsidRPr="00484C9D">
              <w:rPr>
                <w:color w:val="C00000"/>
              </w:rPr>
              <w:t>-0.045</w:t>
            </w:r>
          </w:p>
        </w:tc>
        <w:tc>
          <w:tcPr>
            <w:tcW w:w="1620" w:type="dxa"/>
          </w:tcPr>
          <w:p w14:paraId="105503E5" w14:textId="77777777" w:rsidR="00484C9D" w:rsidRPr="00484C9D" w:rsidRDefault="00484C9D" w:rsidP="005006AF">
            <w:pPr>
              <w:rPr>
                <w:color w:val="C00000"/>
              </w:rPr>
            </w:pPr>
            <w:r w:rsidRPr="00484C9D">
              <w:rPr>
                <w:color w:val="C00000"/>
              </w:rPr>
              <w:t>0.956</w:t>
            </w:r>
          </w:p>
        </w:tc>
        <w:tc>
          <w:tcPr>
            <w:tcW w:w="1525" w:type="dxa"/>
          </w:tcPr>
          <w:p w14:paraId="288333DF" w14:textId="77777777" w:rsidR="00484C9D" w:rsidRPr="00484C9D" w:rsidRDefault="00484C9D" w:rsidP="005006AF">
            <w:pPr>
              <w:rPr>
                <w:color w:val="C00000"/>
              </w:rPr>
            </w:pPr>
            <w:r w:rsidRPr="00484C9D">
              <w:rPr>
                <w:color w:val="C00000"/>
              </w:rPr>
              <w:t>0.707</w:t>
            </w:r>
          </w:p>
        </w:tc>
      </w:tr>
      <w:tr w:rsidR="00484C9D" w:rsidRPr="00484C9D" w14:paraId="16211DD6" w14:textId="77777777" w:rsidTr="005006AF">
        <w:tc>
          <w:tcPr>
            <w:tcW w:w="4492" w:type="dxa"/>
          </w:tcPr>
          <w:p w14:paraId="0E9F1FD3" w14:textId="77777777" w:rsidR="00484C9D" w:rsidRPr="00484C9D" w:rsidRDefault="00484C9D" w:rsidP="005006AF">
            <w:pPr>
              <w:rPr>
                <w:color w:val="C00000"/>
              </w:rPr>
            </w:pPr>
            <w:r w:rsidRPr="00484C9D">
              <w:rPr>
                <w:color w:val="C00000"/>
              </w:rPr>
              <w:t>25-&lt;59</w:t>
            </w:r>
          </w:p>
        </w:tc>
        <w:tc>
          <w:tcPr>
            <w:tcW w:w="1713" w:type="dxa"/>
          </w:tcPr>
          <w:p w14:paraId="09948F70" w14:textId="77777777" w:rsidR="00484C9D" w:rsidRPr="00484C9D" w:rsidRDefault="00484C9D" w:rsidP="005006AF">
            <w:pPr>
              <w:rPr>
                <w:color w:val="C00000"/>
              </w:rPr>
            </w:pPr>
            <w:r w:rsidRPr="00484C9D">
              <w:rPr>
                <w:color w:val="C00000"/>
              </w:rPr>
              <w:t>0.078</w:t>
            </w:r>
          </w:p>
        </w:tc>
        <w:tc>
          <w:tcPr>
            <w:tcW w:w="1620" w:type="dxa"/>
          </w:tcPr>
          <w:p w14:paraId="234F6E7E" w14:textId="77777777" w:rsidR="00484C9D" w:rsidRPr="00484C9D" w:rsidRDefault="00484C9D" w:rsidP="005006AF">
            <w:pPr>
              <w:rPr>
                <w:color w:val="C00000"/>
              </w:rPr>
            </w:pPr>
            <w:r w:rsidRPr="00484C9D">
              <w:rPr>
                <w:color w:val="C00000"/>
              </w:rPr>
              <w:t>1.081</w:t>
            </w:r>
          </w:p>
        </w:tc>
        <w:tc>
          <w:tcPr>
            <w:tcW w:w="1525" w:type="dxa"/>
          </w:tcPr>
          <w:p w14:paraId="394E9118" w14:textId="77777777" w:rsidR="00484C9D" w:rsidRPr="00484C9D" w:rsidRDefault="00484C9D" w:rsidP="005006AF">
            <w:pPr>
              <w:rPr>
                <w:color w:val="C00000"/>
              </w:rPr>
            </w:pPr>
            <w:r w:rsidRPr="00484C9D">
              <w:rPr>
                <w:color w:val="C00000"/>
              </w:rPr>
              <w:t>&lt;0.001</w:t>
            </w:r>
          </w:p>
        </w:tc>
      </w:tr>
      <w:tr w:rsidR="00484C9D" w:rsidRPr="00484C9D" w14:paraId="6E352D8A" w14:textId="77777777" w:rsidTr="005006AF">
        <w:tc>
          <w:tcPr>
            <w:tcW w:w="4492" w:type="dxa"/>
          </w:tcPr>
          <w:p w14:paraId="0F826599" w14:textId="77777777" w:rsidR="00484C9D" w:rsidRPr="00484C9D" w:rsidRDefault="00484C9D" w:rsidP="005006AF">
            <w:pPr>
              <w:rPr>
                <w:color w:val="C00000"/>
              </w:rPr>
            </w:pPr>
            <w:r w:rsidRPr="00484C9D">
              <w:rPr>
                <w:color w:val="C00000"/>
              </w:rPr>
              <w:t>60-&lt;75</w:t>
            </w:r>
          </w:p>
        </w:tc>
        <w:tc>
          <w:tcPr>
            <w:tcW w:w="1713" w:type="dxa"/>
          </w:tcPr>
          <w:p w14:paraId="188063AB" w14:textId="77777777" w:rsidR="00484C9D" w:rsidRPr="00484C9D" w:rsidRDefault="00484C9D" w:rsidP="005006AF">
            <w:pPr>
              <w:rPr>
                <w:color w:val="C00000"/>
              </w:rPr>
            </w:pPr>
            <w:r w:rsidRPr="00484C9D">
              <w:rPr>
                <w:color w:val="C00000"/>
              </w:rPr>
              <w:t>reference</w:t>
            </w:r>
          </w:p>
        </w:tc>
        <w:tc>
          <w:tcPr>
            <w:tcW w:w="1620" w:type="dxa"/>
          </w:tcPr>
          <w:p w14:paraId="107C5CBC" w14:textId="77777777" w:rsidR="00484C9D" w:rsidRPr="00484C9D" w:rsidRDefault="00484C9D" w:rsidP="005006AF">
            <w:pPr>
              <w:rPr>
                <w:color w:val="C00000"/>
              </w:rPr>
            </w:pPr>
            <w:r w:rsidRPr="00484C9D">
              <w:rPr>
                <w:color w:val="C00000"/>
              </w:rPr>
              <w:t xml:space="preserve"> </w:t>
            </w:r>
          </w:p>
        </w:tc>
        <w:tc>
          <w:tcPr>
            <w:tcW w:w="1525" w:type="dxa"/>
          </w:tcPr>
          <w:p w14:paraId="0DFE41F6" w14:textId="77777777" w:rsidR="00484C9D" w:rsidRPr="00484C9D" w:rsidRDefault="00484C9D" w:rsidP="005006AF">
            <w:pPr>
              <w:rPr>
                <w:color w:val="C00000"/>
              </w:rPr>
            </w:pPr>
            <w:r w:rsidRPr="00484C9D">
              <w:rPr>
                <w:color w:val="C00000"/>
              </w:rPr>
              <w:t xml:space="preserve"> </w:t>
            </w:r>
          </w:p>
        </w:tc>
      </w:tr>
      <w:tr w:rsidR="00484C9D" w:rsidRPr="00484C9D" w14:paraId="58119AC1" w14:textId="77777777" w:rsidTr="005006AF">
        <w:tc>
          <w:tcPr>
            <w:tcW w:w="4492" w:type="dxa"/>
          </w:tcPr>
          <w:p w14:paraId="092109A9" w14:textId="77777777" w:rsidR="00484C9D" w:rsidRPr="00484C9D" w:rsidRDefault="00484C9D" w:rsidP="005006AF">
            <w:pPr>
              <w:rPr>
                <w:color w:val="C00000"/>
              </w:rPr>
            </w:pPr>
            <w:r w:rsidRPr="00484C9D">
              <w:rPr>
                <w:color w:val="C00000"/>
              </w:rPr>
              <w:t>75+</w:t>
            </w:r>
          </w:p>
        </w:tc>
        <w:tc>
          <w:tcPr>
            <w:tcW w:w="1713" w:type="dxa"/>
          </w:tcPr>
          <w:p w14:paraId="537C5C0E" w14:textId="77777777" w:rsidR="00484C9D" w:rsidRPr="00484C9D" w:rsidRDefault="00484C9D" w:rsidP="005006AF">
            <w:pPr>
              <w:rPr>
                <w:color w:val="C00000"/>
              </w:rPr>
            </w:pPr>
            <w:r w:rsidRPr="00484C9D">
              <w:rPr>
                <w:color w:val="C00000"/>
              </w:rPr>
              <w:t>-0.230</w:t>
            </w:r>
          </w:p>
        </w:tc>
        <w:tc>
          <w:tcPr>
            <w:tcW w:w="1620" w:type="dxa"/>
          </w:tcPr>
          <w:p w14:paraId="64E45FBF" w14:textId="77777777" w:rsidR="00484C9D" w:rsidRPr="00484C9D" w:rsidRDefault="00484C9D" w:rsidP="005006AF">
            <w:pPr>
              <w:rPr>
                <w:color w:val="C00000"/>
              </w:rPr>
            </w:pPr>
            <w:r w:rsidRPr="00484C9D">
              <w:rPr>
                <w:color w:val="C00000"/>
              </w:rPr>
              <w:t>0.794</w:t>
            </w:r>
          </w:p>
        </w:tc>
        <w:tc>
          <w:tcPr>
            <w:tcW w:w="1525" w:type="dxa"/>
          </w:tcPr>
          <w:p w14:paraId="283A1A59" w14:textId="77777777" w:rsidR="00484C9D" w:rsidRPr="00484C9D" w:rsidRDefault="00484C9D" w:rsidP="005006AF">
            <w:pPr>
              <w:rPr>
                <w:color w:val="C00000"/>
              </w:rPr>
            </w:pPr>
            <w:r w:rsidRPr="00484C9D">
              <w:rPr>
                <w:color w:val="C00000"/>
              </w:rPr>
              <w:t>&lt;0.001</w:t>
            </w:r>
          </w:p>
        </w:tc>
      </w:tr>
      <w:tr w:rsidR="00484C9D" w:rsidRPr="00484C9D" w14:paraId="3F238800" w14:textId="77777777" w:rsidTr="005006AF">
        <w:tc>
          <w:tcPr>
            <w:tcW w:w="4492" w:type="dxa"/>
          </w:tcPr>
          <w:p w14:paraId="366AB076" w14:textId="77777777" w:rsidR="00484C9D" w:rsidRPr="00484C9D" w:rsidRDefault="00484C9D" w:rsidP="005006AF">
            <w:pPr>
              <w:rPr>
                <w:color w:val="C00000"/>
              </w:rPr>
            </w:pPr>
            <w:r w:rsidRPr="00484C9D">
              <w:rPr>
                <w:color w:val="C00000"/>
              </w:rPr>
              <w:t xml:space="preserve">BMI </w:t>
            </w:r>
          </w:p>
        </w:tc>
        <w:tc>
          <w:tcPr>
            <w:tcW w:w="1713" w:type="dxa"/>
          </w:tcPr>
          <w:p w14:paraId="36006A3F" w14:textId="77777777" w:rsidR="00484C9D" w:rsidRPr="00484C9D" w:rsidRDefault="00484C9D" w:rsidP="005006AF">
            <w:pPr>
              <w:rPr>
                <w:color w:val="C00000"/>
              </w:rPr>
            </w:pPr>
            <w:r w:rsidRPr="00484C9D">
              <w:rPr>
                <w:color w:val="C00000"/>
              </w:rPr>
              <w:t xml:space="preserve"> </w:t>
            </w:r>
          </w:p>
        </w:tc>
        <w:tc>
          <w:tcPr>
            <w:tcW w:w="1620" w:type="dxa"/>
          </w:tcPr>
          <w:p w14:paraId="48F8C263" w14:textId="77777777" w:rsidR="00484C9D" w:rsidRPr="00484C9D" w:rsidRDefault="00484C9D" w:rsidP="005006AF">
            <w:pPr>
              <w:rPr>
                <w:color w:val="C00000"/>
              </w:rPr>
            </w:pPr>
            <w:r w:rsidRPr="00484C9D">
              <w:rPr>
                <w:color w:val="C00000"/>
              </w:rPr>
              <w:t xml:space="preserve"> </w:t>
            </w:r>
          </w:p>
        </w:tc>
        <w:tc>
          <w:tcPr>
            <w:tcW w:w="1525" w:type="dxa"/>
          </w:tcPr>
          <w:p w14:paraId="0A461F18" w14:textId="77777777" w:rsidR="00484C9D" w:rsidRPr="00484C9D" w:rsidRDefault="00484C9D" w:rsidP="005006AF">
            <w:pPr>
              <w:rPr>
                <w:color w:val="C00000"/>
              </w:rPr>
            </w:pPr>
            <w:r w:rsidRPr="00484C9D">
              <w:rPr>
                <w:color w:val="C00000"/>
              </w:rPr>
              <w:t xml:space="preserve"> </w:t>
            </w:r>
          </w:p>
        </w:tc>
      </w:tr>
      <w:tr w:rsidR="00484C9D" w:rsidRPr="00484C9D" w14:paraId="4E13275A" w14:textId="77777777" w:rsidTr="005006AF">
        <w:tc>
          <w:tcPr>
            <w:tcW w:w="4492" w:type="dxa"/>
          </w:tcPr>
          <w:p w14:paraId="51254F40" w14:textId="77777777" w:rsidR="00484C9D" w:rsidRPr="00484C9D" w:rsidRDefault="00484C9D" w:rsidP="005006AF">
            <w:pPr>
              <w:rPr>
                <w:color w:val="C00000"/>
              </w:rPr>
            </w:pPr>
            <w:r w:rsidRPr="00484C9D">
              <w:rPr>
                <w:color w:val="C00000"/>
              </w:rPr>
              <w:t>&lt;18.5</w:t>
            </w:r>
          </w:p>
        </w:tc>
        <w:tc>
          <w:tcPr>
            <w:tcW w:w="1713" w:type="dxa"/>
          </w:tcPr>
          <w:p w14:paraId="1F5E2FA1" w14:textId="77777777" w:rsidR="00484C9D" w:rsidRPr="00484C9D" w:rsidRDefault="00484C9D" w:rsidP="005006AF">
            <w:pPr>
              <w:rPr>
                <w:color w:val="C00000"/>
              </w:rPr>
            </w:pPr>
            <w:r w:rsidRPr="00484C9D">
              <w:rPr>
                <w:color w:val="C00000"/>
              </w:rPr>
              <w:t>-0.239</w:t>
            </w:r>
          </w:p>
        </w:tc>
        <w:tc>
          <w:tcPr>
            <w:tcW w:w="1620" w:type="dxa"/>
          </w:tcPr>
          <w:p w14:paraId="7B56041C" w14:textId="77777777" w:rsidR="00484C9D" w:rsidRPr="00484C9D" w:rsidRDefault="00484C9D" w:rsidP="005006AF">
            <w:pPr>
              <w:rPr>
                <w:color w:val="C00000"/>
              </w:rPr>
            </w:pPr>
            <w:r w:rsidRPr="00484C9D">
              <w:rPr>
                <w:color w:val="C00000"/>
              </w:rPr>
              <w:t>0.788</w:t>
            </w:r>
          </w:p>
        </w:tc>
        <w:tc>
          <w:tcPr>
            <w:tcW w:w="1525" w:type="dxa"/>
          </w:tcPr>
          <w:p w14:paraId="2DE89119" w14:textId="77777777" w:rsidR="00484C9D" w:rsidRPr="00484C9D" w:rsidRDefault="00484C9D" w:rsidP="005006AF">
            <w:pPr>
              <w:rPr>
                <w:color w:val="C00000"/>
              </w:rPr>
            </w:pPr>
            <w:r w:rsidRPr="00484C9D">
              <w:rPr>
                <w:color w:val="C00000"/>
              </w:rPr>
              <w:t>&lt;0.001</w:t>
            </w:r>
          </w:p>
        </w:tc>
      </w:tr>
      <w:tr w:rsidR="00484C9D" w:rsidRPr="00484C9D" w14:paraId="5BFA5EA9" w14:textId="77777777" w:rsidTr="005006AF">
        <w:tc>
          <w:tcPr>
            <w:tcW w:w="4492" w:type="dxa"/>
          </w:tcPr>
          <w:p w14:paraId="4FD9752C" w14:textId="77777777" w:rsidR="00484C9D" w:rsidRPr="00484C9D" w:rsidRDefault="00484C9D" w:rsidP="005006AF">
            <w:pPr>
              <w:rPr>
                <w:color w:val="C00000"/>
              </w:rPr>
            </w:pPr>
            <w:r w:rsidRPr="00484C9D">
              <w:rPr>
                <w:color w:val="C00000"/>
              </w:rPr>
              <w:t>18.5-25</w:t>
            </w:r>
          </w:p>
        </w:tc>
        <w:tc>
          <w:tcPr>
            <w:tcW w:w="1713" w:type="dxa"/>
          </w:tcPr>
          <w:p w14:paraId="6470EBC7" w14:textId="77777777" w:rsidR="00484C9D" w:rsidRPr="00484C9D" w:rsidRDefault="00484C9D" w:rsidP="005006AF">
            <w:pPr>
              <w:rPr>
                <w:color w:val="C00000"/>
              </w:rPr>
            </w:pPr>
            <w:r w:rsidRPr="00484C9D">
              <w:rPr>
                <w:color w:val="C00000"/>
              </w:rPr>
              <w:t>reference</w:t>
            </w:r>
          </w:p>
        </w:tc>
        <w:tc>
          <w:tcPr>
            <w:tcW w:w="1620" w:type="dxa"/>
          </w:tcPr>
          <w:p w14:paraId="5B12267B" w14:textId="77777777" w:rsidR="00484C9D" w:rsidRPr="00484C9D" w:rsidRDefault="00484C9D" w:rsidP="005006AF">
            <w:pPr>
              <w:rPr>
                <w:color w:val="C00000"/>
              </w:rPr>
            </w:pPr>
            <w:r w:rsidRPr="00484C9D">
              <w:rPr>
                <w:color w:val="C00000"/>
              </w:rPr>
              <w:t xml:space="preserve"> </w:t>
            </w:r>
          </w:p>
        </w:tc>
        <w:tc>
          <w:tcPr>
            <w:tcW w:w="1525" w:type="dxa"/>
          </w:tcPr>
          <w:p w14:paraId="625B19D1" w14:textId="77777777" w:rsidR="00484C9D" w:rsidRPr="00484C9D" w:rsidRDefault="00484C9D" w:rsidP="005006AF">
            <w:pPr>
              <w:rPr>
                <w:color w:val="C00000"/>
              </w:rPr>
            </w:pPr>
            <w:r w:rsidRPr="00484C9D">
              <w:rPr>
                <w:color w:val="C00000"/>
              </w:rPr>
              <w:t xml:space="preserve"> </w:t>
            </w:r>
          </w:p>
        </w:tc>
      </w:tr>
      <w:tr w:rsidR="00484C9D" w:rsidRPr="00484C9D" w14:paraId="6C342220" w14:textId="77777777" w:rsidTr="005006AF">
        <w:tc>
          <w:tcPr>
            <w:tcW w:w="4492" w:type="dxa"/>
          </w:tcPr>
          <w:p w14:paraId="2F0E5D46" w14:textId="77777777" w:rsidR="00484C9D" w:rsidRPr="00484C9D" w:rsidRDefault="00484C9D" w:rsidP="005006AF">
            <w:pPr>
              <w:rPr>
                <w:color w:val="C00000"/>
              </w:rPr>
            </w:pPr>
            <w:r w:rsidRPr="00484C9D">
              <w:rPr>
                <w:color w:val="C00000"/>
              </w:rPr>
              <w:t>25-30</w:t>
            </w:r>
          </w:p>
        </w:tc>
        <w:tc>
          <w:tcPr>
            <w:tcW w:w="1713" w:type="dxa"/>
          </w:tcPr>
          <w:p w14:paraId="551D2523" w14:textId="77777777" w:rsidR="00484C9D" w:rsidRPr="00484C9D" w:rsidRDefault="00484C9D" w:rsidP="005006AF">
            <w:pPr>
              <w:rPr>
                <w:color w:val="C00000"/>
              </w:rPr>
            </w:pPr>
            <w:r w:rsidRPr="00484C9D">
              <w:rPr>
                <w:color w:val="C00000"/>
              </w:rPr>
              <w:t>0.132</w:t>
            </w:r>
          </w:p>
        </w:tc>
        <w:tc>
          <w:tcPr>
            <w:tcW w:w="1620" w:type="dxa"/>
          </w:tcPr>
          <w:p w14:paraId="5A26A055" w14:textId="77777777" w:rsidR="00484C9D" w:rsidRPr="00484C9D" w:rsidRDefault="00484C9D" w:rsidP="005006AF">
            <w:pPr>
              <w:rPr>
                <w:color w:val="C00000"/>
              </w:rPr>
            </w:pPr>
            <w:r w:rsidRPr="00484C9D">
              <w:rPr>
                <w:color w:val="C00000"/>
              </w:rPr>
              <w:t>1.142</w:t>
            </w:r>
          </w:p>
        </w:tc>
        <w:tc>
          <w:tcPr>
            <w:tcW w:w="1525" w:type="dxa"/>
          </w:tcPr>
          <w:p w14:paraId="16E1B6F2" w14:textId="77777777" w:rsidR="00484C9D" w:rsidRPr="00484C9D" w:rsidRDefault="00484C9D" w:rsidP="005006AF">
            <w:pPr>
              <w:rPr>
                <w:color w:val="C00000"/>
              </w:rPr>
            </w:pPr>
            <w:r w:rsidRPr="00484C9D">
              <w:rPr>
                <w:color w:val="C00000"/>
              </w:rPr>
              <w:t>&lt;0.001</w:t>
            </w:r>
          </w:p>
        </w:tc>
      </w:tr>
      <w:tr w:rsidR="00484C9D" w:rsidRPr="00484C9D" w14:paraId="4B29A0AD" w14:textId="77777777" w:rsidTr="005006AF">
        <w:tc>
          <w:tcPr>
            <w:tcW w:w="4492" w:type="dxa"/>
          </w:tcPr>
          <w:p w14:paraId="270E1904" w14:textId="77777777" w:rsidR="00484C9D" w:rsidRPr="00484C9D" w:rsidRDefault="00484C9D" w:rsidP="005006AF">
            <w:pPr>
              <w:rPr>
                <w:color w:val="C00000"/>
              </w:rPr>
            </w:pPr>
            <w:r w:rsidRPr="00484C9D">
              <w:rPr>
                <w:color w:val="C00000"/>
              </w:rPr>
              <w:t>&gt;=30</w:t>
            </w:r>
          </w:p>
        </w:tc>
        <w:tc>
          <w:tcPr>
            <w:tcW w:w="1713" w:type="dxa"/>
          </w:tcPr>
          <w:p w14:paraId="62E27DCD" w14:textId="77777777" w:rsidR="00484C9D" w:rsidRPr="00484C9D" w:rsidRDefault="00484C9D" w:rsidP="005006AF">
            <w:pPr>
              <w:rPr>
                <w:color w:val="C00000"/>
              </w:rPr>
            </w:pPr>
            <w:r w:rsidRPr="00484C9D">
              <w:rPr>
                <w:color w:val="C00000"/>
              </w:rPr>
              <w:t>0.116</w:t>
            </w:r>
          </w:p>
        </w:tc>
        <w:tc>
          <w:tcPr>
            <w:tcW w:w="1620" w:type="dxa"/>
          </w:tcPr>
          <w:p w14:paraId="26010907" w14:textId="77777777" w:rsidR="00484C9D" w:rsidRPr="00484C9D" w:rsidRDefault="00484C9D" w:rsidP="005006AF">
            <w:pPr>
              <w:rPr>
                <w:color w:val="C00000"/>
              </w:rPr>
            </w:pPr>
            <w:r w:rsidRPr="00484C9D">
              <w:rPr>
                <w:color w:val="C00000"/>
              </w:rPr>
              <w:t>1.123</w:t>
            </w:r>
          </w:p>
        </w:tc>
        <w:tc>
          <w:tcPr>
            <w:tcW w:w="1525" w:type="dxa"/>
          </w:tcPr>
          <w:p w14:paraId="10C40612" w14:textId="77777777" w:rsidR="00484C9D" w:rsidRPr="00484C9D" w:rsidRDefault="00484C9D" w:rsidP="005006AF">
            <w:pPr>
              <w:rPr>
                <w:color w:val="C00000"/>
              </w:rPr>
            </w:pPr>
            <w:r w:rsidRPr="00484C9D">
              <w:rPr>
                <w:color w:val="C00000"/>
              </w:rPr>
              <w:t>&lt;0.001</w:t>
            </w:r>
          </w:p>
        </w:tc>
      </w:tr>
      <w:tr w:rsidR="00484C9D" w:rsidRPr="00484C9D" w14:paraId="65C717E5" w14:textId="77777777" w:rsidTr="005006AF">
        <w:tc>
          <w:tcPr>
            <w:tcW w:w="4492" w:type="dxa"/>
          </w:tcPr>
          <w:p w14:paraId="1705F946" w14:textId="77777777" w:rsidR="00484C9D" w:rsidRPr="00484C9D" w:rsidRDefault="00484C9D" w:rsidP="005006AF">
            <w:pPr>
              <w:rPr>
                <w:b/>
                <w:color w:val="C00000"/>
              </w:rPr>
            </w:pPr>
            <w:r w:rsidRPr="00484C9D">
              <w:rPr>
                <w:b/>
                <w:color w:val="C00000"/>
              </w:rPr>
              <w:t>Nursing home during the prior 12 months</w:t>
            </w:r>
          </w:p>
        </w:tc>
        <w:tc>
          <w:tcPr>
            <w:tcW w:w="1713" w:type="dxa"/>
          </w:tcPr>
          <w:p w14:paraId="5B389F89" w14:textId="77777777" w:rsidR="00484C9D" w:rsidRPr="00484C9D" w:rsidRDefault="00484C9D" w:rsidP="005006AF">
            <w:pPr>
              <w:rPr>
                <w:color w:val="C00000"/>
              </w:rPr>
            </w:pPr>
            <w:r w:rsidRPr="00484C9D">
              <w:rPr>
                <w:color w:val="C00000"/>
              </w:rPr>
              <w:t xml:space="preserve"> </w:t>
            </w:r>
          </w:p>
        </w:tc>
        <w:tc>
          <w:tcPr>
            <w:tcW w:w="1620" w:type="dxa"/>
          </w:tcPr>
          <w:p w14:paraId="264D31F3" w14:textId="77777777" w:rsidR="00484C9D" w:rsidRPr="00484C9D" w:rsidRDefault="00484C9D" w:rsidP="005006AF">
            <w:pPr>
              <w:rPr>
                <w:color w:val="C00000"/>
              </w:rPr>
            </w:pPr>
            <w:r w:rsidRPr="00484C9D">
              <w:rPr>
                <w:color w:val="C00000"/>
              </w:rPr>
              <w:t xml:space="preserve"> </w:t>
            </w:r>
          </w:p>
        </w:tc>
        <w:tc>
          <w:tcPr>
            <w:tcW w:w="1525" w:type="dxa"/>
          </w:tcPr>
          <w:p w14:paraId="7A81EF52" w14:textId="77777777" w:rsidR="00484C9D" w:rsidRPr="00484C9D" w:rsidRDefault="00484C9D" w:rsidP="005006AF">
            <w:pPr>
              <w:rPr>
                <w:color w:val="C00000"/>
              </w:rPr>
            </w:pPr>
            <w:r w:rsidRPr="00484C9D">
              <w:rPr>
                <w:color w:val="C00000"/>
              </w:rPr>
              <w:t xml:space="preserve"> </w:t>
            </w:r>
          </w:p>
        </w:tc>
      </w:tr>
      <w:tr w:rsidR="00484C9D" w:rsidRPr="00484C9D" w14:paraId="4E1765E2" w14:textId="77777777" w:rsidTr="005006AF">
        <w:tc>
          <w:tcPr>
            <w:tcW w:w="4492" w:type="dxa"/>
          </w:tcPr>
          <w:p w14:paraId="21EC96D1" w14:textId="77777777" w:rsidR="00484C9D" w:rsidRPr="00484C9D" w:rsidRDefault="00484C9D" w:rsidP="005006AF">
            <w:pPr>
              <w:rPr>
                <w:color w:val="C00000"/>
              </w:rPr>
            </w:pPr>
            <w:r w:rsidRPr="00484C9D">
              <w:rPr>
                <w:color w:val="C00000"/>
              </w:rPr>
              <w:t>No nursing home care (0 day)</w:t>
            </w:r>
          </w:p>
        </w:tc>
        <w:tc>
          <w:tcPr>
            <w:tcW w:w="1713" w:type="dxa"/>
          </w:tcPr>
          <w:p w14:paraId="0C62959D" w14:textId="77777777" w:rsidR="00484C9D" w:rsidRPr="00484C9D" w:rsidRDefault="00484C9D" w:rsidP="005006AF">
            <w:pPr>
              <w:rPr>
                <w:color w:val="C00000"/>
              </w:rPr>
            </w:pPr>
            <w:r w:rsidRPr="00484C9D">
              <w:rPr>
                <w:color w:val="C00000"/>
              </w:rPr>
              <w:t>reference</w:t>
            </w:r>
          </w:p>
        </w:tc>
        <w:tc>
          <w:tcPr>
            <w:tcW w:w="1620" w:type="dxa"/>
          </w:tcPr>
          <w:p w14:paraId="3D1258AA" w14:textId="77777777" w:rsidR="00484C9D" w:rsidRPr="00484C9D" w:rsidRDefault="00484C9D" w:rsidP="005006AF">
            <w:pPr>
              <w:rPr>
                <w:color w:val="C00000"/>
              </w:rPr>
            </w:pPr>
          </w:p>
        </w:tc>
        <w:tc>
          <w:tcPr>
            <w:tcW w:w="1525" w:type="dxa"/>
          </w:tcPr>
          <w:p w14:paraId="03E0472E" w14:textId="77777777" w:rsidR="00484C9D" w:rsidRPr="00484C9D" w:rsidRDefault="00484C9D" w:rsidP="005006AF">
            <w:pPr>
              <w:rPr>
                <w:color w:val="C00000"/>
              </w:rPr>
            </w:pPr>
          </w:p>
        </w:tc>
      </w:tr>
      <w:tr w:rsidR="00484C9D" w:rsidRPr="00484C9D" w14:paraId="0D21DAF8" w14:textId="77777777" w:rsidTr="005006AF">
        <w:tc>
          <w:tcPr>
            <w:tcW w:w="4492" w:type="dxa"/>
          </w:tcPr>
          <w:p w14:paraId="72AC7573" w14:textId="77777777" w:rsidR="00484C9D" w:rsidRPr="00484C9D" w:rsidRDefault="00484C9D" w:rsidP="005006AF">
            <w:pPr>
              <w:rPr>
                <w:color w:val="C00000"/>
              </w:rPr>
            </w:pPr>
            <w:r w:rsidRPr="00484C9D">
              <w:rPr>
                <w:color w:val="C00000"/>
              </w:rPr>
              <w:t>Short-term nursing home care (1-89 days)</w:t>
            </w:r>
          </w:p>
        </w:tc>
        <w:tc>
          <w:tcPr>
            <w:tcW w:w="1713" w:type="dxa"/>
          </w:tcPr>
          <w:p w14:paraId="5D22C1A0" w14:textId="77777777" w:rsidR="00484C9D" w:rsidRPr="00484C9D" w:rsidRDefault="00484C9D" w:rsidP="005006AF">
            <w:pPr>
              <w:rPr>
                <w:color w:val="C00000"/>
              </w:rPr>
            </w:pPr>
            <w:r w:rsidRPr="00484C9D">
              <w:rPr>
                <w:color w:val="C00000"/>
              </w:rPr>
              <w:t>-0.296</w:t>
            </w:r>
          </w:p>
        </w:tc>
        <w:tc>
          <w:tcPr>
            <w:tcW w:w="1620" w:type="dxa"/>
          </w:tcPr>
          <w:p w14:paraId="196AF2EA" w14:textId="77777777" w:rsidR="00484C9D" w:rsidRPr="00484C9D" w:rsidRDefault="00484C9D" w:rsidP="005006AF">
            <w:pPr>
              <w:rPr>
                <w:color w:val="C00000"/>
              </w:rPr>
            </w:pPr>
            <w:r w:rsidRPr="00484C9D">
              <w:rPr>
                <w:color w:val="C00000"/>
              </w:rPr>
              <w:t>0.744</w:t>
            </w:r>
          </w:p>
        </w:tc>
        <w:tc>
          <w:tcPr>
            <w:tcW w:w="1525" w:type="dxa"/>
          </w:tcPr>
          <w:p w14:paraId="36F5C20A" w14:textId="77777777" w:rsidR="00484C9D" w:rsidRPr="00484C9D" w:rsidRDefault="00484C9D" w:rsidP="005006AF">
            <w:pPr>
              <w:rPr>
                <w:color w:val="C00000"/>
              </w:rPr>
            </w:pPr>
            <w:r w:rsidRPr="00484C9D">
              <w:rPr>
                <w:color w:val="C00000"/>
              </w:rPr>
              <w:t>&lt;0.001</w:t>
            </w:r>
          </w:p>
        </w:tc>
      </w:tr>
      <w:tr w:rsidR="00484C9D" w:rsidRPr="00484C9D" w14:paraId="1A29BAAC" w14:textId="77777777" w:rsidTr="005006AF">
        <w:tc>
          <w:tcPr>
            <w:tcW w:w="4492" w:type="dxa"/>
          </w:tcPr>
          <w:p w14:paraId="66DA0DB2" w14:textId="77777777" w:rsidR="00484C9D" w:rsidRPr="00484C9D" w:rsidRDefault="00484C9D" w:rsidP="005006AF">
            <w:pPr>
              <w:rPr>
                <w:color w:val="C00000"/>
              </w:rPr>
            </w:pPr>
            <w:r w:rsidRPr="00484C9D">
              <w:rPr>
                <w:color w:val="C00000"/>
              </w:rPr>
              <w:t>Long-term nursing home care (&gt;90 days)</w:t>
            </w:r>
          </w:p>
        </w:tc>
        <w:tc>
          <w:tcPr>
            <w:tcW w:w="1713" w:type="dxa"/>
          </w:tcPr>
          <w:p w14:paraId="564C48F1" w14:textId="77777777" w:rsidR="00484C9D" w:rsidRPr="00484C9D" w:rsidRDefault="00484C9D" w:rsidP="005006AF">
            <w:pPr>
              <w:rPr>
                <w:color w:val="C00000"/>
              </w:rPr>
            </w:pPr>
            <w:r w:rsidRPr="00484C9D">
              <w:rPr>
                <w:color w:val="C00000"/>
              </w:rPr>
              <w:t>-0.370</w:t>
            </w:r>
          </w:p>
        </w:tc>
        <w:tc>
          <w:tcPr>
            <w:tcW w:w="1620" w:type="dxa"/>
          </w:tcPr>
          <w:p w14:paraId="4797393D" w14:textId="77777777" w:rsidR="00484C9D" w:rsidRPr="00484C9D" w:rsidRDefault="00484C9D" w:rsidP="005006AF">
            <w:pPr>
              <w:rPr>
                <w:color w:val="C00000"/>
              </w:rPr>
            </w:pPr>
            <w:r w:rsidRPr="00484C9D">
              <w:rPr>
                <w:color w:val="C00000"/>
              </w:rPr>
              <w:t>0.691</w:t>
            </w:r>
          </w:p>
        </w:tc>
        <w:tc>
          <w:tcPr>
            <w:tcW w:w="1525" w:type="dxa"/>
          </w:tcPr>
          <w:p w14:paraId="0F7BC463" w14:textId="77777777" w:rsidR="00484C9D" w:rsidRPr="00484C9D" w:rsidRDefault="00484C9D" w:rsidP="005006AF">
            <w:pPr>
              <w:rPr>
                <w:color w:val="C00000"/>
              </w:rPr>
            </w:pPr>
            <w:r w:rsidRPr="00484C9D">
              <w:rPr>
                <w:color w:val="C00000"/>
              </w:rPr>
              <w:t>&lt;0.001</w:t>
            </w:r>
          </w:p>
        </w:tc>
      </w:tr>
      <w:tr w:rsidR="00484C9D" w:rsidRPr="00484C9D" w14:paraId="3A25A73B" w14:textId="77777777" w:rsidTr="005006AF">
        <w:tc>
          <w:tcPr>
            <w:tcW w:w="4492" w:type="dxa"/>
          </w:tcPr>
          <w:p w14:paraId="4DEB0E82" w14:textId="77777777" w:rsidR="00484C9D" w:rsidRPr="00484C9D" w:rsidRDefault="00484C9D" w:rsidP="005006AF">
            <w:pPr>
              <w:rPr>
                <w:b/>
                <w:color w:val="C00000"/>
              </w:rPr>
            </w:pPr>
            <w:r w:rsidRPr="00484C9D">
              <w:rPr>
                <w:b/>
                <w:color w:val="C00000"/>
              </w:rPr>
              <w:t>Nephrologist's Care prior to ESRD</w:t>
            </w:r>
          </w:p>
        </w:tc>
        <w:tc>
          <w:tcPr>
            <w:tcW w:w="1713" w:type="dxa"/>
          </w:tcPr>
          <w:p w14:paraId="4D9869A4" w14:textId="77777777" w:rsidR="00484C9D" w:rsidRPr="00484C9D" w:rsidRDefault="00484C9D" w:rsidP="005006AF">
            <w:pPr>
              <w:rPr>
                <w:color w:val="C00000"/>
              </w:rPr>
            </w:pPr>
            <w:r w:rsidRPr="00484C9D">
              <w:rPr>
                <w:color w:val="C00000"/>
              </w:rPr>
              <w:t>0.218</w:t>
            </w:r>
          </w:p>
        </w:tc>
        <w:tc>
          <w:tcPr>
            <w:tcW w:w="1620" w:type="dxa"/>
          </w:tcPr>
          <w:p w14:paraId="6B199F4D" w14:textId="77777777" w:rsidR="00484C9D" w:rsidRPr="00484C9D" w:rsidRDefault="00484C9D" w:rsidP="005006AF">
            <w:pPr>
              <w:rPr>
                <w:color w:val="C00000"/>
              </w:rPr>
            </w:pPr>
            <w:r w:rsidRPr="00484C9D">
              <w:rPr>
                <w:color w:val="C00000"/>
              </w:rPr>
              <w:t>1.243</w:t>
            </w:r>
          </w:p>
        </w:tc>
        <w:tc>
          <w:tcPr>
            <w:tcW w:w="1525" w:type="dxa"/>
          </w:tcPr>
          <w:p w14:paraId="51014E4C" w14:textId="77777777" w:rsidR="00484C9D" w:rsidRPr="00484C9D" w:rsidRDefault="00484C9D" w:rsidP="005006AF">
            <w:pPr>
              <w:rPr>
                <w:color w:val="C00000"/>
              </w:rPr>
            </w:pPr>
            <w:r w:rsidRPr="00484C9D">
              <w:rPr>
                <w:color w:val="C00000"/>
              </w:rPr>
              <w:t>&lt;0.001</w:t>
            </w:r>
          </w:p>
        </w:tc>
      </w:tr>
      <w:tr w:rsidR="00484C9D" w:rsidRPr="00484C9D" w14:paraId="5F0CE9C5" w14:textId="77777777" w:rsidTr="005006AF">
        <w:tc>
          <w:tcPr>
            <w:tcW w:w="4492" w:type="dxa"/>
          </w:tcPr>
          <w:p w14:paraId="518D524E" w14:textId="77777777" w:rsidR="00484C9D" w:rsidRPr="00484C9D" w:rsidRDefault="00484C9D" w:rsidP="005006AF">
            <w:pPr>
              <w:rPr>
                <w:b/>
                <w:color w:val="C00000"/>
              </w:rPr>
            </w:pPr>
            <w:r w:rsidRPr="00484C9D">
              <w:rPr>
                <w:b/>
                <w:color w:val="C00000"/>
              </w:rPr>
              <w:t>Duration of ESRD</w:t>
            </w:r>
          </w:p>
        </w:tc>
        <w:tc>
          <w:tcPr>
            <w:tcW w:w="1713" w:type="dxa"/>
          </w:tcPr>
          <w:p w14:paraId="359B6C4E" w14:textId="77777777" w:rsidR="00484C9D" w:rsidRPr="00484C9D" w:rsidRDefault="00484C9D" w:rsidP="005006AF">
            <w:pPr>
              <w:rPr>
                <w:color w:val="C00000"/>
              </w:rPr>
            </w:pPr>
            <w:r w:rsidRPr="00484C9D">
              <w:rPr>
                <w:color w:val="C00000"/>
              </w:rPr>
              <w:t xml:space="preserve"> </w:t>
            </w:r>
          </w:p>
        </w:tc>
        <w:tc>
          <w:tcPr>
            <w:tcW w:w="1620" w:type="dxa"/>
          </w:tcPr>
          <w:p w14:paraId="2696AA61" w14:textId="77777777" w:rsidR="00484C9D" w:rsidRPr="00484C9D" w:rsidRDefault="00484C9D" w:rsidP="005006AF">
            <w:pPr>
              <w:rPr>
                <w:color w:val="C00000"/>
              </w:rPr>
            </w:pPr>
            <w:r w:rsidRPr="00484C9D">
              <w:rPr>
                <w:color w:val="C00000"/>
              </w:rPr>
              <w:t xml:space="preserve"> </w:t>
            </w:r>
          </w:p>
        </w:tc>
        <w:tc>
          <w:tcPr>
            <w:tcW w:w="1525" w:type="dxa"/>
          </w:tcPr>
          <w:p w14:paraId="7D130DFF" w14:textId="77777777" w:rsidR="00484C9D" w:rsidRPr="00484C9D" w:rsidRDefault="00484C9D" w:rsidP="005006AF">
            <w:pPr>
              <w:rPr>
                <w:color w:val="C00000"/>
              </w:rPr>
            </w:pPr>
            <w:r w:rsidRPr="00484C9D">
              <w:rPr>
                <w:color w:val="C00000"/>
              </w:rPr>
              <w:t xml:space="preserve"> </w:t>
            </w:r>
          </w:p>
        </w:tc>
      </w:tr>
      <w:tr w:rsidR="00484C9D" w:rsidRPr="00484C9D" w14:paraId="1C80665E" w14:textId="77777777" w:rsidTr="005006AF">
        <w:tc>
          <w:tcPr>
            <w:tcW w:w="4492" w:type="dxa"/>
          </w:tcPr>
          <w:p w14:paraId="0D710768" w14:textId="77777777" w:rsidR="00484C9D" w:rsidRPr="00484C9D" w:rsidRDefault="00484C9D" w:rsidP="005006AF">
            <w:pPr>
              <w:rPr>
                <w:color w:val="C00000"/>
              </w:rPr>
            </w:pPr>
            <w:r w:rsidRPr="00484C9D">
              <w:rPr>
                <w:color w:val="C00000"/>
              </w:rPr>
              <w:t>&lt;1 year</w:t>
            </w:r>
          </w:p>
        </w:tc>
        <w:tc>
          <w:tcPr>
            <w:tcW w:w="1713" w:type="dxa"/>
          </w:tcPr>
          <w:p w14:paraId="4435D648" w14:textId="77777777" w:rsidR="00484C9D" w:rsidRPr="00484C9D" w:rsidRDefault="00484C9D" w:rsidP="005006AF">
            <w:pPr>
              <w:rPr>
                <w:color w:val="C00000"/>
              </w:rPr>
            </w:pPr>
            <w:r w:rsidRPr="00484C9D">
              <w:rPr>
                <w:color w:val="C00000"/>
              </w:rPr>
              <w:t>-1.124</w:t>
            </w:r>
          </w:p>
        </w:tc>
        <w:tc>
          <w:tcPr>
            <w:tcW w:w="1620" w:type="dxa"/>
          </w:tcPr>
          <w:p w14:paraId="606A5628" w14:textId="77777777" w:rsidR="00484C9D" w:rsidRPr="00484C9D" w:rsidRDefault="00484C9D" w:rsidP="005006AF">
            <w:pPr>
              <w:rPr>
                <w:color w:val="C00000"/>
              </w:rPr>
            </w:pPr>
            <w:r w:rsidRPr="00484C9D">
              <w:rPr>
                <w:color w:val="C00000"/>
              </w:rPr>
              <w:t>0.325</w:t>
            </w:r>
          </w:p>
        </w:tc>
        <w:tc>
          <w:tcPr>
            <w:tcW w:w="1525" w:type="dxa"/>
          </w:tcPr>
          <w:p w14:paraId="6A7819BD" w14:textId="77777777" w:rsidR="00484C9D" w:rsidRPr="00484C9D" w:rsidRDefault="00484C9D" w:rsidP="005006AF">
            <w:pPr>
              <w:rPr>
                <w:color w:val="C00000"/>
              </w:rPr>
            </w:pPr>
            <w:r w:rsidRPr="00484C9D">
              <w:rPr>
                <w:color w:val="C00000"/>
              </w:rPr>
              <w:t>&lt;0.001</w:t>
            </w:r>
          </w:p>
        </w:tc>
      </w:tr>
      <w:tr w:rsidR="00484C9D" w:rsidRPr="00484C9D" w14:paraId="19BB2E8D" w14:textId="77777777" w:rsidTr="005006AF">
        <w:tc>
          <w:tcPr>
            <w:tcW w:w="4492" w:type="dxa"/>
          </w:tcPr>
          <w:p w14:paraId="04E3DD8C" w14:textId="77777777" w:rsidR="00484C9D" w:rsidRPr="00484C9D" w:rsidRDefault="00484C9D" w:rsidP="005006AF">
            <w:pPr>
              <w:rPr>
                <w:color w:val="C00000"/>
              </w:rPr>
            </w:pPr>
            <w:r w:rsidRPr="00484C9D">
              <w:rPr>
                <w:color w:val="C00000"/>
              </w:rPr>
              <w:t>1-&lt;5 years</w:t>
            </w:r>
          </w:p>
        </w:tc>
        <w:tc>
          <w:tcPr>
            <w:tcW w:w="1713" w:type="dxa"/>
          </w:tcPr>
          <w:p w14:paraId="34B6FC95" w14:textId="77777777" w:rsidR="00484C9D" w:rsidRPr="00484C9D" w:rsidRDefault="00484C9D" w:rsidP="005006AF">
            <w:pPr>
              <w:rPr>
                <w:color w:val="C00000"/>
              </w:rPr>
            </w:pPr>
            <w:r w:rsidRPr="00484C9D">
              <w:rPr>
                <w:color w:val="C00000"/>
              </w:rPr>
              <w:t>reference</w:t>
            </w:r>
          </w:p>
        </w:tc>
        <w:tc>
          <w:tcPr>
            <w:tcW w:w="1620" w:type="dxa"/>
          </w:tcPr>
          <w:p w14:paraId="6B04A6DC" w14:textId="77777777" w:rsidR="00484C9D" w:rsidRPr="00484C9D" w:rsidRDefault="00484C9D" w:rsidP="005006AF">
            <w:pPr>
              <w:rPr>
                <w:color w:val="C00000"/>
              </w:rPr>
            </w:pPr>
            <w:r w:rsidRPr="00484C9D">
              <w:rPr>
                <w:color w:val="C00000"/>
              </w:rPr>
              <w:t xml:space="preserve"> </w:t>
            </w:r>
          </w:p>
        </w:tc>
        <w:tc>
          <w:tcPr>
            <w:tcW w:w="1525" w:type="dxa"/>
          </w:tcPr>
          <w:p w14:paraId="2C8231BF" w14:textId="77777777" w:rsidR="00484C9D" w:rsidRPr="00484C9D" w:rsidRDefault="00484C9D" w:rsidP="005006AF">
            <w:pPr>
              <w:rPr>
                <w:color w:val="C00000"/>
              </w:rPr>
            </w:pPr>
            <w:r w:rsidRPr="00484C9D">
              <w:rPr>
                <w:color w:val="C00000"/>
              </w:rPr>
              <w:t xml:space="preserve"> </w:t>
            </w:r>
          </w:p>
        </w:tc>
      </w:tr>
      <w:tr w:rsidR="00484C9D" w:rsidRPr="00484C9D" w14:paraId="4E7FFA44" w14:textId="77777777" w:rsidTr="005006AF">
        <w:tc>
          <w:tcPr>
            <w:tcW w:w="4492" w:type="dxa"/>
          </w:tcPr>
          <w:p w14:paraId="3CF5999C" w14:textId="77777777" w:rsidR="00484C9D" w:rsidRPr="00484C9D" w:rsidRDefault="00484C9D" w:rsidP="005006AF">
            <w:pPr>
              <w:rPr>
                <w:color w:val="C00000"/>
              </w:rPr>
            </w:pPr>
            <w:r w:rsidRPr="00484C9D">
              <w:rPr>
                <w:color w:val="C00000"/>
              </w:rPr>
              <w:t>5-&lt;9 years</w:t>
            </w:r>
          </w:p>
        </w:tc>
        <w:tc>
          <w:tcPr>
            <w:tcW w:w="1713" w:type="dxa"/>
          </w:tcPr>
          <w:p w14:paraId="3512CCF7" w14:textId="77777777" w:rsidR="00484C9D" w:rsidRPr="00484C9D" w:rsidRDefault="00484C9D" w:rsidP="005006AF">
            <w:pPr>
              <w:rPr>
                <w:color w:val="C00000"/>
              </w:rPr>
            </w:pPr>
            <w:r w:rsidRPr="00484C9D">
              <w:rPr>
                <w:color w:val="C00000"/>
              </w:rPr>
              <w:t>0.008</w:t>
            </w:r>
          </w:p>
        </w:tc>
        <w:tc>
          <w:tcPr>
            <w:tcW w:w="1620" w:type="dxa"/>
          </w:tcPr>
          <w:p w14:paraId="2D4DEAA9" w14:textId="77777777" w:rsidR="00484C9D" w:rsidRPr="00484C9D" w:rsidRDefault="00484C9D" w:rsidP="005006AF">
            <w:pPr>
              <w:rPr>
                <w:color w:val="C00000"/>
              </w:rPr>
            </w:pPr>
            <w:r w:rsidRPr="00484C9D">
              <w:rPr>
                <w:color w:val="C00000"/>
              </w:rPr>
              <w:t>1.008</w:t>
            </w:r>
          </w:p>
        </w:tc>
        <w:tc>
          <w:tcPr>
            <w:tcW w:w="1525" w:type="dxa"/>
          </w:tcPr>
          <w:p w14:paraId="21302173" w14:textId="77777777" w:rsidR="00484C9D" w:rsidRPr="00484C9D" w:rsidRDefault="00484C9D" w:rsidP="005006AF">
            <w:pPr>
              <w:rPr>
                <w:color w:val="C00000"/>
              </w:rPr>
            </w:pPr>
            <w:r w:rsidRPr="00484C9D">
              <w:rPr>
                <w:color w:val="C00000"/>
              </w:rPr>
              <w:t>0.757</w:t>
            </w:r>
          </w:p>
        </w:tc>
      </w:tr>
      <w:tr w:rsidR="00484C9D" w:rsidRPr="00484C9D" w14:paraId="732A5439" w14:textId="77777777" w:rsidTr="005006AF">
        <w:tc>
          <w:tcPr>
            <w:tcW w:w="4492" w:type="dxa"/>
          </w:tcPr>
          <w:p w14:paraId="1EB0D31B" w14:textId="77777777" w:rsidR="00484C9D" w:rsidRPr="00484C9D" w:rsidRDefault="00484C9D" w:rsidP="005006AF">
            <w:pPr>
              <w:rPr>
                <w:color w:val="C00000"/>
              </w:rPr>
            </w:pPr>
            <w:r w:rsidRPr="00484C9D">
              <w:rPr>
                <w:color w:val="C00000"/>
              </w:rPr>
              <w:t>9+</w:t>
            </w:r>
          </w:p>
        </w:tc>
        <w:tc>
          <w:tcPr>
            <w:tcW w:w="1713" w:type="dxa"/>
          </w:tcPr>
          <w:p w14:paraId="009F6278" w14:textId="77777777" w:rsidR="00484C9D" w:rsidRPr="00484C9D" w:rsidRDefault="00484C9D" w:rsidP="005006AF">
            <w:pPr>
              <w:rPr>
                <w:color w:val="C00000"/>
              </w:rPr>
            </w:pPr>
            <w:r w:rsidRPr="00484C9D">
              <w:rPr>
                <w:color w:val="C00000"/>
              </w:rPr>
              <w:t>-0.392</w:t>
            </w:r>
          </w:p>
        </w:tc>
        <w:tc>
          <w:tcPr>
            <w:tcW w:w="1620" w:type="dxa"/>
          </w:tcPr>
          <w:p w14:paraId="7D9136C9" w14:textId="77777777" w:rsidR="00484C9D" w:rsidRPr="00484C9D" w:rsidRDefault="00484C9D" w:rsidP="005006AF">
            <w:pPr>
              <w:rPr>
                <w:color w:val="C00000"/>
              </w:rPr>
            </w:pPr>
            <w:r w:rsidRPr="00484C9D">
              <w:rPr>
                <w:color w:val="C00000"/>
              </w:rPr>
              <w:t>0.676</w:t>
            </w:r>
          </w:p>
        </w:tc>
        <w:tc>
          <w:tcPr>
            <w:tcW w:w="1525" w:type="dxa"/>
          </w:tcPr>
          <w:p w14:paraId="46EFA8C4" w14:textId="77777777" w:rsidR="00484C9D" w:rsidRPr="00484C9D" w:rsidRDefault="00484C9D" w:rsidP="005006AF">
            <w:pPr>
              <w:rPr>
                <w:color w:val="C00000"/>
              </w:rPr>
            </w:pPr>
            <w:r w:rsidRPr="00484C9D">
              <w:rPr>
                <w:color w:val="C00000"/>
              </w:rPr>
              <w:t>&lt;0.001</w:t>
            </w:r>
          </w:p>
        </w:tc>
      </w:tr>
      <w:tr w:rsidR="00484C9D" w:rsidRPr="00484C9D" w14:paraId="70998862" w14:textId="77777777" w:rsidTr="005006AF">
        <w:tc>
          <w:tcPr>
            <w:tcW w:w="4492" w:type="dxa"/>
          </w:tcPr>
          <w:p w14:paraId="39EDF390" w14:textId="77777777" w:rsidR="00484C9D" w:rsidRPr="00484C9D" w:rsidRDefault="00484C9D" w:rsidP="005006AF">
            <w:pPr>
              <w:rPr>
                <w:b/>
                <w:color w:val="C00000"/>
              </w:rPr>
            </w:pPr>
            <w:r w:rsidRPr="00484C9D">
              <w:rPr>
                <w:b/>
                <w:color w:val="C00000"/>
              </w:rPr>
              <w:t>Primary Cause of ESRD</w:t>
            </w:r>
          </w:p>
        </w:tc>
        <w:tc>
          <w:tcPr>
            <w:tcW w:w="1713" w:type="dxa"/>
          </w:tcPr>
          <w:p w14:paraId="78A5A1AB" w14:textId="77777777" w:rsidR="00484C9D" w:rsidRPr="00484C9D" w:rsidRDefault="00484C9D" w:rsidP="005006AF">
            <w:pPr>
              <w:rPr>
                <w:color w:val="C00000"/>
              </w:rPr>
            </w:pPr>
            <w:r w:rsidRPr="00484C9D">
              <w:rPr>
                <w:color w:val="C00000"/>
              </w:rPr>
              <w:t xml:space="preserve"> </w:t>
            </w:r>
          </w:p>
        </w:tc>
        <w:tc>
          <w:tcPr>
            <w:tcW w:w="1620" w:type="dxa"/>
          </w:tcPr>
          <w:p w14:paraId="05380C78" w14:textId="77777777" w:rsidR="00484C9D" w:rsidRPr="00484C9D" w:rsidRDefault="00484C9D" w:rsidP="005006AF">
            <w:pPr>
              <w:rPr>
                <w:color w:val="C00000"/>
              </w:rPr>
            </w:pPr>
            <w:r w:rsidRPr="00484C9D">
              <w:rPr>
                <w:color w:val="C00000"/>
              </w:rPr>
              <w:t xml:space="preserve"> </w:t>
            </w:r>
          </w:p>
        </w:tc>
        <w:tc>
          <w:tcPr>
            <w:tcW w:w="1525" w:type="dxa"/>
          </w:tcPr>
          <w:p w14:paraId="52430812" w14:textId="77777777" w:rsidR="00484C9D" w:rsidRPr="00484C9D" w:rsidRDefault="00484C9D" w:rsidP="005006AF">
            <w:pPr>
              <w:rPr>
                <w:color w:val="C00000"/>
              </w:rPr>
            </w:pPr>
            <w:r w:rsidRPr="00484C9D">
              <w:rPr>
                <w:color w:val="C00000"/>
              </w:rPr>
              <w:t xml:space="preserve"> </w:t>
            </w:r>
          </w:p>
        </w:tc>
      </w:tr>
      <w:tr w:rsidR="00484C9D" w:rsidRPr="00484C9D" w14:paraId="0DC60708" w14:textId="77777777" w:rsidTr="005006AF">
        <w:tc>
          <w:tcPr>
            <w:tcW w:w="4492" w:type="dxa"/>
          </w:tcPr>
          <w:p w14:paraId="4D11FC61" w14:textId="77777777" w:rsidR="00484C9D" w:rsidRPr="00484C9D" w:rsidRDefault="00484C9D" w:rsidP="005006AF">
            <w:pPr>
              <w:rPr>
                <w:color w:val="C00000"/>
              </w:rPr>
            </w:pPr>
            <w:r w:rsidRPr="00484C9D">
              <w:rPr>
                <w:color w:val="C00000"/>
              </w:rPr>
              <w:t>Diabetes</w:t>
            </w:r>
          </w:p>
        </w:tc>
        <w:tc>
          <w:tcPr>
            <w:tcW w:w="1713" w:type="dxa"/>
          </w:tcPr>
          <w:p w14:paraId="460BFAEA" w14:textId="77777777" w:rsidR="00484C9D" w:rsidRPr="00484C9D" w:rsidRDefault="00484C9D" w:rsidP="005006AF">
            <w:pPr>
              <w:rPr>
                <w:color w:val="C00000"/>
              </w:rPr>
            </w:pPr>
            <w:r w:rsidRPr="00484C9D">
              <w:rPr>
                <w:color w:val="C00000"/>
              </w:rPr>
              <w:t>-0.019</w:t>
            </w:r>
          </w:p>
        </w:tc>
        <w:tc>
          <w:tcPr>
            <w:tcW w:w="1620" w:type="dxa"/>
          </w:tcPr>
          <w:p w14:paraId="54A5CF81" w14:textId="77777777" w:rsidR="00484C9D" w:rsidRPr="00484C9D" w:rsidRDefault="00484C9D" w:rsidP="005006AF">
            <w:pPr>
              <w:rPr>
                <w:color w:val="C00000"/>
              </w:rPr>
            </w:pPr>
            <w:r w:rsidRPr="00484C9D">
              <w:rPr>
                <w:color w:val="C00000"/>
              </w:rPr>
              <w:t>0.981</w:t>
            </w:r>
          </w:p>
        </w:tc>
        <w:tc>
          <w:tcPr>
            <w:tcW w:w="1525" w:type="dxa"/>
          </w:tcPr>
          <w:p w14:paraId="7816624C" w14:textId="77777777" w:rsidR="00484C9D" w:rsidRPr="00484C9D" w:rsidRDefault="00484C9D" w:rsidP="005006AF">
            <w:pPr>
              <w:rPr>
                <w:color w:val="C00000"/>
              </w:rPr>
            </w:pPr>
            <w:r w:rsidRPr="00484C9D">
              <w:rPr>
                <w:color w:val="C00000"/>
              </w:rPr>
              <w:t>0.423</w:t>
            </w:r>
          </w:p>
        </w:tc>
      </w:tr>
      <w:tr w:rsidR="00484C9D" w:rsidRPr="00484C9D" w14:paraId="2F884F03" w14:textId="77777777" w:rsidTr="005006AF">
        <w:tc>
          <w:tcPr>
            <w:tcW w:w="4492" w:type="dxa"/>
          </w:tcPr>
          <w:p w14:paraId="0108767B" w14:textId="77777777" w:rsidR="00484C9D" w:rsidRPr="00484C9D" w:rsidRDefault="00484C9D" w:rsidP="005006AF">
            <w:pPr>
              <w:rPr>
                <w:color w:val="C00000"/>
              </w:rPr>
            </w:pPr>
            <w:r w:rsidRPr="00484C9D">
              <w:rPr>
                <w:color w:val="C00000"/>
              </w:rPr>
              <w:t>Other</w:t>
            </w:r>
          </w:p>
        </w:tc>
        <w:tc>
          <w:tcPr>
            <w:tcW w:w="1713" w:type="dxa"/>
          </w:tcPr>
          <w:p w14:paraId="3CB6057B" w14:textId="77777777" w:rsidR="00484C9D" w:rsidRPr="00484C9D" w:rsidRDefault="00484C9D" w:rsidP="005006AF">
            <w:pPr>
              <w:rPr>
                <w:color w:val="C00000"/>
              </w:rPr>
            </w:pPr>
            <w:r w:rsidRPr="00484C9D">
              <w:rPr>
                <w:color w:val="C00000"/>
              </w:rPr>
              <w:t>reference</w:t>
            </w:r>
          </w:p>
        </w:tc>
        <w:tc>
          <w:tcPr>
            <w:tcW w:w="1620" w:type="dxa"/>
          </w:tcPr>
          <w:p w14:paraId="2DFD0D63" w14:textId="77777777" w:rsidR="00484C9D" w:rsidRPr="00484C9D" w:rsidRDefault="00484C9D" w:rsidP="005006AF">
            <w:pPr>
              <w:rPr>
                <w:color w:val="C00000"/>
              </w:rPr>
            </w:pPr>
            <w:r w:rsidRPr="00484C9D">
              <w:rPr>
                <w:color w:val="C00000"/>
              </w:rPr>
              <w:t xml:space="preserve"> </w:t>
            </w:r>
          </w:p>
        </w:tc>
        <w:tc>
          <w:tcPr>
            <w:tcW w:w="1525" w:type="dxa"/>
          </w:tcPr>
          <w:p w14:paraId="5FF75BC4" w14:textId="77777777" w:rsidR="00484C9D" w:rsidRPr="00484C9D" w:rsidRDefault="00484C9D" w:rsidP="005006AF">
            <w:pPr>
              <w:rPr>
                <w:color w:val="C00000"/>
              </w:rPr>
            </w:pPr>
            <w:r w:rsidRPr="00484C9D">
              <w:rPr>
                <w:color w:val="C00000"/>
              </w:rPr>
              <w:t xml:space="preserve"> </w:t>
            </w:r>
          </w:p>
        </w:tc>
      </w:tr>
      <w:tr w:rsidR="00484C9D" w:rsidRPr="00484C9D" w14:paraId="030F097E" w14:textId="77777777" w:rsidTr="005006AF">
        <w:tc>
          <w:tcPr>
            <w:tcW w:w="4492" w:type="dxa"/>
          </w:tcPr>
          <w:p w14:paraId="1B4BF3A5" w14:textId="77777777" w:rsidR="00484C9D" w:rsidRPr="00484C9D" w:rsidRDefault="00484C9D" w:rsidP="005006AF">
            <w:pPr>
              <w:rPr>
                <w:b/>
                <w:color w:val="C00000"/>
              </w:rPr>
            </w:pPr>
            <w:r w:rsidRPr="00484C9D">
              <w:rPr>
                <w:b/>
                <w:color w:val="C00000"/>
              </w:rPr>
              <w:t>Comorbidities</w:t>
            </w:r>
          </w:p>
        </w:tc>
        <w:tc>
          <w:tcPr>
            <w:tcW w:w="1713" w:type="dxa"/>
          </w:tcPr>
          <w:p w14:paraId="4BCEB458" w14:textId="77777777" w:rsidR="00484C9D" w:rsidRPr="00484C9D" w:rsidRDefault="00484C9D" w:rsidP="005006AF">
            <w:pPr>
              <w:rPr>
                <w:color w:val="C00000"/>
              </w:rPr>
            </w:pPr>
            <w:r w:rsidRPr="00484C9D">
              <w:rPr>
                <w:color w:val="C00000"/>
              </w:rPr>
              <w:t xml:space="preserve"> </w:t>
            </w:r>
          </w:p>
        </w:tc>
        <w:tc>
          <w:tcPr>
            <w:tcW w:w="1620" w:type="dxa"/>
          </w:tcPr>
          <w:p w14:paraId="53E95EAC" w14:textId="77777777" w:rsidR="00484C9D" w:rsidRPr="00484C9D" w:rsidRDefault="00484C9D" w:rsidP="005006AF">
            <w:pPr>
              <w:rPr>
                <w:color w:val="C00000"/>
              </w:rPr>
            </w:pPr>
            <w:r w:rsidRPr="00484C9D">
              <w:rPr>
                <w:color w:val="C00000"/>
              </w:rPr>
              <w:t xml:space="preserve"> </w:t>
            </w:r>
          </w:p>
        </w:tc>
        <w:tc>
          <w:tcPr>
            <w:tcW w:w="1525" w:type="dxa"/>
          </w:tcPr>
          <w:p w14:paraId="3AE1C9FF" w14:textId="77777777" w:rsidR="00484C9D" w:rsidRPr="00484C9D" w:rsidRDefault="00484C9D" w:rsidP="005006AF">
            <w:pPr>
              <w:rPr>
                <w:color w:val="C00000"/>
              </w:rPr>
            </w:pPr>
            <w:r w:rsidRPr="00484C9D">
              <w:rPr>
                <w:color w:val="C00000"/>
              </w:rPr>
              <w:t xml:space="preserve"> </w:t>
            </w:r>
          </w:p>
        </w:tc>
      </w:tr>
      <w:tr w:rsidR="00484C9D" w:rsidRPr="00484C9D" w14:paraId="578B9A5A" w14:textId="77777777" w:rsidTr="005006AF">
        <w:tc>
          <w:tcPr>
            <w:tcW w:w="4492" w:type="dxa"/>
          </w:tcPr>
          <w:p w14:paraId="72EBCFAE" w14:textId="77777777" w:rsidR="00484C9D" w:rsidRPr="00484C9D" w:rsidRDefault="00484C9D" w:rsidP="005006AF">
            <w:pPr>
              <w:rPr>
                <w:color w:val="C00000"/>
              </w:rPr>
            </w:pPr>
            <w:r w:rsidRPr="00484C9D">
              <w:rPr>
                <w:color w:val="C00000"/>
              </w:rPr>
              <w:t>Diabetes (NOT as primary cause of   ESRD)</w:t>
            </w:r>
          </w:p>
        </w:tc>
        <w:tc>
          <w:tcPr>
            <w:tcW w:w="1713" w:type="dxa"/>
          </w:tcPr>
          <w:p w14:paraId="5B8B4D28" w14:textId="77777777" w:rsidR="00484C9D" w:rsidRPr="00484C9D" w:rsidRDefault="00484C9D" w:rsidP="005006AF">
            <w:pPr>
              <w:rPr>
                <w:color w:val="C00000"/>
              </w:rPr>
            </w:pPr>
            <w:r w:rsidRPr="00484C9D">
              <w:rPr>
                <w:color w:val="C00000"/>
              </w:rPr>
              <w:t>-0.086</w:t>
            </w:r>
          </w:p>
        </w:tc>
        <w:tc>
          <w:tcPr>
            <w:tcW w:w="1620" w:type="dxa"/>
          </w:tcPr>
          <w:p w14:paraId="0A1BED8C" w14:textId="77777777" w:rsidR="00484C9D" w:rsidRPr="00484C9D" w:rsidRDefault="00484C9D" w:rsidP="005006AF">
            <w:pPr>
              <w:rPr>
                <w:color w:val="C00000"/>
              </w:rPr>
            </w:pPr>
            <w:r w:rsidRPr="00484C9D">
              <w:rPr>
                <w:color w:val="C00000"/>
              </w:rPr>
              <w:t>0.917</w:t>
            </w:r>
          </w:p>
        </w:tc>
        <w:tc>
          <w:tcPr>
            <w:tcW w:w="1525" w:type="dxa"/>
          </w:tcPr>
          <w:p w14:paraId="6C74CA8E" w14:textId="77777777" w:rsidR="00484C9D" w:rsidRPr="00484C9D" w:rsidRDefault="00484C9D" w:rsidP="005006AF">
            <w:pPr>
              <w:rPr>
                <w:color w:val="C00000"/>
              </w:rPr>
            </w:pPr>
            <w:r w:rsidRPr="00484C9D">
              <w:rPr>
                <w:color w:val="C00000"/>
              </w:rPr>
              <w:t>0.002</w:t>
            </w:r>
          </w:p>
        </w:tc>
      </w:tr>
      <w:tr w:rsidR="00484C9D" w:rsidRPr="00484C9D" w14:paraId="6FFB7DA7" w14:textId="77777777" w:rsidTr="005006AF">
        <w:tc>
          <w:tcPr>
            <w:tcW w:w="4492" w:type="dxa"/>
          </w:tcPr>
          <w:p w14:paraId="21AD56C6" w14:textId="77777777" w:rsidR="00484C9D" w:rsidRPr="00484C9D" w:rsidRDefault="00484C9D" w:rsidP="005006AF">
            <w:pPr>
              <w:rPr>
                <w:color w:val="C00000"/>
              </w:rPr>
            </w:pPr>
            <w:r w:rsidRPr="00484C9D">
              <w:rPr>
                <w:color w:val="C00000"/>
              </w:rPr>
              <w:t>Heart  Failure</w:t>
            </w:r>
          </w:p>
        </w:tc>
        <w:tc>
          <w:tcPr>
            <w:tcW w:w="1713" w:type="dxa"/>
          </w:tcPr>
          <w:p w14:paraId="11E6A8DF" w14:textId="77777777" w:rsidR="00484C9D" w:rsidRPr="00484C9D" w:rsidRDefault="00484C9D" w:rsidP="005006AF">
            <w:pPr>
              <w:rPr>
                <w:color w:val="C00000"/>
              </w:rPr>
            </w:pPr>
            <w:r w:rsidRPr="00484C9D">
              <w:rPr>
                <w:color w:val="C00000"/>
              </w:rPr>
              <w:t>-0.041</w:t>
            </w:r>
          </w:p>
        </w:tc>
        <w:tc>
          <w:tcPr>
            <w:tcW w:w="1620" w:type="dxa"/>
          </w:tcPr>
          <w:p w14:paraId="58E93CAA" w14:textId="77777777" w:rsidR="00484C9D" w:rsidRPr="00484C9D" w:rsidRDefault="00484C9D" w:rsidP="005006AF">
            <w:pPr>
              <w:rPr>
                <w:color w:val="C00000"/>
              </w:rPr>
            </w:pPr>
            <w:r w:rsidRPr="00484C9D">
              <w:rPr>
                <w:color w:val="C00000"/>
              </w:rPr>
              <w:t>0.960</w:t>
            </w:r>
          </w:p>
        </w:tc>
        <w:tc>
          <w:tcPr>
            <w:tcW w:w="1525" w:type="dxa"/>
          </w:tcPr>
          <w:p w14:paraId="06C934CE" w14:textId="77777777" w:rsidR="00484C9D" w:rsidRPr="00484C9D" w:rsidRDefault="00484C9D" w:rsidP="005006AF">
            <w:pPr>
              <w:rPr>
                <w:color w:val="C00000"/>
              </w:rPr>
            </w:pPr>
            <w:r w:rsidRPr="00484C9D">
              <w:rPr>
                <w:color w:val="C00000"/>
              </w:rPr>
              <w:t>0.054</w:t>
            </w:r>
          </w:p>
        </w:tc>
      </w:tr>
      <w:tr w:rsidR="00484C9D" w:rsidRPr="00484C9D" w14:paraId="259699A5" w14:textId="77777777" w:rsidTr="005006AF">
        <w:tc>
          <w:tcPr>
            <w:tcW w:w="4492" w:type="dxa"/>
          </w:tcPr>
          <w:p w14:paraId="1E106010" w14:textId="77777777" w:rsidR="00484C9D" w:rsidRPr="00484C9D" w:rsidRDefault="00484C9D" w:rsidP="005006AF">
            <w:pPr>
              <w:rPr>
                <w:color w:val="C00000"/>
              </w:rPr>
            </w:pPr>
            <w:r w:rsidRPr="00484C9D">
              <w:rPr>
                <w:color w:val="C00000"/>
              </w:rPr>
              <w:t>Other Heart Diseases</w:t>
            </w:r>
          </w:p>
        </w:tc>
        <w:tc>
          <w:tcPr>
            <w:tcW w:w="1713" w:type="dxa"/>
          </w:tcPr>
          <w:p w14:paraId="75420AF8" w14:textId="77777777" w:rsidR="00484C9D" w:rsidRPr="00484C9D" w:rsidRDefault="00484C9D" w:rsidP="005006AF">
            <w:pPr>
              <w:rPr>
                <w:color w:val="C00000"/>
              </w:rPr>
            </w:pPr>
            <w:r w:rsidRPr="00484C9D">
              <w:rPr>
                <w:color w:val="C00000"/>
              </w:rPr>
              <w:t>-0.019</w:t>
            </w:r>
          </w:p>
        </w:tc>
        <w:tc>
          <w:tcPr>
            <w:tcW w:w="1620" w:type="dxa"/>
          </w:tcPr>
          <w:p w14:paraId="01ABBF0A" w14:textId="77777777" w:rsidR="00484C9D" w:rsidRPr="00484C9D" w:rsidRDefault="00484C9D" w:rsidP="005006AF">
            <w:pPr>
              <w:rPr>
                <w:color w:val="C00000"/>
              </w:rPr>
            </w:pPr>
            <w:r w:rsidRPr="00484C9D">
              <w:rPr>
                <w:color w:val="C00000"/>
              </w:rPr>
              <w:t>0.981</w:t>
            </w:r>
          </w:p>
        </w:tc>
        <w:tc>
          <w:tcPr>
            <w:tcW w:w="1525" w:type="dxa"/>
          </w:tcPr>
          <w:p w14:paraId="34CC8853" w14:textId="77777777" w:rsidR="00484C9D" w:rsidRPr="00484C9D" w:rsidRDefault="00484C9D" w:rsidP="005006AF">
            <w:pPr>
              <w:rPr>
                <w:color w:val="C00000"/>
              </w:rPr>
            </w:pPr>
            <w:r w:rsidRPr="00484C9D">
              <w:rPr>
                <w:color w:val="C00000"/>
              </w:rPr>
              <w:t>0.394</w:t>
            </w:r>
          </w:p>
        </w:tc>
      </w:tr>
      <w:tr w:rsidR="00484C9D" w:rsidRPr="00484C9D" w14:paraId="56489AEA" w14:textId="77777777" w:rsidTr="005006AF">
        <w:tc>
          <w:tcPr>
            <w:tcW w:w="4492" w:type="dxa"/>
          </w:tcPr>
          <w:p w14:paraId="1D910FFB" w14:textId="77777777" w:rsidR="00484C9D" w:rsidRPr="00484C9D" w:rsidRDefault="00484C9D" w:rsidP="005006AF">
            <w:pPr>
              <w:rPr>
                <w:color w:val="C00000"/>
              </w:rPr>
            </w:pPr>
            <w:r w:rsidRPr="00484C9D">
              <w:rPr>
                <w:color w:val="C00000"/>
              </w:rPr>
              <w:t>Peripheral Vascular Disease</w:t>
            </w:r>
          </w:p>
        </w:tc>
        <w:tc>
          <w:tcPr>
            <w:tcW w:w="1713" w:type="dxa"/>
          </w:tcPr>
          <w:p w14:paraId="611EDD22" w14:textId="77777777" w:rsidR="00484C9D" w:rsidRPr="00484C9D" w:rsidRDefault="00484C9D" w:rsidP="005006AF">
            <w:pPr>
              <w:rPr>
                <w:color w:val="C00000"/>
              </w:rPr>
            </w:pPr>
            <w:r w:rsidRPr="00484C9D">
              <w:rPr>
                <w:color w:val="C00000"/>
              </w:rPr>
              <w:t>-0.220</w:t>
            </w:r>
          </w:p>
        </w:tc>
        <w:tc>
          <w:tcPr>
            <w:tcW w:w="1620" w:type="dxa"/>
          </w:tcPr>
          <w:p w14:paraId="78165018" w14:textId="77777777" w:rsidR="00484C9D" w:rsidRPr="00484C9D" w:rsidRDefault="00484C9D" w:rsidP="005006AF">
            <w:pPr>
              <w:rPr>
                <w:color w:val="C00000"/>
              </w:rPr>
            </w:pPr>
            <w:r w:rsidRPr="00484C9D">
              <w:rPr>
                <w:color w:val="C00000"/>
              </w:rPr>
              <w:t>0.803</w:t>
            </w:r>
          </w:p>
        </w:tc>
        <w:tc>
          <w:tcPr>
            <w:tcW w:w="1525" w:type="dxa"/>
          </w:tcPr>
          <w:p w14:paraId="0B0B9465" w14:textId="77777777" w:rsidR="00484C9D" w:rsidRPr="00484C9D" w:rsidRDefault="00484C9D" w:rsidP="005006AF">
            <w:pPr>
              <w:rPr>
                <w:color w:val="C00000"/>
              </w:rPr>
            </w:pPr>
            <w:r w:rsidRPr="00484C9D">
              <w:rPr>
                <w:color w:val="C00000"/>
              </w:rPr>
              <w:t>&lt;0.001</w:t>
            </w:r>
          </w:p>
        </w:tc>
      </w:tr>
      <w:tr w:rsidR="00484C9D" w:rsidRPr="00484C9D" w14:paraId="1802DFF5" w14:textId="77777777" w:rsidTr="005006AF">
        <w:tc>
          <w:tcPr>
            <w:tcW w:w="4492" w:type="dxa"/>
          </w:tcPr>
          <w:p w14:paraId="3A6BF400" w14:textId="77777777" w:rsidR="00484C9D" w:rsidRPr="00484C9D" w:rsidRDefault="00484C9D" w:rsidP="005006AF">
            <w:pPr>
              <w:rPr>
                <w:color w:val="C00000"/>
              </w:rPr>
            </w:pPr>
            <w:r w:rsidRPr="00484C9D">
              <w:rPr>
                <w:color w:val="C00000"/>
              </w:rPr>
              <w:t>Cerebrovascular Disease</w:t>
            </w:r>
          </w:p>
        </w:tc>
        <w:tc>
          <w:tcPr>
            <w:tcW w:w="1713" w:type="dxa"/>
          </w:tcPr>
          <w:p w14:paraId="5A7C7A8A" w14:textId="77777777" w:rsidR="00484C9D" w:rsidRPr="00484C9D" w:rsidRDefault="00484C9D" w:rsidP="005006AF">
            <w:pPr>
              <w:rPr>
                <w:color w:val="C00000"/>
              </w:rPr>
            </w:pPr>
            <w:r w:rsidRPr="00484C9D">
              <w:rPr>
                <w:color w:val="C00000"/>
              </w:rPr>
              <w:t>-0.058</w:t>
            </w:r>
          </w:p>
        </w:tc>
        <w:tc>
          <w:tcPr>
            <w:tcW w:w="1620" w:type="dxa"/>
          </w:tcPr>
          <w:p w14:paraId="7475F877" w14:textId="77777777" w:rsidR="00484C9D" w:rsidRPr="00484C9D" w:rsidRDefault="00484C9D" w:rsidP="005006AF">
            <w:pPr>
              <w:rPr>
                <w:color w:val="C00000"/>
              </w:rPr>
            </w:pPr>
            <w:r w:rsidRPr="00484C9D">
              <w:rPr>
                <w:color w:val="C00000"/>
              </w:rPr>
              <w:t>0.943</w:t>
            </w:r>
          </w:p>
        </w:tc>
        <w:tc>
          <w:tcPr>
            <w:tcW w:w="1525" w:type="dxa"/>
          </w:tcPr>
          <w:p w14:paraId="6CC9E27E" w14:textId="77777777" w:rsidR="00484C9D" w:rsidRPr="00484C9D" w:rsidRDefault="00484C9D" w:rsidP="005006AF">
            <w:pPr>
              <w:rPr>
                <w:color w:val="C00000"/>
              </w:rPr>
            </w:pPr>
            <w:r w:rsidRPr="00484C9D">
              <w:rPr>
                <w:color w:val="C00000"/>
              </w:rPr>
              <w:t>0.011</w:t>
            </w:r>
          </w:p>
        </w:tc>
      </w:tr>
      <w:tr w:rsidR="00484C9D" w:rsidRPr="00484C9D" w14:paraId="4851EBCF" w14:textId="77777777" w:rsidTr="005006AF">
        <w:tc>
          <w:tcPr>
            <w:tcW w:w="4492" w:type="dxa"/>
          </w:tcPr>
          <w:p w14:paraId="415667EF" w14:textId="77777777" w:rsidR="00484C9D" w:rsidRPr="00484C9D" w:rsidRDefault="00484C9D" w:rsidP="005006AF">
            <w:pPr>
              <w:rPr>
                <w:color w:val="C00000"/>
              </w:rPr>
            </w:pPr>
            <w:r w:rsidRPr="00484C9D">
              <w:rPr>
                <w:color w:val="C00000"/>
              </w:rPr>
              <w:t xml:space="preserve">Chronic Obstructive Pulmonary Disease </w:t>
            </w:r>
          </w:p>
        </w:tc>
        <w:tc>
          <w:tcPr>
            <w:tcW w:w="1713" w:type="dxa"/>
          </w:tcPr>
          <w:p w14:paraId="2ADE22ED" w14:textId="77777777" w:rsidR="00484C9D" w:rsidRPr="00484C9D" w:rsidRDefault="00484C9D" w:rsidP="005006AF">
            <w:pPr>
              <w:rPr>
                <w:color w:val="C00000"/>
              </w:rPr>
            </w:pPr>
            <w:r w:rsidRPr="00484C9D">
              <w:rPr>
                <w:color w:val="C00000"/>
              </w:rPr>
              <w:t>-0.049</w:t>
            </w:r>
          </w:p>
        </w:tc>
        <w:tc>
          <w:tcPr>
            <w:tcW w:w="1620" w:type="dxa"/>
          </w:tcPr>
          <w:p w14:paraId="26EEB58A" w14:textId="77777777" w:rsidR="00484C9D" w:rsidRPr="00484C9D" w:rsidRDefault="00484C9D" w:rsidP="005006AF">
            <w:pPr>
              <w:rPr>
                <w:color w:val="C00000"/>
              </w:rPr>
            </w:pPr>
            <w:r w:rsidRPr="00484C9D">
              <w:rPr>
                <w:color w:val="C00000"/>
              </w:rPr>
              <w:t>0.952</w:t>
            </w:r>
          </w:p>
        </w:tc>
        <w:tc>
          <w:tcPr>
            <w:tcW w:w="1525" w:type="dxa"/>
          </w:tcPr>
          <w:p w14:paraId="2EB74800" w14:textId="77777777" w:rsidR="00484C9D" w:rsidRPr="00484C9D" w:rsidRDefault="00484C9D" w:rsidP="005006AF">
            <w:pPr>
              <w:rPr>
                <w:color w:val="C00000"/>
              </w:rPr>
            </w:pPr>
            <w:r w:rsidRPr="00484C9D">
              <w:rPr>
                <w:color w:val="C00000"/>
              </w:rPr>
              <w:t>0.027</w:t>
            </w:r>
          </w:p>
        </w:tc>
      </w:tr>
      <w:tr w:rsidR="00484C9D" w:rsidRPr="00484C9D" w14:paraId="3C52B68E" w14:textId="77777777" w:rsidTr="005006AF">
        <w:tc>
          <w:tcPr>
            <w:tcW w:w="4492" w:type="dxa"/>
          </w:tcPr>
          <w:p w14:paraId="09D04CCE" w14:textId="77777777" w:rsidR="00484C9D" w:rsidRPr="00484C9D" w:rsidRDefault="00484C9D" w:rsidP="005006AF">
            <w:pPr>
              <w:rPr>
                <w:color w:val="C00000"/>
              </w:rPr>
            </w:pPr>
            <w:r w:rsidRPr="00484C9D">
              <w:rPr>
                <w:color w:val="C00000"/>
              </w:rPr>
              <w:t xml:space="preserve">Drug Dependence </w:t>
            </w:r>
          </w:p>
        </w:tc>
        <w:tc>
          <w:tcPr>
            <w:tcW w:w="1713" w:type="dxa"/>
          </w:tcPr>
          <w:p w14:paraId="171F1DD5" w14:textId="77777777" w:rsidR="00484C9D" w:rsidRPr="00484C9D" w:rsidRDefault="00484C9D" w:rsidP="005006AF">
            <w:pPr>
              <w:rPr>
                <w:color w:val="C00000"/>
              </w:rPr>
            </w:pPr>
            <w:r w:rsidRPr="00484C9D">
              <w:rPr>
                <w:color w:val="C00000"/>
              </w:rPr>
              <w:t>-0.110</w:t>
            </w:r>
          </w:p>
        </w:tc>
        <w:tc>
          <w:tcPr>
            <w:tcW w:w="1620" w:type="dxa"/>
          </w:tcPr>
          <w:p w14:paraId="1FC82130" w14:textId="77777777" w:rsidR="00484C9D" w:rsidRPr="00484C9D" w:rsidRDefault="00484C9D" w:rsidP="005006AF">
            <w:pPr>
              <w:rPr>
                <w:color w:val="C00000"/>
              </w:rPr>
            </w:pPr>
            <w:r w:rsidRPr="00484C9D">
              <w:rPr>
                <w:color w:val="C00000"/>
              </w:rPr>
              <w:t>0.896</w:t>
            </w:r>
          </w:p>
        </w:tc>
        <w:tc>
          <w:tcPr>
            <w:tcW w:w="1525" w:type="dxa"/>
          </w:tcPr>
          <w:p w14:paraId="5BADF9BD" w14:textId="77777777" w:rsidR="00484C9D" w:rsidRPr="00484C9D" w:rsidRDefault="00484C9D" w:rsidP="005006AF">
            <w:pPr>
              <w:rPr>
                <w:color w:val="C00000"/>
              </w:rPr>
            </w:pPr>
            <w:r w:rsidRPr="00484C9D">
              <w:rPr>
                <w:color w:val="C00000"/>
              </w:rPr>
              <w:t>0.019</w:t>
            </w:r>
          </w:p>
        </w:tc>
      </w:tr>
      <w:tr w:rsidR="00484C9D" w:rsidRPr="00484C9D" w14:paraId="21B4E937" w14:textId="77777777" w:rsidTr="005006AF">
        <w:tc>
          <w:tcPr>
            <w:tcW w:w="4492" w:type="dxa"/>
          </w:tcPr>
          <w:p w14:paraId="4C3238D5" w14:textId="77777777" w:rsidR="00484C9D" w:rsidRPr="00484C9D" w:rsidRDefault="00484C9D" w:rsidP="005006AF">
            <w:pPr>
              <w:rPr>
                <w:color w:val="C00000"/>
              </w:rPr>
            </w:pPr>
            <w:r w:rsidRPr="00484C9D">
              <w:rPr>
                <w:color w:val="C00000"/>
              </w:rPr>
              <w:t>Inability to ambulate/transfer</w:t>
            </w:r>
          </w:p>
        </w:tc>
        <w:tc>
          <w:tcPr>
            <w:tcW w:w="1713" w:type="dxa"/>
          </w:tcPr>
          <w:p w14:paraId="3DBB15A7" w14:textId="77777777" w:rsidR="00484C9D" w:rsidRPr="00484C9D" w:rsidRDefault="00484C9D" w:rsidP="005006AF">
            <w:pPr>
              <w:rPr>
                <w:color w:val="C00000"/>
              </w:rPr>
            </w:pPr>
            <w:r w:rsidRPr="00484C9D">
              <w:rPr>
                <w:color w:val="C00000"/>
              </w:rPr>
              <w:t>-0.424</w:t>
            </w:r>
          </w:p>
        </w:tc>
        <w:tc>
          <w:tcPr>
            <w:tcW w:w="1620" w:type="dxa"/>
          </w:tcPr>
          <w:p w14:paraId="4D3A6C14" w14:textId="77777777" w:rsidR="00484C9D" w:rsidRPr="00484C9D" w:rsidRDefault="00484C9D" w:rsidP="005006AF">
            <w:pPr>
              <w:rPr>
                <w:color w:val="C00000"/>
              </w:rPr>
            </w:pPr>
            <w:r w:rsidRPr="00484C9D">
              <w:rPr>
                <w:color w:val="C00000"/>
              </w:rPr>
              <w:t>0.654</w:t>
            </w:r>
          </w:p>
        </w:tc>
        <w:tc>
          <w:tcPr>
            <w:tcW w:w="1525" w:type="dxa"/>
          </w:tcPr>
          <w:p w14:paraId="55510EE2" w14:textId="77777777" w:rsidR="00484C9D" w:rsidRPr="00484C9D" w:rsidRDefault="00484C9D" w:rsidP="005006AF">
            <w:pPr>
              <w:rPr>
                <w:color w:val="C00000"/>
              </w:rPr>
            </w:pPr>
            <w:r w:rsidRPr="00484C9D">
              <w:rPr>
                <w:color w:val="C00000"/>
              </w:rPr>
              <w:t>&lt;0.001</w:t>
            </w:r>
          </w:p>
        </w:tc>
      </w:tr>
      <w:tr w:rsidR="00484C9D" w:rsidRPr="00484C9D" w14:paraId="7530BB22" w14:textId="77777777" w:rsidTr="005006AF">
        <w:tc>
          <w:tcPr>
            <w:tcW w:w="4492" w:type="dxa"/>
          </w:tcPr>
          <w:p w14:paraId="3463B926" w14:textId="77777777" w:rsidR="00484C9D" w:rsidRPr="00484C9D" w:rsidRDefault="00484C9D" w:rsidP="005006AF">
            <w:pPr>
              <w:rPr>
                <w:color w:val="C00000"/>
              </w:rPr>
            </w:pPr>
            <w:r w:rsidRPr="00484C9D">
              <w:rPr>
                <w:color w:val="C00000"/>
              </w:rPr>
              <w:t xml:space="preserve">Anemia (unrelated to ESRD/CKD)  </w:t>
            </w:r>
          </w:p>
        </w:tc>
        <w:tc>
          <w:tcPr>
            <w:tcW w:w="1713" w:type="dxa"/>
          </w:tcPr>
          <w:p w14:paraId="70C2BC4C" w14:textId="77777777" w:rsidR="00484C9D" w:rsidRPr="00484C9D" w:rsidRDefault="00484C9D" w:rsidP="005006AF">
            <w:pPr>
              <w:rPr>
                <w:color w:val="C00000"/>
              </w:rPr>
            </w:pPr>
            <w:r w:rsidRPr="00484C9D">
              <w:rPr>
                <w:color w:val="C00000"/>
              </w:rPr>
              <w:t>0.002</w:t>
            </w:r>
          </w:p>
        </w:tc>
        <w:tc>
          <w:tcPr>
            <w:tcW w:w="1620" w:type="dxa"/>
          </w:tcPr>
          <w:p w14:paraId="79BE931C" w14:textId="77777777" w:rsidR="00484C9D" w:rsidRPr="00484C9D" w:rsidRDefault="00484C9D" w:rsidP="005006AF">
            <w:pPr>
              <w:rPr>
                <w:color w:val="C00000"/>
              </w:rPr>
            </w:pPr>
            <w:r w:rsidRPr="00484C9D">
              <w:rPr>
                <w:color w:val="C00000"/>
              </w:rPr>
              <w:t>1.002</w:t>
            </w:r>
          </w:p>
        </w:tc>
        <w:tc>
          <w:tcPr>
            <w:tcW w:w="1525" w:type="dxa"/>
          </w:tcPr>
          <w:p w14:paraId="1F1EA1C5" w14:textId="77777777" w:rsidR="00484C9D" w:rsidRPr="00484C9D" w:rsidRDefault="00484C9D" w:rsidP="005006AF">
            <w:pPr>
              <w:rPr>
                <w:color w:val="C00000"/>
              </w:rPr>
            </w:pPr>
            <w:r w:rsidRPr="00484C9D">
              <w:rPr>
                <w:color w:val="C00000"/>
              </w:rPr>
              <w:t>0.946</w:t>
            </w:r>
          </w:p>
        </w:tc>
      </w:tr>
      <w:tr w:rsidR="00484C9D" w:rsidRPr="00484C9D" w14:paraId="6960F73B" w14:textId="77777777" w:rsidTr="005006AF">
        <w:tc>
          <w:tcPr>
            <w:tcW w:w="4492" w:type="dxa"/>
          </w:tcPr>
          <w:p w14:paraId="69880CDF" w14:textId="77777777" w:rsidR="00484C9D" w:rsidRPr="00484C9D" w:rsidRDefault="00484C9D" w:rsidP="005006AF">
            <w:pPr>
              <w:rPr>
                <w:color w:val="C00000"/>
              </w:rPr>
            </w:pPr>
            <w:r w:rsidRPr="00484C9D">
              <w:rPr>
                <w:color w:val="C00000"/>
              </w:rPr>
              <w:t>Non-Vascular Access-Related  Infections:   Pneumonia/Hepatitis/HIV/Tuberculosis</w:t>
            </w:r>
          </w:p>
        </w:tc>
        <w:tc>
          <w:tcPr>
            <w:tcW w:w="1713" w:type="dxa"/>
          </w:tcPr>
          <w:p w14:paraId="2362BB3A" w14:textId="77777777" w:rsidR="00484C9D" w:rsidRPr="00484C9D" w:rsidRDefault="00484C9D" w:rsidP="005006AF">
            <w:pPr>
              <w:rPr>
                <w:color w:val="C00000"/>
              </w:rPr>
            </w:pPr>
            <w:r w:rsidRPr="00484C9D">
              <w:rPr>
                <w:color w:val="C00000"/>
              </w:rPr>
              <w:t>-0.314</w:t>
            </w:r>
          </w:p>
        </w:tc>
        <w:tc>
          <w:tcPr>
            <w:tcW w:w="1620" w:type="dxa"/>
          </w:tcPr>
          <w:p w14:paraId="1DB56F59" w14:textId="77777777" w:rsidR="00484C9D" w:rsidRPr="00484C9D" w:rsidRDefault="00484C9D" w:rsidP="005006AF">
            <w:pPr>
              <w:rPr>
                <w:color w:val="C00000"/>
              </w:rPr>
            </w:pPr>
            <w:r w:rsidRPr="00484C9D">
              <w:rPr>
                <w:color w:val="C00000"/>
              </w:rPr>
              <w:t>0.731</w:t>
            </w:r>
          </w:p>
        </w:tc>
        <w:tc>
          <w:tcPr>
            <w:tcW w:w="1525" w:type="dxa"/>
          </w:tcPr>
          <w:p w14:paraId="547D638D" w14:textId="77777777" w:rsidR="00484C9D" w:rsidRPr="00484C9D" w:rsidRDefault="00484C9D" w:rsidP="005006AF">
            <w:pPr>
              <w:rPr>
                <w:color w:val="C00000"/>
              </w:rPr>
            </w:pPr>
            <w:r w:rsidRPr="00484C9D">
              <w:rPr>
                <w:color w:val="C00000"/>
              </w:rPr>
              <w:t>&lt;0.001</w:t>
            </w:r>
          </w:p>
        </w:tc>
      </w:tr>
      <w:tr w:rsidR="00484C9D" w:rsidRPr="00484C9D" w14:paraId="384FD65D" w14:textId="77777777" w:rsidTr="005006AF">
        <w:tc>
          <w:tcPr>
            <w:tcW w:w="4492" w:type="dxa"/>
          </w:tcPr>
          <w:p w14:paraId="47F97890" w14:textId="77777777" w:rsidR="00484C9D" w:rsidRPr="00484C9D" w:rsidRDefault="00484C9D" w:rsidP="005006AF">
            <w:pPr>
              <w:rPr>
                <w:b/>
                <w:color w:val="C00000"/>
              </w:rPr>
            </w:pPr>
            <w:r w:rsidRPr="00484C9D">
              <w:rPr>
                <w:b/>
                <w:color w:val="C00000"/>
              </w:rPr>
              <w:t>At least 6 Medicare covered months OR at least 1 MA covered month in prior 12 months</w:t>
            </w:r>
          </w:p>
        </w:tc>
        <w:tc>
          <w:tcPr>
            <w:tcW w:w="1713" w:type="dxa"/>
          </w:tcPr>
          <w:p w14:paraId="4892F5E4" w14:textId="77777777" w:rsidR="00484C9D" w:rsidRPr="00484C9D" w:rsidRDefault="00484C9D" w:rsidP="005006AF">
            <w:pPr>
              <w:rPr>
                <w:color w:val="C00000"/>
              </w:rPr>
            </w:pPr>
            <w:r w:rsidRPr="00484C9D">
              <w:rPr>
                <w:color w:val="C00000"/>
              </w:rPr>
              <w:t>0.545</w:t>
            </w:r>
          </w:p>
        </w:tc>
        <w:tc>
          <w:tcPr>
            <w:tcW w:w="1620" w:type="dxa"/>
          </w:tcPr>
          <w:p w14:paraId="48F013E7" w14:textId="77777777" w:rsidR="00484C9D" w:rsidRPr="00484C9D" w:rsidRDefault="00484C9D" w:rsidP="005006AF">
            <w:pPr>
              <w:rPr>
                <w:color w:val="C00000"/>
              </w:rPr>
            </w:pPr>
            <w:r w:rsidRPr="00484C9D">
              <w:rPr>
                <w:color w:val="C00000"/>
              </w:rPr>
              <w:t>1.725</w:t>
            </w:r>
          </w:p>
        </w:tc>
        <w:tc>
          <w:tcPr>
            <w:tcW w:w="1525" w:type="dxa"/>
          </w:tcPr>
          <w:p w14:paraId="3D386A39" w14:textId="77777777" w:rsidR="00484C9D" w:rsidRPr="00484C9D" w:rsidRDefault="00484C9D" w:rsidP="005006AF">
            <w:pPr>
              <w:rPr>
                <w:color w:val="C00000"/>
              </w:rPr>
            </w:pPr>
            <w:r w:rsidRPr="00484C9D">
              <w:rPr>
                <w:color w:val="C00000"/>
              </w:rPr>
              <w:t>&lt;0.001</w:t>
            </w:r>
          </w:p>
        </w:tc>
      </w:tr>
      <w:tr w:rsidR="00484C9D" w:rsidRPr="00484C9D" w14:paraId="5582C0D2" w14:textId="77777777" w:rsidTr="005006AF">
        <w:tc>
          <w:tcPr>
            <w:tcW w:w="4492" w:type="dxa"/>
          </w:tcPr>
          <w:p w14:paraId="69DF7677" w14:textId="77777777" w:rsidR="00484C9D" w:rsidRPr="00484C9D" w:rsidRDefault="00484C9D" w:rsidP="005006AF">
            <w:pPr>
              <w:rPr>
                <w:b/>
                <w:color w:val="C00000"/>
              </w:rPr>
            </w:pPr>
            <w:r w:rsidRPr="00484C9D">
              <w:rPr>
                <w:b/>
                <w:color w:val="C00000"/>
              </w:rPr>
              <w:t>missing a CMS-2728 form</w:t>
            </w:r>
          </w:p>
        </w:tc>
        <w:tc>
          <w:tcPr>
            <w:tcW w:w="1713" w:type="dxa"/>
          </w:tcPr>
          <w:p w14:paraId="3CD0946A" w14:textId="77777777" w:rsidR="00484C9D" w:rsidRPr="00484C9D" w:rsidRDefault="00484C9D" w:rsidP="005006AF">
            <w:pPr>
              <w:rPr>
                <w:color w:val="C00000"/>
              </w:rPr>
            </w:pPr>
            <w:r w:rsidRPr="00484C9D">
              <w:rPr>
                <w:color w:val="C00000"/>
              </w:rPr>
              <w:t>-1.388</w:t>
            </w:r>
          </w:p>
        </w:tc>
        <w:tc>
          <w:tcPr>
            <w:tcW w:w="1620" w:type="dxa"/>
          </w:tcPr>
          <w:p w14:paraId="28DA708A" w14:textId="77777777" w:rsidR="00484C9D" w:rsidRPr="00484C9D" w:rsidRDefault="00484C9D" w:rsidP="005006AF">
            <w:pPr>
              <w:rPr>
                <w:color w:val="C00000"/>
              </w:rPr>
            </w:pPr>
            <w:r w:rsidRPr="00484C9D">
              <w:rPr>
                <w:color w:val="C00000"/>
              </w:rPr>
              <w:t>0.250</w:t>
            </w:r>
          </w:p>
        </w:tc>
        <w:tc>
          <w:tcPr>
            <w:tcW w:w="1525" w:type="dxa"/>
          </w:tcPr>
          <w:p w14:paraId="5F1C234A" w14:textId="77777777" w:rsidR="00484C9D" w:rsidRPr="00484C9D" w:rsidRDefault="00484C9D" w:rsidP="005006AF">
            <w:pPr>
              <w:rPr>
                <w:color w:val="C00000"/>
              </w:rPr>
            </w:pPr>
            <w:r w:rsidRPr="00484C9D">
              <w:rPr>
                <w:color w:val="C00000"/>
              </w:rPr>
              <w:t>&lt;0.001</w:t>
            </w:r>
          </w:p>
        </w:tc>
      </w:tr>
      <w:tr w:rsidR="00484C9D" w:rsidRPr="00484C9D" w14:paraId="310F84CE" w14:textId="77777777" w:rsidTr="005006AF">
        <w:tc>
          <w:tcPr>
            <w:tcW w:w="4492" w:type="dxa"/>
          </w:tcPr>
          <w:p w14:paraId="142C2A8F" w14:textId="77777777" w:rsidR="00484C9D" w:rsidRPr="00484C9D" w:rsidRDefault="00484C9D" w:rsidP="005006AF">
            <w:pPr>
              <w:rPr>
                <w:b/>
                <w:color w:val="C00000"/>
              </w:rPr>
            </w:pPr>
            <w:r w:rsidRPr="00484C9D">
              <w:rPr>
                <w:b/>
                <w:color w:val="C00000"/>
              </w:rPr>
              <w:t>At least one of the comorbidities listed above</w:t>
            </w:r>
          </w:p>
        </w:tc>
        <w:tc>
          <w:tcPr>
            <w:tcW w:w="1713" w:type="dxa"/>
          </w:tcPr>
          <w:p w14:paraId="7D69637F" w14:textId="77777777" w:rsidR="00484C9D" w:rsidRPr="00484C9D" w:rsidRDefault="00484C9D" w:rsidP="005006AF">
            <w:pPr>
              <w:rPr>
                <w:color w:val="C00000"/>
              </w:rPr>
            </w:pPr>
            <w:r w:rsidRPr="00484C9D">
              <w:rPr>
                <w:color w:val="C00000"/>
              </w:rPr>
              <w:t>-0.072</w:t>
            </w:r>
          </w:p>
        </w:tc>
        <w:tc>
          <w:tcPr>
            <w:tcW w:w="1620" w:type="dxa"/>
          </w:tcPr>
          <w:p w14:paraId="4F1AFE24" w14:textId="77777777" w:rsidR="00484C9D" w:rsidRPr="00484C9D" w:rsidRDefault="00484C9D" w:rsidP="005006AF">
            <w:pPr>
              <w:rPr>
                <w:color w:val="C00000"/>
              </w:rPr>
            </w:pPr>
            <w:r w:rsidRPr="00484C9D">
              <w:rPr>
                <w:color w:val="C00000"/>
              </w:rPr>
              <w:t>0.931</w:t>
            </w:r>
          </w:p>
        </w:tc>
        <w:tc>
          <w:tcPr>
            <w:tcW w:w="1525" w:type="dxa"/>
          </w:tcPr>
          <w:p w14:paraId="5994806C" w14:textId="77777777" w:rsidR="00484C9D" w:rsidRPr="00484C9D" w:rsidRDefault="00484C9D" w:rsidP="005006AF">
            <w:pPr>
              <w:rPr>
                <w:color w:val="C00000"/>
              </w:rPr>
            </w:pPr>
            <w:r w:rsidRPr="00484C9D">
              <w:rPr>
                <w:color w:val="C00000"/>
              </w:rPr>
              <w:t>0.015</w:t>
            </w:r>
          </w:p>
        </w:tc>
      </w:tr>
    </w:tbl>
    <w:p w14:paraId="2F1CDB67" w14:textId="77777777" w:rsidR="00081161" w:rsidRPr="003B0F84" w:rsidRDefault="00081161" w:rsidP="003B0F84">
      <w:pPr>
        <w:rPr>
          <w:color w:val="C00000"/>
        </w:rPr>
      </w:pPr>
    </w:p>
    <w:p w14:paraId="0CABCFF7" w14:textId="586F888C" w:rsidR="00092566" w:rsidRDefault="00001D73" w:rsidP="00001D73">
      <w:pPr>
        <w:autoSpaceDE w:val="0"/>
        <w:autoSpaceDN w:val="0"/>
        <w:adjustRightInd w:val="0"/>
        <w:spacing w:after="0" w:line="240" w:lineRule="auto"/>
        <w:rPr>
          <w:rFonts w:cstheme="minorHAnsi"/>
          <w:b/>
          <w:bCs/>
        </w:rPr>
      </w:pPr>
      <w:r>
        <w:rPr>
          <w:rFonts w:cstheme="minorHAnsi"/>
          <w:b/>
          <w:bCs/>
        </w:rPr>
        <w:br/>
      </w:r>
    </w:p>
    <w:p w14:paraId="0CABCFF8" w14:textId="3BE45265" w:rsidR="00001D73"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4139C7CE" w14:textId="49326CF2" w:rsidR="00AE37A9" w:rsidRDefault="00AE37A9" w:rsidP="00001D73">
      <w:pPr>
        <w:autoSpaceDE w:val="0"/>
        <w:autoSpaceDN w:val="0"/>
        <w:adjustRightInd w:val="0"/>
        <w:spacing w:after="0" w:line="240" w:lineRule="auto"/>
        <w:rPr>
          <w:rFonts w:cstheme="minorHAnsi"/>
          <w:b/>
          <w:bCs/>
        </w:rPr>
      </w:pPr>
    </w:p>
    <w:p w14:paraId="1FE878C5" w14:textId="77777777" w:rsidR="00AE37A9" w:rsidRDefault="00AE37A9" w:rsidP="00AE37A9">
      <w:pPr>
        <w:rPr>
          <w:rFonts w:ascii="Calibri" w:eastAsia="SimSun" w:hAnsi="Calibri" w:cs="Times New Roman"/>
        </w:rPr>
      </w:pPr>
      <w:r w:rsidRPr="0059588A">
        <w:rPr>
          <w:rFonts w:ascii="Calibri" w:eastAsia="SimSun" w:hAnsi="Calibri" w:cs="Times New Roman"/>
        </w:rPr>
        <w:t xml:space="preserve">The table below shows the parameter estimates for patient and area level SDS/SES variables based on a logistic regression model for AV fistula use that included all these variables along with all the other clinical covariates used for adjustment in SFR. Here we only report results for the SDS/SES factors. </w:t>
      </w:r>
    </w:p>
    <w:p w14:paraId="346DF3E3" w14:textId="77777777" w:rsidR="00AE37A9" w:rsidRPr="0059588A" w:rsidRDefault="00AE37A9" w:rsidP="00AE37A9">
      <w:pPr>
        <w:rPr>
          <w:rFonts w:ascii="Calibri" w:eastAsia="SimSun" w:hAnsi="Calibri" w:cs="Times New Roman"/>
        </w:rPr>
      </w:pPr>
      <w:r>
        <w:rPr>
          <w:rFonts w:ascii="Calibri" w:eastAsia="SimSun" w:hAnsi="Calibri" w:cs="Times New Roman"/>
        </w:rPr>
        <w:t>Table 5. Coefficients and odds ratios for SDS/SES variables</w:t>
      </w:r>
    </w:p>
    <w:tbl>
      <w:tblPr>
        <w:tblW w:w="8097" w:type="dxa"/>
        <w:tblInd w:w="108" w:type="dxa"/>
        <w:tblLayout w:type="fixed"/>
        <w:tblLook w:val="04A0" w:firstRow="1" w:lastRow="0" w:firstColumn="1" w:lastColumn="0" w:noHBand="0" w:noVBand="1"/>
      </w:tblPr>
      <w:tblGrid>
        <w:gridCol w:w="4407"/>
        <w:gridCol w:w="1350"/>
        <w:gridCol w:w="1170"/>
        <w:gridCol w:w="1170"/>
      </w:tblGrid>
      <w:tr w:rsidR="00AE37A9" w:rsidRPr="0059588A" w14:paraId="4B50EB9D" w14:textId="77777777" w:rsidTr="00E547BF">
        <w:trPr>
          <w:trHeight w:val="584"/>
          <w:tblHeader/>
        </w:trPr>
        <w:tc>
          <w:tcPr>
            <w:tcW w:w="4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20887" w14:textId="4555ECF3" w:rsidR="00AE37A9" w:rsidRPr="0059588A" w:rsidRDefault="00AE37A9" w:rsidP="00E547BF">
            <w:pPr>
              <w:spacing w:after="0" w:line="240" w:lineRule="auto"/>
              <w:rPr>
                <w:rFonts w:ascii="Calibri" w:eastAsia="Times New Roman" w:hAnsi="Calibri" w:cs="Calibri"/>
                <w:b/>
                <w:bCs/>
                <w:color w:val="000000"/>
              </w:rPr>
            </w:pPr>
            <w:r w:rsidRPr="0059588A">
              <w:rPr>
                <w:rFonts w:ascii="Calibri" w:eastAsia="Times New Roman" w:hAnsi="Calibri" w:cs="Calibri"/>
                <w:b/>
                <w:bCs/>
                <w:color w:val="000000"/>
              </w:rPr>
              <w:t>Variable</w:t>
            </w:r>
          </w:p>
        </w:tc>
        <w:tc>
          <w:tcPr>
            <w:tcW w:w="1350" w:type="dxa"/>
            <w:tcBorders>
              <w:top w:val="single" w:sz="4" w:space="0" w:color="auto"/>
              <w:left w:val="nil"/>
              <w:bottom w:val="single" w:sz="4" w:space="0" w:color="auto"/>
              <w:right w:val="single" w:sz="4" w:space="0" w:color="auto"/>
            </w:tcBorders>
            <w:shd w:val="clear" w:color="auto" w:fill="auto"/>
            <w:vAlign w:val="bottom"/>
            <w:hideMark/>
          </w:tcPr>
          <w:p w14:paraId="0F7E24AC" w14:textId="77777777" w:rsidR="00AE37A9" w:rsidRPr="0059588A" w:rsidRDefault="00AE37A9" w:rsidP="00E547BF">
            <w:pPr>
              <w:spacing w:after="0" w:line="240" w:lineRule="auto"/>
              <w:jc w:val="center"/>
              <w:rPr>
                <w:rFonts w:ascii="Calibri" w:eastAsia="Times New Roman" w:hAnsi="Calibri" w:cs="Calibri"/>
                <w:b/>
                <w:bCs/>
                <w:color w:val="000000"/>
              </w:rPr>
            </w:pPr>
            <w:r w:rsidRPr="0059588A">
              <w:rPr>
                <w:rFonts w:ascii="Calibri" w:eastAsia="Times New Roman" w:hAnsi="Calibri" w:cs="Calibri"/>
                <w:b/>
                <w:bCs/>
                <w:color w:val="000000"/>
              </w:rPr>
              <w:t>Estimate</w:t>
            </w:r>
          </w:p>
        </w:tc>
        <w:tc>
          <w:tcPr>
            <w:tcW w:w="1170" w:type="dxa"/>
            <w:tcBorders>
              <w:top w:val="single" w:sz="4" w:space="0" w:color="auto"/>
              <w:left w:val="nil"/>
              <w:bottom w:val="single" w:sz="4" w:space="0" w:color="auto"/>
              <w:right w:val="single" w:sz="4" w:space="0" w:color="auto"/>
            </w:tcBorders>
            <w:shd w:val="clear" w:color="auto" w:fill="auto"/>
            <w:vAlign w:val="bottom"/>
          </w:tcPr>
          <w:p w14:paraId="75519740" w14:textId="77777777" w:rsidR="00AE37A9" w:rsidRPr="0059588A" w:rsidRDefault="00AE37A9" w:rsidP="00E547BF">
            <w:pPr>
              <w:spacing w:after="0" w:line="240" w:lineRule="auto"/>
              <w:jc w:val="center"/>
              <w:rPr>
                <w:rFonts w:ascii="Calibri" w:eastAsia="Times New Roman" w:hAnsi="Calibri" w:cs="Calibri"/>
                <w:b/>
                <w:bCs/>
                <w:color w:val="000000"/>
              </w:rPr>
            </w:pPr>
            <w:r w:rsidRPr="0059588A">
              <w:rPr>
                <w:rFonts w:ascii="Calibri" w:eastAsia="Times New Roman" w:hAnsi="Calibri" w:cs="Calibri"/>
                <w:b/>
                <w:bCs/>
                <w:color w:val="000000"/>
              </w:rPr>
              <w:t>Odds Ratio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245800" w14:textId="77777777" w:rsidR="00AE37A9" w:rsidRPr="0059588A" w:rsidRDefault="00AE37A9" w:rsidP="00E547BF">
            <w:pPr>
              <w:spacing w:after="0" w:line="240" w:lineRule="auto"/>
              <w:jc w:val="center"/>
              <w:rPr>
                <w:rFonts w:ascii="Calibri" w:eastAsia="Times New Roman" w:hAnsi="Calibri" w:cs="Calibri"/>
                <w:b/>
                <w:bCs/>
                <w:color w:val="000000"/>
              </w:rPr>
            </w:pPr>
            <w:r w:rsidRPr="0059588A">
              <w:rPr>
                <w:rFonts w:ascii="Calibri" w:eastAsia="Times New Roman" w:hAnsi="Calibri" w:cs="Calibri"/>
                <w:b/>
                <w:bCs/>
                <w:color w:val="000000"/>
              </w:rPr>
              <w:t>P-value</w:t>
            </w:r>
          </w:p>
        </w:tc>
      </w:tr>
      <w:tr w:rsidR="00AE37A9" w:rsidRPr="0059588A" w14:paraId="601A6EC1"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7A6BCA49" w14:textId="77777777" w:rsidR="00AE37A9" w:rsidRPr="0059588A" w:rsidRDefault="00AE37A9" w:rsidP="00E547BF">
            <w:pPr>
              <w:spacing w:after="0" w:line="240" w:lineRule="auto"/>
              <w:rPr>
                <w:rFonts w:ascii="Calibri" w:eastAsia="Times New Roman" w:hAnsi="Calibri" w:cs="Calibri"/>
                <w:b/>
                <w:bCs/>
                <w:color w:val="000000"/>
              </w:rPr>
            </w:pPr>
            <w:r w:rsidRPr="0059588A">
              <w:rPr>
                <w:rFonts w:ascii="Calibri" w:eastAsia="Times New Roman" w:hAnsi="Calibri" w:cs="Calibri"/>
                <w:b/>
                <w:bCs/>
                <w:color w:val="000000"/>
              </w:rPr>
              <w:t>S</w:t>
            </w:r>
            <w:r>
              <w:rPr>
                <w:rFonts w:ascii="Calibri" w:eastAsia="Times New Roman" w:hAnsi="Calibri" w:cs="Calibri"/>
                <w:b/>
                <w:bCs/>
                <w:color w:val="000000"/>
              </w:rPr>
              <w:t>ex</w:t>
            </w:r>
          </w:p>
        </w:tc>
        <w:tc>
          <w:tcPr>
            <w:tcW w:w="1350" w:type="dxa"/>
            <w:tcBorders>
              <w:top w:val="nil"/>
              <w:left w:val="nil"/>
              <w:bottom w:val="single" w:sz="4" w:space="0" w:color="auto"/>
              <w:right w:val="single" w:sz="4" w:space="0" w:color="auto"/>
            </w:tcBorders>
            <w:shd w:val="clear" w:color="auto" w:fill="auto"/>
            <w:noWrap/>
            <w:vAlign w:val="bottom"/>
            <w:hideMark/>
          </w:tcPr>
          <w:p w14:paraId="143C5413"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xml:space="preserve"> </w:t>
            </w:r>
          </w:p>
        </w:tc>
        <w:tc>
          <w:tcPr>
            <w:tcW w:w="1170" w:type="dxa"/>
            <w:tcBorders>
              <w:top w:val="single" w:sz="4" w:space="0" w:color="auto"/>
              <w:left w:val="nil"/>
              <w:bottom w:val="single" w:sz="4" w:space="0" w:color="auto"/>
              <w:right w:val="single" w:sz="4" w:space="0" w:color="auto"/>
            </w:tcBorders>
            <w:vAlign w:val="bottom"/>
          </w:tcPr>
          <w:p w14:paraId="697212A0"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xml:space="preserve"> </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58416707"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r>
      <w:tr w:rsidR="00AE37A9" w:rsidRPr="0059588A" w14:paraId="26F621F3"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7117BB93"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Female</w:t>
            </w:r>
          </w:p>
        </w:tc>
        <w:tc>
          <w:tcPr>
            <w:tcW w:w="1350" w:type="dxa"/>
            <w:tcBorders>
              <w:top w:val="nil"/>
              <w:left w:val="nil"/>
              <w:bottom w:val="single" w:sz="4" w:space="0" w:color="auto"/>
              <w:right w:val="single" w:sz="4" w:space="0" w:color="auto"/>
            </w:tcBorders>
            <w:shd w:val="clear" w:color="auto" w:fill="auto"/>
            <w:noWrap/>
            <w:vAlign w:val="bottom"/>
            <w:hideMark/>
          </w:tcPr>
          <w:p w14:paraId="3683F1F6"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-0.647</w:t>
            </w:r>
          </w:p>
        </w:tc>
        <w:tc>
          <w:tcPr>
            <w:tcW w:w="1170" w:type="dxa"/>
            <w:tcBorders>
              <w:top w:val="single" w:sz="4" w:space="0" w:color="auto"/>
              <w:left w:val="nil"/>
              <w:bottom w:val="single" w:sz="4" w:space="0" w:color="auto"/>
              <w:right w:val="single" w:sz="4" w:space="0" w:color="auto"/>
            </w:tcBorders>
            <w:vAlign w:val="bottom"/>
          </w:tcPr>
          <w:p w14:paraId="7EE63212"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0.524</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601BD639"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&lt;.0001</w:t>
            </w:r>
          </w:p>
        </w:tc>
      </w:tr>
      <w:tr w:rsidR="00AE37A9" w:rsidRPr="0059588A" w14:paraId="748EA95C"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4B812791"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Male</w:t>
            </w:r>
          </w:p>
        </w:tc>
        <w:tc>
          <w:tcPr>
            <w:tcW w:w="1350" w:type="dxa"/>
            <w:tcBorders>
              <w:top w:val="nil"/>
              <w:left w:val="nil"/>
              <w:bottom w:val="single" w:sz="4" w:space="0" w:color="auto"/>
              <w:right w:val="single" w:sz="4" w:space="0" w:color="auto"/>
            </w:tcBorders>
            <w:shd w:val="clear" w:color="auto" w:fill="auto"/>
            <w:noWrap/>
            <w:vAlign w:val="bottom"/>
            <w:hideMark/>
          </w:tcPr>
          <w:p w14:paraId="34D7B9AC"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Reference</w:t>
            </w:r>
          </w:p>
        </w:tc>
        <w:tc>
          <w:tcPr>
            <w:tcW w:w="1170" w:type="dxa"/>
            <w:tcBorders>
              <w:top w:val="single" w:sz="4" w:space="0" w:color="auto"/>
              <w:left w:val="nil"/>
              <w:bottom w:val="single" w:sz="4" w:space="0" w:color="auto"/>
              <w:right w:val="single" w:sz="4" w:space="0" w:color="auto"/>
            </w:tcBorders>
            <w:vAlign w:val="bottom"/>
          </w:tcPr>
          <w:p w14:paraId="52FAC6B6"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xml:space="preserve"> </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79A61C0A"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r>
      <w:tr w:rsidR="00AE37A9" w:rsidRPr="0059588A" w14:paraId="68759126"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200426D5" w14:textId="77777777" w:rsidR="00AE37A9" w:rsidRPr="0059588A" w:rsidRDefault="00AE37A9" w:rsidP="00E547BF">
            <w:pPr>
              <w:spacing w:after="0" w:line="240" w:lineRule="auto"/>
              <w:rPr>
                <w:rFonts w:ascii="Calibri" w:eastAsia="Times New Roman" w:hAnsi="Calibri" w:cs="Calibri"/>
                <w:b/>
                <w:bCs/>
                <w:color w:val="000000"/>
              </w:rPr>
            </w:pPr>
            <w:r w:rsidRPr="0059588A">
              <w:rPr>
                <w:rFonts w:ascii="Calibri" w:eastAsia="Times New Roman" w:hAnsi="Calibri" w:cs="Calibri"/>
                <w:b/>
                <w:bCs/>
                <w:color w:val="000000"/>
              </w:rPr>
              <w:t>E</w:t>
            </w:r>
            <w:r>
              <w:rPr>
                <w:rFonts w:ascii="Calibri" w:eastAsia="Times New Roman" w:hAnsi="Calibri" w:cs="Calibri"/>
                <w:b/>
                <w:bCs/>
                <w:color w:val="000000"/>
              </w:rPr>
              <w:t>thnicity</w:t>
            </w:r>
          </w:p>
        </w:tc>
        <w:tc>
          <w:tcPr>
            <w:tcW w:w="1350" w:type="dxa"/>
            <w:tcBorders>
              <w:top w:val="nil"/>
              <w:left w:val="nil"/>
              <w:bottom w:val="single" w:sz="4" w:space="0" w:color="auto"/>
              <w:right w:val="single" w:sz="4" w:space="0" w:color="auto"/>
            </w:tcBorders>
            <w:shd w:val="clear" w:color="auto" w:fill="auto"/>
            <w:noWrap/>
            <w:vAlign w:val="bottom"/>
            <w:hideMark/>
          </w:tcPr>
          <w:p w14:paraId="5A528F52"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c>
          <w:tcPr>
            <w:tcW w:w="1170" w:type="dxa"/>
            <w:tcBorders>
              <w:top w:val="single" w:sz="4" w:space="0" w:color="auto"/>
              <w:left w:val="nil"/>
              <w:bottom w:val="single" w:sz="4" w:space="0" w:color="auto"/>
              <w:right w:val="single" w:sz="4" w:space="0" w:color="auto"/>
            </w:tcBorders>
            <w:vAlign w:val="bottom"/>
          </w:tcPr>
          <w:p w14:paraId="2C5123BE"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xml:space="preserve"> </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3FD4F987"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r>
      <w:tr w:rsidR="00AE37A9" w:rsidRPr="0059588A" w14:paraId="6D83294D"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014E483C"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Hispanic</w:t>
            </w:r>
          </w:p>
        </w:tc>
        <w:tc>
          <w:tcPr>
            <w:tcW w:w="1350" w:type="dxa"/>
            <w:tcBorders>
              <w:top w:val="nil"/>
              <w:left w:val="nil"/>
              <w:bottom w:val="single" w:sz="4" w:space="0" w:color="auto"/>
              <w:right w:val="single" w:sz="4" w:space="0" w:color="auto"/>
            </w:tcBorders>
            <w:shd w:val="clear" w:color="auto" w:fill="auto"/>
            <w:vAlign w:val="bottom"/>
            <w:hideMark/>
          </w:tcPr>
          <w:p w14:paraId="3335C8B7"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0.160</w:t>
            </w:r>
          </w:p>
        </w:tc>
        <w:tc>
          <w:tcPr>
            <w:tcW w:w="1170" w:type="dxa"/>
            <w:tcBorders>
              <w:top w:val="single" w:sz="4" w:space="0" w:color="auto"/>
              <w:left w:val="nil"/>
              <w:bottom w:val="single" w:sz="4" w:space="0" w:color="auto"/>
              <w:right w:val="single" w:sz="4" w:space="0" w:color="auto"/>
            </w:tcBorders>
            <w:vAlign w:val="bottom"/>
          </w:tcPr>
          <w:p w14:paraId="3161E0AF"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1.173</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12F57481"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&lt;.0001</w:t>
            </w:r>
          </w:p>
        </w:tc>
      </w:tr>
      <w:tr w:rsidR="00AE37A9" w:rsidRPr="0059588A" w14:paraId="1BF677F1"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5BD46C83"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Non-Hispanic</w:t>
            </w:r>
          </w:p>
        </w:tc>
        <w:tc>
          <w:tcPr>
            <w:tcW w:w="1350" w:type="dxa"/>
            <w:tcBorders>
              <w:top w:val="nil"/>
              <w:left w:val="nil"/>
              <w:bottom w:val="single" w:sz="4" w:space="0" w:color="auto"/>
              <w:right w:val="single" w:sz="4" w:space="0" w:color="auto"/>
            </w:tcBorders>
            <w:shd w:val="clear" w:color="auto" w:fill="auto"/>
            <w:noWrap/>
            <w:vAlign w:val="bottom"/>
            <w:hideMark/>
          </w:tcPr>
          <w:p w14:paraId="7F53D7A5"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Reference</w:t>
            </w:r>
          </w:p>
        </w:tc>
        <w:tc>
          <w:tcPr>
            <w:tcW w:w="1170" w:type="dxa"/>
            <w:tcBorders>
              <w:top w:val="single" w:sz="4" w:space="0" w:color="auto"/>
              <w:left w:val="nil"/>
              <w:bottom w:val="single" w:sz="4" w:space="0" w:color="auto"/>
              <w:right w:val="single" w:sz="4" w:space="0" w:color="auto"/>
            </w:tcBorders>
            <w:vAlign w:val="bottom"/>
          </w:tcPr>
          <w:p w14:paraId="4E84D106"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xml:space="preserve"> </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5853A53A"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r>
      <w:tr w:rsidR="00AE37A9" w:rsidRPr="0059588A" w14:paraId="27C0CD8B"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5964122B" w14:textId="77777777" w:rsidR="00AE37A9" w:rsidRPr="0059588A" w:rsidRDefault="00AE37A9" w:rsidP="00E547BF">
            <w:pPr>
              <w:spacing w:after="0" w:line="240" w:lineRule="auto"/>
              <w:rPr>
                <w:rFonts w:ascii="Calibri" w:eastAsia="Times New Roman" w:hAnsi="Calibri" w:cs="Calibri"/>
                <w:b/>
                <w:bCs/>
                <w:color w:val="000000"/>
              </w:rPr>
            </w:pPr>
            <w:r w:rsidRPr="0059588A">
              <w:rPr>
                <w:rFonts w:ascii="Calibri" w:eastAsia="Times New Roman" w:hAnsi="Calibri" w:cs="Calibri"/>
                <w:b/>
                <w:bCs/>
                <w:color w:val="000000"/>
              </w:rPr>
              <w:t>R</w:t>
            </w:r>
            <w:r>
              <w:rPr>
                <w:rFonts w:ascii="Calibri" w:eastAsia="Times New Roman" w:hAnsi="Calibri" w:cs="Calibri"/>
                <w:b/>
                <w:bCs/>
                <w:color w:val="000000"/>
              </w:rPr>
              <w:t>ace</w:t>
            </w:r>
          </w:p>
        </w:tc>
        <w:tc>
          <w:tcPr>
            <w:tcW w:w="1350" w:type="dxa"/>
            <w:tcBorders>
              <w:top w:val="nil"/>
              <w:left w:val="nil"/>
              <w:bottom w:val="single" w:sz="4" w:space="0" w:color="auto"/>
              <w:right w:val="single" w:sz="4" w:space="0" w:color="auto"/>
            </w:tcBorders>
            <w:shd w:val="clear" w:color="auto" w:fill="auto"/>
            <w:noWrap/>
            <w:vAlign w:val="bottom"/>
            <w:hideMark/>
          </w:tcPr>
          <w:p w14:paraId="6F19EF9C"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c>
          <w:tcPr>
            <w:tcW w:w="1170" w:type="dxa"/>
            <w:tcBorders>
              <w:top w:val="single" w:sz="4" w:space="0" w:color="auto"/>
              <w:left w:val="nil"/>
              <w:bottom w:val="single" w:sz="4" w:space="0" w:color="auto"/>
              <w:right w:val="single" w:sz="4" w:space="0" w:color="auto"/>
            </w:tcBorders>
            <w:vAlign w:val="bottom"/>
          </w:tcPr>
          <w:p w14:paraId="510A1467"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xml:space="preserve"> </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0ABDA071"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r>
      <w:tr w:rsidR="00AE37A9" w:rsidRPr="0059588A" w14:paraId="4B287B1A"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2A9A13B5"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White</w:t>
            </w:r>
          </w:p>
        </w:tc>
        <w:tc>
          <w:tcPr>
            <w:tcW w:w="1350" w:type="dxa"/>
            <w:tcBorders>
              <w:top w:val="nil"/>
              <w:left w:val="nil"/>
              <w:bottom w:val="single" w:sz="4" w:space="0" w:color="auto"/>
              <w:right w:val="single" w:sz="4" w:space="0" w:color="auto"/>
            </w:tcBorders>
            <w:shd w:val="clear" w:color="auto" w:fill="auto"/>
            <w:noWrap/>
            <w:vAlign w:val="bottom"/>
            <w:hideMark/>
          </w:tcPr>
          <w:p w14:paraId="73F2C1CB"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Reference</w:t>
            </w:r>
          </w:p>
        </w:tc>
        <w:tc>
          <w:tcPr>
            <w:tcW w:w="1170" w:type="dxa"/>
            <w:tcBorders>
              <w:top w:val="single" w:sz="4" w:space="0" w:color="auto"/>
              <w:left w:val="nil"/>
              <w:bottom w:val="single" w:sz="4" w:space="0" w:color="auto"/>
              <w:right w:val="single" w:sz="4" w:space="0" w:color="auto"/>
            </w:tcBorders>
            <w:vAlign w:val="bottom"/>
          </w:tcPr>
          <w:p w14:paraId="43018E0B"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xml:space="preserve"> </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2DB31B3B"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r>
      <w:tr w:rsidR="00AE37A9" w:rsidRPr="0059588A" w14:paraId="22121544"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6B077806"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Black</w:t>
            </w:r>
          </w:p>
        </w:tc>
        <w:tc>
          <w:tcPr>
            <w:tcW w:w="1350" w:type="dxa"/>
            <w:tcBorders>
              <w:top w:val="nil"/>
              <w:left w:val="nil"/>
              <w:bottom w:val="single" w:sz="4" w:space="0" w:color="auto"/>
              <w:right w:val="single" w:sz="4" w:space="0" w:color="auto"/>
            </w:tcBorders>
            <w:shd w:val="clear" w:color="auto" w:fill="auto"/>
            <w:noWrap/>
            <w:vAlign w:val="bottom"/>
            <w:hideMark/>
          </w:tcPr>
          <w:p w14:paraId="18946762"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-0.406</w:t>
            </w:r>
          </w:p>
        </w:tc>
        <w:tc>
          <w:tcPr>
            <w:tcW w:w="1170" w:type="dxa"/>
            <w:tcBorders>
              <w:top w:val="single" w:sz="4" w:space="0" w:color="auto"/>
              <w:left w:val="nil"/>
              <w:bottom w:val="single" w:sz="4" w:space="0" w:color="auto"/>
              <w:right w:val="single" w:sz="4" w:space="0" w:color="auto"/>
            </w:tcBorders>
            <w:vAlign w:val="bottom"/>
          </w:tcPr>
          <w:p w14:paraId="104ECEFB"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0.666</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3A672563"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&lt;.0001</w:t>
            </w:r>
          </w:p>
        </w:tc>
      </w:tr>
      <w:tr w:rsidR="00AE37A9" w:rsidRPr="0059588A" w14:paraId="44BB5C20"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2AC6A46D"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Other</w:t>
            </w:r>
          </w:p>
        </w:tc>
        <w:tc>
          <w:tcPr>
            <w:tcW w:w="1350" w:type="dxa"/>
            <w:tcBorders>
              <w:top w:val="nil"/>
              <w:left w:val="nil"/>
              <w:bottom w:val="single" w:sz="4" w:space="0" w:color="auto"/>
              <w:right w:val="single" w:sz="4" w:space="0" w:color="auto"/>
            </w:tcBorders>
            <w:shd w:val="clear" w:color="auto" w:fill="auto"/>
            <w:vAlign w:val="bottom"/>
            <w:hideMark/>
          </w:tcPr>
          <w:p w14:paraId="219EB175"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0.081</w:t>
            </w:r>
          </w:p>
        </w:tc>
        <w:tc>
          <w:tcPr>
            <w:tcW w:w="1170" w:type="dxa"/>
            <w:tcBorders>
              <w:top w:val="single" w:sz="4" w:space="0" w:color="auto"/>
              <w:left w:val="nil"/>
              <w:bottom w:val="single" w:sz="4" w:space="0" w:color="auto"/>
              <w:right w:val="single" w:sz="4" w:space="0" w:color="auto"/>
            </w:tcBorders>
            <w:vAlign w:val="bottom"/>
          </w:tcPr>
          <w:p w14:paraId="600A9065"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1.085</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10526A0E"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0.126</w:t>
            </w:r>
          </w:p>
        </w:tc>
      </w:tr>
      <w:tr w:rsidR="00AE37A9" w:rsidRPr="0059588A" w14:paraId="32A59E41" w14:textId="77777777" w:rsidTr="00E547BF">
        <w:trPr>
          <w:trHeight w:val="341"/>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62CA0493" w14:textId="77777777" w:rsidR="00AE37A9" w:rsidRPr="0059588A" w:rsidRDefault="00AE37A9" w:rsidP="00E547BF">
            <w:pPr>
              <w:spacing w:after="0" w:line="240" w:lineRule="auto"/>
              <w:rPr>
                <w:rFonts w:ascii="Calibri" w:eastAsia="Times New Roman" w:hAnsi="Calibri" w:cs="Calibri"/>
                <w:b/>
                <w:bCs/>
                <w:color w:val="000000"/>
              </w:rPr>
            </w:pPr>
            <w:r w:rsidRPr="0059588A">
              <w:rPr>
                <w:rFonts w:ascii="Calibri" w:eastAsia="Times New Roman" w:hAnsi="Calibri" w:cs="Calibri"/>
                <w:b/>
                <w:bCs/>
                <w:color w:val="000000"/>
              </w:rPr>
              <w:t>Employment Status (2728)</w:t>
            </w:r>
          </w:p>
        </w:tc>
        <w:tc>
          <w:tcPr>
            <w:tcW w:w="1350" w:type="dxa"/>
            <w:tcBorders>
              <w:top w:val="nil"/>
              <w:left w:val="nil"/>
              <w:bottom w:val="single" w:sz="4" w:space="0" w:color="auto"/>
              <w:right w:val="single" w:sz="4" w:space="0" w:color="auto"/>
            </w:tcBorders>
            <w:shd w:val="clear" w:color="auto" w:fill="auto"/>
            <w:noWrap/>
            <w:vAlign w:val="bottom"/>
            <w:hideMark/>
          </w:tcPr>
          <w:p w14:paraId="7B1E6A25"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c>
          <w:tcPr>
            <w:tcW w:w="1170" w:type="dxa"/>
            <w:tcBorders>
              <w:top w:val="single" w:sz="4" w:space="0" w:color="auto"/>
              <w:left w:val="nil"/>
              <w:bottom w:val="single" w:sz="4" w:space="0" w:color="auto"/>
              <w:right w:val="single" w:sz="4" w:space="0" w:color="auto"/>
            </w:tcBorders>
            <w:vAlign w:val="bottom"/>
          </w:tcPr>
          <w:p w14:paraId="58DAF91D"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xml:space="preserve"> </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6393A81F"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r>
      <w:tr w:rsidR="00AE37A9" w:rsidRPr="0059588A" w14:paraId="20EBE22B"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16B4FA29"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Employed</w:t>
            </w:r>
          </w:p>
        </w:tc>
        <w:tc>
          <w:tcPr>
            <w:tcW w:w="1350" w:type="dxa"/>
            <w:tcBorders>
              <w:top w:val="nil"/>
              <w:left w:val="nil"/>
              <w:bottom w:val="single" w:sz="4" w:space="0" w:color="auto"/>
              <w:right w:val="single" w:sz="4" w:space="0" w:color="auto"/>
            </w:tcBorders>
            <w:shd w:val="clear" w:color="auto" w:fill="auto"/>
            <w:noWrap/>
            <w:vAlign w:val="bottom"/>
            <w:hideMark/>
          </w:tcPr>
          <w:p w14:paraId="37EDA281"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Reference</w:t>
            </w:r>
          </w:p>
        </w:tc>
        <w:tc>
          <w:tcPr>
            <w:tcW w:w="1170" w:type="dxa"/>
            <w:tcBorders>
              <w:top w:val="single" w:sz="4" w:space="0" w:color="auto"/>
              <w:left w:val="nil"/>
              <w:bottom w:val="single" w:sz="4" w:space="0" w:color="auto"/>
              <w:right w:val="single" w:sz="4" w:space="0" w:color="auto"/>
            </w:tcBorders>
            <w:vAlign w:val="bottom"/>
          </w:tcPr>
          <w:p w14:paraId="327FFDC4"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xml:space="preserve"> </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733705F1"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r>
      <w:tr w:rsidR="00AE37A9" w:rsidRPr="0059588A" w14:paraId="66D0A8C4"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14504997"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Unemployed</w:t>
            </w:r>
          </w:p>
        </w:tc>
        <w:tc>
          <w:tcPr>
            <w:tcW w:w="1350" w:type="dxa"/>
            <w:tcBorders>
              <w:top w:val="nil"/>
              <w:left w:val="nil"/>
              <w:bottom w:val="single" w:sz="4" w:space="0" w:color="auto"/>
              <w:right w:val="single" w:sz="4" w:space="0" w:color="auto"/>
            </w:tcBorders>
            <w:shd w:val="clear" w:color="auto" w:fill="auto"/>
            <w:noWrap/>
            <w:vAlign w:val="bottom"/>
            <w:hideMark/>
          </w:tcPr>
          <w:p w14:paraId="6723E1A5"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-0.139</w:t>
            </w:r>
          </w:p>
        </w:tc>
        <w:tc>
          <w:tcPr>
            <w:tcW w:w="1170" w:type="dxa"/>
            <w:tcBorders>
              <w:top w:val="single" w:sz="4" w:space="0" w:color="auto"/>
              <w:left w:val="nil"/>
              <w:bottom w:val="single" w:sz="4" w:space="0" w:color="auto"/>
              <w:right w:val="single" w:sz="4" w:space="0" w:color="auto"/>
            </w:tcBorders>
            <w:vAlign w:val="bottom"/>
          </w:tcPr>
          <w:p w14:paraId="66947532"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0.870</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6860DB79"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&lt;.0001</w:t>
            </w:r>
          </w:p>
        </w:tc>
      </w:tr>
      <w:tr w:rsidR="00AE37A9" w:rsidRPr="0059588A" w14:paraId="63113854"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6DE7520C"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Other</w:t>
            </w:r>
          </w:p>
        </w:tc>
        <w:tc>
          <w:tcPr>
            <w:tcW w:w="1350" w:type="dxa"/>
            <w:tcBorders>
              <w:top w:val="nil"/>
              <w:left w:val="nil"/>
              <w:bottom w:val="single" w:sz="4" w:space="0" w:color="auto"/>
              <w:right w:val="single" w:sz="4" w:space="0" w:color="auto"/>
            </w:tcBorders>
            <w:shd w:val="clear" w:color="auto" w:fill="auto"/>
            <w:noWrap/>
            <w:vAlign w:val="bottom"/>
            <w:hideMark/>
          </w:tcPr>
          <w:p w14:paraId="5E43974F"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-0.172</w:t>
            </w:r>
          </w:p>
        </w:tc>
        <w:tc>
          <w:tcPr>
            <w:tcW w:w="1170" w:type="dxa"/>
            <w:tcBorders>
              <w:top w:val="single" w:sz="4" w:space="0" w:color="auto"/>
              <w:left w:val="nil"/>
              <w:bottom w:val="single" w:sz="4" w:space="0" w:color="auto"/>
              <w:right w:val="single" w:sz="4" w:space="0" w:color="auto"/>
            </w:tcBorders>
            <w:vAlign w:val="bottom"/>
          </w:tcPr>
          <w:p w14:paraId="6210A2C4"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0.842</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334116B7"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&lt;.0001</w:t>
            </w:r>
          </w:p>
        </w:tc>
      </w:tr>
      <w:tr w:rsidR="00AE37A9" w:rsidRPr="0059588A" w14:paraId="44569BE3"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26AAE428" w14:textId="77777777" w:rsidR="00AE37A9" w:rsidRPr="0059588A" w:rsidRDefault="00AE37A9" w:rsidP="00E547BF">
            <w:pPr>
              <w:spacing w:after="0" w:line="240" w:lineRule="auto"/>
              <w:rPr>
                <w:rFonts w:ascii="Calibri" w:eastAsia="Times New Roman" w:hAnsi="Calibri" w:cs="Calibri"/>
                <w:b/>
                <w:bCs/>
                <w:color w:val="000000"/>
              </w:rPr>
            </w:pPr>
            <w:r w:rsidRPr="0059588A">
              <w:rPr>
                <w:rFonts w:ascii="Calibri" w:eastAsia="Times New Roman" w:hAnsi="Calibri" w:cs="Calibri"/>
                <w:b/>
                <w:bCs/>
                <w:color w:val="000000"/>
              </w:rPr>
              <w:t>Medicare Coverage</w:t>
            </w:r>
          </w:p>
        </w:tc>
        <w:tc>
          <w:tcPr>
            <w:tcW w:w="1350" w:type="dxa"/>
            <w:tcBorders>
              <w:top w:val="nil"/>
              <w:left w:val="nil"/>
              <w:bottom w:val="single" w:sz="4" w:space="0" w:color="auto"/>
              <w:right w:val="single" w:sz="4" w:space="0" w:color="auto"/>
            </w:tcBorders>
            <w:shd w:val="clear" w:color="auto" w:fill="auto"/>
            <w:noWrap/>
            <w:vAlign w:val="bottom"/>
            <w:hideMark/>
          </w:tcPr>
          <w:p w14:paraId="04FF8CC1"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c>
          <w:tcPr>
            <w:tcW w:w="1170" w:type="dxa"/>
            <w:tcBorders>
              <w:top w:val="single" w:sz="4" w:space="0" w:color="auto"/>
              <w:left w:val="nil"/>
              <w:bottom w:val="single" w:sz="4" w:space="0" w:color="auto"/>
              <w:right w:val="single" w:sz="4" w:space="0" w:color="auto"/>
            </w:tcBorders>
            <w:vAlign w:val="bottom"/>
          </w:tcPr>
          <w:p w14:paraId="5AC780C2"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xml:space="preserve"> </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32A3789B"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r>
      <w:tr w:rsidR="00AE37A9" w:rsidRPr="0059588A" w14:paraId="112A857D" w14:textId="77777777" w:rsidTr="00E547BF">
        <w:trPr>
          <w:trHeight w:val="323"/>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49A73B8A"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Medicare as primary without Medicaid</w:t>
            </w:r>
          </w:p>
        </w:tc>
        <w:tc>
          <w:tcPr>
            <w:tcW w:w="1350" w:type="dxa"/>
            <w:tcBorders>
              <w:top w:val="nil"/>
              <w:left w:val="nil"/>
              <w:bottom w:val="single" w:sz="4" w:space="0" w:color="auto"/>
              <w:right w:val="single" w:sz="4" w:space="0" w:color="auto"/>
            </w:tcBorders>
            <w:shd w:val="clear" w:color="auto" w:fill="auto"/>
            <w:noWrap/>
            <w:vAlign w:val="bottom"/>
            <w:hideMark/>
          </w:tcPr>
          <w:p w14:paraId="2FA40270"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Reference</w:t>
            </w:r>
          </w:p>
        </w:tc>
        <w:tc>
          <w:tcPr>
            <w:tcW w:w="1170" w:type="dxa"/>
            <w:tcBorders>
              <w:top w:val="single" w:sz="4" w:space="0" w:color="auto"/>
              <w:left w:val="nil"/>
              <w:bottom w:val="single" w:sz="4" w:space="0" w:color="auto"/>
              <w:right w:val="single" w:sz="4" w:space="0" w:color="auto"/>
            </w:tcBorders>
            <w:vAlign w:val="bottom"/>
          </w:tcPr>
          <w:p w14:paraId="41FE4C58"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xml:space="preserve"> </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53C394A6"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r>
      <w:tr w:rsidR="00AE37A9" w:rsidRPr="0059588A" w14:paraId="4FA18617"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noWrap/>
            <w:vAlign w:val="center"/>
            <w:hideMark/>
          </w:tcPr>
          <w:p w14:paraId="274FD671"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Medicare as primary with Medicaid</w:t>
            </w:r>
          </w:p>
        </w:tc>
        <w:tc>
          <w:tcPr>
            <w:tcW w:w="1350" w:type="dxa"/>
            <w:tcBorders>
              <w:top w:val="nil"/>
              <w:left w:val="nil"/>
              <w:bottom w:val="single" w:sz="4" w:space="0" w:color="auto"/>
              <w:right w:val="single" w:sz="4" w:space="0" w:color="auto"/>
            </w:tcBorders>
            <w:shd w:val="clear" w:color="auto" w:fill="auto"/>
            <w:noWrap/>
            <w:vAlign w:val="bottom"/>
            <w:hideMark/>
          </w:tcPr>
          <w:p w14:paraId="3CE27236"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-0.008</w:t>
            </w:r>
          </w:p>
        </w:tc>
        <w:tc>
          <w:tcPr>
            <w:tcW w:w="1170" w:type="dxa"/>
            <w:tcBorders>
              <w:top w:val="single" w:sz="4" w:space="0" w:color="auto"/>
              <w:left w:val="nil"/>
              <w:bottom w:val="single" w:sz="4" w:space="0" w:color="auto"/>
              <w:right w:val="single" w:sz="4" w:space="0" w:color="auto"/>
            </w:tcBorders>
            <w:vAlign w:val="bottom"/>
          </w:tcPr>
          <w:p w14:paraId="56444E31"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0.992</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1578A012"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0.770</w:t>
            </w:r>
          </w:p>
        </w:tc>
      </w:tr>
      <w:tr w:rsidR="00AE37A9" w:rsidRPr="0059588A" w14:paraId="1AE0B1EA"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02A1F900"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 xml:space="preserve">Medicare as secondary or </w:t>
            </w:r>
            <w:r w:rsidRPr="0059588A">
              <w:rPr>
                <w:rFonts w:ascii="Calibri" w:eastAsia="Calibri" w:hAnsi="Calibri" w:cs="Calibri"/>
                <w:sz w:val="20"/>
                <w:szCs w:val="20"/>
                <w:shd w:val="clear" w:color="auto" w:fill="FFFFFF"/>
              </w:rPr>
              <w:t>Medicare HMO</w:t>
            </w:r>
          </w:p>
        </w:tc>
        <w:tc>
          <w:tcPr>
            <w:tcW w:w="1350" w:type="dxa"/>
            <w:tcBorders>
              <w:top w:val="nil"/>
              <w:left w:val="nil"/>
              <w:bottom w:val="single" w:sz="4" w:space="0" w:color="auto"/>
              <w:right w:val="single" w:sz="4" w:space="0" w:color="auto"/>
            </w:tcBorders>
            <w:shd w:val="clear" w:color="auto" w:fill="auto"/>
            <w:vAlign w:val="bottom"/>
            <w:hideMark/>
          </w:tcPr>
          <w:p w14:paraId="1ADA23E8"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0.044</w:t>
            </w:r>
          </w:p>
        </w:tc>
        <w:tc>
          <w:tcPr>
            <w:tcW w:w="1170" w:type="dxa"/>
            <w:tcBorders>
              <w:top w:val="single" w:sz="4" w:space="0" w:color="auto"/>
              <w:left w:val="nil"/>
              <w:bottom w:val="single" w:sz="4" w:space="0" w:color="auto"/>
              <w:right w:val="single" w:sz="4" w:space="0" w:color="auto"/>
            </w:tcBorders>
            <w:vAlign w:val="bottom"/>
          </w:tcPr>
          <w:p w14:paraId="3DA049E2"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1.045</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493F4256"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0.135</w:t>
            </w:r>
          </w:p>
        </w:tc>
      </w:tr>
      <w:tr w:rsidR="00AE37A9" w:rsidRPr="0059588A" w14:paraId="078ED6E8"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39161B3A"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Non-Medicare/missing</w:t>
            </w:r>
          </w:p>
        </w:tc>
        <w:tc>
          <w:tcPr>
            <w:tcW w:w="1350" w:type="dxa"/>
            <w:tcBorders>
              <w:top w:val="nil"/>
              <w:left w:val="nil"/>
              <w:bottom w:val="single" w:sz="4" w:space="0" w:color="auto"/>
              <w:right w:val="single" w:sz="4" w:space="0" w:color="auto"/>
            </w:tcBorders>
            <w:shd w:val="clear" w:color="auto" w:fill="auto"/>
            <w:noWrap/>
            <w:vAlign w:val="bottom"/>
            <w:hideMark/>
          </w:tcPr>
          <w:p w14:paraId="201F42E9"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-0.212</w:t>
            </w:r>
          </w:p>
        </w:tc>
        <w:tc>
          <w:tcPr>
            <w:tcW w:w="1170" w:type="dxa"/>
            <w:tcBorders>
              <w:top w:val="single" w:sz="4" w:space="0" w:color="auto"/>
              <w:left w:val="nil"/>
              <w:bottom w:val="single" w:sz="4" w:space="0" w:color="auto"/>
              <w:right w:val="single" w:sz="4" w:space="0" w:color="auto"/>
            </w:tcBorders>
            <w:vAlign w:val="bottom"/>
          </w:tcPr>
          <w:p w14:paraId="6A569904"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0.809</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17392D62"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&lt;.0001</w:t>
            </w:r>
          </w:p>
        </w:tc>
      </w:tr>
      <w:tr w:rsidR="00AE37A9" w:rsidRPr="0059588A" w14:paraId="57385406"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noWrap/>
            <w:vAlign w:val="center"/>
            <w:hideMark/>
          </w:tcPr>
          <w:p w14:paraId="0DD72EA4" w14:textId="77777777" w:rsidR="00AE37A9" w:rsidRPr="0059588A" w:rsidRDefault="00AE37A9" w:rsidP="00E547BF">
            <w:pPr>
              <w:spacing w:after="0" w:line="240" w:lineRule="auto"/>
              <w:rPr>
                <w:rFonts w:ascii="Calibri" w:eastAsia="Times New Roman" w:hAnsi="Calibri" w:cs="Calibri"/>
                <w:b/>
                <w:bCs/>
                <w:color w:val="000000"/>
              </w:rPr>
            </w:pPr>
            <w:r w:rsidRPr="0059588A">
              <w:rPr>
                <w:rFonts w:ascii="Calibri" w:eastAsia="Times New Roman" w:hAnsi="Calibri" w:cs="Calibri"/>
                <w:b/>
                <w:bCs/>
                <w:color w:val="000000"/>
              </w:rPr>
              <w:t>ADI (zipcode_level)</w:t>
            </w:r>
          </w:p>
        </w:tc>
        <w:tc>
          <w:tcPr>
            <w:tcW w:w="1350" w:type="dxa"/>
            <w:tcBorders>
              <w:top w:val="nil"/>
              <w:left w:val="nil"/>
              <w:bottom w:val="single" w:sz="4" w:space="0" w:color="auto"/>
              <w:right w:val="single" w:sz="4" w:space="0" w:color="auto"/>
            </w:tcBorders>
            <w:shd w:val="clear" w:color="auto" w:fill="auto"/>
            <w:noWrap/>
            <w:vAlign w:val="bottom"/>
            <w:hideMark/>
          </w:tcPr>
          <w:p w14:paraId="13251170"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c>
          <w:tcPr>
            <w:tcW w:w="1170" w:type="dxa"/>
            <w:tcBorders>
              <w:top w:val="single" w:sz="4" w:space="0" w:color="auto"/>
              <w:left w:val="nil"/>
              <w:bottom w:val="single" w:sz="4" w:space="0" w:color="auto"/>
              <w:right w:val="single" w:sz="4" w:space="0" w:color="auto"/>
            </w:tcBorders>
            <w:vAlign w:val="bottom"/>
          </w:tcPr>
          <w:p w14:paraId="101AB096"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xml:space="preserve"> </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6AF51520"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 </w:t>
            </w:r>
          </w:p>
        </w:tc>
      </w:tr>
      <w:tr w:rsidR="00AE37A9" w:rsidRPr="0059588A" w14:paraId="3C63E33D"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26FC5D7F"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Unemployment rate (%)</w:t>
            </w:r>
          </w:p>
        </w:tc>
        <w:tc>
          <w:tcPr>
            <w:tcW w:w="1350" w:type="dxa"/>
            <w:tcBorders>
              <w:top w:val="nil"/>
              <w:left w:val="nil"/>
              <w:bottom w:val="single" w:sz="4" w:space="0" w:color="auto"/>
              <w:right w:val="single" w:sz="4" w:space="0" w:color="auto"/>
            </w:tcBorders>
            <w:shd w:val="clear" w:color="auto" w:fill="auto"/>
            <w:vAlign w:val="bottom"/>
            <w:hideMark/>
          </w:tcPr>
          <w:p w14:paraId="3A9B9985"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0.003</w:t>
            </w:r>
          </w:p>
        </w:tc>
        <w:tc>
          <w:tcPr>
            <w:tcW w:w="1170" w:type="dxa"/>
            <w:tcBorders>
              <w:top w:val="single" w:sz="4" w:space="0" w:color="auto"/>
              <w:left w:val="nil"/>
              <w:bottom w:val="single" w:sz="4" w:space="0" w:color="auto"/>
              <w:right w:val="single" w:sz="4" w:space="0" w:color="auto"/>
            </w:tcBorders>
            <w:vAlign w:val="bottom"/>
          </w:tcPr>
          <w:p w14:paraId="7E5D489F"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1.003</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5BB7FCA3"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0.688</w:t>
            </w:r>
          </w:p>
        </w:tc>
      </w:tr>
      <w:tr w:rsidR="00AE37A9" w:rsidRPr="0059588A" w14:paraId="2C9114C2" w14:textId="77777777" w:rsidTr="00E547BF">
        <w:trPr>
          <w:trHeight w:val="288"/>
        </w:trPr>
        <w:tc>
          <w:tcPr>
            <w:tcW w:w="4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175D2"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Median family income</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3BE1F140"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-0.005</w:t>
            </w:r>
          </w:p>
        </w:tc>
        <w:tc>
          <w:tcPr>
            <w:tcW w:w="1170" w:type="dxa"/>
            <w:tcBorders>
              <w:top w:val="single" w:sz="4" w:space="0" w:color="auto"/>
              <w:left w:val="nil"/>
              <w:bottom w:val="single" w:sz="4" w:space="0" w:color="auto"/>
              <w:right w:val="single" w:sz="4" w:space="0" w:color="auto"/>
            </w:tcBorders>
            <w:vAlign w:val="bottom"/>
          </w:tcPr>
          <w:p w14:paraId="65F0F6AB"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0.995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33F6D4"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0.695</w:t>
            </w:r>
          </w:p>
        </w:tc>
      </w:tr>
      <w:tr w:rsidR="00AE37A9" w:rsidRPr="0059588A" w14:paraId="488E3EE8" w14:textId="77777777" w:rsidTr="00E547BF">
        <w:trPr>
          <w:trHeight w:val="305"/>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54D625F9"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Families below the poverty level (%)</w:t>
            </w:r>
          </w:p>
        </w:tc>
        <w:tc>
          <w:tcPr>
            <w:tcW w:w="1350" w:type="dxa"/>
            <w:tcBorders>
              <w:top w:val="nil"/>
              <w:left w:val="nil"/>
              <w:bottom w:val="single" w:sz="4" w:space="0" w:color="auto"/>
              <w:right w:val="single" w:sz="4" w:space="0" w:color="auto"/>
            </w:tcBorders>
            <w:shd w:val="clear" w:color="auto" w:fill="auto"/>
            <w:noWrap/>
            <w:vAlign w:val="bottom"/>
            <w:hideMark/>
          </w:tcPr>
          <w:p w14:paraId="367BB6F2"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0.001</w:t>
            </w:r>
          </w:p>
        </w:tc>
        <w:tc>
          <w:tcPr>
            <w:tcW w:w="1170" w:type="dxa"/>
            <w:tcBorders>
              <w:top w:val="single" w:sz="4" w:space="0" w:color="auto"/>
              <w:left w:val="nil"/>
              <w:bottom w:val="single" w:sz="4" w:space="0" w:color="auto"/>
              <w:right w:val="single" w:sz="4" w:space="0" w:color="auto"/>
            </w:tcBorders>
            <w:vAlign w:val="bottom"/>
          </w:tcPr>
          <w:p w14:paraId="4326348F"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1.001</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2BBB3934"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0.861</w:t>
            </w:r>
          </w:p>
        </w:tc>
      </w:tr>
      <w:tr w:rsidR="00AE37A9" w:rsidRPr="0059588A" w14:paraId="4C22CA9F" w14:textId="77777777" w:rsidTr="00E547BF">
        <w:trPr>
          <w:trHeight w:val="260"/>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14101AE8"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Single-parent households w/ children &lt;18 (%)</w:t>
            </w:r>
          </w:p>
        </w:tc>
        <w:tc>
          <w:tcPr>
            <w:tcW w:w="1350" w:type="dxa"/>
            <w:tcBorders>
              <w:top w:val="nil"/>
              <w:left w:val="nil"/>
              <w:bottom w:val="single" w:sz="4" w:space="0" w:color="auto"/>
              <w:right w:val="single" w:sz="4" w:space="0" w:color="auto"/>
            </w:tcBorders>
            <w:shd w:val="clear" w:color="auto" w:fill="auto"/>
            <w:noWrap/>
            <w:vAlign w:val="bottom"/>
            <w:hideMark/>
          </w:tcPr>
          <w:p w14:paraId="48E4FAD7"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-0.001</w:t>
            </w:r>
          </w:p>
        </w:tc>
        <w:tc>
          <w:tcPr>
            <w:tcW w:w="1170" w:type="dxa"/>
            <w:tcBorders>
              <w:top w:val="single" w:sz="4" w:space="0" w:color="auto"/>
              <w:left w:val="nil"/>
              <w:bottom w:val="single" w:sz="4" w:space="0" w:color="auto"/>
              <w:right w:val="single" w:sz="4" w:space="0" w:color="auto"/>
            </w:tcBorders>
            <w:vAlign w:val="bottom"/>
          </w:tcPr>
          <w:p w14:paraId="1377EBAA"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0.999</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7A989F43"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0.590</w:t>
            </w:r>
          </w:p>
        </w:tc>
      </w:tr>
      <w:tr w:rsidR="00AE37A9" w:rsidRPr="0059588A" w14:paraId="3CF8F545" w14:textId="77777777" w:rsidTr="00E547BF">
        <w:trPr>
          <w:trHeight w:val="251"/>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6DC40436"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Home ownership rate (%)</w:t>
            </w:r>
          </w:p>
        </w:tc>
        <w:tc>
          <w:tcPr>
            <w:tcW w:w="1350" w:type="dxa"/>
            <w:tcBorders>
              <w:top w:val="nil"/>
              <w:left w:val="nil"/>
              <w:bottom w:val="single" w:sz="4" w:space="0" w:color="auto"/>
              <w:right w:val="single" w:sz="4" w:space="0" w:color="auto"/>
            </w:tcBorders>
            <w:shd w:val="clear" w:color="auto" w:fill="auto"/>
            <w:noWrap/>
            <w:vAlign w:val="bottom"/>
            <w:hideMark/>
          </w:tcPr>
          <w:p w14:paraId="13E26C47"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0.000</w:t>
            </w:r>
          </w:p>
        </w:tc>
        <w:tc>
          <w:tcPr>
            <w:tcW w:w="1170" w:type="dxa"/>
            <w:tcBorders>
              <w:top w:val="single" w:sz="4" w:space="0" w:color="auto"/>
              <w:left w:val="nil"/>
              <w:bottom w:val="single" w:sz="4" w:space="0" w:color="auto"/>
              <w:right w:val="single" w:sz="4" w:space="0" w:color="auto"/>
            </w:tcBorders>
            <w:vAlign w:val="bottom"/>
          </w:tcPr>
          <w:p w14:paraId="70609F8E"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1.000</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45D5FA87"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0.929</w:t>
            </w:r>
          </w:p>
        </w:tc>
      </w:tr>
      <w:tr w:rsidR="00AE37A9" w:rsidRPr="0059588A" w14:paraId="35A5DA45"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35E624F2"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Median home value</w:t>
            </w:r>
          </w:p>
        </w:tc>
        <w:tc>
          <w:tcPr>
            <w:tcW w:w="1350" w:type="dxa"/>
            <w:tcBorders>
              <w:top w:val="nil"/>
              <w:left w:val="nil"/>
              <w:bottom w:val="single" w:sz="4" w:space="0" w:color="auto"/>
              <w:right w:val="single" w:sz="4" w:space="0" w:color="auto"/>
            </w:tcBorders>
            <w:shd w:val="clear" w:color="auto" w:fill="auto"/>
            <w:vAlign w:val="bottom"/>
            <w:hideMark/>
          </w:tcPr>
          <w:p w14:paraId="59241953"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0.004</w:t>
            </w:r>
          </w:p>
        </w:tc>
        <w:tc>
          <w:tcPr>
            <w:tcW w:w="1170" w:type="dxa"/>
            <w:tcBorders>
              <w:top w:val="single" w:sz="4" w:space="0" w:color="auto"/>
              <w:left w:val="nil"/>
              <w:bottom w:val="single" w:sz="4" w:space="0" w:color="auto"/>
              <w:right w:val="single" w:sz="4" w:space="0" w:color="auto"/>
            </w:tcBorders>
            <w:vAlign w:val="bottom"/>
          </w:tcPr>
          <w:p w14:paraId="58EC74F2"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0.948</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024F420F"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0.871</w:t>
            </w:r>
          </w:p>
        </w:tc>
      </w:tr>
      <w:tr w:rsidR="00AE37A9" w:rsidRPr="0059588A" w14:paraId="211972F6" w14:textId="77777777" w:rsidTr="00E547BF">
        <w:trPr>
          <w:trHeight w:val="233"/>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36B351FA"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Median monthly mortgage</w:t>
            </w:r>
          </w:p>
        </w:tc>
        <w:tc>
          <w:tcPr>
            <w:tcW w:w="1350" w:type="dxa"/>
            <w:tcBorders>
              <w:top w:val="nil"/>
              <w:left w:val="nil"/>
              <w:bottom w:val="single" w:sz="4" w:space="0" w:color="auto"/>
              <w:right w:val="single" w:sz="4" w:space="0" w:color="auto"/>
            </w:tcBorders>
            <w:shd w:val="clear" w:color="auto" w:fill="auto"/>
            <w:noWrap/>
            <w:vAlign w:val="bottom"/>
            <w:hideMark/>
          </w:tcPr>
          <w:p w14:paraId="185CA430"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-0.002</w:t>
            </w:r>
          </w:p>
        </w:tc>
        <w:tc>
          <w:tcPr>
            <w:tcW w:w="1170" w:type="dxa"/>
            <w:tcBorders>
              <w:top w:val="single" w:sz="4" w:space="0" w:color="auto"/>
              <w:left w:val="nil"/>
              <w:bottom w:val="single" w:sz="4" w:space="0" w:color="auto"/>
              <w:right w:val="single" w:sz="4" w:space="0" w:color="auto"/>
            </w:tcBorders>
            <w:vAlign w:val="bottom"/>
          </w:tcPr>
          <w:p w14:paraId="35137A0A"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0.998</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473D98BD"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0.981</w:t>
            </w:r>
          </w:p>
        </w:tc>
      </w:tr>
      <w:tr w:rsidR="00AE37A9" w:rsidRPr="0059588A" w14:paraId="0BC47074"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685C1B36"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Median gross rent</w:t>
            </w:r>
          </w:p>
        </w:tc>
        <w:tc>
          <w:tcPr>
            <w:tcW w:w="1350" w:type="dxa"/>
            <w:tcBorders>
              <w:top w:val="nil"/>
              <w:left w:val="nil"/>
              <w:bottom w:val="single" w:sz="4" w:space="0" w:color="auto"/>
              <w:right w:val="single" w:sz="4" w:space="0" w:color="auto"/>
            </w:tcBorders>
            <w:shd w:val="clear" w:color="auto" w:fill="auto"/>
            <w:noWrap/>
            <w:vAlign w:val="bottom"/>
            <w:hideMark/>
          </w:tcPr>
          <w:p w14:paraId="308CCA46"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-0.037</w:t>
            </w:r>
          </w:p>
        </w:tc>
        <w:tc>
          <w:tcPr>
            <w:tcW w:w="1170" w:type="dxa"/>
            <w:tcBorders>
              <w:top w:val="single" w:sz="4" w:space="0" w:color="auto"/>
              <w:left w:val="nil"/>
              <w:bottom w:val="single" w:sz="4" w:space="0" w:color="auto"/>
              <w:right w:val="single" w:sz="4" w:space="0" w:color="auto"/>
            </w:tcBorders>
            <w:vAlign w:val="bottom"/>
          </w:tcPr>
          <w:p w14:paraId="2438A93C"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0.964</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2CC1396A"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0.680</w:t>
            </w:r>
          </w:p>
        </w:tc>
      </w:tr>
      <w:tr w:rsidR="00AE37A9" w:rsidRPr="0059588A" w14:paraId="44291D99" w14:textId="77777777" w:rsidTr="00E547BF">
        <w:trPr>
          <w:trHeight w:val="269"/>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0A1AB68F"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lastRenderedPageBreak/>
              <w:t>Population (aged 25+) without High School diploma (%)</w:t>
            </w:r>
          </w:p>
        </w:tc>
        <w:tc>
          <w:tcPr>
            <w:tcW w:w="1350" w:type="dxa"/>
            <w:tcBorders>
              <w:top w:val="nil"/>
              <w:left w:val="nil"/>
              <w:bottom w:val="single" w:sz="4" w:space="0" w:color="auto"/>
              <w:right w:val="single" w:sz="4" w:space="0" w:color="auto"/>
            </w:tcBorders>
            <w:shd w:val="clear" w:color="auto" w:fill="auto"/>
            <w:vAlign w:val="bottom"/>
            <w:hideMark/>
          </w:tcPr>
          <w:p w14:paraId="3DDA4A11"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0.002</w:t>
            </w:r>
          </w:p>
        </w:tc>
        <w:tc>
          <w:tcPr>
            <w:tcW w:w="1170" w:type="dxa"/>
            <w:tcBorders>
              <w:top w:val="single" w:sz="4" w:space="0" w:color="auto"/>
              <w:left w:val="nil"/>
              <w:bottom w:val="single" w:sz="4" w:space="0" w:color="auto"/>
              <w:right w:val="single" w:sz="4" w:space="0" w:color="auto"/>
            </w:tcBorders>
            <w:vAlign w:val="bottom"/>
          </w:tcPr>
          <w:p w14:paraId="7A5837E7"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1.002</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25658EEF"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0.589</w:t>
            </w:r>
          </w:p>
        </w:tc>
      </w:tr>
      <w:tr w:rsidR="00AE37A9" w:rsidRPr="0059588A" w14:paraId="73E9C410" w14:textId="77777777" w:rsidTr="00E547BF">
        <w:trPr>
          <w:trHeight w:val="288"/>
        </w:trPr>
        <w:tc>
          <w:tcPr>
            <w:tcW w:w="4407" w:type="dxa"/>
            <w:tcBorders>
              <w:top w:val="nil"/>
              <w:left w:val="single" w:sz="4" w:space="0" w:color="auto"/>
              <w:bottom w:val="single" w:sz="4" w:space="0" w:color="auto"/>
              <w:right w:val="single" w:sz="4" w:space="0" w:color="auto"/>
            </w:tcBorders>
            <w:shd w:val="clear" w:color="auto" w:fill="auto"/>
            <w:vAlign w:val="center"/>
            <w:hideMark/>
          </w:tcPr>
          <w:p w14:paraId="786147F3" w14:textId="77777777" w:rsidR="00AE37A9" w:rsidRPr="0059588A" w:rsidRDefault="00AE37A9" w:rsidP="00E547BF">
            <w:pPr>
              <w:spacing w:after="0" w:line="240" w:lineRule="auto"/>
              <w:rPr>
                <w:rFonts w:ascii="Calibri" w:eastAsia="Times New Roman" w:hAnsi="Calibri" w:cs="Calibri"/>
                <w:color w:val="000000"/>
              </w:rPr>
            </w:pPr>
            <w:r w:rsidRPr="0059588A">
              <w:rPr>
                <w:rFonts w:ascii="Calibri" w:eastAsia="Times New Roman" w:hAnsi="Calibri" w:cs="Calibri"/>
                <w:color w:val="000000"/>
              </w:rPr>
              <w:t>Income disparity</w:t>
            </w:r>
          </w:p>
        </w:tc>
        <w:tc>
          <w:tcPr>
            <w:tcW w:w="1350" w:type="dxa"/>
            <w:tcBorders>
              <w:top w:val="nil"/>
              <w:left w:val="nil"/>
              <w:bottom w:val="single" w:sz="4" w:space="0" w:color="auto"/>
              <w:right w:val="single" w:sz="4" w:space="0" w:color="auto"/>
            </w:tcBorders>
            <w:shd w:val="clear" w:color="auto" w:fill="auto"/>
            <w:noWrap/>
            <w:vAlign w:val="bottom"/>
            <w:hideMark/>
          </w:tcPr>
          <w:p w14:paraId="47123F85"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-0.026</w:t>
            </w:r>
          </w:p>
        </w:tc>
        <w:tc>
          <w:tcPr>
            <w:tcW w:w="1170" w:type="dxa"/>
            <w:tcBorders>
              <w:top w:val="single" w:sz="4" w:space="0" w:color="auto"/>
              <w:left w:val="nil"/>
              <w:bottom w:val="single" w:sz="4" w:space="0" w:color="auto"/>
              <w:right w:val="single" w:sz="4" w:space="0" w:color="auto"/>
            </w:tcBorders>
            <w:vAlign w:val="bottom"/>
          </w:tcPr>
          <w:p w14:paraId="221BB01A"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0.975</w:t>
            </w:r>
          </w:p>
        </w:tc>
        <w:tc>
          <w:tcPr>
            <w:tcW w:w="1170" w:type="dxa"/>
            <w:tcBorders>
              <w:top w:val="nil"/>
              <w:left w:val="single" w:sz="4" w:space="0" w:color="auto"/>
              <w:bottom w:val="single" w:sz="4" w:space="0" w:color="auto"/>
              <w:right w:val="single" w:sz="4" w:space="0" w:color="auto"/>
            </w:tcBorders>
            <w:shd w:val="clear" w:color="auto" w:fill="auto"/>
            <w:vAlign w:val="bottom"/>
            <w:hideMark/>
          </w:tcPr>
          <w:p w14:paraId="1B3FA6AC" w14:textId="77777777" w:rsidR="00AE37A9" w:rsidRPr="0059588A" w:rsidRDefault="00AE37A9" w:rsidP="00E547BF">
            <w:pPr>
              <w:spacing w:after="0" w:line="240" w:lineRule="auto"/>
              <w:jc w:val="center"/>
              <w:rPr>
                <w:rFonts w:ascii="Calibri" w:eastAsia="Times New Roman" w:hAnsi="Calibri" w:cs="Calibri"/>
                <w:color w:val="000000"/>
              </w:rPr>
            </w:pPr>
            <w:r w:rsidRPr="0059588A">
              <w:rPr>
                <w:rFonts w:ascii="Calibri" w:eastAsia="SimSun" w:hAnsi="Calibri" w:cs="Calibri"/>
                <w:color w:val="000000"/>
              </w:rPr>
              <w:t>0.434</w:t>
            </w:r>
          </w:p>
        </w:tc>
      </w:tr>
    </w:tbl>
    <w:p w14:paraId="6A1380C3" w14:textId="77777777" w:rsidR="00AE37A9" w:rsidRPr="0059588A" w:rsidRDefault="00AE37A9" w:rsidP="00AE37A9">
      <w:pPr>
        <w:rPr>
          <w:rFonts w:ascii="Calibri" w:eastAsia="SimSun" w:hAnsi="Calibri" w:cs="Times New Roman"/>
        </w:rPr>
      </w:pPr>
    </w:p>
    <w:p w14:paraId="093FA8DC" w14:textId="77777777" w:rsidR="00AE37A9" w:rsidRPr="0059588A" w:rsidRDefault="00AE37A9" w:rsidP="00AE37A9">
      <w:pPr>
        <w:rPr>
          <w:rFonts w:ascii="Calibri" w:eastAsia="SimSun" w:hAnsi="Calibri" w:cs="Calibri"/>
        </w:rPr>
      </w:pPr>
      <w:r w:rsidRPr="0059588A">
        <w:rPr>
          <w:rFonts w:ascii="Calibri" w:eastAsia="SimSun" w:hAnsi="Calibri" w:cs="Times New Roman"/>
        </w:rPr>
        <w:t>Patient-level SDS/SES:</w:t>
      </w:r>
      <w:r w:rsidRPr="0059588A">
        <w:rPr>
          <w:rFonts w:ascii="Calibri" w:eastAsia="SimSun" w:hAnsi="Calibri" w:cs="Times New Roman"/>
          <w:b/>
        </w:rPr>
        <w:t xml:space="preserve"> </w:t>
      </w:r>
      <w:r w:rsidRPr="0059588A">
        <w:rPr>
          <w:rFonts w:ascii="Calibri" w:eastAsia="SimSun" w:hAnsi="Calibri" w:cs="Calibri"/>
        </w:rPr>
        <w:t xml:space="preserve">Compared to males, females were less likely to have </w:t>
      </w:r>
      <w:r w:rsidRPr="0059588A">
        <w:rPr>
          <w:rFonts w:ascii="Calibri" w:eastAsia="Calibri" w:hAnsi="Calibri" w:cs="Arial"/>
          <w:bCs/>
          <w:szCs w:val="28"/>
        </w:rPr>
        <w:t>an autogenous arteriovenous fistula (AVF)</w:t>
      </w:r>
      <w:r w:rsidRPr="0059588A">
        <w:rPr>
          <w:rFonts w:ascii="Calibri" w:eastAsia="SimSun" w:hAnsi="Calibri" w:cs="Calibri"/>
        </w:rPr>
        <w:t xml:space="preserve"> (OR=0.52; </w:t>
      </w:r>
      <w:r w:rsidRPr="0059588A">
        <w:rPr>
          <w:rFonts w:ascii="Calibri" w:eastAsia="SimSun" w:hAnsi="Calibri" w:cs="Calibri"/>
          <w:i/>
        </w:rPr>
        <w:t>p</w:t>
      </w:r>
      <w:r w:rsidRPr="0059588A">
        <w:rPr>
          <w:rFonts w:ascii="Calibri" w:eastAsia="SimSun" w:hAnsi="Calibri" w:cs="Calibri"/>
        </w:rPr>
        <w:t xml:space="preserve">&lt;0.01). </w:t>
      </w:r>
      <w:r w:rsidRPr="0059588A">
        <w:rPr>
          <w:rFonts w:ascii="Calibri" w:eastAsia="Times New Roman" w:hAnsi="Calibri" w:cs="Calibri"/>
          <w:color w:val="000000"/>
        </w:rPr>
        <w:t xml:space="preserve">Hispanics </w:t>
      </w:r>
      <w:r w:rsidRPr="0059588A">
        <w:rPr>
          <w:rFonts w:ascii="Calibri" w:eastAsia="SimSun" w:hAnsi="Calibri" w:cs="Calibri"/>
        </w:rPr>
        <w:t xml:space="preserve">were more likely to have an AVF (OR=1.17; </w:t>
      </w:r>
      <w:r w:rsidRPr="0059588A">
        <w:rPr>
          <w:rFonts w:ascii="Calibri" w:eastAsia="SimSun" w:hAnsi="Calibri" w:cs="Calibri"/>
          <w:i/>
        </w:rPr>
        <w:t>p</w:t>
      </w:r>
      <w:r w:rsidRPr="0059588A">
        <w:rPr>
          <w:rFonts w:ascii="Calibri" w:eastAsia="SimSun" w:hAnsi="Calibri" w:cs="Calibri"/>
        </w:rPr>
        <w:t>&lt;0.01), compared to non-</w:t>
      </w:r>
      <w:r w:rsidRPr="0059588A">
        <w:rPr>
          <w:rFonts w:ascii="Calibri" w:eastAsia="Times New Roman" w:hAnsi="Calibri" w:cs="Calibri"/>
          <w:color w:val="000000"/>
        </w:rPr>
        <w:t xml:space="preserve">Hispanics. </w:t>
      </w:r>
      <w:r w:rsidRPr="0059588A">
        <w:rPr>
          <w:rFonts w:ascii="Calibri" w:eastAsia="SimSun" w:hAnsi="Calibri" w:cs="Calibri"/>
        </w:rPr>
        <w:t xml:space="preserve">Compared to white patients, black patients were less likely to have an AVF (OR=0.67, </w:t>
      </w:r>
      <w:r w:rsidRPr="0059588A">
        <w:rPr>
          <w:rFonts w:ascii="Calibri" w:eastAsia="SimSun" w:hAnsi="Calibri" w:cs="Calibri"/>
          <w:i/>
        </w:rPr>
        <w:t>p</w:t>
      </w:r>
      <w:r w:rsidRPr="0059588A">
        <w:rPr>
          <w:rFonts w:ascii="Calibri" w:eastAsia="SimSun" w:hAnsi="Calibri" w:cs="Calibri"/>
        </w:rPr>
        <w:t xml:space="preserve">&lt;0.01). As for employment status, unemployed and other patients were less likely to have an AVF (OR=0.87; </w:t>
      </w:r>
      <w:r w:rsidRPr="0059588A">
        <w:rPr>
          <w:rFonts w:ascii="Calibri" w:eastAsia="SimSun" w:hAnsi="Calibri" w:cs="Calibri"/>
          <w:i/>
        </w:rPr>
        <w:t>p</w:t>
      </w:r>
      <w:r w:rsidRPr="0059588A">
        <w:rPr>
          <w:rFonts w:ascii="Calibri" w:eastAsia="SimSun" w:hAnsi="Calibri" w:cs="Calibri"/>
        </w:rPr>
        <w:t xml:space="preserve">&lt;0.01; OR=0.84; </w:t>
      </w:r>
      <w:r w:rsidRPr="0059588A">
        <w:rPr>
          <w:rFonts w:ascii="Calibri" w:eastAsia="SimSun" w:hAnsi="Calibri" w:cs="Calibri"/>
          <w:i/>
        </w:rPr>
        <w:t>p</w:t>
      </w:r>
      <w:r w:rsidRPr="0059588A">
        <w:rPr>
          <w:rFonts w:ascii="Calibri" w:eastAsia="SimSun" w:hAnsi="Calibri" w:cs="Calibri"/>
        </w:rPr>
        <w:t xml:space="preserve">&lt;0.01), compared to employed patients. Note that for employment categories, the “Other” category represents diverse patient groups with regards to SES, such as students, homemakers, and those who are retired.  Compared to Medicare only patients, patients with both Medicare and Medicaid or patients with </w:t>
      </w:r>
      <w:r w:rsidRPr="0059588A">
        <w:rPr>
          <w:rFonts w:ascii="Calibri" w:eastAsia="Times New Roman" w:hAnsi="Calibri" w:cs="Calibri"/>
          <w:color w:val="000000"/>
        </w:rPr>
        <w:t>Medicare as secondary coverage/Medicare HMO</w:t>
      </w:r>
      <w:r w:rsidRPr="0059588A">
        <w:rPr>
          <w:rFonts w:ascii="Calibri" w:eastAsia="SimSun" w:hAnsi="Calibri" w:cs="Calibri"/>
        </w:rPr>
        <w:t xml:space="preserve"> have no significant difference in fistula use (OR=0.99, </w:t>
      </w:r>
      <w:r w:rsidRPr="0059588A">
        <w:rPr>
          <w:rFonts w:ascii="Calibri" w:eastAsia="SimSun" w:hAnsi="Calibri" w:cs="Calibri"/>
          <w:i/>
        </w:rPr>
        <w:t>p</w:t>
      </w:r>
      <w:r w:rsidRPr="0059588A">
        <w:rPr>
          <w:rFonts w:ascii="Calibri" w:eastAsia="SimSun" w:hAnsi="Calibri" w:cs="Calibri"/>
        </w:rPr>
        <w:t xml:space="preserve">=0.77; OR=1.05, </w:t>
      </w:r>
      <w:r w:rsidRPr="0059588A">
        <w:rPr>
          <w:rFonts w:ascii="Calibri" w:eastAsia="SimSun" w:hAnsi="Calibri" w:cs="Calibri"/>
          <w:i/>
        </w:rPr>
        <w:t>p</w:t>
      </w:r>
      <w:r w:rsidRPr="0059588A">
        <w:rPr>
          <w:rFonts w:ascii="Calibri" w:eastAsia="SimSun" w:hAnsi="Calibri" w:cs="Calibri"/>
        </w:rPr>
        <w:t xml:space="preserve">=0.14), while patients classified as no Medicare/missing were less likely to have an AVF (OR=0.81, </w:t>
      </w:r>
      <w:r w:rsidRPr="0059588A">
        <w:rPr>
          <w:rFonts w:ascii="Calibri" w:eastAsia="SimSun" w:hAnsi="Calibri" w:cs="Calibri"/>
          <w:i/>
        </w:rPr>
        <w:t>p</w:t>
      </w:r>
      <w:r w:rsidRPr="0059588A">
        <w:rPr>
          <w:rFonts w:ascii="Calibri" w:eastAsia="SimSun" w:hAnsi="Calibri" w:cs="Calibri"/>
        </w:rPr>
        <w:t>&lt;0.01).</w:t>
      </w:r>
    </w:p>
    <w:p w14:paraId="6A3DC89A" w14:textId="77777777" w:rsidR="00AE37A9" w:rsidRPr="0059588A" w:rsidRDefault="00AE37A9" w:rsidP="00AE37A9">
      <w:pPr>
        <w:rPr>
          <w:rFonts w:ascii="Calibri" w:eastAsia="SimSun" w:hAnsi="Calibri" w:cs="Times New Roman"/>
          <w:b/>
        </w:rPr>
      </w:pPr>
      <w:r w:rsidRPr="0059588A">
        <w:rPr>
          <w:rFonts w:ascii="Calibri" w:eastAsia="SimSun" w:hAnsi="Calibri" w:cs="Times New Roman"/>
        </w:rPr>
        <w:t>Area-level SDS/SES:</w:t>
      </w:r>
      <w:r w:rsidRPr="0059588A">
        <w:rPr>
          <w:rFonts w:ascii="Calibri" w:eastAsia="SimSun" w:hAnsi="Calibri" w:cs="Times New Roman"/>
          <w:b/>
        </w:rPr>
        <w:t xml:space="preserve"> </w:t>
      </w:r>
      <w:r w:rsidRPr="0059588A">
        <w:rPr>
          <w:rFonts w:ascii="Calibri" w:eastAsia="SimSun" w:hAnsi="Calibri" w:cs="Times New Roman"/>
        </w:rPr>
        <w:t>Area-level effects were generally very small and were not statistically significant.</w:t>
      </w:r>
    </w:p>
    <w:p w14:paraId="0CA9C505" w14:textId="77777777" w:rsidR="00AE37A9" w:rsidRPr="004024A8" w:rsidRDefault="00AE37A9" w:rsidP="00AE37A9">
      <w:pPr>
        <w:rPr>
          <w:rFonts w:ascii="Calibri" w:eastAsia="SimSun" w:hAnsi="Calibri" w:cs="Times New Roman"/>
        </w:rPr>
      </w:pPr>
      <w:r w:rsidRPr="004024A8">
        <w:rPr>
          <w:rFonts w:ascii="Calibri" w:eastAsia="SimSun" w:hAnsi="Calibri" w:cs="Times New Roman"/>
        </w:rPr>
        <w:t>Figure 3. Correlation between SFRs with and without SDS/SES adjustment</w:t>
      </w:r>
    </w:p>
    <w:p w14:paraId="67F815F9" w14:textId="77777777" w:rsidR="00AE37A9" w:rsidRPr="0059588A" w:rsidRDefault="00AE37A9" w:rsidP="00AE37A9">
      <w:pPr>
        <w:rPr>
          <w:rFonts w:ascii="Calibri" w:eastAsia="SimSun" w:hAnsi="Calibri" w:cs="Times New Roman"/>
          <w:b/>
        </w:rPr>
      </w:pPr>
      <w:r w:rsidRPr="0059588A">
        <w:rPr>
          <w:rFonts w:ascii="Arial" w:eastAsia="SimSun" w:hAnsi="Arial" w:cs="Arial"/>
          <w:noProof/>
          <w:color w:val="000000"/>
          <w:sz w:val="20"/>
          <w:szCs w:val="20"/>
        </w:rPr>
        <w:drawing>
          <wp:inline distT="0" distB="0" distL="0" distR="0" wp14:anchorId="5842781C" wp14:editId="27672C30">
            <wp:extent cx="3959961" cy="2969971"/>
            <wp:effectExtent l="0" t="0" r="2540" b="1905"/>
            <wp:docPr id="6" name="Picture 6" descr="Plot of PIE_J by pie_j_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ot of PIE_J by pie_j_se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63274" cy="2972456"/>
                    </a:xfrm>
                    <a:prstGeom prst="rect">
                      <a:avLst/>
                    </a:prstGeom>
                    <a:noFill/>
                    <a:ln>
                      <a:noFill/>
                    </a:ln>
                  </pic:spPr>
                </pic:pic>
              </a:graphicData>
            </a:graphic>
          </wp:inline>
        </w:drawing>
      </w:r>
    </w:p>
    <w:p w14:paraId="336FE466" w14:textId="77777777" w:rsidR="00AE37A9" w:rsidRPr="0059588A" w:rsidRDefault="00AE37A9" w:rsidP="00AE37A9">
      <w:pPr>
        <w:jc w:val="center"/>
        <w:rPr>
          <w:rFonts w:ascii="Calibri" w:eastAsia="SimSun" w:hAnsi="Calibri" w:cs="Times New Roman"/>
        </w:rPr>
      </w:pPr>
    </w:p>
    <w:p w14:paraId="6699E8F4" w14:textId="4271EA60" w:rsidR="00AE37A9" w:rsidRDefault="00AE37A9" w:rsidP="00AE37A9">
      <w:pPr>
        <w:rPr>
          <w:rFonts w:ascii="Calibri" w:eastAsia="SimSun" w:hAnsi="Calibri" w:cs="Times New Roman"/>
        </w:rPr>
      </w:pPr>
      <w:r w:rsidRPr="0059588A">
        <w:rPr>
          <w:rFonts w:ascii="Calibri" w:eastAsia="SimSun" w:hAnsi="Calibri" w:cs="Times New Roman"/>
        </w:rPr>
        <w:t>The standard and SDS/SES-adjusted SFRs were highly correlated at 0.95 (</w:t>
      </w:r>
      <w:r w:rsidRPr="0059588A">
        <w:rPr>
          <w:rFonts w:ascii="Calibri" w:eastAsia="SimSun" w:hAnsi="Calibri" w:cs="Times New Roman"/>
          <w:i/>
          <w:iCs/>
        </w:rPr>
        <w:t>p</w:t>
      </w:r>
      <w:r w:rsidRPr="0059588A">
        <w:rPr>
          <w:rFonts w:ascii="Calibri" w:eastAsia="SimSun" w:hAnsi="Calibri" w:cs="Times New Roman"/>
        </w:rPr>
        <w:t>&lt;.001).</w:t>
      </w:r>
    </w:p>
    <w:p w14:paraId="273932A7" w14:textId="0AA7EAC7" w:rsidR="00E12743" w:rsidRPr="00081161" w:rsidRDefault="00E12743" w:rsidP="00AE37A9">
      <w:pPr>
        <w:rPr>
          <w:rFonts w:ascii="Calibri" w:eastAsia="SimSun" w:hAnsi="Calibri" w:cs="Times New Roman"/>
          <w:b/>
        </w:rPr>
      </w:pPr>
      <w:r w:rsidRPr="00E12743">
        <w:rPr>
          <w:rFonts w:ascii="Calibri" w:eastAsia="SimSun" w:hAnsi="Calibri" w:cs="Times New Roman"/>
          <w:b/>
        </w:rPr>
        <w:t>Table  6. Comparison of performances with vs. without</w:t>
      </w:r>
      <w:r>
        <w:rPr>
          <w:rFonts w:ascii="Calibri" w:eastAsia="SimSun" w:hAnsi="Calibri" w:cs="Times New Roman"/>
          <w:b/>
        </w:rPr>
        <w:t xml:space="preserve"> adjusting for SDS/SES factors</w:t>
      </w:r>
    </w:p>
    <w:tbl>
      <w:tblPr>
        <w:tblW w:w="5000" w:type="pct"/>
        <w:tblLook w:val="04A0" w:firstRow="1" w:lastRow="0" w:firstColumn="1" w:lastColumn="0" w:noHBand="0" w:noVBand="1"/>
      </w:tblPr>
      <w:tblGrid>
        <w:gridCol w:w="2169"/>
        <w:gridCol w:w="2150"/>
        <w:gridCol w:w="1430"/>
        <w:gridCol w:w="2169"/>
        <w:gridCol w:w="1432"/>
      </w:tblGrid>
      <w:tr w:rsidR="00AE37A9" w:rsidRPr="0028162C" w14:paraId="755EB05B" w14:textId="77777777" w:rsidTr="00E547BF">
        <w:trPr>
          <w:trHeight w:val="299"/>
        </w:trPr>
        <w:tc>
          <w:tcPr>
            <w:tcW w:w="996"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AD8EB" w14:textId="77777777" w:rsidR="00AE37A9" w:rsidRPr="0028162C" w:rsidRDefault="00AE37A9" w:rsidP="00E547BF">
            <w:pPr>
              <w:spacing w:after="0" w:line="240" w:lineRule="auto"/>
              <w:rPr>
                <w:rFonts w:eastAsia="Times New Roman" w:cs="Arial"/>
                <w:b/>
                <w:bCs/>
                <w:color w:val="000000"/>
              </w:rPr>
            </w:pPr>
            <w:r w:rsidRPr="0028162C">
              <w:rPr>
                <w:rFonts w:eastAsia="Times New Roman" w:cs="Arial"/>
                <w:b/>
                <w:bCs/>
                <w:color w:val="000000"/>
              </w:rPr>
              <w:lastRenderedPageBreak/>
              <w:t>SFR w/o SDS/SES</w:t>
            </w:r>
          </w:p>
        </w:tc>
        <w:tc>
          <w:tcPr>
            <w:tcW w:w="4004" w:type="pct"/>
            <w:gridSpan w:val="4"/>
            <w:tcBorders>
              <w:top w:val="single" w:sz="4" w:space="0" w:color="auto"/>
              <w:left w:val="nil"/>
              <w:bottom w:val="single" w:sz="4" w:space="0" w:color="auto"/>
              <w:right w:val="single" w:sz="4" w:space="0" w:color="auto"/>
            </w:tcBorders>
            <w:shd w:val="clear" w:color="auto" w:fill="auto"/>
            <w:noWrap/>
            <w:vAlign w:val="bottom"/>
            <w:hideMark/>
          </w:tcPr>
          <w:p w14:paraId="1EB08803" w14:textId="77777777" w:rsidR="00AE37A9" w:rsidRPr="0028162C" w:rsidRDefault="00AE37A9" w:rsidP="00E547BF">
            <w:pPr>
              <w:spacing w:after="0" w:line="240" w:lineRule="auto"/>
              <w:jc w:val="center"/>
              <w:rPr>
                <w:rFonts w:eastAsia="Times New Roman" w:cs="Arial"/>
                <w:b/>
                <w:bCs/>
                <w:color w:val="000000"/>
              </w:rPr>
            </w:pPr>
            <w:r w:rsidRPr="0028162C">
              <w:rPr>
                <w:rFonts w:eastAsia="Times New Roman" w:cs="Arial"/>
                <w:b/>
                <w:bCs/>
                <w:color w:val="000000"/>
              </w:rPr>
              <w:t>SFR with SDS/SES</w:t>
            </w:r>
          </w:p>
        </w:tc>
      </w:tr>
      <w:tr w:rsidR="00AE37A9" w:rsidRPr="0028162C" w14:paraId="6F69216F" w14:textId="77777777" w:rsidTr="00E547BF">
        <w:trPr>
          <w:trHeight w:val="299"/>
        </w:trPr>
        <w:tc>
          <w:tcPr>
            <w:tcW w:w="996" w:type="pct"/>
            <w:vMerge/>
            <w:tcBorders>
              <w:top w:val="single" w:sz="4" w:space="0" w:color="auto"/>
              <w:left w:val="single" w:sz="4" w:space="0" w:color="auto"/>
              <w:bottom w:val="single" w:sz="4" w:space="0" w:color="auto"/>
              <w:right w:val="single" w:sz="4" w:space="0" w:color="auto"/>
            </w:tcBorders>
            <w:vAlign w:val="bottom"/>
            <w:hideMark/>
          </w:tcPr>
          <w:p w14:paraId="4CA08805" w14:textId="77777777" w:rsidR="00AE37A9" w:rsidRPr="0028162C" w:rsidRDefault="00AE37A9" w:rsidP="00E547BF">
            <w:pPr>
              <w:spacing w:after="0" w:line="240" w:lineRule="auto"/>
              <w:rPr>
                <w:rFonts w:eastAsia="Times New Roman" w:cs="Arial"/>
                <w:b/>
                <w:bCs/>
                <w:color w:val="000000"/>
              </w:rPr>
            </w:pPr>
          </w:p>
        </w:tc>
        <w:tc>
          <w:tcPr>
            <w:tcW w:w="982" w:type="pct"/>
            <w:tcBorders>
              <w:top w:val="nil"/>
              <w:left w:val="nil"/>
              <w:bottom w:val="single" w:sz="4" w:space="0" w:color="auto"/>
              <w:right w:val="single" w:sz="4" w:space="0" w:color="auto"/>
            </w:tcBorders>
            <w:shd w:val="clear" w:color="auto" w:fill="auto"/>
            <w:noWrap/>
            <w:vAlign w:val="bottom"/>
            <w:hideMark/>
          </w:tcPr>
          <w:p w14:paraId="458F167C" w14:textId="77777777" w:rsidR="00AE37A9" w:rsidRPr="0028162C" w:rsidRDefault="00AE37A9" w:rsidP="00E547BF">
            <w:pPr>
              <w:spacing w:after="0" w:line="240" w:lineRule="auto"/>
              <w:jc w:val="center"/>
              <w:rPr>
                <w:rFonts w:eastAsia="Times New Roman" w:cs="Arial"/>
                <w:b/>
                <w:bCs/>
                <w:color w:val="000000"/>
              </w:rPr>
            </w:pPr>
            <w:r w:rsidRPr="0028162C">
              <w:rPr>
                <w:rFonts w:eastAsia="Times New Roman" w:cs="Arial"/>
                <w:b/>
                <w:bCs/>
                <w:color w:val="000000"/>
              </w:rPr>
              <w:t>Better than expected</w:t>
            </w:r>
          </w:p>
        </w:tc>
        <w:tc>
          <w:tcPr>
            <w:tcW w:w="1012" w:type="pct"/>
            <w:tcBorders>
              <w:top w:val="nil"/>
              <w:left w:val="nil"/>
              <w:bottom w:val="single" w:sz="4" w:space="0" w:color="auto"/>
              <w:right w:val="single" w:sz="4" w:space="0" w:color="auto"/>
            </w:tcBorders>
            <w:shd w:val="clear" w:color="auto" w:fill="auto"/>
            <w:noWrap/>
            <w:vAlign w:val="bottom"/>
            <w:hideMark/>
          </w:tcPr>
          <w:p w14:paraId="1D5E77C1" w14:textId="77777777" w:rsidR="00AE37A9" w:rsidRPr="0028162C" w:rsidRDefault="00AE37A9" w:rsidP="00E547BF">
            <w:pPr>
              <w:spacing w:after="0" w:line="240" w:lineRule="auto"/>
              <w:jc w:val="center"/>
              <w:rPr>
                <w:rFonts w:eastAsia="Times New Roman" w:cs="Arial"/>
                <w:b/>
                <w:bCs/>
                <w:color w:val="000000"/>
              </w:rPr>
            </w:pPr>
            <w:r w:rsidRPr="0028162C">
              <w:rPr>
                <w:rFonts w:eastAsia="Times New Roman" w:cs="Arial"/>
                <w:b/>
                <w:bCs/>
                <w:color w:val="000000"/>
              </w:rPr>
              <w:t>As expected</w:t>
            </w:r>
          </w:p>
        </w:tc>
        <w:tc>
          <w:tcPr>
            <w:tcW w:w="997" w:type="pct"/>
            <w:tcBorders>
              <w:top w:val="nil"/>
              <w:left w:val="nil"/>
              <w:bottom w:val="single" w:sz="4" w:space="0" w:color="auto"/>
              <w:right w:val="single" w:sz="4" w:space="0" w:color="auto"/>
            </w:tcBorders>
            <w:shd w:val="clear" w:color="auto" w:fill="auto"/>
            <w:noWrap/>
            <w:vAlign w:val="bottom"/>
            <w:hideMark/>
          </w:tcPr>
          <w:p w14:paraId="4C24DF62" w14:textId="77777777" w:rsidR="00AE37A9" w:rsidRPr="0028162C" w:rsidRDefault="00AE37A9" w:rsidP="00E547BF">
            <w:pPr>
              <w:spacing w:after="0" w:line="240" w:lineRule="auto"/>
              <w:jc w:val="center"/>
              <w:rPr>
                <w:rFonts w:eastAsia="Times New Roman" w:cs="Arial"/>
                <w:b/>
                <w:bCs/>
                <w:color w:val="000000"/>
              </w:rPr>
            </w:pPr>
            <w:r w:rsidRPr="0028162C">
              <w:rPr>
                <w:rFonts w:eastAsia="Times New Roman" w:cs="Arial"/>
                <w:b/>
                <w:bCs/>
                <w:color w:val="000000"/>
              </w:rPr>
              <w:t>Worse than expected</w:t>
            </w:r>
          </w:p>
        </w:tc>
        <w:tc>
          <w:tcPr>
            <w:tcW w:w="1012" w:type="pct"/>
            <w:tcBorders>
              <w:top w:val="nil"/>
              <w:left w:val="nil"/>
              <w:bottom w:val="single" w:sz="4" w:space="0" w:color="auto"/>
              <w:right w:val="single" w:sz="4" w:space="0" w:color="auto"/>
            </w:tcBorders>
            <w:shd w:val="clear" w:color="auto" w:fill="auto"/>
            <w:noWrap/>
            <w:vAlign w:val="bottom"/>
            <w:hideMark/>
          </w:tcPr>
          <w:p w14:paraId="3D9A9C40" w14:textId="77777777" w:rsidR="00AE37A9" w:rsidRPr="0028162C" w:rsidRDefault="00AE37A9" w:rsidP="00E547BF">
            <w:pPr>
              <w:spacing w:after="0" w:line="240" w:lineRule="auto"/>
              <w:jc w:val="center"/>
              <w:rPr>
                <w:rFonts w:eastAsia="Times New Roman" w:cs="Arial"/>
                <w:b/>
                <w:bCs/>
                <w:color w:val="000000"/>
              </w:rPr>
            </w:pPr>
            <w:r w:rsidRPr="0028162C">
              <w:rPr>
                <w:rFonts w:eastAsia="Times New Roman" w:cs="Arial"/>
                <w:b/>
                <w:bCs/>
                <w:color w:val="000000"/>
              </w:rPr>
              <w:t>Total</w:t>
            </w:r>
          </w:p>
        </w:tc>
      </w:tr>
      <w:tr w:rsidR="00AE37A9" w:rsidRPr="0028162C" w14:paraId="4862F852" w14:textId="77777777" w:rsidTr="00E547BF">
        <w:trPr>
          <w:trHeight w:val="299"/>
        </w:trPr>
        <w:tc>
          <w:tcPr>
            <w:tcW w:w="996" w:type="pct"/>
            <w:tcBorders>
              <w:top w:val="nil"/>
              <w:left w:val="single" w:sz="4" w:space="0" w:color="auto"/>
              <w:bottom w:val="single" w:sz="4" w:space="0" w:color="auto"/>
              <w:right w:val="single" w:sz="4" w:space="0" w:color="auto"/>
            </w:tcBorders>
            <w:shd w:val="clear" w:color="auto" w:fill="auto"/>
            <w:noWrap/>
            <w:vAlign w:val="bottom"/>
            <w:hideMark/>
          </w:tcPr>
          <w:p w14:paraId="2F348587" w14:textId="77777777" w:rsidR="00AE37A9" w:rsidRPr="0028162C" w:rsidRDefault="00AE37A9" w:rsidP="00E547BF">
            <w:pPr>
              <w:spacing w:after="0" w:line="240" w:lineRule="auto"/>
              <w:rPr>
                <w:rFonts w:eastAsia="Times New Roman" w:cs="Arial"/>
                <w:b/>
                <w:bCs/>
                <w:color w:val="000000"/>
              </w:rPr>
            </w:pPr>
            <w:r w:rsidRPr="0028162C">
              <w:rPr>
                <w:rFonts w:eastAsia="Times New Roman" w:cs="Arial"/>
                <w:b/>
                <w:bCs/>
                <w:color w:val="000000"/>
              </w:rPr>
              <w:t>Better than expected</w:t>
            </w:r>
          </w:p>
        </w:tc>
        <w:tc>
          <w:tcPr>
            <w:tcW w:w="982" w:type="pct"/>
            <w:tcBorders>
              <w:top w:val="nil"/>
              <w:left w:val="nil"/>
              <w:bottom w:val="single" w:sz="4" w:space="0" w:color="auto"/>
              <w:right w:val="single" w:sz="4" w:space="0" w:color="auto"/>
            </w:tcBorders>
            <w:shd w:val="clear" w:color="auto" w:fill="auto"/>
            <w:noWrap/>
            <w:vAlign w:val="bottom"/>
            <w:hideMark/>
          </w:tcPr>
          <w:p w14:paraId="0CF35C98"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196</w:t>
            </w:r>
            <w:r>
              <w:rPr>
                <w:rFonts w:eastAsia="SimSun" w:cs="Calibri"/>
                <w:color w:val="000000"/>
              </w:rPr>
              <w:t xml:space="preserve"> </w:t>
            </w:r>
            <w:r w:rsidRPr="0028162C">
              <w:rPr>
                <w:rFonts w:eastAsia="SimSun" w:cs="Calibri"/>
                <w:color w:val="000000"/>
              </w:rPr>
              <w:t>(3.3%)</w:t>
            </w:r>
          </w:p>
        </w:tc>
        <w:tc>
          <w:tcPr>
            <w:tcW w:w="1012" w:type="pct"/>
            <w:tcBorders>
              <w:top w:val="nil"/>
              <w:left w:val="nil"/>
              <w:bottom w:val="single" w:sz="4" w:space="0" w:color="auto"/>
              <w:right w:val="single" w:sz="4" w:space="0" w:color="auto"/>
            </w:tcBorders>
            <w:shd w:val="clear" w:color="auto" w:fill="auto"/>
            <w:noWrap/>
            <w:vAlign w:val="bottom"/>
            <w:hideMark/>
          </w:tcPr>
          <w:p w14:paraId="6F33F0CF"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65</w:t>
            </w:r>
            <w:r>
              <w:rPr>
                <w:rFonts w:eastAsia="SimSun" w:cs="Calibri"/>
                <w:color w:val="000000"/>
              </w:rPr>
              <w:t xml:space="preserve"> </w:t>
            </w:r>
            <w:r w:rsidRPr="0028162C">
              <w:rPr>
                <w:rFonts w:eastAsia="SimSun" w:cs="Calibri"/>
                <w:color w:val="000000"/>
              </w:rPr>
              <w:t>(1.1%)</w:t>
            </w:r>
          </w:p>
        </w:tc>
        <w:tc>
          <w:tcPr>
            <w:tcW w:w="997" w:type="pct"/>
            <w:tcBorders>
              <w:top w:val="nil"/>
              <w:left w:val="nil"/>
              <w:bottom w:val="single" w:sz="4" w:space="0" w:color="auto"/>
              <w:right w:val="single" w:sz="4" w:space="0" w:color="auto"/>
            </w:tcBorders>
            <w:shd w:val="clear" w:color="auto" w:fill="auto"/>
            <w:noWrap/>
            <w:vAlign w:val="bottom"/>
            <w:hideMark/>
          </w:tcPr>
          <w:p w14:paraId="36AA1AE1"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0</w:t>
            </w:r>
          </w:p>
        </w:tc>
        <w:tc>
          <w:tcPr>
            <w:tcW w:w="1012" w:type="pct"/>
            <w:tcBorders>
              <w:top w:val="nil"/>
              <w:left w:val="nil"/>
              <w:bottom w:val="single" w:sz="4" w:space="0" w:color="auto"/>
              <w:right w:val="single" w:sz="4" w:space="0" w:color="auto"/>
            </w:tcBorders>
            <w:shd w:val="clear" w:color="auto" w:fill="auto"/>
            <w:noWrap/>
            <w:vAlign w:val="bottom"/>
            <w:hideMark/>
          </w:tcPr>
          <w:p w14:paraId="36D5EFF2"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261</w:t>
            </w:r>
            <w:r>
              <w:rPr>
                <w:rFonts w:eastAsia="SimSun" w:cs="Calibri"/>
                <w:color w:val="000000"/>
              </w:rPr>
              <w:t xml:space="preserve"> </w:t>
            </w:r>
            <w:r w:rsidRPr="0028162C">
              <w:rPr>
                <w:rFonts w:eastAsia="SimSun" w:cs="Calibri"/>
                <w:color w:val="000000"/>
              </w:rPr>
              <w:t>(4.4%)</w:t>
            </w:r>
          </w:p>
        </w:tc>
      </w:tr>
      <w:tr w:rsidR="00AE37A9" w:rsidRPr="0028162C" w14:paraId="108E2AB2" w14:textId="77777777" w:rsidTr="00E547BF">
        <w:trPr>
          <w:trHeight w:val="299"/>
        </w:trPr>
        <w:tc>
          <w:tcPr>
            <w:tcW w:w="996" w:type="pct"/>
            <w:tcBorders>
              <w:top w:val="nil"/>
              <w:left w:val="single" w:sz="4" w:space="0" w:color="auto"/>
              <w:bottom w:val="single" w:sz="4" w:space="0" w:color="auto"/>
              <w:right w:val="single" w:sz="4" w:space="0" w:color="auto"/>
            </w:tcBorders>
            <w:shd w:val="clear" w:color="auto" w:fill="auto"/>
            <w:noWrap/>
            <w:vAlign w:val="bottom"/>
            <w:hideMark/>
          </w:tcPr>
          <w:p w14:paraId="17DD40BA" w14:textId="77777777" w:rsidR="00AE37A9" w:rsidRPr="0028162C" w:rsidRDefault="00AE37A9" w:rsidP="00E547BF">
            <w:pPr>
              <w:spacing w:after="0" w:line="240" w:lineRule="auto"/>
              <w:rPr>
                <w:rFonts w:eastAsia="Times New Roman" w:cs="Arial"/>
                <w:b/>
                <w:bCs/>
                <w:color w:val="000000"/>
              </w:rPr>
            </w:pPr>
            <w:r w:rsidRPr="0028162C">
              <w:rPr>
                <w:rFonts w:eastAsia="Times New Roman" w:cs="Arial"/>
                <w:b/>
                <w:bCs/>
                <w:color w:val="000000"/>
              </w:rPr>
              <w:t>As expected</w:t>
            </w:r>
          </w:p>
        </w:tc>
        <w:tc>
          <w:tcPr>
            <w:tcW w:w="982" w:type="pct"/>
            <w:tcBorders>
              <w:top w:val="nil"/>
              <w:left w:val="nil"/>
              <w:bottom w:val="single" w:sz="4" w:space="0" w:color="auto"/>
              <w:right w:val="single" w:sz="4" w:space="0" w:color="auto"/>
            </w:tcBorders>
            <w:shd w:val="clear" w:color="auto" w:fill="auto"/>
            <w:noWrap/>
            <w:vAlign w:val="bottom"/>
            <w:hideMark/>
          </w:tcPr>
          <w:p w14:paraId="1E08D85E"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64</w:t>
            </w:r>
            <w:r>
              <w:rPr>
                <w:rFonts w:eastAsia="SimSun" w:cs="Calibri"/>
                <w:color w:val="000000"/>
              </w:rPr>
              <w:t xml:space="preserve"> </w:t>
            </w:r>
            <w:r w:rsidRPr="0028162C">
              <w:rPr>
                <w:rFonts w:eastAsia="SimSun" w:cs="Calibri"/>
                <w:color w:val="000000"/>
              </w:rPr>
              <w:t>(1.</w:t>
            </w:r>
            <w:r>
              <w:rPr>
                <w:rFonts w:eastAsia="SimSun" w:cs="Calibri"/>
                <w:color w:val="000000"/>
              </w:rPr>
              <w:t>1</w:t>
            </w:r>
            <w:r w:rsidRPr="0028162C">
              <w:rPr>
                <w:rFonts w:eastAsia="SimSun" w:cs="Calibri"/>
                <w:color w:val="000000"/>
              </w:rPr>
              <w:t>%)</w:t>
            </w:r>
          </w:p>
        </w:tc>
        <w:tc>
          <w:tcPr>
            <w:tcW w:w="1012" w:type="pct"/>
            <w:tcBorders>
              <w:top w:val="nil"/>
              <w:left w:val="nil"/>
              <w:bottom w:val="single" w:sz="4" w:space="0" w:color="auto"/>
              <w:right w:val="single" w:sz="4" w:space="0" w:color="auto"/>
            </w:tcBorders>
            <w:shd w:val="clear" w:color="auto" w:fill="auto"/>
            <w:noWrap/>
            <w:vAlign w:val="bottom"/>
            <w:hideMark/>
          </w:tcPr>
          <w:p w14:paraId="54615BD9"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5409</w:t>
            </w:r>
            <w:r>
              <w:rPr>
                <w:rFonts w:eastAsia="SimSun" w:cs="Calibri"/>
                <w:color w:val="000000"/>
              </w:rPr>
              <w:t xml:space="preserve"> </w:t>
            </w:r>
            <w:r w:rsidRPr="0028162C">
              <w:rPr>
                <w:rFonts w:eastAsia="SimSun" w:cs="Calibri"/>
                <w:color w:val="000000"/>
              </w:rPr>
              <w:t>(91.2%)</w:t>
            </w:r>
          </w:p>
        </w:tc>
        <w:tc>
          <w:tcPr>
            <w:tcW w:w="997" w:type="pct"/>
            <w:tcBorders>
              <w:top w:val="nil"/>
              <w:left w:val="nil"/>
              <w:bottom w:val="single" w:sz="4" w:space="0" w:color="auto"/>
              <w:right w:val="single" w:sz="4" w:space="0" w:color="auto"/>
            </w:tcBorders>
            <w:shd w:val="clear" w:color="auto" w:fill="auto"/>
            <w:noWrap/>
            <w:vAlign w:val="bottom"/>
            <w:hideMark/>
          </w:tcPr>
          <w:p w14:paraId="360D7B89"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53</w:t>
            </w:r>
            <w:r>
              <w:rPr>
                <w:rFonts w:eastAsia="SimSun" w:cs="Calibri"/>
                <w:color w:val="000000"/>
              </w:rPr>
              <w:t xml:space="preserve"> </w:t>
            </w:r>
            <w:r w:rsidRPr="0028162C">
              <w:rPr>
                <w:rFonts w:eastAsia="SimSun" w:cs="Calibri"/>
                <w:color w:val="000000"/>
              </w:rPr>
              <w:t>(0.9%)</w:t>
            </w:r>
          </w:p>
        </w:tc>
        <w:tc>
          <w:tcPr>
            <w:tcW w:w="1012" w:type="pct"/>
            <w:tcBorders>
              <w:top w:val="nil"/>
              <w:left w:val="nil"/>
              <w:bottom w:val="single" w:sz="4" w:space="0" w:color="auto"/>
              <w:right w:val="single" w:sz="4" w:space="0" w:color="auto"/>
            </w:tcBorders>
            <w:shd w:val="clear" w:color="auto" w:fill="auto"/>
            <w:noWrap/>
            <w:vAlign w:val="bottom"/>
            <w:hideMark/>
          </w:tcPr>
          <w:p w14:paraId="3E48F93B"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5526</w:t>
            </w:r>
            <w:r>
              <w:rPr>
                <w:rFonts w:eastAsia="SimSun" w:cs="Calibri"/>
                <w:color w:val="000000"/>
              </w:rPr>
              <w:t xml:space="preserve"> </w:t>
            </w:r>
            <w:r w:rsidRPr="0028162C">
              <w:rPr>
                <w:rFonts w:eastAsia="SimSun" w:cs="Calibri"/>
                <w:color w:val="000000"/>
              </w:rPr>
              <w:t>(93.2%)</w:t>
            </w:r>
          </w:p>
        </w:tc>
      </w:tr>
      <w:tr w:rsidR="00AE37A9" w:rsidRPr="0028162C" w14:paraId="50F3EE32" w14:textId="77777777" w:rsidTr="00E547BF">
        <w:trPr>
          <w:trHeight w:val="299"/>
        </w:trPr>
        <w:tc>
          <w:tcPr>
            <w:tcW w:w="996" w:type="pct"/>
            <w:tcBorders>
              <w:top w:val="nil"/>
              <w:left w:val="single" w:sz="4" w:space="0" w:color="auto"/>
              <w:bottom w:val="single" w:sz="4" w:space="0" w:color="auto"/>
              <w:right w:val="single" w:sz="4" w:space="0" w:color="auto"/>
            </w:tcBorders>
            <w:shd w:val="clear" w:color="auto" w:fill="auto"/>
            <w:noWrap/>
            <w:vAlign w:val="bottom"/>
            <w:hideMark/>
          </w:tcPr>
          <w:p w14:paraId="3908B579" w14:textId="77777777" w:rsidR="00AE37A9" w:rsidRPr="0028162C" w:rsidRDefault="00AE37A9" w:rsidP="00E547BF">
            <w:pPr>
              <w:spacing w:after="0" w:line="240" w:lineRule="auto"/>
              <w:rPr>
                <w:rFonts w:eastAsia="Times New Roman" w:cs="Arial"/>
                <w:b/>
                <w:bCs/>
                <w:color w:val="000000"/>
              </w:rPr>
            </w:pPr>
            <w:r w:rsidRPr="0028162C">
              <w:rPr>
                <w:rFonts w:eastAsia="Times New Roman" w:cs="Arial"/>
                <w:b/>
                <w:bCs/>
                <w:color w:val="000000"/>
              </w:rPr>
              <w:t>Worse than expected</w:t>
            </w:r>
          </w:p>
        </w:tc>
        <w:tc>
          <w:tcPr>
            <w:tcW w:w="982" w:type="pct"/>
            <w:tcBorders>
              <w:top w:val="nil"/>
              <w:left w:val="nil"/>
              <w:bottom w:val="single" w:sz="4" w:space="0" w:color="auto"/>
              <w:right w:val="single" w:sz="4" w:space="0" w:color="auto"/>
            </w:tcBorders>
            <w:shd w:val="clear" w:color="auto" w:fill="auto"/>
            <w:noWrap/>
            <w:vAlign w:val="bottom"/>
            <w:hideMark/>
          </w:tcPr>
          <w:p w14:paraId="1E26AF63"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0</w:t>
            </w:r>
          </w:p>
        </w:tc>
        <w:tc>
          <w:tcPr>
            <w:tcW w:w="1012" w:type="pct"/>
            <w:tcBorders>
              <w:top w:val="nil"/>
              <w:left w:val="nil"/>
              <w:bottom w:val="single" w:sz="4" w:space="0" w:color="auto"/>
              <w:right w:val="single" w:sz="4" w:space="0" w:color="auto"/>
            </w:tcBorders>
            <w:shd w:val="clear" w:color="auto" w:fill="auto"/>
            <w:noWrap/>
            <w:vAlign w:val="bottom"/>
            <w:hideMark/>
          </w:tcPr>
          <w:p w14:paraId="4D2326EE"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52</w:t>
            </w:r>
            <w:r>
              <w:rPr>
                <w:rFonts w:eastAsia="SimSun" w:cs="Calibri"/>
                <w:color w:val="000000"/>
              </w:rPr>
              <w:t xml:space="preserve"> </w:t>
            </w:r>
            <w:r w:rsidRPr="0028162C">
              <w:rPr>
                <w:rFonts w:eastAsia="SimSun" w:cs="Calibri"/>
                <w:color w:val="000000"/>
              </w:rPr>
              <w:t>(0.</w:t>
            </w:r>
            <w:r>
              <w:rPr>
                <w:rFonts w:eastAsia="SimSun" w:cs="Calibri"/>
                <w:color w:val="000000"/>
              </w:rPr>
              <w:t>9</w:t>
            </w:r>
            <w:r w:rsidRPr="0028162C">
              <w:rPr>
                <w:rFonts w:eastAsia="SimSun" w:cs="Calibri"/>
                <w:color w:val="000000"/>
              </w:rPr>
              <w:t>%)</w:t>
            </w:r>
          </w:p>
        </w:tc>
        <w:tc>
          <w:tcPr>
            <w:tcW w:w="997" w:type="pct"/>
            <w:tcBorders>
              <w:top w:val="nil"/>
              <w:left w:val="nil"/>
              <w:bottom w:val="single" w:sz="4" w:space="0" w:color="auto"/>
              <w:right w:val="single" w:sz="4" w:space="0" w:color="auto"/>
            </w:tcBorders>
            <w:shd w:val="clear" w:color="auto" w:fill="auto"/>
            <w:noWrap/>
            <w:vAlign w:val="bottom"/>
            <w:hideMark/>
          </w:tcPr>
          <w:p w14:paraId="58995A9E"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89</w:t>
            </w:r>
            <w:r>
              <w:rPr>
                <w:rFonts w:eastAsia="SimSun" w:cs="Calibri"/>
                <w:color w:val="000000"/>
              </w:rPr>
              <w:t xml:space="preserve"> </w:t>
            </w:r>
            <w:r w:rsidRPr="0028162C">
              <w:rPr>
                <w:rFonts w:eastAsia="SimSun" w:cs="Calibri"/>
                <w:color w:val="000000"/>
              </w:rPr>
              <w:t>(1.5%)</w:t>
            </w:r>
          </w:p>
        </w:tc>
        <w:tc>
          <w:tcPr>
            <w:tcW w:w="1012" w:type="pct"/>
            <w:tcBorders>
              <w:top w:val="nil"/>
              <w:left w:val="nil"/>
              <w:bottom w:val="single" w:sz="4" w:space="0" w:color="auto"/>
              <w:right w:val="single" w:sz="4" w:space="0" w:color="auto"/>
            </w:tcBorders>
            <w:shd w:val="clear" w:color="auto" w:fill="auto"/>
            <w:noWrap/>
            <w:vAlign w:val="bottom"/>
            <w:hideMark/>
          </w:tcPr>
          <w:p w14:paraId="0E36374B"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141</w:t>
            </w:r>
            <w:r>
              <w:rPr>
                <w:rFonts w:eastAsia="SimSun" w:cs="Calibri"/>
                <w:color w:val="000000"/>
              </w:rPr>
              <w:t xml:space="preserve"> </w:t>
            </w:r>
            <w:r w:rsidRPr="0028162C">
              <w:rPr>
                <w:rFonts w:eastAsia="SimSun" w:cs="Calibri"/>
                <w:color w:val="000000"/>
              </w:rPr>
              <w:t>(2.</w:t>
            </w:r>
            <w:r>
              <w:rPr>
                <w:rFonts w:eastAsia="SimSun" w:cs="Calibri"/>
                <w:color w:val="000000"/>
              </w:rPr>
              <w:t>4</w:t>
            </w:r>
            <w:r w:rsidRPr="0028162C">
              <w:rPr>
                <w:rFonts w:eastAsia="SimSun" w:cs="Calibri"/>
                <w:color w:val="000000"/>
              </w:rPr>
              <w:t>%)</w:t>
            </w:r>
          </w:p>
        </w:tc>
      </w:tr>
      <w:tr w:rsidR="00AE37A9" w:rsidRPr="0028162C" w14:paraId="03F5226A" w14:textId="77777777" w:rsidTr="00E547BF">
        <w:trPr>
          <w:trHeight w:val="299"/>
        </w:trPr>
        <w:tc>
          <w:tcPr>
            <w:tcW w:w="996" w:type="pct"/>
            <w:tcBorders>
              <w:top w:val="nil"/>
              <w:left w:val="single" w:sz="4" w:space="0" w:color="auto"/>
              <w:bottom w:val="single" w:sz="4" w:space="0" w:color="auto"/>
              <w:right w:val="single" w:sz="4" w:space="0" w:color="auto"/>
            </w:tcBorders>
            <w:shd w:val="clear" w:color="auto" w:fill="auto"/>
            <w:noWrap/>
            <w:vAlign w:val="bottom"/>
            <w:hideMark/>
          </w:tcPr>
          <w:p w14:paraId="3905C59D" w14:textId="77777777" w:rsidR="00AE37A9" w:rsidRPr="0028162C" w:rsidRDefault="00AE37A9" w:rsidP="00E547BF">
            <w:pPr>
              <w:spacing w:after="0" w:line="240" w:lineRule="auto"/>
              <w:rPr>
                <w:rFonts w:eastAsia="Times New Roman" w:cs="Arial"/>
                <w:b/>
                <w:bCs/>
                <w:color w:val="000000"/>
              </w:rPr>
            </w:pPr>
            <w:r w:rsidRPr="0028162C">
              <w:rPr>
                <w:rFonts w:eastAsia="Times New Roman" w:cs="Arial"/>
                <w:b/>
                <w:bCs/>
                <w:color w:val="000000"/>
              </w:rPr>
              <w:t>Total</w:t>
            </w:r>
          </w:p>
        </w:tc>
        <w:tc>
          <w:tcPr>
            <w:tcW w:w="982" w:type="pct"/>
            <w:tcBorders>
              <w:top w:val="nil"/>
              <w:left w:val="nil"/>
              <w:bottom w:val="single" w:sz="4" w:space="0" w:color="auto"/>
              <w:right w:val="single" w:sz="4" w:space="0" w:color="auto"/>
            </w:tcBorders>
            <w:shd w:val="clear" w:color="auto" w:fill="auto"/>
            <w:noWrap/>
            <w:vAlign w:val="bottom"/>
            <w:hideMark/>
          </w:tcPr>
          <w:p w14:paraId="2D7ADC85"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260</w:t>
            </w:r>
            <w:r>
              <w:rPr>
                <w:rFonts w:eastAsia="SimSun" w:cs="Calibri"/>
                <w:color w:val="000000"/>
              </w:rPr>
              <w:t xml:space="preserve"> </w:t>
            </w:r>
            <w:r w:rsidRPr="0028162C">
              <w:rPr>
                <w:rFonts w:eastAsia="SimSun" w:cs="Calibri"/>
                <w:color w:val="000000"/>
              </w:rPr>
              <w:t>(4.</w:t>
            </w:r>
            <w:r>
              <w:rPr>
                <w:rFonts w:eastAsia="SimSun" w:cs="Calibri"/>
                <w:color w:val="000000"/>
              </w:rPr>
              <w:t>4</w:t>
            </w:r>
            <w:r w:rsidRPr="0028162C">
              <w:rPr>
                <w:rFonts w:eastAsia="SimSun" w:cs="Calibri"/>
                <w:color w:val="000000"/>
              </w:rPr>
              <w:t>%)</w:t>
            </w:r>
          </w:p>
        </w:tc>
        <w:tc>
          <w:tcPr>
            <w:tcW w:w="1012" w:type="pct"/>
            <w:tcBorders>
              <w:top w:val="nil"/>
              <w:left w:val="nil"/>
              <w:bottom w:val="single" w:sz="4" w:space="0" w:color="auto"/>
              <w:right w:val="single" w:sz="4" w:space="0" w:color="auto"/>
            </w:tcBorders>
            <w:shd w:val="clear" w:color="auto" w:fill="auto"/>
            <w:noWrap/>
            <w:vAlign w:val="bottom"/>
            <w:hideMark/>
          </w:tcPr>
          <w:p w14:paraId="5D6AB4E7"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5526</w:t>
            </w:r>
            <w:r>
              <w:rPr>
                <w:rFonts w:eastAsia="SimSun" w:cs="Calibri"/>
                <w:color w:val="000000"/>
              </w:rPr>
              <w:t xml:space="preserve"> </w:t>
            </w:r>
            <w:r w:rsidRPr="0028162C">
              <w:rPr>
                <w:rFonts w:eastAsia="SimSun" w:cs="Calibri"/>
                <w:color w:val="000000"/>
              </w:rPr>
              <w:t>(93.2%)</w:t>
            </w:r>
          </w:p>
        </w:tc>
        <w:tc>
          <w:tcPr>
            <w:tcW w:w="997" w:type="pct"/>
            <w:tcBorders>
              <w:top w:val="nil"/>
              <w:left w:val="nil"/>
              <w:bottom w:val="single" w:sz="4" w:space="0" w:color="auto"/>
              <w:right w:val="single" w:sz="4" w:space="0" w:color="auto"/>
            </w:tcBorders>
            <w:shd w:val="clear" w:color="auto" w:fill="auto"/>
            <w:noWrap/>
            <w:vAlign w:val="bottom"/>
            <w:hideMark/>
          </w:tcPr>
          <w:p w14:paraId="61AAF2E8"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142</w:t>
            </w:r>
            <w:r>
              <w:rPr>
                <w:rFonts w:eastAsia="SimSun" w:cs="Calibri"/>
                <w:color w:val="000000"/>
              </w:rPr>
              <w:t xml:space="preserve"> </w:t>
            </w:r>
            <w:r w:rsidRPr="0028162C">
              <w:rPr>
                <w:rFonts w:eastAsia="SimSun" w:cs="Calibri"/>
                <w:color w:val="000000"/>
              </w:rPr>
              <w:t>(2.4%)</w:t>
            </w:r>
          </w:p>
        </w:tc>
        <w:tc>
          <w:tcPr>
            <w:tcW w:w="1012" w:type="pct"/>
            <w:tcBorders>
              <w:top w:val="nil"/>
              <w:left w:val="nil"/>
              <w:bottom w:val="single" w:sz="4" w:space="0" w:color="auto"/>
              <w:right w:val="single" w:sz="4" w:space="0" w:color="auto"/>
            </w:tcBorders>
            <w:shd w:val="clear" w:color="auto" w:fill="auto"/>
            <w:noWrap/>
            <w:vAlign w:val="bottom"/>
            <w:hideMark/>
          </w:tcPr>
          <w:p w14:paraId="7635AB2F" w14:textId="77777777" w:rsidR="00AE37A9" w:rsidRPr="0028162C" w:rsidRDefault="00AE37A9" w:rsidP="00E547BF">
            <w:pPr>
              <w:spacing w:after="0" w:line="240" w:lineRule="auto"/>
              <w:jc w:val="center"/>
              <w:rPr>
                <w:rFonts w:eastAsia="Times New Roman" w:cs="Calibri"/>
                <w:color w:val="000000"/>
              </w:rPr>
            </w:pPr>
            <w:r w:rsidRPr="0028162C">
              <w:rPr>
                <w:rFonts w:eastAsia="SimSun" w:cs="Calibri"/>
                <w:color w:val="000000"/>
              </w:rPr>
              <w:t>5928</w:t>
            </w:r>
          </w:p>
        </w:tc>
      </w:tr>
    </w:tbl>
    <w:p w14:paraId="6E35E531" w14:textId="77777777" w:rsidR="00AE37A9" w:rsidRPr="0059588A" w:rsidRDefault="00AE37A9" w:rsidP="00AE37A9">
      <w:pPr>
        <w:spacing w:after="0" w:line="240" w:lineRule="auto"/>
        <w:rPr>
          <w:rFonts w:ascii="Calibri" w:eastAsia="SimSun" w:hAnsi="Calibri" w:cs="Times New Roman"/>
        </w:rPr>
      </w:pPr>
      <w:r w:rsidRPr="0059588A">
        <w:rPr>
          <w:rFonts w:ascii="Calibri" w:eastAsia="SimSun" w:hAnsi="Calibri" w:cs="Times New Roman"/>
        </w:rPr>
        <w:br/>
        <w:t>After adjustment for SDS/SES, 234 facilities (4.0%) changed performance categories.</w:t>
      </w:r>
      <w:r w:rsidRPr="0059588A">
        <w:rPr>
          <w:rFonts w:ascii="Calibri" w:eastAsia="SimSun" w:hAnsi="Calibri" w:cs="Calibri"/>
          <w:b/>
          <w:sz w:val="24"/>
          <w:szCs w:val="24"/>
        </w:rPr>
        <w:t xml:space="preserve"> </w:t>
      </w:r>
      <w:r w:rsidRPr="0059588A">
        <w:rPr>
          <w:rFonts w:ascii="Calibri" w:eastAsia="SimSun" w:hAnsi="Calibri" w:cs="Times New Roman"/>
        </w:rPr>
        <w:t xml:space="preserve">118 (2.0%) facilities were down-graded and 116 (2.0%) facilities were upgraded. </w:t>
      </w:r>
    </w:p>
    <w:p w14:paraId="24A67AD8" w14:textId="77777777" w:rsidR="00AE37A9" w:rsidRPr="0059588A" w:rsidRDefault="00AE37A9" w:rsidP="00AE37A9">
      <w:pPr>
        <w:spacing w:after="0" w:line="240" w:lineRule="auto"/>
        <w:rPr>
          <w:rFonts w:ascii="Calibri" w:eastAsia="SimSun" w:hAnsi="Calibri" w:cs="Times New Roman"/>
        </w:rPr>
      </w:pPr>
    </w:p>
    <w:p w14:paraId="21C375A1" w14:textId="77777777" w:rsidR="00AE37A9" w:rsidRPr="0059588A" w:rsidRDefault="00AE37A9" w:rsidP="00AE37A9">
      <w:pPr>
        <w:rPr>
          <w:rFonts w:ascii="Calibri" w:eastAsia="SimSun" w:hAnsi="Calibri" w:cs="Times New Roman"/>
        </w:rPr>
      </w:pPr>
      <w:r w:rsidRPr="0059588A">
        <w:rPr>
          <w:rFonts w:ascii="Calibri" w:eastAsia="SimSun" w:hAnsi="Calibri" w:cs="Times New Roman"/>
        </w:rPr>
        <w:t xml:space="preserve">These analyses indicate that patient-level, but not area-level, variables for SDS/SES </w:t>
      </w:r>
      <w:r>
        <w:rPr>
          <w:rFonts w:ascii="Calibri" w:eastAsia="SimSun" w:hAnsi="Calibri" w:cs="Times New Roman"/>
        </w:rPr>
        <w:t>impact</w:t>
      </w:r>
      <w:r w:rsidRPr="0059588A">
        <w:rPr>
          <w:rFonts w:ascii="Calibri" w:eastAsia="SimSun" w:hAnsi="Calibri" w:cs="Times New Roman"/>
        </w:rPr>
        <w:t xml:space="preserve"> expected AVF rates.  Furthermore, we observed that adjustment for SDS/SES shifted facility performance, but more facilities declined in performance ranking with SDS/SES adjustment than improved.  </w:t>
      </w:r>
    </w:p>
    <w:p w14:paraId="62846E10" w14:textId="77777777" w:rsidR="00AE37A9" w:rsidRDefault="00AE37A9" w:rsidP="00AE37A9">
      <w:pPr>
        <w:rPr>
          <w:rFonts w:ascii="Calibri" w:eastAsia="SimSun" w:hAnsi="Calibri" w:cs="Times New Roman"/>
        </w:rPr>
      </w:pPr>
      <w:r w:rsidRPr="0059588A">
        <w:rPr>
          <w:rFonts w:ascii="Calibri" w:eastAsia="SimSun" w:hAnsi="Calibri" w:cs="Times New Roman"/>
        </w:rPr>
        <w:t>Area-level factors are not included as adjustments due to the absence of clinically meaningful or statistically observed differences on the fistula rate with these adjustments. Patient-level SDS/SES variables are not included as adjustments in the measure due to the absence of a convincing biological or clinical rationale that warrant accounting for different outcomes on the basis of race, sex, or socioeconomic status.  For example, some providers in the dialysis community believe that women are less likely to have AVF due to smaller vessels and hypothesize that this may be a biologic explanation for subsequent higher primary failure rates seen in women.  While several studies have reported that women h</w:t>
      </w:r>
      <w:r>
        <w:rPr>
          <w:rFonts w:ascii="Calibri" w:eastAsia="SimSun" w:hAnsi="Calibri" w:cs="Times New Roman"/>
        </w:rPr>
        <w:t>ave smaller vasculature than men [1,2]</w:t>
      </w:r>
      <w:r w:rsidRPr="0059588A">
        <w:rPr>
          <w:rFonts w:ascii="Calibri" w:eastAsia="SimSun" w:hAnsi="Calibri" w:cs="Times New Roman"/>
        </w:rPr>
        <w:t xml:space="preserve"> , this has not been a consistent finding, and may be isolated to forearm vessels.  Studies that have focused on upper arm AVF have demonstrated similar AVF rates between men and women, suggesting a lack of sufficient biological or clinical support for different outcomes in fistul</w:t>
      </w:r>
      <w:r>
        <w:rPr>
          <w:rFonts w:ascii="Calibri" w:eastAsia="SimSun" w:hAnsi="Calibri" w:cs="Times New Roman"/>
        </w:rPr>
        <w:t>a rates between female and males [3]</w:t>
      </w:r>
      <w:r w:rsidRPr="0059588A">
        <w:rPr>
          <w:rFonts w:ascii="Calibri" w:eastAsia="SimSun" w:hAnsi="Calibri" w:cs="Times New Roman"/>
        </w:rPr>
        <w:t xml:space="preserve">.  </w:t>
      </w:r>
    </w:p>
    <w:p w14:paraId="74F78F54" w14:textId="4D6CF7BC" w:rsidR="00AE37A9" w:rsidRDefault="00AE37A9" w:rsidP="00AE37A9">
      <w:pPr>
        <w:autoSpaceDE w:val="0"/>
        <w:autoSpaceDN w:val="0"/>
        <w:adjustRightInd w:val="0"/>
        <w:spacing w:after="0" w:line="240" w:lineRule="auto"/>
        <w:rPr>
          <w:rFonts w:cstheme="minorHAnsi"/>
          <w:b/>
          <w:bCs/>
        </w:rPr>
      </w:pPr>
    </w:p>
    <w:p w14:paraId="45157E70" w14:textId="77777777" w:rsidR="00AE37A9" w:rsidRPr="00AD7234" w:rsidRDefault="00AE37A9" w:rsidP="00AE37A9">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1A295A3B" w14:textId="6D406E0C" w:rsidR="003B0F84" w:rsidRPr="003B0F84" w:rsidRDefault="003B0F84" w:rsidP="003B0F84">
      <w:pPr>
        <w:rPr>
          <w:rFonts w:ascii="Calibri" w:eastAsia="SimSun" w:hAnsi="Calibri" w:cs="Times New Roman"/>
          <w:color w:val="C00000"/>
        </w:rPr>
      </w:pPr>
      <w:r w:rsidRPr="003B0F84">
        <w:rPr>
          <w:rFonts w:ascii="Calibri" w:eastAsia="SimSun" w:hAnsi="Calibri" w:cs="Times New Roman"/>
          <w:color w:val="C00000"/>
        </w:rPr>
        <w:t xml:space="preserve">The table below shows the </w:t>
      </w:r>
      <w:r w:rsidR="005F53E0">
        <w:rPr>
          <w:rFonts w:ascii="Calibri" w:eastAsia="SimSun" w:hAnsi="Calibri" w:cs="Times New Roman"/>
          <w:color w:val="C00000"/>
        </w:rPr>
        <w:t>regression coefficient</w:t>
      </w:r>
      <w:r w:rsidR="005F53E0" w:rsidRPr="003B0F84">
        <w:rPr>
          <w:rFonts w:ascii="Calibri" w:eastAsia="SimSun" w:hAnsi="Calibri" w:cs="Times New Roman"/>
          <w:color w:val="C00000"/>
        </w:rPr>
        <w:t xml:space="preserve"> </w:t>
      </w:r>
      <w:r w:rsidRPr="003B0F84">
        <w:rPr>
          <w:rFonts w:ascii="Calibri" w:eastAsia="SimSun" w:hAnsi="Calibri" w:cs="Times New Roman"/>
          <w:color w:val="C00000"/>
        </w:rPr>
        <w:t xml:space="preserve">estimates </w:t>
      </w:r>
      <w:r w:rsidR="000D6854">
        <w:rPr>
          <w:rFonts w:ascii="Calibri" w:eastAsia="SimSun" w:hAnsi="Calibri" w:cs="Times New Roman"/>
          <w:color w:val="C00000"/>
        </w:rPr>
        <w:t xml:space="preserve">and odds ratio </w:t>
      </w:r>
      <w:r w:rsidRPr="003B0F84">
        <w:rPr>
          <w:rFonts w:ascii="Calibri" w:eastAsia="SimSun" w:hAnsi="Calibri" w:cs="Times New Roman"/>
          <w:color w:val="C00000"/>
        </w:rPr>
        <w:t xml:space="preserve">for patient and area level SDS/SES variables based on a logistic regression model for AV fistula use that included all these variables along with all the other clinical covariates used for adjustment in SFR. Here we only report results for the SDS/SES factors. </w:t>
      </w:r>
    </w:p>
    <w:p w14:paraId="3F7742FB" w14:textId="7C45D82D" w:rsidR="003B0F84" w:rsidRPr="00081161" w:rsidRDefault="003B0F84" w:rsidP="003B0F84">
      <w:pPr>
        <w:rPr>
          <w:rFonts w:ascii="Calibri" w:eastAsia="SimSun" w:hAnsi="Calibri" w:cs="Times New Roman"/>
          <w:b/>
          <w:color w:val="C00000"/>
        </w:rPr>
      </w:pPr>
      <w:r w:rsidRPr="00081161">
        <w:rPr>
          <w:rFonts w:ascii="Calibri" w:eastAsia="SimSun" w:hAnsi="Calibri" w:cs="Times New Roman"/>
          <w:b/>
          <w:color w:val="C00000"/>
        </w:rPr>
        <w:t>Table 5. Coefficients and odds ratios for SDS/SES variables</w:t>
      </w:r>
      <w:r w:rsidR="006D4119" w:rsidRPr="00081161">
        <w:rPr>
          <w:rFonts w:ascii="Calibri" w:eastAsia="SimSun" w:hAnsi="Calibri" w:cs="Times New Roman"/>
          <w:b/>
          <w:color w:val="C00000"/>
        </w:rPr>
        <w:t xml:space="preserve">, </w:t>
      </w:r>
      <w:r w:rsidR="005F53E0" w:rsidRPr="00081161">
        <w:rPr>
          <w:rFonts w:ascii="Calibri" w:eastAsia="SimSun" w:hAnsi="Calibri" w:cs="Times New Roman"/>
          <w:b/>
          <w:color w:val="C00000"/>
        </w:rPr>
        <w:t xml:space="preserve">using </w:t>
      </w:r>
      <w:r w:rsidR="006D4119" w:rsidRPr="00081161">
        <w:rPr>
          <w:rFonts w:ascii="Calibri" w:eastAsia="SimSun" w:hAnsi="Calibri" w:cs="Times New Roman"/>
          <w:b/>
          <w:color w:val="C00000"/>
        </w:rPr>
        <w:t>2018</w:t>
      </w:r>
      <w:r w:rsidR="00522B2F" w:rsidRPr="00081161">
        <w:rPr>
          <w:rFonts w:ascii="Calibri" w:eastAsia="SimSun" w:hAnsi="Calibri" w:cs="Times New Roman"/>
          <w:b/>
          <w:color w:val="C00000"/>
        </w:rPr>
        <w:t xml:space="preserve"> data </w:t>
      </w:r>
    </w:p>
    <w:tbl>
      <w:tblPr>
        <w:tblW w:w="9980" w:type="dxa"/>
        <w:tblLook w:val="04A0" w:firstRow="1" w:lastRow="0" w:firstColumn="1" w:lastColumn="0" w:noHBand="0" w:noVBand="1"/>
      </w:tblPr>
      <w:tblGrid>
        <w:gridCol w:w="5600"/>
        <w:gridCol w:w="1460"/>
        <w:gridCol w:w="1460"/>
        <w:gridCol w:w="1460"/>
      </w:tblGrid>
      <w:tr w:rsidR="00081161" w:rsidRPr="00081161" w14:paraId="1C9BC00F" w14:textId="77777777" w:rsidTr="001524AB">
        <w:trPr>
          <w:trHeight w:val="315"/>
          <w:tblHeader/>
        </w:trPr>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EB4A5" w14:textId="7538DE03" w:rsidR="001524AB" w:rsidRPr="00081161" w:rsidRDefault="00774AF8" w:rsidP="001524AB">
            <w:pPr>
              <w:spacing w:after="0" w:line="240" w:lineRule="auto"/>
              <w:rPr>
                <w:rFonts w:ascii="Calibri" w:eastAsia="Times New Roman" w:hAnsi="Calibri" w:cs="Calibri"/>
                <w:b/>
                <w:bCs/>
                <w:color w:val="C00000"/>
              </w:rPr>
            </w:pPr>
            <w:r w:rsidRPr="00081161">
              <w:rPr>
                <w:rFonts w:ascii="Calibri" w:eastAsia="Times New Roman" w:hAnsi="Calibri" w:cs="Calibri"/>
                <w:b/>
                <w:bCs/>
                <w:color w:val="C00000"/>
              </w:rPr>
              <w:t>Covariate</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48F502A5" w14:textId="5BCAAF4E" w:rsidR="001524AB" w:rsidRPr="00081161" w:rsidRDefault="005F53E0" w:rsidP="001524AB">
            <w:pPr>
              <w:spacing w:after="0" w:line="240" w:lineRule="auto"/>
              <w:jc w:val="center"/>
              <w:rPr>
                <w:rFonts w:ascii="Calibri" w:eastAsia="Times New Roman" w:hAnsi="Calibri" w:cs="Calibri"/>
                <w:b/>
                <w:bCs/>
                <w:color w:val="C00000"/>
              </w:rPr>
            </w:pPr>
            <w:r w:rsidRPr="00081161">
              <w:rPr>
                <w:rFonts w:ascii="Calibri" w:eastAsia="Times New Roman" w:hAnsi="Calibri" w:cs="Calibri"/>
                <w:b/>
                <w:bCs/>
                <w:color w:val="C00000"/>
              </w:rPr>
              <w:t>Coefficient</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7A735293" w14:textId="77777777" w:rsidR="001524AB" w:rsidRPr="00081161" w:rsidRDefault="001524AB" w:rsidP="001524AB">
            <w:pPr>
              <w:spacing w:after="0" w:line="240" w:lineRule="auto"/>
              <w:jc w:val="center"/>
              <w:rPr>
                <w:rFonts w:ascii="Calibri" w:eastAsia="Times New Roman" w:hAnsi="Calibri" w:cs="Calibri"/>
                <w:b/>
                <w:bCs/>
                <w:color w:val="C00000"/>
              </w:rPr>
            </w:pPr>
            <w:r w:rsidRPr="00081161">
              <w:rPr>
                <w:rFonts w:ascii="Calibri" w:eastAsia="Times New Roman" w:hAnsi="Calibri" w:cs="Calibri"/>
                <w:b/>
                <w:bCs/>
                <w:color w:val="C00000"/>
              </w:rPr>
              <w:t>Odds Ratio</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3533BB0D" w14:textId="77777777" w:rsidR="001524AB" w:rsidRPr="00081161" w:rsidRDefault="001524AB" w:rsidP="001524AB">
            <w:pPr>
              <w:spacing w:after="0" w:line="240" w:lineRule="auto"/>
              <w:jc w:val="center"/>
              <w:rPr>
                <w:rFonts w:ascii="Calibri" w:eastAsia="Times New Roman" w:hAnsi="Calibri" w:cs="Calibri"/>
                <w:b/>
                <w:bCs/>
                <w:color w:val="C00000"/>
              </w:rPr>
            </w:pPr>
            <w:r w:rsidRPr="00081161">
              <w:rPr>
                <w:rFonts w:ascii="Calibri" w:eastAsia="Times New Roman" w:hAnsi="Calibri" w:cs="Calibri"/>
                <w:b/>
                <w:bCs/>
                <w:color w:val="C00000"/>
              </w:rPr>
              <w:t>P-value</w:t>
            </w:r>
          </w:p>
        </w:tc>
      </w:tr>
      <w:tr w:rsidR="00081161" w:rsidRPr="00081161" w14:paraId="3B1E07B4"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1E23CD3A" w14:textId="77777777" w:rsidR="001524AB" w:rsidRPr="00081161" w:rsidRDefault="001524AB" w:rsidP="001524AB">
            <w:pPr>
              <w:spacing w:after="0" w:line="240" w:lineRule="auto"/>
              <w:rPr>
                <w:rFonts w:ascii="Calibri" w:eastAsia="Times New Roman" w:hAnsi="Calibri" w:cs="Calibri"/>
                <w:b/>
                <w:bCs/>
                <w:color w:val="C00000"/>
              </w:rPr>
            </w:pPr>
            <w:r w:rsidRPr="00081161">
              <w:rPr>
                <w:rFonts w:ascii="Calibri" w:eastAsia="Times New Roman" w:hAnsi="Calibri" w:cs="Calibri"/>
                <w:b/>
                <w:bCs/>
                <w:color w:val="C00000"/>
              </w:rPr>
              <w:t>Sex</w:t>
            </w:r>
          </w:p>
        </w:tc>
        <w:tc>
          <w:tcPr>
            <w:tcW w:w="1460" w:type="dxa"/>
            <w:tcBorders>
              <w:top w:val="nil"/>
              <w:left w:val="nil"/>
              <w:bottom w:val="single" w:sz="4" w:space="0" w:color="auto"/>
              <w:right w:val="single" w:sz="4" w:space="0" w:color="auto"/>
            </w:tcBorders>
            <w:shd w:val="clear" w:color="auto" w:fill="auto"/>
            <w:noWrap/>
            <w:vAlign w:val="center"/>
            <w:hideMark/>
          </w:tcPr>
          <w:p w14:paraId="5E84F260" w14:textId="77777777" w:rsidR="001524AB" w:rsidRPr="00081161" w:rsidRDefault="001524AB" w:rsidP="001524AB">
            <w:pPr>
              <w:spacing w:after="0" w:line="240" w:lineRule="auto"/>
              <w:jc w:val="center"/>
              <w:rPr>
                <w:rFonts w:ascii="Calibri" w:eastAsia="Times New Roman" w:hAnsi="Calibri" w:cs="Calibri"/>
                <w:color w:val="C00000"/>
              </w:rPr>
            </w:pPr>
            <w:r w:rsidRPr="00081161">
              <w:rPr>
                <w:rFonts w:ascii="Calibri" w:eastAsia="Times New Roman" w:hAnsi="Calibri" w:cs="Calibri"/>
                <w:color w:val="C00000"/>
              </w:rPr>
              <w:t xml:space="preserve"> </w:t>
            </w:r>
          </w:p>
        </w:tc>
        <w:tc>
          <w:tcPr>
            <w:tcW w:w="1460" w:type="dxa"/>
            <w:tcBorders>
              <w:top w:val="nil"/>
              <w:left w:val="nil"/>
              <w:bottom w:val="single" w:sz="4" w:space="0" w:color="auto"/>
              <w:right w:val="single" w:sz="4" w:space="0" w:color="auto"/>
            </w:tcBorders>
            <w:shd w:val="clear" w:color="auto" w:fill="auto"/>
            <w:vAlign w:val="center"/>
            <w:hideMark/>
          </w:tcPr>
          <w:p w14:paraId="2D533195" w14:textId="77777777" w:rsidR="001524AB" w:rsidRPr="00081161" w:rsidRDefault="001524AB" w:rsidP="001524AB">
            <w:pPr>
              <w:spacing w:after="0" w:line="240" w:lineRule="auto"/>
              <w:jc w:val="center"/>
              <w:rPr>
                <w:rFonts w:ascii="Calibri" w:eastAsia="Times New Roman" w:hAnsi="Calibri" w:cs="Calibri"/>
                <w:color w:val="C00000"/>
              </w:rPr>
            </w:pPr>
            <w:r w:rsidRPr="00081161">
              <w:rPr>
                <w:rFonts w:ascii="Calibri" w:eastAsia="Times New Roman" w:hAnsi="Calibri" w:cs="Calibri"/>
                <w:color w:val="C00000"/>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6BA1D966" w14:textId="77777777" w:rsidR="001524AB" w:rsidRPr="00081161" w:rsidRDefault="001524AB" w:rsidP="001524AB">
            <w:pPr>
              <w:spacing w:after="0" w:line="240" w:lineRule="auto"/>
              <w:jc w:val="center"/>
              <w:rPr>
                <w:rFonts w:ascii="Calibri" w:eastAsia="Times New Roman" w:hAnsi="Calibri" w:cs="Calibri"/>
                <w:color w:val="C00000"/>
              </w:rPr>
            </w:pPr>
            <w:r w:rsidRPr="00081161">
              <w:rPr>
                <w:rFonts w:ascii="Calibri" w:eastAsia="Times New Roman" w:hAnsi="Calibri" w:cs="Calibri"/>
                <w:color w:val="C00000"/>
              </w:rPr>
              <w:t> </w:t>
            </w:r>
          </w:p>
        </w:tc>
      </w:tr>
      <w:tr w:rsidR="00081161" w:rsidRPr="00081161" w14:paraId="76577401"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0A1A62BB"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Female</w:t>
            </w:r>
          </w:p>
        </w:tc>
        <w:tc>
          <w:tcPr>
            <w:tcW w:w="1460" w:type="dxa"/>
            <w:tcBorders>
              <w:top w:val="nil"/>
              <w:left w:val="nil"/>
              <w:bottom w:val="single" w:sz="4" w:space="0" w:color="auto"/>
              <w:right w:val="single" w:sz="4" w:space="0" w:color="auto"/>
            </w:tcBorders>
            <w:shd w:val="clear" w:color="auto" w:fill="auto"/>
            <w:noWrap/>
            <w:vAlign w:val="center"/>
            <w:hideMark/>
          </w:tcPr>
          <w:p w14:paraId="314A4759" w14:textId="7DD23E67"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-0.517</w:t>
            </w:r>
          </w:p>
        </w:tc>
        <w:tc>
          <w:tcPr>
            <w:tcW w:w="1460" w:type="dxa"/>
            <w:tcBorders>
              <w:top w:val="nil"/>
              <w:left w:val="nil"/>
              <w:bottom w:val="single" w:sz="4" w:space="0" w:color="auto"/>
              <w:right w:val="single" w:sz="4" w:space="0" w:color="auto"/>
            </w:tcBorders>
            <w:shd w:val="clear" w:color="auto" w:fill="auto"/>
            <w:vAlign w:val="center"/>
            <w:hideMark/>
          </w:tcPr>
          <w:p w14:paraId="099FE9A4" w14:textId="6F0E1A7A"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0.596</w:t>
            </w:r>
          </w:p>
        </w:tc>
        <w:tc>
          <w:tcPr>
            <w:tcW w:w="1460" w:type="dxa"/>
            <w:tcBorders>
              <w:top w:val="nil"/>
              <w:left w:val="nil"/>
              <w:bottom w:val="single" w:sz="4" w:space="0" w:color="auto"/>
              <w:right w:val="single" w:sz="4" w:space="0" w:color="auto"/>
            </w:tcBorders>
            <w:shd w:val="clear" w:color="auto" w:fill="auto"/>
            <w:vAlign w:val="center"/>
            <w:hideMark/>
          </w:tcPr>
          <w:p w14:paraId="56D2F6EB" w14:textId="195EB06E"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&lt;.001</w:t>
            </w:r>
          </w:p>
        </w:tc>
      </w:tr>
      <w:tr w:rsidR="00081161" w:rsidRPr="00081161" w14:paraId="0ED6EC7E"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140A3404"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Male</w:t>
            </w:r>
          </w:p>
        </w:tc>
        <w:tc>
          <w:tcPr>
            <w:tcW w:w="1460" w:type="dxa"/>
            <w:tcBorders>
              <w:top w:val="nil"/>
              <w:left w:val="nil"/>
              <w:bottom w:val="single" w:sz="4" w:space="0" w:color="auto"/>
              <w:right w:val="single" w:sz="4" w:space="0" w:color="auto"/>
            </w:tcBorders>
            <w:shd w:val="clear" w:color="auto" w:fill="auto"/>
            <w:noWrap/>
            <w:vAlign w:val="center"/>
            <w:hideMark/>
          </w:tcPr>
          <w:p w14:paraId="667A356C" w14:textId="6E446E7C"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Reference</w:t>
            </w:r>
          </w:p>
        </w:tc>
        <w:tc>
          <w:tcPr>
            <w:tcW w:w="1460" w:type="dxa"/>
            <w:tcBorders>
              <w:top w:val="nil"/>
              <w:left w:val="nil"/>
              <w:bottom w:val="single" w:sz="4" w:space="0" w:color="auto"/>
              <w:right w:val="single" w:sz="4" w:space="0" w:color="auto"/>
            </w:tcBorders>
            <w:shd w:val="clear" w:color="auto" w:fill="auto"/>
            <w:vAlign w:val="center"/>
            <w:hideMark/>
          </w:tcPr>
          <w:p w14:paraId="7960645F" w14:textId="4E84601B"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01F77F2F" w14:textId="73865DEE"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r>
      <w:tr w:rsidR="00081161" w:rsidRPr="00081161" w14:paraId="419AA721"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663B5D03" w14:textId="77777777" w:rsidR="00611083" w:rsidRPr="00081161" w:rsidRDefault="00611083" w:rsidP="00611083">
            <w:pPr>
              <w:spacing w:after="0" w:line="240" w:lineRule="auto"/>
              <w:rPr>
                <w:rFonts w:ascii="Calibri" w:eastAsia="Times New Roman" w:hAnsi="Calibri" w:cs="Calibri"/>
                <w:b/>
                <w:bCs/>
                <w:color w:val="C00000"/>
              </w:rPr>
            </w:pPr>
            <w:r w:rsidRPr="00081161">
              <w:rPr>
                <w:rFonts w:ascii="Calibri" w:eastAsia="Times New Roman" w:hAnsi="Calibri" w:cs="Calibri"/>
                <w:b/>
                <w:bCs/>
                <w:color w:val="C00000"/>
              </w:rPr>
              <w:t>Ethnicity</w:t>
            </w:r>
          </w:p>
        </w:tc>
        <w:tc>
          <w:tcPr>
            <w:tcW w:w="1460" w:type="dxa"/>
            <w:tcBorders>
              <w:top w:val="nil"/>
              <w:left w:val="nil"/>
              <w:bottom w:val="single" w:sz="4" w:space="0" w:color="auto"/>
              <w:right w:val="single" w:sz="4" w:space="0" w:color="auto"/>
            </w:tcBorders>
            <w:shd w:val="clear" w:color="auto" w:fill="auto"/>
            <w:noWrap/>
            <w:vAlign w:val="center"/>
            <w:hideMark/>
          </w:tcPr>
          <w:p w14:paraId="0E6C38A0" w14:textId="7E0FFFBF"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c>
          <w:tcPr>
            <w:tcW w:w="1460" w:type="dxa"/>
            <w:tcBorders>
              <w:top w:val="nil"/>
              <w:left w:val="nil"/>
              <w:bottom w:val="single" w:sz="4" w:space="0" w:color="auto"/>
              <w:right w:val="single" w:sz="4" w:space="0" w:color="auto"/>
            </w:tcBorders>
            <w:shd w:val="clear" w:color="auto" w:fill="auto"/>
            <w:vAlign w:val="center"/>
            <w:hideMark/>
          </w:tcPr>
          <w:p w14:paraId="68C50141" w14:textId="31FC0930"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68CDFE1E" w14:textId="7061C9CE"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r>
      <w:tr w:rsidR="00081161" w:rsidRPr="00081161" w14:paraId="3446FB80"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650A7BD8"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Hispanic</w:t>
            </w:r>
          </w:p>
        </w:tc>
        <w:tc>
          <w:tcPr>
            <w:tcW w:w="1460" w:type="dxa"/>
            <w:tcBorders>
              <w:top w:val="nil"/>
              <w:left w:val="nil"/>
              <w:bottom w:val="single" w:sz="4" w:space="0" w:color="auto"/>
              <w:right w:val="single" w:sz="4" w:space="0" w:color="auto"/>
            </w:tcBorders>
            <w:shd w:val="clear" w:color="auto" w:fill="auto"/>
            <w:vAlign w:val="center"/>
            <w:hideMark/>
          </w:tcPr>
          <w:p w14:paraId="5E3E0C05" w14:textId="5D843C02"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0.191</w:t>
            </w:r>
          </w:p>
        </w:tc>
        <w:tc>
          <w:tcPr>
            <w:tcW w:w="1460" w:type="dxa"/>
            <w:tcBorders>
              <w:top w:val="nil"/>
              <w:left w:val="nil"/>
              <w:bottom w:val="single" w:sz="4" w:space="0" w:color="auto"/>
              <w:right w:val="single" w:sz="4" w:space="0" w:color="auto"/>
            </w:tcBorders>
            <w:shd w:val="clear" w:color="auto" w:fill="auto"/>
            <w:vAlign w:val="center"/>
            <w:hideMark/>
          </w:tcPr>
          <w:p w14:paraId="0D601401" w14:textId="3624D9E6"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1.211</w:t>
            </w:r>
          </w:p>
        </w:tc>
        <w:tc>
          <w:tcPr>
            <w:tcW w:w="1460" w:type="dxa"/>
            <w:tcBorders>
              <w:top w:val="nil"/>
              <w:left w:val="nil"/>
              <w:bottom w:val="single" w:sz="4" w:space="0" w:color="auto"/>
              <w:right w:val="single" w:sz="4" w:space="0" w:color="auto"/>
            </w:tcBorders>
            <w:shd w:val="clear" w:color="auto" w:fill="auto"/>
            <w:vAlign w:val="center"/>
            <w:hideMark/>
          </w:tcPr>
          <w:p w14:paraId="39EC2B54" w14:textId="1BC12D0B"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&lt;.001</w:t>
            </w:r>
          </w:p>
        </w:tc>
      </w:tr>
      <w:tr w:rsidR="00081161" w:rsidRPr="00081161" w14:paraId="0B6D9DEB"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222B2A01"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Non-Hispanic</w:t>
            </w:r>
          </w:p>
        </w:tc>
        <w:tc>
          <w:tcPr>
            <w:tcW w:w="1460" w:type="dxa"/>
            <w:tcBorders>
              <w:top w:val="nil"/>
              <w:left w:val="nil"/>
              <w:bottom w:val="single" w:sz="4" w:space="0" w:color="auto"/>
              <w:right w:val="single" w:sz="4" w:space="0" w:color="auto"/>
            </w:tcBorders>
            <w:shd w:val="clear" w:color="auto" w:fill="auto"/>
            <w:noWrap/>
            <w:vAlign w:val="center"/>
            <w:hideMark/>
          </w:tcPr>
          <w:p w14:paraId="6CF72D4B" w14:textId="0EF480AA"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Reference</w:t>
            </w:r>
          </w:p>
        </w:tc>
        <w:tc>
          <w:tcPr>
            <w:tcW w:w="1460" w:type="dxa"/>
            <w:tcBorders>
              <w:top w:val="nil"/>
              <w:left w:val="nil"/>
              <w:bottom w:val="single" w:sz="4" w:space="0" w:color="auto"/>
              <w:right w:val="single" w:sz="4" w:space="0" w:color="auto"/>
            </w:tcBorders>
            <w:shd w:val="clear" w:color="auto" w:fill="auto"/>
            <w:vAlign w:val="center"/>
            <w:hideMark/>
          </w:tcPr>
          <w:p w14:paraId="61919AA5" w14:textId="62AD6D62"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29E68449" w14:textId="617F9611"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r>
      <w:tr w:rsidR="00081161" w:rsidRPr="00081161" w14:paraId="535195D6"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074FF918" w14:textId="77777777" w:rsidR="00611083" w:rsidRPr="00081161" w:rsidRDefault="00611083" w:rsidP="00611083">
            <w:pPr>
              <w:spacing w:after="0" w:line="240" w:lineRule="auto"/>
              <w:rPr>
                <w:rFonts w:ascii="Calibri" w:eastAsia="Times New Roman" w:hAnsi="Calibri" w:cs="Calibri"/>
                <w:b/>
                <w:bCs/>
                <w:color w:val="C00000"/>
              </w:rPr>
            </w:pPr>
            <w:r w:rsidRPr="00081161">
              <w:rPr>
                <w:rFonts w:ascii="Calibri" w:eastAsia="Times New Roman" w:hAnsi="Calibri" w:cs="Calibri"/>
                <w:b/>
                <w:bCs/>
                <w:color w:val="C00000"/>
              </w:rPr>
              <w:t>Race</w:t>
            </w:r>
          </w:p>
        </w:tc>
        <w:tc>
          <w:tcPr>
            <w:tcW w:w="1460" w:type="dxa"/>
            <w:tcBorders>
              <w:top w:val="nil"/>
              <w:left w:val="nil"/>
              <w:bottom w:val="single" w:sz="4" w:space="0" w:color="auto"/>
              <w:right w:val="single" w:sz="4" w:space="0" w:color="auto"/>
            </w:tcBorders>
            <w:shd w:val="clear" w:color="auto" w:fill="auto"/>
            <w:noWrap/>
            <w:vAlign w:val="center"/>
            <w:hideMark/>
          </w:tcPr>
          <w:p w14:paraId="2213D474" w14:textId="6266771B"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c>
          <w:tcPr>
            <w:tcW w:w="1460" w:type="dxa"/>
            <w:tcBorders>
              <w:top w:val="nil"/>
              <w:left w:val="nil"/>
              <w:bottom w:val="single" w:sz="4" w:space="0" w:color="auto"/>
              <w:right w:val="single" w:sz="4" w:space="0" w:color="auto"/>
            </w:tcBorders>
            <w:shd w:val="clear" w:color="auto" w:fill="auto"/>
            <w:vAlign w:val="center"/>
            <w:hideMark/>
          </w:tcPr>
          <w:p w14:paraId="6DCA2B99" w14:textId="25783C40"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7FF77507" w14:textId="3A5A30E8"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r>
      <w:tr w:rsidR="00081161" w:rsidRPr="00081161" w14:paraId="291B37BF"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7BEE1C2A"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White</w:t>
            </w:r>
          </w:p>
        </w:tc>
        <w:tc>
          <w:tcPr>
            <w:tcW w:w="1460" w:type="dxa"/>
            <w:tcBorders>
              <w:top w:val="nil"/>
              <w:left w:val="nil"/>
              <w:bottom w:val="single" w:sz="4" w:space="0" w:color="auto"/>
              <w:right w:val="single" w:sz="4" w:space="0" w:color="auto"/>
            </w:tcBorders>
            <w:shd w:val="clear" w:color="auto" w:fill="auto"/>
            <w:noWrap/>
            <w:vAlign w:val="center"/>
            <w:hideMark/>
          </w:tcPr>
          <w:p w14:paraId="78BB66E6" w14:textId="4447FEF7"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Reference</w:t>
            </w:r>
          </w:p>
        </w:tc>
        <w:tc>
          <w:tcPr>
            <w:tcW w:w="1460" w:type="dxa"/>
            <w:tcBorders>
              <w:top w:val="nil"/>
              <w:left w:val="nil"/>
              <w:bottom w:val="single" w:sz="4" w:space="0" w:color="auto"/>
              <w:right w:val="single" w:sz="4" w:space="0" w:color="auto"/>
            </w:tcBorders>
            <w:shd w:val="clear" w:color="auto" w:fill="auto"/>
            <w:vAlign w:val="center"/>
            <w:hideMark/>
          </w:tcPr>
          <w:p w14:paraId="48677845" w14:textId="2A53901B"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447DCC81" w14:textId="4D950599"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r>
      <w:tr w:rsidR="00081161" w:rsidRPr="00081161" w14:paraId="63C42E50"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14366DC9"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Black</w:t>
            </w:r>
          </w:p>
        </w:tc>
        <w:tc>
          <w:tcPr>
            <w:tcW w:w="1460" w:type="dxa"/>
            <w:tcBorders>
              <w:top w:val="nil"/>
              <w:left w:val="nil"/>
              <w:bottom w:val="single" w:sz="4" w:space="0" w:color="auto"/>
              <w:right w:val="single" w:sz="4" w:space="0" w:color="auto"/>
            </w:tcBorders>
            <w:shd w:val="clear" w:color="auto" w:fill="auto"/>
            <w:noWrap/>
            <w:vAlign w:val="center"/>
            <w:hideMark/>
          </w:tcPr>
          <w:p w14:paraId="071E71DE" w14:textId="72F8DAA4"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-0.402</w:t>
            </w:r>
          </w:p>
        </w:tc>
        <w:tc>
          <w:tcPr>
            <w:tcW w:w="1460" w:type="dxa"/>
            <w:tcBorders>
              <w:top w:val="nil"/>
              <w:left w:val="nil"/>
              <w:bottom w:val="single" w:sz="4" w:space="0" w:color="auto"/>
              <w:right w:val="single" w:sz="4" w:space="0" w:color="auto"/>
            </w:tcBorders>
            <w:shd w:val="clear" w:color="auto" w:fill="auto"/>
            <w:vAlign w:val="center"/>
            <w:hideMark/>
          </w:tcPr>
          <w:p w14:paraId="36030DD1" w14:textId="2F1DE53C"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0.669</w:t>
            </w:r>
          </w:p>
        </w:tc>
        <w:tc>
          <w:tcPr>
            <w:tcW w:w="1460" w:type="dxa"/>
            <w:tcBorders>
              <w:top w:val="nil"/>
              <w:left w:val="nil"/>
              <w:bottom w:val="single" w:sz="4" w:space="0" w:color="auto"/>
              <w:right w:val="single" w:sz="4" w:space="0" w:color="auto"/>
            </w:tcBorders>
            <w:shd w:val="clear" w:color="auto" w:fill="auto"/>
            <w:vAlign w:val="center"/>
            <w:hideMark/>
          </w:tcPr>
          <w:p w14:paraId="2E35DF4C" w14:textId="17B3F2FD"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&lt;.001</w:t>
            </w:r>
          </w:p>
        </w:tc>
      </w:tr>
      <w:tr w:rsidR="00081161" w:rsidRPr="00081161" w14:paraId="58253E00"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7831ACBE" w14:textId="3235377C"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Other race</w:t>
            </w:r>
          </w:p>
        </w:tc>
        <w:tc>
          <w:tcPr>
            <w:tcW w:w="1460" w:type="dxa"/>
            <w:tcBorders>
              <w:top w:val="nil"/>
              <w:left w:val="nil"/>
              <w:bottom w:val="single" w:sz="4" w:space="0" w:color="auto"/>
              <w:right w:val="single" w:sz="4" w:space="0" w:color="auto"/>
            </w:tcBorders>
            <w:shd w:val="clear" w:color="auto" w:fill="auto"/>
            <w:vAlign w:val="center"/>
            <w:hideMark/>
          </w:tcPr>
          <w:p w14:paraId="24BCF4A1" w14:textId="074EE9A5"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0.066</w:t>
            </w:r>
          </w:p>
        </w:tc>
        <w:tc>
          <w:tcPr>
            <w:tcW w:w="1460" w:type="dxa"/>
            <w:tcBorders>
              <w:top w:val="nil"/>
              <w:left w:val="nil"/>
              <w:bottom w:val="single" w:sz="4" w:space="0" w:color="auto"/>
              <w:right w:val="single" w:sz="4" w:space="0" w:color="auto"/>
            </w:tcBorders>
            <w:shd w:val="clear" w:color="auto" w:fill="auto"/>
            <w:vAlign w:val="center"/>
            <w:hideMark/>
          </w:tcPr>
          <w:p w14:paraId="000184DB" w14:textId="5B8168AE"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1.069</w:t>
            </w:r>
          </w:p>
        </w:tc>
        <w:tc>
          <w:tcPr>
            <w:tcW w:w="1460" w:type="dxa"/>
            <w:tcBorders>
              <w:top w:val="nil"/>
              <w:left w:val="nil"/>
              <w:bottom w:val="single" w:sz="4" w:space="0" w:color="auto"/>
              <w:right w:val="single" w:sz="4" w:space="0" w:color="auto"/>
            </w:tcBorders>
            <w:shd w:val="clear" w:color="auto" w:fill="auto"/>
            <w:vAlign w:val="center"/>
            <w:hideMark/>
          </w:tcPr>
          <w:p w14:paraId="55527A28" w14:textId="3C3BE8F2"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0.146</w:t>
            </w:r>
          </w:p>
        </w:tc>
      </w:tr>
      <w:tr w:rsidR="00081161" w:rsidRPr="00081161" w14:paraId="11580FB5"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27C87C2A" w14:textId="09464FB7" w:rsidR="00611083" w:rsidRPr="00081161" w:rsidRDefault="00611083" w:rsidP="00CA3B6A">
            <w:pPr>
              <w:spacing w:after="0" w:line="240" w:lineRule="auto"/>
              <w:rPr>
                <w:rFonts w:ascii="Calibri" w:eastAsia="Times New Roman" w:hAnsi="Calibri" w:cs="Calibri"/>
                <w:b/>
                <w:bCs/>
                <w:color w:val="C00000"/>
              </w:rPr>
            </w:pPr>
            <w:r w:rsidRPr="00081161">
              <w:rPr>
                <w:rFonts w:ascii="Calibri" w:eastAsia="Times New Roman" w:hAnsi="Calibri" w:cs="Calibri"/>
                <w:b/>
                <w:bCs/>
                <w:color w:val="C00000"/>
              </w:rPr>
              <w:t>Employment Status</w:t>
            </w:r>
            <w:r w:rsidR="00CA3B6A" w:rsidRPr="00081161">
              <w:rPr>
                <w:rFonts w:ascii="Calibri" w:eastAsia="Times New Roman" w:hAnsi="Calibri" w:cs="Calibri"/>
                <w:b/>
                <w:bCs/>
                <w:color w:val="C00000"/>
              </w:rPr>
              <w:t xml:space="preserve"> at ESRD Incidence</w:t>
            </w:r>
            <w:r w:rsidRPr="00081161">
              <w:rPr>
                <w:rFonts w:ascii="Calibri" w:eastAsia="Times New Roman" w:hAnsi="Calibri" w:cs="Calibri"/>
                <w:b/>
                <w:bCs/>
                <w:color w:val="C00000"/>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51501BE4" w14:textId="5FEBD976"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c>
          <w:tcPr>
            <w:tcW w:w="1460" w:type="dxa"/>
            <w:tcBorders>
              <w:top w:val="nil"/>
              <w:left w:val="nil"/>
              <w:bottom w:val="single" w:sz="4" w:space="0" w:color="auto"/>
              <w:right w:val="single" w:sz="4" w:space="0" w:color="auto"/>
            </w:tcBorders>
            <w:shd w:val="clear" w:color="auto" w:fill="auto"/>
            <w:vAlign w:val="center"/>
            <w:hideMark/>
          </w:tcPr>
          <w:p w14:paraId="094AE25B" w14:textId="56559D75"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c>
          <w:tcPr>
            <w:tcW w:w="1460" w:type="dxa"/>
            <w:tcBorders>
              <w:top w:val="nil"/>
              <w:left w:val="nil"/>
              <w:bottom w:val="single" w:sz="4" w:space="0" w:color="auto"/>
              <w:right w:val="single" w:sz="4" w:space="0" w:color="auto"/>
            </w:tcBorders>
            <w:shd w:val="clear" w:color="auto" w:fill="auto"/>
            <w:noWrap/>
            <w:vAlign w:val="center"/>
            <w:hideMark/>
          </w:tcPr>
          <w:p w14:paraId="18DA7F73" w14:textId="1869654D"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r>
      <w:tr w:rsidR="00081161" w:rsidRPr="00081161" w14:paraId="532C1E40"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7A5F5DAE"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Employed</w:t>
            </w:r>
          </w:p>
        </w:tc>
        <w:tc>
          <w:tcPr>
            <w:tcW w:w="1460" w:type="dxa"/>
            <w:tcBorders>
              <w:top w:val="nil"/>
              <w:left w:val="nil"/>
              <w:bottom w:val="single" w:sz="4" w:space="0" w:color="auto"/>
              <w:right w:val="single" w:sz="4" w:space="0" w:color="auto"/>
            </w:tcBorders>
            <w:shd w:val="clear" w:color="auto" w:fill="auto"/>
            <w:noWrap/>
            <w:vAlign w:val="center"/>
            <w:hideMark/>
          </w:tcPr>
          <w:p w14:paraId="3799CEA1" w14:textId="6076CD05"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Reference</w:t>
            </w:r>
          </w:p>
        </w:tc>
        <w:tc>
          <w:tcPr>
            <w:tcW w:w="1460" w:type="dxa"/>
            <w:tcBorders>
              <w:top w:val="nil"/>
              <w:left w:val="nil"/>
              <w:bottom w:val="single" w:sz="4" w:space="0" w:color="auto"/>
              <w:right w:val="single" w:sz="4" w:space="0" w:color="auto"/>
            </w:tcBorders>
            <w:shd w:val="clear" w:color="auto" w:fill="auto"/>
            <w:vAlign w:val="center"/>
            <w:hideMark/>
          </w:tcPr>
          <w:p w14:paraId="2298B80D" w14:textId="59108CD7"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57D9A217" w14:textId="46E2D265"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r>
      <w:tr w:rsidR="00081161" w:rsidRPr="00081161" w14:paraId="76EC5535"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5E916B8B"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Unemployed</w:t>
            </w:r>
          </w:p>
        </w:tc>
        <w:tc>
          <w:tcPr>
            <w:tcW w:w="1460" w:type="dxa"/>
            <w:tcBorders>
              <w:top w:val="nil"/>
              <w:left w:val="nil"/>
              <w:bottom w:val="single" w:sz="4" w:space="0" w:color="auto"/>
              <w:right w:val="single" w:sz="4" w:space="0" w:color="auto"/>
            </w:tcBorders>
            <w:shd w:val="clear" w:color="auto" w:fill="auto"/>
            <w:noWrap/>
            <w:vAlign w:val="center"/>
            <w:hideMark/>
          </w:tcPr>
          <w:p w14:paraId="0BD79BBA" w14:textId="645C3D87"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-0.157</w:t>
            </w:r>
          </w:p>
        </w:tc>
        <w:tc>
          <w:tcPr>
            <w:tcW w:w="1460" w:type="dxa"/>
            <w:tcBorders>
              <w:top w:val="nil"/>
              <w:left w:val="nil"/>
              <w:bottom w:val="single" w:sz="4" w:space="0" w:color="auto"/>
              <w:right w:val="single" w:sz="4" w:space="0" w:color="auto"/>
            </w:tcBorders>
            <w:shd w:val="clear" w:color="auto" w:fill="auto"/>
            <w:vAlign w:val="center"/>
            <w:hideMark/>
          </w:tcPr>
          <w:p w14:paraId="697DD515" w14:textId="4B31EFA6"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0.855</w:t>
            </w:r>
          </w:p>
        </w:tc>
        <w:tc>
          <w:tcPr>
            <w:tcW w:w="1460" w:type="dxa"/>
            <w:tcBorders>
              <w:top w:val="nil"/>
              <w:left w:val="nil"/>
              <w:bottom w:val="single" w:sz="4" w:space="0" w:color="auto"/>
              <w:right w:val="single" w:sz="4" w:space="0" w:color="auto"/>
            </w:tcBorders>
            <w:shd w:val="clear" w:color="auto" w:fill="auto"/>
            <w:vAlign w:val="center"/>
            <w:hideMark/>
          </w:tcPr>
          <w:p w14:paraId="1B646E68" w14:textId="490DA17E"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&lt;.0001</w:t>
            </w:r>
          </w:p>
        </w:tc>
      </w:tr>
      <w:tr w:rsidR="00081161" w:rsidRPr="00081161" w14:paraId="15B9E0E6"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638DD2C1"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Other</w:t>
            </w:r>
          </w:p>
        </w:tc>
        <w:tc>
          <w:tcPr>
            <w:tcW w:w="1460" w:type="dxa"/>
            <w:tcBorders>
              <w:top w:val="nil"/>
              <w:left w:val="nil"/>
              <w:bottom w:val="single" w:sz="4" w:space="0" w:color="auto"/>
              <w:right w:val="single" w:sz="4" w:space="0" w:color="auto"/>
            </w:tcBorders>
            <w:shd w:val="clear" w:color="auto" w:fill="auto"/>
            <w:noWrap/>
            <w:vAlign w:val="center"/>
            <w:hideMark/>
          </w:tcPr>
          <w:p w14:paraId="52DB23BC" w14:textId="3887537B"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-0.200</w:t>
            </w:r>
          </w:p>
        </w:tc>
        <w:tc>
          <w:tcPr>
            <w:tcW w:w="1460" w:type="dxa"/>
            <w:tcBorders>
              <w:top w:val="nil"/>
              <w:left w:val="nil"/>
              <w:bottom w:val="single" w:sz="4" w:space="0" w:color="auto"/>
              <w:right w:val="single" w:sz="4" w:space="0" w:color="auto"/>
            </w:tcBorders>
            <w:shd w:val="clear" w:color="auto" w:fill="auto"/>
            <w:vAlign w:val="center"/>
            <w:hideMark/>
          </w:tcPr>
          <w:p w14:paraId="3BF6B32C" w14:textId="500BCC7E"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0.819</w:t>
            </w:r>
          </w:p>
        </w:tc>
        <w:tc>
          <w:tcPr>
            <w:tcW w:w="1460" w:type="dxa"/>
            <w:tcBorders>
              <w:top w:val="nil"/>
              <w:left w:val="nil"/>
              <w:bottom w:val="single" w:sz="4" w:space="0" w:color="auto"/>
              <w:right w:val="single" w:sz="4" w:space="0" w:color="auto"/>
            </w:tcBorders>
            <w:shd w:val="clear" w:color="auto" w:fill="auto"/>
            <w:vAlign w:val="center"/>
            <w:hideMark/>
          </w:tcPr>
          <w:p w14:paraId="02446A97" w14:textId="6DA5BB35"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0.000</w:t>
            </w:r>
          </w:p>
        </w:tc>
      </w:tr>
      <w:tr w:rsidR="00081161" w:rsidRPr="00081161" w14:paraId="0B6AD5D5"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16F59A52" w14:textId="3F188C7C" w:rsidR="00611083" w:rsidRPr="00081161" w:rsidRDefault="00611083" w:rsidP="00611083">
            <w:pPr>
              <w:spacing w:after="0" w:line="240" w:lineRule="auto"/>
              <w:rPr>
                <w:rFonts w:ascii="Calibri" w:eastAsia="Times New Roman" w:hAnsi="Calibri" w:cs="Calibri"/>
                <w:b/>
                <w:bCs/>
                <w:color w:val="C00000"/>
              </w:rPr>
            </w:pPr>
            <w:r w:rsidRPr="00081161">
              <w:rPr>
                <w:rFonts w:ascii="Calibri" w:eastAsia="Times New Roman" w:hAnsi="Calibri" w:cs="Calibri"/>
                <w:b/>
                <w:bCs/>
                <w:color w:val="C00000"/>
              </w:rPr>
              <w:t>Medicare Coverage</w:t>
            </w:r>
          </w:p>
        </w:tc>
        <w:tc>
          <w:tcPr>
            <w:tcW w:w="1460" w:type="dxa"/>
            <w:tcBorders>
              <w:top w:val="nil"/>
              <w:left w:val="nil"/>
              <w:bottom w:val="single" w:sz="4" w:space="0" w:color="auto"/>
              <w:right w:val="single" w:sz="4" w:space="0" w:color="auto"/>
            </w:tcBorders>
            <w:shd w:val="clear" w:color="auto" w:fill="auto"/>
            <w:noWrap/>
            <w:vAlign w:val="bottom"/>
            <w:hideMark/>
          </w:tcPr>
          <w:p w14:paraId="672E0032" w14:textId="0030EDFC"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6ACA7825" w14:textId="133C1EAD" w:rsidR="00611083" w:rsidRPr="00081161" w:rsidRDefault="00611083" w:rsidP="00611083">
            <w:pPr>
              <w:spacing w:after="0" w:line="240" w:lineRule="auto"/>
              <w:rPr>
                <w:rFonts w:ascii="Calibri" w:eastAsia="Times New Roman" w:hAnsi="Calibri" w:cs="Calibri"/>
                <w:color w:val="C00000"/>
              </w:rPr>
            </w:pPr>
            <w:r w:rsidRPr="00081161">
              <w:rPr>
                <w:rFonts w:ascii="Calibri" w:hAnsi="Calibri" w:cs="Calibri"/>
                <w:color w:val="C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7470188D" w14:textId="10B9C128"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r>
      <w:tr w:rsidR="00081161" w:rsidRPr="00081161" w14:paraId="4F7D96C6" w14:textId="77777777" w:rsidTr="008E3044">
        <w:trPr>
          <w:trHeight w:val="315"/>
        </w:trPr>
        <w:tc>
          <w:tcPr>
            <w:tcW w:w="5600" w:type="dxa"/>
            <w:tcBorders>
              <w:top w:val="nil"/>
              <w:left w:val="single" w:sz="4" w:space="0" w:color="auto"/>
              <w:bottom w:val="single" w:sz="4" w:space="0" w:color="auto"/>
              <w:right w:val="single" w:sz="4" w:space="0" w:color="auto"/>
            </w:tcBorders>
            <w:shd w:val="clear" w:color="auto" w:fill="auto"/>
            <w:vAlign w:val="center"/>
            <w:hideMark/>
          </w:tcPr>
          <w:p w14:paraId="1C9A028E"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Dual eligible</w:t>
            </w:r>
          </w:p>
        </w:tc>
        <w:tc>
          <w:tcPr>
            <w:tcW w:w="1460" w:type="dxa"/>
            <w:tcBorders>
              <w:top w:val="nil"/>
              <w:left w:val="nil"/>
              <w:bottom w:val="single" w:sz="4" w:space="0" w:color="auto"/>
              <w:right w:val="single" w:sz="4" w:space="0" w:color="auto"/>
            </w:tcBorders>
            <w:shd w:val="clear" w:color="auto" w:fill="auto"/>
            <w:noWrap/>
            <w:vAlign w:val="center"/>
            <w:hideMark/>
          </w:tcPr>
          <w:p w14:paraId="5B60C193" w14:textId="7DCCB80C"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-0.114</w:t>
            </w:r>
          </w:p>
        </w:tc>
        <w:tc>
          <w:tcPr>
            <w:tcW w:w="1460" w:type="dxa"/>
            <w:tcBorders>
              <w:top w:val="nil"/>
              <w:left w:val="nil"/>
              <w:bottom w:val="single" w:sz="4" w:space="0" w:color="auto"/>
              <w:right w:val="single" w:sz="4" w:space="0" w:color="auto"/>
            </w:tcBorders>
            <w:shd w:val="clear" w:color="auto" w:fill="auto"/>
            <w:vAlign w:val="center"/>
            <w:hideMark/>
          </w:tcPr>
          <w:p w14:paraId="29EF02E3" w14:textId="52FD3E75"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0.893</w:t>
            </w:r>
          </w:p>
        </w:tc>
        <w:tc>
          <w:tcPr>
            <w:tcW w:w="1460" w:type="dxa"/>
            <w:tcBorders>
              <w:top w:val="nil"/>
              <w:left w:val="nil"/>
              <w:bottom w:val="single" w:sz="4" w:space="0" w:color="auto"/>
              <w:right w:val="single" w:sz="4" w:space="0" w:color="auto"/>
            </w:tcBorders>
            <w:shd w:val="clear" w:color="auto" w:fill="auto"/>
            <w:noWrap/>
            <w:vAlign w:val="center"/>
            <w:hideMark/>
          </w:tcPr>
          <w:p w14:paraId="514E9A2D" w14:textId="5845B568"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&lt;.001</w:t>
            </w:r>
          </w:p>
        </w:tc>
      </w:tr>
      <w:tr w:rsidR="00081161" w:rsidRPr="00081161" w14:paraId="45CC0BB9"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14:paraId="200E0F63"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Non dual eligible</w:t>
            </w:r>
          </w:p>
        </w:tc>
        <w:tc>
          <w:tcPr>
            <w:tcW w:w="1460" w:type="dxa"/>
            <w:tcBorders>
              <w:top w:val="nil"/>
              <w:left w:val="nil"/>
              <w:bottom w:val="single" w:sz="4" w:space="0" w:color="auto"/>
              <w:right w:val="single" w:sz="4" w:space="0" w:color="auto"/>
            </w:tcBorders>
            <w:shd w:val="clear" w:color="auto" w:fill="auto"/>
            <w:noWrap/>
            <w:vAlign w:val="center"/>
            <w:hideMark/>
          </w:tcPr>
          <w:p w14:paraId="5670FA31" w14:textId="01B302DF"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Reference</w:t>
            </w:r>
          </w:p>
        </w:tc>
        <w:tc>
          <w:tcPr>
            <w:tcW w:w="1460" w:type="dxa"/>
            <w:tcBorders>
              <w:top w:val="nil"/>
              <w:left w:val="nil"/>
              <w:bottom w:val="single" w:sz="4" w:space="0" w:color="auto"/>
              <w:right w:val="single" w:sz="4" w:space="0" w:color="auto"/>
            </w:tcBorders>
            <w:shd w:val="clear" w:color="auto" w:fill="auto"/>
            <w:noWrap/>
            <w:vAlign w:val="bottom"/>
            <w:hideMark/>
          </w:tcPr>
          <w:p w14:paraId="473B109A" w14:textId="4F46E5FD" w:rsidR="00611083" w:rsidRPr="00081161" w:rsidRDefault="00611083" w:rsidP="00611083">
            <w:pPr>
              <w:spacing w:after="0" w:line="240" w:lineRule="auto"/>
              <w:rPr>
                <w:rFonts w:ascii="Calibri" w:eastAsia="Times New Roman" w:hAnsi="Calibri" w:cs="Calibri"/>
                <w:color w:val="C00000"/>
              </w:rPr>
            </w:pPr>
            <w:r w:rsidRPr="00081161">
              <w:rPr>
                <w:rFonts w:ascii="Calibri" w:hAnsi="Calibri" w:cs="Calibri"/>
                <w:color w:val="C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3FF8C5E0" w14:textId="783B64EB"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r>
      <w:tr w:rsidR="00081161" w:rsidRPr="00081161" w14:paraId="377EF18F"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14:paraId="3FEAA0E2"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 xml:space="preserve">Other/missing </w:t>
            </w:r>
          </w:p>
        </w:tc>
        <w:tc>
          <w:tcPr>
            <w:tcW w:w="1460" w:type="dxa"/>
            <w:tcBorders>
              <w:top w:val="nil"/>
              <w:left w:val="nil"/>
              <w:bottom w:val="single" w:sz="4" w:space="0" w:color="auto"/>
              <w:right w:val="single" w:sz="4" w:space="0" w:color="auto"/>
            </w:tcBorders>
            <w:shd w:val="clear" w:color="auto" w:fill="auto"/>
            <w:noWrap/>
            <w:vAlign w:val="bottom"/>
            <w:hideMark/>
          </w:tcPr>
          <w:p w14:paraId="272ACE6D" w14:textId="7B3B86B4"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-0.052</w:t>
            </w:r>
          </w:p>
        </w:tc>
        <w:tc>
          <w:tcPr>
            <w:tcW w:w="1460" w:type="dxa"/>
            <w:tcBorders>
              <w:top w:val="nil"/>
              <w:left w:val="nil"/>
              <w:bottom w:val="single" w:sz="4" w:space="0" w:color="auto"/>
              <w:right w:val="single" w:sz="4" w:space="0" w:color="auto"/>
            </w:tcBorders>
            <w:shd w:val="clear" w:color="auto" w:fill="auto"/>
            <w:vAlign w:val="center"/>
            <w:hideMark/>
          </w:tcPr>
          <w:p w14:paraId="303DFAA6" w14:textId="14606E85"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0.950</w:t>
            </w:r>
          </w:p>
        </w:tc>
        <w:tc>
          <w:tcPr>
            <w:tcW w:w="1460" w:type="dxa"/>
            <w:tcBorders>
              <w:top w:val="nil"/>
              <w:left w:val="nil"/>
              <w:bottom w:val="single" w:sz="4" w:space="0" w:color="auto"/>
              <w:right w:val="single" w:sz="4" w:space="0" w:color="auto"/>
            </w:tcBorders>
            <w:shd w:val="clear" w:color="auto" w:fill="auto"/>
            <w:noWrap/>
            <w:vAlign w:val="bottom"/>
            <w:hideMark/>
          </w:tcPr>
          <w:p w14:paraId="54C57DFB" w14:textId="1125B4EE"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0.616</w:t>
            </w:r>
          </w:p>
        </w:tc>
      </w:tr>
      <w:tr w:rsidR="00081161" w:rsidRPr="00081161" w14:paraId="61E2EABD"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noWrap/>
            <w:vAlign w:val="center"/>
            <w:hideMark/>
          </w:tcPr>
          <w:p w14:paraId="1C05B997" w14:textId="77777777" w:rsidR="00611083" w:rsidRPr="00081161" w:rsidRDefault="00611083" w:rsidP="00611083">
            <w:pPr>
              <w:spacing w:after="0" w:line="240" w:lineRule="auto"/>
              <w:rPr>
                <w:rFonts w:ascii="Calibri" w:eastAsia="Times New Roman" w:hAnsi="Calibri" w:cs="Calibri"/>
                <w:b/>
                <w:bCs/>
                <w:color w:val="C00000"/>
              </w:rPr>
            </w:pPr>
            <w:r w:rsidRPr="00081161">
              <w:rPr>
                <w:rFonts w:ascii="Calibri" w:eastAsia="Times New Roman" w:hAnsi="Calibri" w:cs="Calibri"/>
                <w:b/>
                <w:bCs/>
                <w:color w:val="C00000"/>
              </w:rPr>
              <w:t>ADI (zipcode_level)</w:t>
            </w:r>
          </w:p>
        </w:tc>
        <w:tc>
          <w:tcPr>
            <w:tcW w:w="1460" w:type="dxa"/>
            <w:tcBorders>
              <w:top w:val="nil"/>
              <w:left w:val="nil"/>
              <w:bottom w:val="single" w:sz="4" w:space="0" w:color="auto"/>
              <w:right w:val="single" w:sz="4" w:space="0" w:color="auto"/>
            </w:tcBorders>
            <w:shd w:val="clear" w:color="auto" w:fill="auto"/>
            <w:noWrap/>
            <w:vAlign w:val="bottom"/>
            <w:hideMark/>
          </w:tcPr>
          <w:p w14:paraId="22ADAA01" w14:textId="4290400A"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7B5F9B29" w14:textId="13F37E49" w:rsidR="00611083" w:rsidRPr="00081161" w:rsidRDefault="00611083" w:rsidP="00611083">
            <w:pPr>
              <w:spacing w:after="0" w:line="240" w:lineRule="auto"/>
              <w:rPr>
                <w:rFonts w:ascii="Calibri" w:eastAsia="Times New Roman" w:hAnsi="Calibri" w:cs="Calibri"/>
                <w:color w:val="C00000"/>
              </w:rPr>
            </w:pPr>
            <w:r w:rsidRPr="00081161">
              <w:rPr>
                <w:rFonts w:ascii="Calibri" w:hAnsi="Calibri" w:cs="Calibri"/>
                <w:color w:val="C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1DD079F2" w14:textId="6773D32F"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 </w:t>
            </w:r>
          </w:p>
        </w:tc>
      </w:tr>
      <w:tr w:rsidR="00611083" w:rsidRPr="00081161" w14:paraId="79387DA3" w14:textId="77777777" w:rsidTr="001524AB">
        <w:trPr>
          <w:trHeight w:val="31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14:paraId="59544CD8" w14:textId="77777777" w:rsidR="00611083" w:rsidRPr="00081161" w:rsidRDefault="00611083" w:rsidP="00611083">
            <w:pPr>
              <w:spacing w:after="0" w:line="240" w:lineRule="auto"/>
              <w:rPr>
                <w:rFonts w:ascii="Calibri" w:eastAsia="Times New Roman" w:hAnsi="Calibri" w:cs="Calibri"/>
                <w:color w:val="C00000"/>
              </w:rPr>
            </w:pPr>
            <w:r w:rsidRPr="00081161">
              <w:rPr>
                <w:rFonts w:ascii="Calibri" w:eastAsia="Times New Roman" w:hAnsi="Calibri" w:cs="Calibri"/>
                <w:color w:val="C00000"/>
              </w:rPr>
              <w:t>National percentile ADI score</w:t>
            </w:r>
          </w:p>
        </w:tc>
        <w:tc>
          <w:tcPr>
            <w:tcW w:w="1460" w:type="dxa"/>
            <w:tcBorders>
              <w:top w:val="nil"/>
              <w:left w:val="nil"/>
              <w:bottom w:val="single" w:sz="4" w:space="0" w:color="auto"/>
              <w:right w:val="single" w:sz="4" w:space="0" w:color="auto"/>
            </w:tcBorders>
            <w:shd w:val="clear" w:color="auto" w:fill="auto"/>
            <w:noWrap/>
            <w:vAlign w:val="bottom"/>
            <w:hideMark/>
          </w:tcPr>
          <w:p w14:paraId="1214E1CC" w14:textId="10A2CE8B"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-0.001</w:t>
            </w:r>
          </w:p>
        </w:tc>
        <w:tc>
          <w:tcPr>
            <w:tcW w:w="1460" w:type="dxa"/>
            <w:tcBorders>
              <w:top w:val="nil"/>
              <w:left w:val="nil"/>
              <w:bottom w:val="single" w:sz="4" w:space="0" w:color="auto"/>
              <w:right w:val="single" w:sz="4" w:space="0" w:color="auto"/>
            </w:tcBorders>
            <w:shd w:val="clear" w:color="auto" w:fill="auto"/>
            <w:vAlign w:val="center"/>
            <w:hideMark/>
          </w:tcPr>
          <w:p w14:paraId="46271518" w14:textId="64D8252E"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0.999</w:t>
            </w:r>
          </w:p>
        </w:tc>
        <w:tc>
          <w:tcPr>
            <w:tcW w:w="1460" w:type="dxa"/>
            <w:tcBorders>
              <w:top w:val="nil"/>
              <w:left w:val="nil"/>
              <w:bottom w:val="single" w:sz="4" w:space="0" w:color="auto"/>
              <w:right w:val="single" w:sz="4" w:space="0" w:color="auto"/>
            </w:tcBorders>
            <w:shd w:val="clear" w:color="auto" w:fill="auto"/>
            <w:noWrap/>
            <w:vAlign w:val="bottom"/>
            <w:hideMark/>
          </w:tcPr>
          <w:p w14:paraId="64610638" w14:textId="3BCD02CB" w:rsidR="00611083" w:rsidRPr="00081161" w:rsidRDefault="00611083" w:rsidP="00611083">
            <w:pPr>
              <w:spacing w:after="0" w:line="240" w:lineRule="auto"/>
              <w:jc w:val="center"/>
              <w:rPr>
                <w:rFonts w:ascii="Calibri" w:eastAsia="Times New Roman" w:hAnsi="Calibri" w:cs="Calibri"/>
                <w:color w:val="C00000"/>
              </w:rPr>
            </w:pPr>
            <w:r w:rsidRPr="00081161">
              <w:rPr>
                <w:rFonts w:ascii="Calibri" w:hAnsi="Calibri" w:cs="Calibri"/>
                <w:color w:val="C00000"/>
              </w:rPr>
              <w:t>0.285</w:t>
            </w:r>
          </w:p>
        </w:tc>
      </w:tr>
    </w:tbl>
    <w:p w14:paraId="6868C721" w14:textId="77777777" w:rsidR="00AE37A9" w:rsidRPr="00081161" w:rsidRDefault="00AE37A9" w:rsidP="00AE37A9">
      <w:pPr>
        <w:autoSpaceDE w:val="0"/>
        <w:autoSpaceDN w:val="0"/>
        <w:adjustRightInd w:val="0"/>
        <w:spacing w:after="0" w:line="240" w:lineRule="auto"/>
        <w:rPr>
          <w:rFonts w:cstheme="minorHAnsi"/>
          <w:b/>
          <w:bCs/>
          <w:color w:val="C00000"/>
        </w:rPr>
      </w:pPr>
    </w:p>
    <w:p w14:paraId="2E8A5A21" w14:textId="77777777" w:rsidR="00AE37A9" w:rsidRPr="003B0F84" w:rsidRDefault="00AE37A9" w:rsidP="00001D73">
      <w:pPr>
        <w:autoSpaceDE w:val="0"/>
        <w:autoSpaceDN w:val="0"/>
        <w:adjustRightInd w:val="0"/>
        <w:spacing w:after="0" w:line="240" w:lineRule="auto"/>
        <w:rPr>
          <w:rFonts w:cstheme="minorHAnsi"/>
          <w:b/>
          <w:bCs/>
          <w:color w:val="C00000"/>
        </w:rPr>
      </w:pPr>
    </w:p>
    <w:p w14:paraId="591D5F80" w14:textId="556B8DC3" w:rsidR="003B0F84" w:rsidRPr="003B0F84" w:rsidRDefault="003B0F84" w:rsidP="003B0F84">
      <w:pPr>
        <w:rPr>
          <w:rFonts w:ascii="Calibri" w:eastAsia="SimSun" w:hAnsi="Calibri" w:cs="Times New Roman"/>
          <w:color w:val="C00000"/>
        </w:rPr>
      </w:pPr>
      <w:r w:rsidRPr="00175229">
        <w:rPr>
          <w:rFonts w:ascii="Calibri" w:eastAsia="SimSun" w:hAnsi="Calibri" w:cs="Times New Roman"/>
          <w:color w:val="C00000"/>
        </w:rPr>
        <w:t>Figure 3. Correlation between SFRs with and without SDS/SES adjustment</w:t>
      </w:r>
      <w:r w:rsidR="00D96145" w:rsidRPr="00175229">
        <w:rPr>
          <w:rFonts w:ascii="Calibri" w:eastAsia="SimSun" w:hAnsi="Calibri" w:cs="Times New Roman"/>
          <w:color w:val="C00000"/>
        </w:rPr>
        <w:t>, Data</w:t>
      </w:r>
      <w:r w:rsidR="00D96145">
        <w:rPr>
          <w:rFonts w:ascii="Calibri" w:eastAsia="SimSun" w:hAnsi="Calibri" w:cs="Times New Roman"/>
          <w:color w:val="C00000"/>
        </w:rPr>
        <w:t xml:space="preserve"> year 2018</w:t>
      </w:r>
    </w:p>
    <w:p w14:paraId="56E5A304" w14:textId="7075B7A2" w:rsidR="003B0F84" w:rsidRPr="003B0F84" w:rsidRDefault="00431415" w:rsidP="003B0F84">
      <w:pPr>
        <w:rPr>
          <w:rFonts w:ascii="Calibri" w:eastAsia="SimSun" w:hAnsi="Calibri" w:cs="Times New Roman"/>
          <w:b/>
          <w:color w:val="C00000"/>
        </w:rPr>
      </w:pPr>
      <w:r>
        <w:rPr>
          <w:rFonts w:ascii="Arial" w:hAnsi="Arial" w:cs="Arial"/>
          <w:noProof/>
          <w:color w:val="000000"/>
          <w:sz w:val="20"/>
          <w:szCs w:val="20"/>
        </w:rPr>
        <w:lastRenderedPageBreak/>
        <w:drawing>
          <wp:inline distT="0" distB="0" distL="0" distR="0" wp14:anchorId="7C78281A" wp14:editId="718DC2C4">
            <wp:extent cx="4972050" cy="3729038"/>
            <wp:effectExtent l="0" t="0" r="0" b="5080"/>
            <wp:docPr id="5" name="Picture 5" descr="Plot of sfr_f by sfr_f_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ot of sfr_f by sfr_f_se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73738" cy="3730304"/>
                    </a:xfrm>
                    <a:prstGeom prst="rect">
                      <a:avLst/>
                    </a:prstGeom>
                    <a:noFill/>
                    <a:ln>
                      <a:noFill/>
                    </a:ln>
                  </pic:spPr>
                </pic:pic>
              </a:graphicData>
            </a:graphic>
          </wp:inline>
        </w:drawing>
      </w:r>
    </w:p>
    <w:p w14:paraId="4FC1E4A2" w14:textId="1DA94717" w:rsidR="003B0F84" w:rsidRDefault="003B0F84" w:rsidP="003B0F84">
      <w:pPr>
        <w:rPr>
          <w:rFonts w:ascii="Calibri" w:eastAsia="SimSun" w:hAnsi="Calibri" w:cs="Times New Roman"/>
          <w:color w:val="C00000"/>
        </w:rPr>
      </w:pPr>
      <w:r w:rsidRPr="003B0F84">
        <w:rPr>
          <w:rFonts w:ascii="Calibri" w:eastAsia="SimSun" w:hAnsi="Calibri" w:cs="Times New Roman"/>
          <w:color w:val="C00000"/>
        </w:rPr>
        <w:t xml:space="preserve">The standard and SDS/SES-adjusted SFRs </w:t>
      </w:r>
      <w:r w:rsidRPr="002A0A2A">
        <w:rPr>
          <w:rFonts w:ascii="Calibri" w:eastAsia="SimSun" w:hAnsi="Calibri" w:cs="Times New Roman"/>
          <w:color w:val="C00000"/>
        </w:rPr>
        <w:t xml:space="preserve">were highly correlated at </w:t>
      </w:r>
      <w:r w:rsidR="001524AB" w:rsidRPr="002A0A2A">
        <w:rPr>
          <w:rFonts w:ascii="Calibri" w:eastAsia="SimSun" w:hAnsi="Calibri" w:cs="Times New Roman"/>
          <w:color w:val="C00000"/>
        </w:rPr>
        <w:t>0.96</w:t>
      </w:r>
      <w:r w:rsidRPr="002A0A2A">
        <w:rPr>
          <w:rFonts w:ascii="Calibri" w:eastAsia="SimSun" w:hAnsi="Calibri" w:cs="Times New Roman"/>
          <w:color w:val="C00000"/>
        </w:rPr>
        <w:t xml:space="preserve"> (</w:t>
      </w:r>
      <w:r w:rsidRPr="002A0A2A">
        <w:rPr>
          <w:rFonts w:ascii="Calibri" w:eastAsia="SimSun" w:hAnsi="Calibri" w:cs="Times New Roman"/>
          <w:i/>
          <w:iCs/>
          <w:color w:val="C00000"/>
        </w:rPr>
        <w:t>p</w:t>
      </w:r>
      <w:r w:rsidRPr="002A0A2A">
        <w:rPr>
          <w:rFonts w:ascii="Calibri" w:eastAsia="SimSun" w:hAnsi="Calibri" w:cs="Times New Roman"/>
          <w:color w:val="C00000"/>
        </w:rPr>
        <w:t>&lt;.001).</w:t>
      </w:r>
    </w:p>
    <w:p w14:paraId="021906B7" w14:textId="09B42160" w:rsidR="001B03EF" w:rsidRPr="00081161" w:rsidRDefault="001B03EF" w:rsidP="003B0F84">
      <w:pPr>
        <w:rPr>
          <w:rFonts w:ascii="Calibri" w:eastAsia="SimSun" w:hAnsi="Calibri" w:cs="Times New Roman"/>
          <w:b/>
          <w:color w:val="C00000"/>
        </w:rPr>
      </w:pPr>
      <w:r w:rsidRPr="00081161">
        <w:rPr>
          <w:rFonts w:ascii="Calibri" w:eastAsia="SimSun" w:hAnsi="Calibri" w:cs="Times New Roman"/>
          <w:b/>
          <w:color w:val="C00000"/>
        </w:rPr>
        <w:t xml:space="preserve">Table 6. Comparison of performances with vs. without adjusting for SDS/SES factors, </w:t>
      </w:r>
      <w:r w:rsidR="00030186" w:rsidRPr="00081161">
        <w:rPr>
          <w:rFonts w:ascii="Calibri" w:eastAsia="SimSun" w:hAnsi="Calibri" w:cs="Times New Roman"/>
          <w:b/>
          <w:color w:val="C00000"/>
        </w:rPr>
        <w:t xml:space="preserve">using </w:t>
      </w:r>
      <w:r w:rsidRPr="00081161">
        <w:rPr>
          <w:rFonts w:ascii="Calibri" w:eastAsia="SimSun" w:hAnsi="Calibri" w:cs="Times New Roman"/>
          <w:b/>
          <w:color w:val="C00000"/>
        </w:rPr>
        <w:t xml:space="preserve">2018 </w:t>
      </w:r>
      <w:r w:rsidR="00522B2F" w:rsidRPr="00081161">
        <w:rPr>
          <w:rFonts w:ascii="Calibri" w:eastAsia="SimSun" w:hAnsi="Calibri" w:cs="Times New Roman"/>
          <w:b/>
          <w:color w:val="C00000"/>
        </w:rPr>
        <w:t xml:space="preserve">data </w:t>
      </w:r>
    </w:p>
    <w:tbl>
      <w:tblPr>
        <w:tblW w:w="5000" w:type="pct"/>
        <w:tblLook w:val="04A0" w:firstRow="1" w:lastRow="0" w:firstColumn="1" w:lastColumn="0" w:noHBand="0" w:noVBand="1"/>
      </w:tblPr>
      <w:tblGrid>
        <w:gridCol w:w="2169"/>
        <w:gridCol w:w="2150"/>
        <w:gridCol w:w="1431"/>
        <w:gridCol w:w="2169"/>
        <w:gridCol w:w="1431"/>
      </w:tblGrid>
      <w:tr w:rsidR="00005DBF" w:rsidRPr="00236B7C" w14:paraId="0C8E6EFD" w14:textId="77777777" w:rsidTr="001524AB">
        <w:trPr>
          <w:trHeight w:val="299"/>
        </w:trPr>
        <w:tc>
          <w:tcPr>
            <w:tcW w:w="1160"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CEC5F" w14:textId="77777777" w:rsidR="003B0F84" w:rsidRPr="00005DBF" w:rsidRDefault="003B0F84" w:rsidP="000A4361">
            <w:pPr>
              <w:spacing w:after="0" w:line="240" w:lineRule="auto"/>
              <w:rPr>
                <w:rFonts w:eastAsia="Times New Roman" w:cs="Arial"/>
                <w:b/>
                <w:bCs/>
                <w:color w:val="C00000"/>
              </w:rPr>
            </w:pPr>
            <w:r w:rsidRPr="00005DBF">
              <w:rPr>
                <w:rFonts w:eastAsia="Times New Roman" w:cs="Arial"/>
                <w:b/>
                <w:bCs/>
                <w:color w:val="C00000"/>
              </w:rPr>
              <w:t>SFR w/o SDS/SES</w:t>
            </w:r>
          </w:p>
        </w:tc>
        <w:tc>
          <w:tcPr>
            <w:tcW w:w="3840" w:type="pct"/>
            <w:gridSpan w:val="4"/>
            <w:tcBorders>
              <w:top w:val="single" w:sz="4" w:space="0" w:color="auto"/>
              <w:left w:val="nil"/>
              <w:bottom w:val="single" w:sz="4" w:space="0" w:color="auto"/>
              <w:right w:val="single" w:sz="4" w:space="0" w:color="auto"/>
            </w:tcBorders>
            <w:shd w:val="clear" w:color="auto" w:fill="auto"/>
            <w:noWrap/>
            <w:vAlign w:val="bottom"/>
            <w:hideMark/>
          </w:tcPr>
          <w:p w14:paraId="59B4EA54" w14:textId="77777777" w:rsidR="003B0F84" w:rsidRPr="00236B7C" w:rsidRDefault="003B0F84" w:rsidP="000A4361">
            <w:pPr>
              <w:spacing w:after="0" w:line="240" w:lineRule="auto"/>
              <w:jc w:val="center"/>
              <w:rPr>
                <w:rFonts w:eastAsia="Times New Roman" w:cs="Arial"/>
                <w:b/>
                <w:bCs/>
                <w:color w:val="C00000"/>
              </w:rPr>
            </w:pPr>
            <w:r w:rsidRPr="00236B7C">
              <w:rPr>
                <w:rFonts w:eastAsia="Times New Roman" w:cs="Arial"/>
                <w:b/>
                <w:bCs/>
                <w:color w:val="C00000"/>
              </w:rPr>
              <w:t>SFR with SDS/SES</w:t>
            </w:r>
          </w:p>
        </w:tc>
      </w:tr>
      <w:tr w:rsidR="00005DBF" w:rsidRPr="00236B7C" w14:paraId="6D475C2E" w14:textId="77777777" w:rsidTr="001524AB">
        <w:trPr>
          <w:trHeight w:val="638"/>
        </w:trPr>
        <w:tc>
          <w:tcPr>
            <w:tcW w:w="1160" w:type="pct"/>
            <w:vMerge/>
            <w:tcBorders>
              <w:top w:val="single" w:sz="4" w:space="0" w:color="auto"/>
              <w:left w:val="single" w:sz="4" w:space="0" w:color="auto"/>
              <w:bottom w:val="single" w:sz="4" w:space="0" w:color="auto"/>
              <w:right w:val="single" w:sz="4" w:space="0" w:color="auto"/>
            </w:tcBorders>
            <w:vAlign w:val="bottom"/>
            <w:hideMark/>
          </w:tcPr>
          <w:p w14:paraId="4F44848D" w14:textId="77777777" w:rsidR="003B0F84" w:rsidRPr="00236B7C" w:rsidRDefault="003B0F84" w:rsidP="000A4361">
            <w:pPr>
              <w:spacing w:after="0" w:line="240" w:lineRule="auto"/>
              <w:rPr>
                <w:rFonts w:eastAsia="Times New Roman" w:cs="Arial"/>
                <w:b/>
                <w:bCs/>
                <w:color w:val="C00000"/>
              </w:rPr>
            </w:pPr>
          </w:p>
        </w:tc>
        <w:tc>
          <w:tcPr>
            <w:tcW w:w="1150" w:type="pct"/>
            <w:tcBorders>
              <w:top w:val="nil"/>
              <w:left w:val="nil"/>
              <w:bottom w:val="single" w:sz="4" w:space="0" w:color="auto"/>
              <w:right w:val="single" w:sz="4" w:space="0" w:color="auto"/>
            </w:tcBorders>
            <w:shd w:val="clear" w:color="auto" w:fill="auto"/>
            <w:noWrap/>
            <w:vAlign w:val="bottom"/>
            <w:hideMark/>
          </w:tcPr>
          <w:p w14:paraId="129DE83F" w14:textId="77777777" w:rsidR="003B0F84" w:rsidRPr="00236B7C" w:rsidRDefault="003B0F84" w:rsidP="000A4361">
            <w:pPr>
              <w:spacing w:after="0" w:line="240" w:lineRule="auto"/>
              <w:jc w:val="center"/>
              <w:rPr>
                <w:rFonts w:eastAsia="Times New Roman" w:cs="Arial"/>
                <w:b/>
                <w:bCs/>
                <w:color w:val="C00000"/>
              </w:rPr>
            </w:pPr>
            <w:r w:rsidRPr="00236B7C">
              <w:rPr>
                <w:rFonts w:eastAsia="Times New Roman" w:cs="Arial"/>
                <w:b/>
                <w:bCs/>
                <w:color w:val="C00000"/>
              </w:rPr>
              <w:t>Better than expected</w:t>
            </w:r>
          </w:p>
        </w:tc>
        <w:tc>
          <w:tcPr>
            <w:tcW w:w="765" w:type="pct"/>
            <w:tcBorders>
              <w:top w:val="nil"/>
              <w:left w:val="nil"/>
              <w:bottom w:val="single" w:sz="4" w:space="0" w:color="auto"/>
              <w:right w:val="single" w:sz="4" w:space="0" w:color="auto"/>
            </w:tcBorders>
            <w:shd w:val="clear" w:color="auto" w:fill="auto"/>
            <w:noWrap/>
            <w:vAlign w:val="bottom"/>
            <w:hideMark/>
          </w:tcPr>
          <w:p w14:paraId="4EE37641" w14:textId="77777777" w:rsidR="003B0F84" w:rsidRPr="00236B7C" w:rsidRDefault="003B0F84" w:rsidP="000A4361">
            <w:pPr>
              <w:spacing w:after="0" w:line="240" w:lineRule="auto"/>
              <w:jc w:val="center"/>
              <w:rPr>
                <w:rFonts w:eastAsia="Times New Roman" w:cs="Arial"/>
                <w:b/>
                <w:bCs/>
                <w:color w:val="C00000"/>
              </w:rPr>
            </w:pPr>
            <w:r w:rsidRPr="00236B7C">
              <w:rPr>
                <w:rFonts w:eastAsia="Times New Roman" w:cs="Arial"/>
                <w:b/>
                <w:bCs/>
                <w:color w:val="C00000"/>
              </w:rPr>
              <w:t>As expected</w:t>
            </w:r>
          </w:p>
        </w:tc>
        <w:tc>
          <w:tcPr>
            <w:tcW w:w="1160" w:type="pct"/>
            <w:tcBorders>
              <w:top w:val="nil"/>
              <w:left w:val="nil"/>
              <w:bottom w:val="single" w:sz="4" w:space="0" w:color="auto"/>
              <w:right w:val="single" w:sz="4" w:space="0" w:color="auto"/>
            </w:tcBorders>
            <w:shd w:val="clear" w:color="auto" w:fill="auto"/>
            <w:noWrap/>
            <w:vAlign w:val="bottom"/>
            <w:hideMark/>
          </w:tcPr>
          <w:p w14:paraId="073C6C64" w14:textId="77777777" w:rsidR="003B0F84" w:rsidRPr="00236B7C" w:rsidRDefault="003B0F84" w:rsidP="000A4361">
            <w:pPr>
              <w:spacing w:after="0" w:line="240" w:lineRule="auto"/>
              <w:jc w:val="center"/>
              <w:rPr>
                <w:rFonts w:eastAsia="Times New Roman" w:cs="Arial"/>
                <w:b/>
                <w:bCs/>
                <w:color w:val="C00000"/>
              </w:rPr>
            </w:pPr>
            <w:r w:rsidRPr="00236B7C">
              <w:rPr>
                <w:rFonts w:eastAsia="Times New Roman" w:cs="Arial"/>
                <w:b/>
                <w:bCs/>
                <w:color w:val="C00000"/>
              </w:rPr>
              <w:t>Worse than expected</w:t>
            </w:r>
          </w:p>
        </w:tc>
        <w:tc>
          <w:tcPr>
            <w:tcW w:w="766" w:type="pct"/>
            <w:tcBorders>
              <w:top w:val="nil"/>
              <w:left w:val="nil"/>
              <w:bottom w:val="single" w:sz="4" w:space="0" w:color="auto"/>
              <w:right w:val="single" w:sz="4" w:space="0" w:color="auto"/>
            </w:tcBorders>
            <w:shd w:val="clear" w:color="auto" w:fill="auto"/>
            <w:noWrap/>
            <w:vAlign w:val="bottom"/>
            <w:hideMark/>
          </w:tcPr>
          <w:p w14:paraId="3416E476" w14:textId="77777777" w:rsidR="003B0F84" w:rsidRPr="00236B7C" w:rsidRDefault="003B0F84" w:rsidP="000A4361">
            <w:pPr>
              <w:spacing w:after="0" w:line="240" w:lineRule="auto"/>
              <w:jc w:val="center"/>
              <w:rPr>
                <w:rFonts w:eastAsia="Times New Roman" w:cs="Arial"/>
                <w:b/>
                <w:bCs/>
                <w:color w:val="C00000"/>
              </w:rPr>
            </w:pPr>
            <w:r w:rsidRPr="00236B7C">
              <w:rPr>
                <w:rFonts w:eastAsia="Times New Roman" w:cs="Arial"/>
                <w:b/>
                <w:bCs/>
                <w:color w:val="C00000"/>
              </w:rPr>
              <w:t>Total</w:t>
            </w:r>
          </w:p>
        </w:tc>
      </w:tr>
      <w:tr w:rsidR="00005DBF" w:rsidRPr="00236B7C" w14:paraId="65A8D87E" w14:textId="77777777" w:rsidTr="001524AB">
        <w:trPr>
          <w:trHeight w:val="299"/>
        </w:trPr>
        <w:tc>
          <w:tcPr>
            <w:tcW w:w="1160" w:type="pct"/>
            <w:tcBorders>
              <w:top w:val="nil"/>
              <w:left w:val="single" w:sz="4" w:space="0" w:color="auto"/>
              <w:bottom w:val="single" w:sz="4" w:space="0" w:color="auto"/>
              <w:right w:val="single" w:sz="4" w:space="0" w:color="auto"/>
            </w:tcBorders>
            <w:shd w:val="clear" w:color="auto" w:fill="auto"/>
            <w:noWrap/>
            <w:vAlign w:val="bottom"/>
            <w:hideMark/>
          </w:tcPr>
          <w:p w14:paraId="65A83E54" w14:textId="77777777" w:rsidR="001524AB" w:rsidRPr="00236B7C" w:rsidRDefault="001524AB" w:rsidP="001524AB">
            <w:pPr>
              <w:spacing w:after="0" w:line="240" w:lineRule="auto"/>
              <w:rPr>
                <w:rFonts w:eastAsia="Times New Roman" w:cs="Arial"/>
                <w:b/>
                <w:bCs/>
                <w:color w:val="C00000"/>
              </w:rPr>
            </w:pPr>
            <w:r w:rsidRPr="00236B7C">
              <w:rPr>
                <w:rFonts w:eastAsia="Times New Roman" w:cs="Arial"/>
                <w:b/>
                <w:bCs/>
                <w:color w:val="C00000"/>
              </w:rPr>
              <w:t>Better than expected</w:t>
            </w:r>
          </w:p>
        </w:tc>
        <w:tc>
          <w:tcPr>
            <w:tcW w:w="1150" w:type="pct"/>
            <w:tcBorders>
              <w:top w:val="nil"/>
              <w:left w:val="nil"/>
              <w:bottom w:val="single" w:sz="4" w:space="0" w:color="auto"/>
              <w:right w:val="single" w:sz="4" w:space="0" w:color="auto"/>
            </w:tcBorders>
            <w:shd w:val="clear" w:color="auto" w:fill="auto"/>
            <w:noWrap/>
            <w:vAlign w:val="center"/>
          </w:tcPr>
          <w:p w14:paraId="026C12D5" w14:textId="7815D420"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234 (3.4%)</w:t>
            </w:r>
          </w:p>
        </w:tc>
        <w:tc>
          <w:tcPr>
            <w:tcW w:w="765" w:type="pct"/>
            <w:tcBorders>
              <w:top w:val="nil"/>
              <w:left w:val="nil"/>
              <w:bottom w:val="single" w:sz="4" w:space="0" w:color="auto"/>
              <w:right w:val="single" w:sz="4" w:space="0" w:color="auto"/>
            </w:tcBorders>
            <w:shd w:val="clear" w:color="auto" w:fill="auto"/>
            <w:noWrap/>
            <w:vAlign w:val="center"/>
          </w:tcPr>
          <w:p w14:paraId="071B2197" w14:textId="306F97B9"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61 (</w:t>
            </w:r>
            <w:r w:rsidR="00431415">
              <w:rPr>
                <w:rFonts w:ascii="Calibri" w:hAnsi="Calibri" w:cs="Calibri"/>
                <w:color w:val="C00000"/>
              </w:rPr>
              <w:t>0.9</w:t>
            </w:r>
            <w:r w:rsidRPr="00236B7C">
              <w:rPr>
                <w:rFonts w:ascii="Calibri" w:hAnsi="Calibri" w:cs="Calibri"/>
                <w:color w:val="C00000"/>
              </w:rPr>
              <w:t>%)</w:t>
            </w:r>
          </w:p>
        </w:tc>
        <w:tc>
          <w:tcPr>
            <w:tcW w:w="1160" w:type="pct"/>
            <w:tcBorders>
              <w:top w:val="nil"/>
              <w:left w:val="nil"/>
              <w:bottom w:val="single" w:sz="4" w:space="0" w:color="auto"/>
              <w:right w:val="single" w:sz="4" w:space="0" w:color="auto"/>
            </w:tcBorders>
            <w:shd w:val="clear" w:color="auto" w:fill="auto"/>
            <w:noWrap/>
            <w:vAlign w:val="center"/>
          </w:tcPr>
          <w:p w14:paraId="36E457C7" w14:textId="24816B64"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0</w:t>
            </w:r>
          </w:p>
        </w:tc>
        <w:tc>
          <w:tcPr>
            <w:tcW w:w="766" w:type="pct"/>
            <w:tcBorders>
              <w:top w:val="nil"/>
              <w:left w:val="nil"/>
              <w:bottom w:val="single" w:sz="4" w:space="0" w:color="auto"/>
              <w:right w:val="single" w:sz="4" w:space="0" w:color="auto"/>
            </w:tcBorders>
            <w:shd w:val="clear" w:color="auto" w:fill="auto"/>
            <w:noWrap/>
            <w:vAlign w:val="center"/>
          </w:tcPr>
          <w:p w14:paraId="7108476B" w14:textId="140192B4"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295 (4.3%)</w:t>
            </w:r>
          </w:p>
        </w:tc>
      </w:tr>
      <w:tr w:rsidR="00005DBF" w:rsidRPr="00236B7C" w14:paraId="0612FD1B" w14:textId="77777777" w:rsidTr="001524AB">
        <w:trPr>
          <w:trHeight w:val="299"/>
        </w:trPr>
        <w:tc>
          <w:tcPr>
            <w:tcW w:w="1160" w:type="pct"/>
            <w:tcBorders>
              <w:top w:val="nil"/>
              <w:left w:val="single" w:sz="4" w:space="0" w:color="auto"/>
              <w:bottom w:val="single" w:sz="4" w:space="0" w:color="auto"/>
              <w:right w:val="single" w:sz="4" w:space="0" w:color="auto"/>
            </w:tcBorders>
            <w:shd w:val="clear" w:color="auto" w:fill="auto"/>
            <w:noWrap/>
            <w:vAlign w:val="bottom"/>
            <w:hideMark/>
          </w:tcPr>
          <w:p w14:paraId="19864719" w14:textId="77777777" w:rsidR="001524AB" w:rsidRPr="00236B7C" w:rsidRDefault="001524AB" w:rsidP="001524AB">
            <w:pPr>
              <w:spacing w:after="0" w:line="240" w:lineRule="auto"/>
              <w:rPr>
                <w:rFonts w:eastAsia="Times New Roman" w:cs="Arial"/>
                <w:b/>
                <w:bCs/>
                <w:color w:val="C00000"/>
              </w:rPr>
            </w:pPr>
            <w:r w:rsidRPr="00236B7C">
              <w:rPr>
                <w:rFonts w:eastAsia="Times New Roman" w:cs="Arial"/>
                <w:b/>
                <w:bCs/>
                <w:color w:val="C00000"/>
              </w:rPr>
              <w:t>As expected</w:t>
            </w:r>
          </w:p>
        </w:tc>
        <w:tc>
          <w:tcPr>
            <w:tcW w:w="1150" w:type="pct"/>
            <w:tcBorders>
              <w:top w:val="nil"/>
              <w:left w:val="nil"/>
              <w:bottom w:val="single" w:sz="4" w:space="0" w:color="auto"/>
              <w:right w:val="single" w:sz="4" w:space="0" w:color="auto"/>
            </w:tcBorders>
            <w:shd w:val="clear" w:color="auto" w:fill="auto"/>
            <w:noWrap/>
            <w:vAlign w:val="center"/>
          </w:tcPr>
          <w:p w14:paraId="4F623E15" w14:textId="441C6C66" w:rsidR="001524AB" w:rsidRPr="00005DBF" w:rsidRDefault="00431415" w:rsidP="001524AB">
            <w:pPr>
              <w:spacing w:after="0" w:line="240" w:lineRule="auto"/>
              <w:jc w:val="center"/>
              <w:rPr>
                <w:rFonts w:eastAsia="Times New Roman" w:cs="Calibri"/>
                <w:color w:val="C00000"/>
              </w:rPr>
            </w:pPr>
            <w:r>
              <w:rPr>
                <w:rFonts w:ascii="Calibri" w:hAnsi="Calibri" w:cs="Calibri"/>
                <w:color w:val="C00000"/>
              </w:rPr>
              <w:t>71</w:t>
            </w:r>
            <w:r w:rsidRPr="00236B7C">
              <w:rPr>
                <w:rFonts w:ascii="Calibri" w:hAnsi="Calibri" w:cs="Calibri"/>
                <w:color w:val="C00000"/>
              </w:rPr>
              <w:t xml:space="preserve"> </w:t>
            </w:r>
            <w:r w:rsidR="001524AB" w:rsidRPr="00236B7C">
              <w:rPr>
                <w:rFonts w:ascii="Calibri" w:hAnsi="Calibri" w:cs="Calibri"/>
                <w:color w:val="C00000"/>
              </w:rPr>
              <w:t>(1.0%)</w:t>
            </w:r>
          </w:p>
        </w:tc>
        <w:tc>
          <w:tcPr>
            <w:tcW w:w="765" w:type="pct"/>
            <w:tcBorders>
              <w:top w:val="nil"/>
              <w:left w:val="nil"/>
              <w:bottom w:val="single" w:sz="4" w:space="0" w:color="auto"/>
              <w:right w:val="single" w:sz="4" w:space="0" w:color="auto"/>
            </w:tcBorders>
            <w:shd w:val="clear" w:color="auto" w:fill="auto"/>
            <w:noWrap/>
            <w:vAlign w:val="center"/>
          </w:tcPr>
          <w:p w14:paraId="06F487B8" w14:textId="117756E1"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618</w:t>
            </w:r>
            <w:r w:rsidR="00431415">
              <w:rPr>
                <w:rFonts w:ascii="Calibri" w:hAnsi="Calibri" w:cs="Calibri"/>
                <w:color w:val="C00000"/>
              </w:rPr>
              <w:t>8</w:t>
            </w:r>
            <w:r w:rsidRPr="00236B7C">
              <w:rPr>
                <w:rFonts w:ascii="Calibri" w:hAnsi="Calibri" w:cs="Calibri"/>
                <w:color w:val="C00000"/>
              </w:rPr>
              <w:t xml:space="preserve"> (90.5%)</w:t>
            </w:r>
          </w:p>
        </w:tc>
        <w:tc>
          <w:tcPr>
            <w:tcW w:w="1160" w:type="pct"/>
            <w:tcBorders>
              <w:top w:val="nil"/>
              <w:left w:val="nil"/>
              <w:bottom w:val="single" w:sz="4" w:space="0" w:color="auto"/>
              <w:right w:val="single" w:sz="4" w:space="0" w:color="auto"/>
            </w:tcBorders>
            <w:shd w:val="clear" w:color="auto" w:fill="auto"/>
            <w:noWrap/>
            <w:vAlign w:val="center"/>
          </w:tcPr>
          <w:p w14:paraId="6E075A62" w14:textId="2A4CB6B4"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5</w:t>
            </w:r>
            <w:r w:rsidR="00431415">
              <w:rPr>
                <w:rFonts w:ascii="Calibri" w:hAnsi="Calibri" w:cs="Calibri"/>
                <w:color w:val="C00000"/>
              </w:rPr>
              <w:t>1</w:t>
            </w:r>
            <w:r w:rsidRPr="00236B7C">
              <w:rPr>
                <w:rFonts w:ascii="Calibri" w:hAnsi="Calibri" w:cs="Calibri"/>
                <w:color w:val="C00000"/>
              </w:rPr>
              <w:t xml:space="preserve"> (0.8%)</w:t>
            </w:r>
          </w:p>
        </w:tc>
        <w:tc>
          <w:tcPr>
            <w:tcW w:w="766" w:type="pct"/>
            <w:tcBorders>
              <w:top w:val="nil"/>
              <w:left w:val="nil"/>
              <w:bottom w:val="single" w:sz="4" w:space="0" w:color="auto"/>
              <w:right w:val="single" w:sz="4" w:space="0" w:color="auto"/>
            </w:tcBorders>
            <w:shd w:val="clear" w:color="auto" w:fill="auto"/>
            <w:noWrap/>
            <w:vAlign w:val="center"/>
          </w:tcPr>
          <w:p w14:paraId="2B2358D0" w14:textId="7F7A8610"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6310 (92.3%)</w:t>
            </w:r>
          </w:p>
        </w:tc>
      </w:tr>
      <w:tr w:rsidR="00005DBF" w:rsidRPr="00236B7C" w14:paraId="7FC4568E" w14:textId="77777777" w:rsidTr="001524AB">
        <w:trPr>
          <w:trHeight w:val="299"/>
        </w:trPr>
        <w:tc>
          <w:tcPr>
            <w:tcW w:w="1160" w:type="pct"/>
            <w:tcBorders>
              <w:top w:val="nil"/>
              <w:left w:val="single" w:sz="4" w:space="0" w:color="auto"/>
              <w:bottom w:val="single" w:sz="4" w:space="0" w:color="auto"/>
              <w:right w:val="single" w:sz="4" w:space="0" w:color="auto"/>
            </w:tcBorders>
            <w:shd w:val="clear" w:color="auto" w:fill="auto"/>
            <w:noWrap/>
            <w:vAlign w:val="bottom"/>
            <w:hideMark/>
          </w:tcPr>
          <w:p w14:paraId="2184AA9C" w14:textId="77777777" w:rsidR="001524AB" w:rsidRPr="00236B7C" w:rsidRDefault="001524AB" w:rsidP="001524AB">
            <w:pPr>
              <w:spacing w:after="0" w:line="240" w:lineRule="auto"/>
              <w:rPr>
                <w:rFonts w:eastAsia="Times New Roman" w:cs="Arial"/>
                <w:b/>
                <w:bCs/>
                <w:color w:val="C00000"/>
              </w:rPr>
            </w:pPr>
            <w:r w:rsidRPr="00236B7C">
              <w:rPr>
                <w:rFonts w:eastAsia="Times New Roman" w:cs="Arial"/>
                <w:b/>
                <w:bCs/>
                <w:color w:val="C00000"/>
              </w:rPr>
              <w:t>Worse than expected</w:t>
            </w:r>
          </w:p>
        </w:tc>
        <w:tc>
          <w:tcPr>
            <w:tcW w:w="1150" w:type="pct"/>
            <w:tcBorders>
              <w:top w:val="nil"/>
              <w:left w:val="nil"/>
              <w:bottom w:val="single" w:sz="4" w:space="0" w:color="auto"/>
              <w:right w:val="single" w:sz="4" w:space="0" w:color="auto"/>
            </w:tcBorders>
            <w:shd w:val="clear" w:color="auto" w:fill="auto"/>
            <w:noWrap/>
            <w:vAlign w:val="center"/>
          </w:tcPr>
          <w:p w14:paraId="7991E62E" w14:textId="1A7608EE"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0</w:t>
            </w:r>
          </w:p>
        </w:tc>
        <w:tc>
          <w:tcPr>
            <w:tcW w:w="765" w:type="pct"/>
            <w:tcBorders>
              <w:top w:val="nil"/>
              <w:left w:val="nil"/>
              <w:bottom w:val="single" w:sz="4" w:space="0" w:color="auto"/>
              <w:right w:val="single" w:sz="4" w:space="0" w:color="auto"/>
            </w:tcBorders>
            <w:shd w:val="clear" w:color="auto" w:fill="auto"/>
            <w:noWrap/>
            <w:vAlign w:val="center"/>
          </w:tcPr>
          <w:p w14:paraId="6D3865CC" w14:textId="5C09DD5F"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48 (0.</w:t>
            </w:r>
            <w:r w:rsidR="00431415">
              <w:rPr>
                <w:rFonts w:ascii="Calibri" w:hAnsi="Calibri" w:cs="Calibri"/>
                <w:color w:val="C00000"/>
              </w:rPr>
              <w:t>7</w:t>
            </w:r>
            <w:r w:rsidRPr="00236B7C">
              <w:rPr>
                <w:rFonts w:ascii="Calibri" w:hAnsi="Calibri" w:cs="Calibri"/>
                <w:color w:val="C00000"/>
              </w:rPr>
              <w:t>%)</w:t>
            </w:r>
          </w:p>
        </w:tc>
        <w:tc>
          <w:tcPr>
            <w:tcW w:w="1160" w:type="pct"/>
            <w:tcBorders>
              <w:top w:val="nil"/>
              <w:left w:val="nil"/>
              <w:bottom w:val="single" w:sz="4" w:space="0" w:color="auto"/>
              <w:right w:val="single" w:sz="4" w:space="0" w:color="auto"/>
            </w:tcBorders>
            <w:shd w:val="clear" w:color="auto" w:fill="auto"/>
            <w:noWrap/>
            <w:vAlign w:val="center"/>
          </w:tcPr>
          <w:p w14:paraId="27A64350" w14:textId="0B9AE012"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185 (2.7%)</w:t>
            </w:r>
          </w:p>
        </w:tc>
        <w:tc>
          <w:tcPr>
            <w:tcW w:w="766" w:type="pct"/>
            <w:tcBorders>
              <w:top w:val="nil"/>
              <w:left w:val="nil"/>
              <w:bottom w:val="single" w:sz="4" w:space="0" w:color="auto"/>
              <w:right w:val="single" w:sz="4" w:space="0" w:color="auto"/>
            </w:tcBorders>
            <w:shd w:val="clear" w:color="auto" w:fill="auto"/>
            <w:noWrap/>
            <w:vAlign w:val="center"/>
          </w:tcPr>
          <w:p w14:paraId="307125CF" w14:textId="4F92CB8F"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233 (3.4%)</w:t>
            </w:r>
          </w:p>
        </w:tc>
      </w:tr>
      <w:tr w:rsidR="00005DBF" w:rsidRPr="00236B7C" w14:paraId="0EE71E08" w14:textId="77777777" w:rsidTr="001524AB">
        <w:trPr>
          <w:trHeight w:val="299"/>
        </w:trPr>
        <w:tc>
          <w:tcPr>
            <w:tcW w:w="1160" w:type="pct"/>
            <w:tcBorders>
              <w:top w:val="nil"/>
              <w:left w:val="single" w:sz="4" w:space="0" w:color="auto"/>
              <w:bottom w:val="single" w:sz="4" w:space="0" w:color="auto"/>
              <w:right w:val="single" w:sz="4" w:space="0" w:color="auto"/>
            </w:tcBorders>
            <w:shd w:val="clear" w:color="auto" w:fill="auto"/>
            <w:noWrap/>
            <w:vAlign w:val="bottom"/>
            <w:hideMark/>
          </w:tcPr>
          <w:p w14:paraId="2A39760E" w14:textId="77777777" w:rsidR="001524AB" w:rsidRPr="00236B7C" w:rsidRDefault="001524AB" w:rsidP="001524AB">
            <w:pPr>
              <w:spacing w:after="0" w:line="240" w:lineRule="auto"/>
              <w:rPr>
                <w:rFonts w:eastAsia="Times New Roman" w:cs="Arial"/>
                <w:b/>
                <w:bCs/>
                <w:color w:val="C00000"/>
              </w:rPr>
            </w:pPr>
            <w:r w:rsidRPr="00236B7C">
              <w:rPr>
                <w:rFonts w:eastAsia="Times New Roman" w:cs="Arial"/>
                <w:b/>
                <w:bCs/>
                <w:color w:val="C00000"/>
              </w:rPr>
              <w:t>Total</w:t>
            </w:r>
          </w:p>
        </w:tc>
        <w:tc>
          <w:tcPr>
            <w:tcW w:w="1150" w:type="pct"/>
            <w:tcBorders>
              <w:top w:val="nil"/>
              <w:left w:val="nil"/>
              <w:bottom w:val="single" w:sz="4" w:space="0" w:color="auto"/>
              <w:right w:val="single" w:sz="4" w:space="0" w:color="auto"/>
            </w:tcBorders>
            <w:shd w:val="clear" w:color="auto" w:fill="auto"/>
            <w:noWrap/>
            <w:vAlign w:val="center"/>
          </w:tcPr>
          <w:p w14:paraId="7972C349" w14:textId="6BDCE62C"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30</w:t>
            </w:r>
            <w:r w:rsidR="00431415">
              <w:rPr>
                <w:rFonts w:ascii="Calibri" w:hAnsi="Calibri" w:cs="Calibri"/>
                <w:color w:val="C00000"/>
              </w:rPr>
              <w:t>5</w:t>
            </w:r>
            <w:r w:rsidRPr="00236B7C">
              <w:rPr>
                <w:rFonts w:ascii="Calibri" w:hAnsi="Calibri" w:cs="Calibri"/>
                <w:color w:val="C00000"/>
              </w:rPr>
              <w:t xml:space="preserve"> (4.</w:t>
            </w:r>
            <w:r w:rsidR="00431415">
              <w:rPr>
                <w:rFonts w:ascii="Calibri" w:hAnsi="Calibri" w:cs="Calibri"/>
                <w:color w:val="C00000"/>
              </w:rPr>
              <w:t>5</w:t>
            </w:r>
            <w:r w:rsidRPr="00236B7C">
              <w:rPr>
                <w:rFonts w:ascii="Calibri" w:hAnsi="Calibri" w:cs="Calibri"/>
                <w:color w:val="C00000"/>
              </w:rPr>
              <w:t>%)</w:t>
            </w:r>
          </w:p>
        </w:tc>
        <w:tc>
          <w:tcPr>
            <w:tcW w:w="765" w:type="pct"/>
            <w:tcBorders>
              <w:top w:val="nil"/>
              <w:left w:val="nil"/>
              <w:bottom w:val="single" w:sz="4" w:space="0" w:color="auto"/>
              <w:right w:val="single" w:sz="4" w:space="0" w:color="auto"/>
            </w:tcBorders>
            <w:shd w:val="clear" w:color="auto" w:fill="auto"/>
            <w:noWrap/>
            <w:vAlign w:val="center"/>
          </w:tcPr>
          <w:p w14:paraId="42BABD4F" w14:textId="14770406"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629</w:t>
            </w:r>
            <w:r w:rsidR="00431415">
              <w:rPr>
                <w:rFonts w:ascii="Calibri" w:hAnsi="Calibri" w:cs="Calibri"/>
                <w:color w:val="C00000"/>
              </w:rPr>
              <w:t>7</w:t>
            </w:r>
            <w:r w:rsidRPr="00236B7C">
              <w:rPr>
                <w:rFonts w:ascii="Calibri" w:hAnsi="Calibri" w:cs="Calibri"/>
                <w:color w:val="C00000"/>
              </w:rPr>
              <w:t xml:space="preserve"> (92.1%)</w:t>
            </w:r>
          </w:p>
        </w:tc>
        <w:tc>
          <w:tcPr>
            <w:tcW w:w="1160" w:type="pct"/>
            <w:tcBorders>
              <w:top w:val="nil"/>
              <w:left w:val="nil"/>
              <w:bottom w:val="single" w:sz="4" w:space="0" w:color="auto"/>
              <w:right w:val="single" w:sz="4" w:space="0" w:color="auto"/>
            </w:tcBorders>
            <w:shd w:val="clear" w:color="auto" w:fill="auto"/>
            <w:noWrap/>
            <w:vAlign w:val="center"/>
          </w:tcPr>
          <w:p w14:paraId="10FD47DC" w14:textId="34E217B2"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23</w:t>
            </w:r>
            <w:r w:rsidR="00431415">
              <w:rPr>
                <w:rFonts w:ascii="Calibri" w:hAnsi="Calibri" w:cs="Calibri"/>
                <w:color w:val="C00000"/>
              </w:rPr>
              <w:t>6</w:t>
            </w:r>
            <w:r w:rsidRPr="00236B7C">
              <w:rPr>
                <w:rFonts w:ascii="Calibri" w:hAnsi="Calibri" w:cs="Calibri"/>
                <w:color w:val="C00000"/>
              </w:rPr>
              <w:t xml:space="preserve"> (3.5%)</w:t>
            </w:r>
          </w:p>
        </w:tc>
        <w:tc>
          <w:tcPr>
            <w:tcW w:w="766" w:type="pct"/>
            <w:tcBorders>
              <w:top w:val="nil"/>
              <w:left w:val="nil"/>
              <w:bottom w:val="single" w:sz="4" w:space="0" w:color="auto"/>
              <w:right w:val="single" w:sz="4" w:space="0" w:color="auto"/>
            </w:tcBorders>
            <w:shd w:val="clear" w:color="auto" w:fill="auto"/>
            <w:noWrap/>
            <w:vAlign w:val="center"/>
          </w:tcPr>
          <w:p w14:paraId="5FBA7353" w14:textId="31D1D545" w:rsidR="001524AB" w:rsidRPr="00005DBF" w:rsidRDefault="001524AB" w:rsidP="001524AB">
            <w:pPr>
              <w:spacing w:after="0" w:line="240" w:lineRule="auto"/>
              <w:jc w:val="center"/>
              <w:rPr>
                <w:rFonts w:eastAsia="Times New Roman" w:cs="Calibri"/>
                <w:color w:val="C00000"/>
              </w:rPr>
            </w:pPr>
            <w:r w:rsidRPr="00236B7C">
              <w:rPr>
                <w:rFonts w:ascii="Calibri" w:hAnsi="Calibri" w:cs="Calibri"/>
                <w:color w:val="C00000"/>
              </w:rPr>
              <w:t>6838</w:t>
            </w:r>
          </w:p>
        </w:tc>
      </w:tr>
    </w:tbl>
    <w:p w14:paraId="5377DB71" w14:textId="0190C874" w:rsidR="003B0F84" w:rsidRDefault="003B0F84" w:rsidP="003B0F84">
      <w:pPr>
        <w:spacing w:after="0" w:line="240" w:lineRule="auto"/>
        <w:rPr>
          <w:rFonts w:ascii="Calibri" w:eastAsia="SimSun" w:hAnsi="Calibri" w:cs="Times New Roman"/>
          <w:color w:val="C00000"/>
        </w:rPr>
      </w:pPr>
      <w:r w:rsidRPr="003B0F84">
        <w:rPr>
          <w:rFonts w:ascii="Calibri" w:eastAsia="SimSun" w:hAnsi="Calibri" w:cs="Times New Roman"/>
          <w:color w:val="C00000"/>
        </w:rPr>
        <w:br/>
      </w:r>
      <w:r w:rsidRPr="002A0A2A">
        <w:rPr>
          <w:rFonts w:ascii="Calibri" w:eastAsia="SimSun" w:hAnsi="Calibri" w:cs="Times New Roman"/>
          <w:color w:val="C00000"/>
        </w:rPr>
        <w:t>A</w:t>
      </w:r>
      <w:r w:rsidR="002A0A2A" w:rsidRPr="002A0A2A">
        <w:rPr>
          <w:rFonts w:ascii="Calibri" w:eastAsia="SimSun" w:hAnsi="Calibri" w:cs="Times New Roman"/>
          <w:color w:val="C00000"/>
        </w:rPr>
        <w:t>fter adjustment for SDS/SES, 23</w:t>
      </w:r>
      <w:r w:rsidR="00FC6457">
        <w:rPr>
          <w:rFonts w:ascii="Calibri" w:eastAsia="SimSun" w:hAnsi="Calibri" w:cs="Times New Roman"/>
          <w:color w:val="C00000"/>
        </w:rPr>
        <w:t>1</w:t>
      </w:r>
      <w:r w:rsidR="002A0A2A" w:rsidRPr="002A0A2A">
        <w:rPr>
          <w:rFonts w:ascii="Calibri" w:eastAsia="SimSun" w:hAnsi="Calibri" w:cs="Times New Roman"/>
          <w:color w:val="C00000"/>
        </w:rPr>
        <w:t xml:space="preserve"> facilities (3.4</w:t>
      </w:r>
      <w:r w:rsidRPr="002A0A2A">
        <w:rPr>
          <w:rFonts w:ascii="Calibri" w:eastAsia="SimSun" w:hAnsi="Calibri" w:cs="Times New Roman"/>
          <w:color w:val="C00000"/>
        </w:rPr>
        <w:t>%) changed performance categories.</w:t>
      </w:r>
      <w:r w:rsidRPr="002A0A2A">
        <w:rPr>
          <w:rFonts w:ascii="Calibri" w:eastAsia="SimSun" w:hAnsi="Calibri" w:cs="Calibri"/>
          <w:b/>
          <w:color w:val="C00000"/>
          <w:sz w:val="24"/>
          <w:szCs w:val="24"/>
        </w:rPr>
        <w:t xml:space="preserve"> </w:t>
      </w:r>
      <w:r w:rsidR="002A0A2A" w:rsidRPr="002A0A2A">
        <w:rPr>
          <w:rFonts w:ascii="Calibri" w:eastAsia="SimSun" w:hAnsi="Calibri" w:cs="Times New Roman"/>
          <w:color w:val="C00000"/>
        </w:rPr>
        <w:t>11</w:t>
      </w:r>
      <w:r w:rsidR="00CA3B6A">
        <w:rPr>
          <w:rFonts w:ascii="Calibri" w:eastAsia="SimSun" w:hAnsi="Calibri" w:cs="Times New Roman"/>
          <w:color w:val="C00000"/>
        </w:rPr>
        <w:t>9</w:t>
      </w:r>
      <w:r w:rsidR="002A0A2A" w:rsidRPr="002A0A2A">
        <w:rPr>
          <w:rFonts w:ascii="Calibri" w:eastAsia="SimSun" w:hAnsi="Calibri" w:cs="Times New Roman"/>
          <w:color w:val="C00000"/>
        </w:rPr>
        <w:t xml:space="preserve"> (1</w:t>
      </w:r>
      <w:r w:rsidRPr="002A0A2A">
        <w:rPr>
          <w:rFonts w:ascii="Calibri" w:eastAsia="SimSun" w:hAnsi="Calibri" w:cs="Times New Roman"/>
          <w:color w:val="C00000"/>
        </w:rPr>
        <w:t>.</w:t>
      </w:r>
      <w:r w:rsidR="002A0A2A" w:rsidRPr="002A0A2A">
        <w:rPr>
          <w:rFonts w:ascii="Calibri" w:eastAsia="SimSun" w:hAnsi="Calibri" w:cs="Times New Roman"/>
          <w:color w:val="C00000"/>
        </w:rPr>
        <w:t>8</w:t>
      </w:r>
      <w:r w:rsidRPr="002A0A2A">
        <w:rPr>
          <w:rFonts w:ascii="Calibri" w:eastAsia="SimSun" w:hAnsi="Calibri" w:cs="Times New Roman"/>
          <w:color w:val="C00000"/>
        </w:rPr>
        <w:t>%) facilities were down-graded and 1</w:t>
      </w:r>
      <w:r w:rsidR="002A0A2A" w:rsidRPr="002A0A2A">
        <w:rPr>
          <w:rFonts w:ascii="Calibri" w:eastAsia="SimSun" w:hAnsi="Calibri" w:cs="Times New Roman"/>
          <w:color w:val="C00000"/>
        </w:rPr>
        <w:t>1</w:t>
      </w:r>
      <w:r w:rsidR="00CA3B6A">
        <w:rPr>
          <w:rFonts w:ascii="Calibri" w:eastAsia="SimSun" w:hAnsi="Calibri" w:cs="Times New Roman"/>
          <w:color w:val="C00000"/>
        </w:rPr>
        <w:t>2</w:t>
      </w:r>
      <w:r w:rsidRPr="002A0A2A">
        <w:rPr>
          <w:rFonts w:ascii="Calibri" w:eastAsia="SimSun" w:hAnsi="Calibri" w:cs="Times New Roman"/>
          <w:color w:val="C00000"/>
        </w:rPr>
        <w:t xml:space="preserve"> (</w:t>
      </w:r>
      <w:r w:rsidR="002A0A2A" w:rsidRPr="002A0A2A">
        <w:rPr>
          <w:rFonts w:ascii="Calibri" w:eastAsia="SimSun" w:hAnsi="Calibri" w:cs="Times New Roman"/>
          <w:color w:val="C00000"/>
        </w:rPr>
        <w:t>1.7</w:t>
      </w:r>
      <w:r w:rsidRPr="002A0A2A">
        <w:rPr>
          <w:rFonts w:ascii="Calibri" w:eastAsia="SimSun" w:hAnsi="Calibri" w:cs="Times New Roman"/>
          <w:color w:val="C00000"/>
        </w:rPr>
        <w:t>%) facilities were upgraded.</w:t>
      </w:r>
      <w:r w:rsidRPr="003B0F84">
        <w:rPr>
          <w:rFonts w:ascii="Calibri" w:eastAsia="SimSun" w:hAnsi="Calibri" w:cs="Times New Roman"/>
          <w:color w:val="C00000"/>
        </w:rPr>
        <w:t xml:space="preserve"> </w:t>
      </w:r>
    </w:p>
    <w:p w14:paraId="757C9D42" w14:textId="77777777" w:rsidR="00863F9E" w:rsidRPr="003B0F84" w:rsidRDefault="00863F9E" w:rsidP="003B0F84">
      <w:pPr>
        <w:spacing w:after="0" w:line="240" w:lineRule="auto"/>
        <w:rPr>
          <w:rFonts w:ascii="Calibri" w:eastAsia="SimSun" w:hAnsi="Calibri" w:cs="Times New Roman"/>
          <w:color w:val="C00000"/>
        </w:rPr>
      </w:pPr>
    </w:p>
    <w:p w14:paraId="4D2F83D8" w14:textId="7F7F53C9" w:rsidR="003B0F84" w:rsidRPr="003B0F84" w:rsidRDefault="00863F9E" w:rsidP="00863F9E">
      <w:pPr>
        <w:rPr>
          <w:rFonts w:ascii="Calibri" w:eastAsia="SimSun" w:hAnsi="Calibri" w:cs="Times New Roman"/>
          <w:color w:val="C00000"/>
        </w:rPr>
      </w:pPr>
      <w:r>
        <w:rPr>
          <w:rFonts w:ascii="Calibri" w:eastAsia="SimSun" w:hAnsi="Calibri" w:cs="Times New Roman"/>
          <w:color w:val="C00000"/>
        </w:rPr>
        <w:t xml:space="preserve">Black race, female sex, unemployment </w:t>
      </w:r>
      <w:r w:rsidR="00CA3B6A">
        <w:rPr>
          <w:rFonts w:ascii="Calibri" w:eastAsia="SimSun" w:hAnsi="Calibri" w:cs="Times New Roman"/>
          <w:color w:val="C00000"/>
        </w:rPr>
        <w:t xml:space="preserve">at ESRD incidence, </w:t>
      </w:r>
      <w:r>
        <w:rPr>
          <w:rFonts w:ascii="Calibri" w:eastAsia="SimSun" w:hAnsi="Calibri" w:cs="Times New Roman"/>
          <w:color w:val="C00000"/>
        </w:rPr>
        <w:t xml:space="preserve">and dual-eligible status were all associated with lower odds of having an AVF indicating </w:t>
      </w:r>
      <w:r w:rsidR="003B0F84" w:rsidRPr="003B0F84">
        <w:rPr>
          <w:rFonts w:ascii="Calibri" w:eastAsia="SimSun" w:hAnsi="Calibri" w:cs="Times New Roman"/>
          <w:color w:val="C00000"/>
        </w:rPr>
        <w:t xml:space="preserve">that patient-level, but not area-level, variables for SDS/SES </w:t>
      </w:r>
      <w:r w:rsidR="004B6A36">
        <w:rPr>
          <w:rFonts w:ascii="Calibri" w:eastAsia="SimSun" w:hAnsi="Calibri" w:cs="Times New Roman"/>
          <w:color w:val="C00000"/>
        </w:rPr>
        <w:t xml:space="preserve">have some </w:t>
      </w:r>
      <w:r w:rsidR="003B0F84" w:rsidRPr="003B0F84">
        <w:rPr>
          <w:rFonts w:ascii="Calibri" w:eastAsia="SimSun" w:hAnsi="Calibri" w:cs="Times New Roman"/>
          <w:color w:val="C00000"/>
        </w:rPr>
        <w:t>impact</w:t>
      </w:r>
      <w:r w:rsidR="005D0B10">
        <w:rPr>
          <w:rFonts w:ascii="Calibri" w:eastAsia="SimSun" w:hAnsi="Calibri" w:cs="Times New Roman"/>
          <w:color w:val="C00000"/>
        </w:rPr>
        <w:t xml:space="preserve"> on</w:t>
      </w:r>
      <w:r w:rsidR="003B0F84" w:rsidRPr="003B0F84">
        <w:rPr>
          <w:rFonts w:ascii="Calibri" w:eastAsia="SimSun" w:hAnsi="Calibri" w:cs="Times New Roman"/>
          <w:color w:val="C00000"/>
        </w:rPr>
        <w:t xml:space="preserve"> expected AVF rates.  Furthermore, we observed that adjustment for SDS/SES </w:t>
      </w:r>
      <w:r w:rsidR="003B0F84" w:rsidRPr="003B0F84">
        <w:rPr>
          <w:rFonts w:ascii="Calibri" w:eastAsia="SimSun" w:hAnsi="Calibri" w:cs="Times New Roman"/>
          <w:color w:val="C00000"/>
        </w:rPr>
        <w:lastRenderedPageBreak/>
        <w:t xml:space="preserve">shifted facility performance, but </w:t>
      </w:r>
      <w:r w:rsidR="004B6A36">
        <w:rPr>
          <w:rFonts w:ascii="Calibri" w:eastAsia="SimSun" w:hAnsi="Calibri" w:cs="Times New Roman"/>
          <w:color w:val="C00000"/>
        </w:rPr>
        <w:t xml:space="preserve">slightly </w:t>
      </w:r>
      <w:r w:rsidR="003B0F84" w:rsidRPr="003B0F84">
        <w:rPr>
          <w:rFonts w:ascii="Calibri" w:eastAsia="SimSun" w:hAnsi="Calibri" w:cs="Times New Roman"/>
          <w:color w:val="C00000"/>
        </w:rPr>
        <w:t xml:space="preserve">more facilities declined in performance ranking with SDS/SES adjustment than improved.  </w:t>
      </w:r>
    </w:p>
    <w:p w14:paraId="67605430" w14:textId="46EE957E" w:rsidR="00863F9E" w:rsidRDefault="003B0F84" w:rsidP="003B0F84">
      <w:pPr>
        <w:rPr>
          <w:rFonts w:ascii="Calibri" w:eastAsia="SimSun" w:hAnsi="Calibri" w:cs="Times New Roman"/>
          <w:color w:val="C00000"/>
        </w:rPr>
      </w:pPr>
      <w:r w:rsidRPr="003B0F84">
        <w:rPr>
          <w:rFonts w:ascii="Calibri" w:eastAsia="SimSun" w:hAnsi="Calibri" w:cs="Times New Roman"/>
          <w:color w:val="C00000"/>
        </w:rPr>
        <w:t xml:space="preserve">Patient-level SDS/SES variables are not included as adjustments in the measure due to the absence of a convincing biological or clinical rationale that warrant accounting for different outcomes on the basis of race, sex, or socioeconomic status.  </w:t>
      </w:r>
      <w:r w:rsidR="00863F9E">
        <w:rPr>
          <w:rFonts w:ascii="Calibri" w:eastAsia="SimSun" w:hAnsi="Calibri" w:cs="Times New Roman"/>
          <w:color w:val="C00000"/>
        </w:rPr>
        <w:t xml:space="preserve">Adjusting for these factors could have the unintended effect of masking or reinforcing disparities in vascular access outcomes.  While </w:t>
      </w:r>
      <w:r w:rsidRPr="003B0F84">
        <w:rPr>
          <w:rFonts w:ascii="Calibri" w:eastAsia="SimSun" w:hAnsi="Calibri" w:cs="Times New Roman"/>
          <w:color w:val="C00000"/>
        </w:rPr>
        <w:t xml:space="preserve">some providers in the dialysis community believe that women are less likely to have AVF due to smaller vessels and hypothesize that this may be a biologic explanation for subsequent higher primary failure rates seen in women.  While several studies have reported that women have smaller vasculature than men [1,2] this has not been a consistent finding, and may be isolated to forearm vessels.  Studies that have focused on upper arm AVF have demonstrated similar AVF rates between men and women, suggesting a lack of sufficient biological or clinical support for different outcomes in fistula rates between female and males [3].  </w:t>
      </w:r>
    </w:p>
    <w:p w14:paraId="1AF1DD04" w14:textId="0EF2716D" w:rsidR="003B0F84" w:rsidRPr="003B0F84" w:rsidRDefault="00863F9E" w:rsidP="003B0F84">
      <w:pPr>
        <w:rPr>
          <w:rFonts w:ascii="Calibri" w:eastAsia="SimSun" w:hAnsi="Calibri" w:cs="Times New Roman"/>
          <w:color w:val="C00000"/>
        </w:rPr>
      </w:pPr>
      <w:r>
        <w:rPr>
          <w:rFonts w:ascii="Calibri" w:eastAsia="SimSun" w:hAnsi="Calibri" w:cs="Times New Roman"/>
          <w:color w:val="C00000"/>
        </w:rPr>
        <w:t>Finally, a</w:t>
      </w:r>
      <w:r w:rsidRPr="003B0F84">
        <w:rPr>
          <w:rFonts w:ascii="Calibri" w:eastAsia="SimSun" w:hAnsi="Calibri" w:cs="Times New Roman"/>
          <w:color w:val="C00000"/>
        </w:rPr>
        <w:t xml:space="preserve">rea-level factors are not included as </w:t>
      </w:r>
      <w:r>
        <w:rPr>
          <w:rFonts w:ascii="Calibri" w:eastAsia="SimSun" w:hAnsi="Calibri" w:cs="Times New Roman"/>
          <w:color w:val="C00000"/>
        </w:rPr>
        <w:t xml:space="preserve">an </w:t>
      </w:r>
      <w:r w:rsidRPr="003B0F84">
        <w:rPr>
          <w:rFonts w:ascii="Calibri" w:eastAsia="SimSun" w:hAnsi="Calibri" w:cs="Times New Roman"/>
          <w:color w:val="C00000"/>
        </w:rPr>
        <w:t>adjustment</w:t>
      </w:r>
      <w:r>
        <w:rPr>
          <w:rFonts w:ascii="Calibri" w:eastAsia="SimSun" w:hAnsi="Calibri" w:cs="Times New Roman"/>
          <w:color w:val="C00000"/>
        </w:rPr>
        <w:t xml:space="preserve"> </w:t>
      </w:r>
      <w:r w:rsidRPr="003B0F84">
        <w:rPr>
          <w:rFonts w:ascii="Calibri" w:eastAsia="SimSun" w:hAnsi="Calibri" w:cs="Times New Roman"/>
          <w:color w:val="C00000"/>
        </w:rPr>
        <w:t>due to the absence of clinically meaningful or statistically observed differences on the fistula rate with these adjustments</w:t>
      </w:r>
      <w:r>
        <w:rPr>
          <w:rFonts w:ascii="Calibri" w:eastAsia="SimSun" w:hAnsi="Calibri" w:cs="Times New Roman"/>
          <w:color w:val="C00000"/>
        </w:rPr>
        <w:t xml:space="preserve">. </w:t>
      </w:r>
    </w:p>
    <w:p w14:paraId="4BB8B3E6" w14:textId="77777777" w:rsidR="003B0F84" w:rsidRPr="003B0F84" w:rsidRDefault="003B0F84" w:rsidP="003B0F84">
      <w:pPr>
        <w:pStyle w:val="FootnoteText"/>
        <w:rPr>
          <w:rFonts w:asciiTheme="minorHAnsi" w:hAnsiTheme="minorHAnsi"/>
          <w:color w:val="C00000"/>
          <w:sz w:val="22"/>
          <w:szCs w:val="22"/>
        </w:rPr>
      </w:pPr>
      <w:r w:rsidRPr="003B0F84">
        <w:rPr>
          <w:rFonts w:asciiTheme="minorHAnsi" w:hAnsiTheme="minorHAnsi"/>
          <w:color w:val="C00000"/>
          <w:sz w:val="22"/>
          <w:szCs w:val="22"/>
        </w:rPr>
        <w:t>1. Jemcov, TK Morphologic and functional vessel characteristics assessed by ultrasonography for prediction of radiocephalic fistula maturation.  J Vasc Access 2013; 14(4):356-363</w:t>
      </w:r>
    </w:p>
    <w:p w14:paraId="07DA6968" w14:textId="77777777" w:rsidR="003B0F84" w:rsidRPr="003B0F84" w:rsidRDefault="003B0F84" w:rsidP="003B0F84">
      <w:pPr>
        <w:pStyle w:val="FootnoteText"/>
        <w:rPr>
          <w:rFonts w:asciiTheme="minorHAnsi" w:hAnsiTheme="minorHAnsi"/>
          <w:color w:val="C00000"/>
          <w:sz w:val="22"/>
          <w:szCs w:val="22"/>
        </w:rPr>
      </w:pPr>
      <w:r w:rsidRPr="003B0F84">
        <w:rPr>
          <w:rFonts w:asciiTheme="minorHAnsi" w:hAnsiTheme="minorHAnsi"/>
          <w:color w:val="C00000"/>
          <w:sz w:val="22"/>
          <w:szCs w:val="22"/>
        </w:rPr>
        <w:t>2. Allon, M et al. Effect of preoperative sonographic mapping on vascular access outcomes in hemodialysis patients.  Kidney International, Vol. 60 (2001), pp. 2013–2020</w:t>
      </w:r>
    </w:p>
    <w:p w14:paraId="610A6F01" w14:textId="77777777" w:rsidR="003B0F84" w:rsidRPr="003B0F84" w:rsidRDefault="003B0F84" w:rsidP="003B0F84">
      <w:pPr>
        <w:rPr>
          <w:rFonts w:eastAsia="SimSun" w:cs="Times New Roman"/>
          <w:b/>
          <w:color w:val="C00000"/>
        </w:rPr>
      </w:pPr>
      <w:r w:rsidRPr="003B0F84">
        <w:rPr>
          <w:color w:val="C00000"/>
        </w:rPr>
        <w:t>3. Caplin, N et al.  Venous Access:Women Are Equal.  Am J Kidney Dis 2003.  41:429-432.</w:t>
      </w:r>
    </w:p>
    <w:p w14:paraId="19E6B1E0" w14:textId="77777777" w:rsidR="003B0F84" w:rsidRDefault="003B0F84" w:rsidP="003B0F84">
      <w:pPr>
        <w:rPr>
          <w:rFonts w:ascii="Calibri" w:eastAsia="SimSun" w:hAnsi="Calibri" w:cs="Times New Roman"/>
        </w:rPr>
      </w:pP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3DA01E1A" w:rsidR="00E1508F" w:rsidRDefault="00001D73" w:rsidP="00092566">
      <w:pPr>
        <w:autoSpaceDE w:val="0"/>
        <w:autoSpaceDN w:val="0"/>
        <w:adjustRightInd w:val="0"/>
        <w:spacing w:after="0" w:line="240" w:lineRule="auto"/>
        <w:rPr>
          <w:rStyle w:val="Hyperlink"/>
          <w:rFonts w:cstheme="minorHAnsi"/>
          <w:b/>
          <w:bCs/>
          <w:i/>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42AFAF06" w14:textId="1112CEC4" w:rsidR="00AE37A9" w:rsidRDefault="00AE37A9" w:rsidP="00092566">
      <w:pPr>
        <w:autoSpaceDE w:val="0"/>
        <w:autoSpaceDN w:val="0"/>
        <w:adjustRightInd w:val="0"/>
        <w:spacing w:after="0" w:line="240" w:lineRule="auto"/>
        <w:rPr>
          <w:rStyle w:val="Hyperlink"/>
          <w:rFonts w:cstheme="minorHAnsi"/>
          <w:b/>
          <w:bCs/>
          <w:i/>
        </w:rPr>
      </w:pPr>
    </w:p>
    <w:p w14:paraId="51083250" w14:textId="77777777" w:rsidR="00AE37A9" w:rsidRDefault="00AE37A9" w:rsidP="00AE37A9">
      <w:pPr>
        <w:autoSpaceDE w:val="0"/>
        <w:autoSpaceDN w:val="0"/>
        <w:adjustRightInd w:val="0"/>
        <w:spacing w:after="0" w:line="240" w:lineRule="auto"/>
        <w:rPr>
          <w:rFonts w:cstheme="minorHAnsi"/>
          <w:b/>
          <w:bCs/>
        </w:rPr>
      </w:pPr>
      <w:r w:rsidRPr="00874A15">
        <w:rPr>
          <w:rFonts w:ascii="Calibri" w:eastAsia="Times New Roman" w:hAnsi="Calibri" w:cs="Times New Roman"/>
        </w:rPr>
        <w:t xml:space="preserve">Risk factors were selected for the final model based on the magnitude </w:t>
      </w:r>
      <w:r>
        <w:rPr>
          <w:rFonts w:ascii="Calibri" w:eastAsia="Times New Roman" w:hAnsi="Calibri" w:cs="Times New Roman"/>
        </w:rPr>
        <w:t xml:space="preserve">of the coefficients, evaluation of their </w:t>
      </w:r>
      <w:r w:rsidRPr="00874A15">
        <w:rPr>
          <w:rFonts w:ascii="Calibri" w:eastAsia="Times New Roman" w:hAnsi="Calibri" w:cs="Times New Roman"/>
        </w:rPr>
        <w:t xml:space="preserve">statistical significance, </w:t>
      </w:r>
      <w:r>
        <w:rPr>
          <w:rStyle w:val="CommentReference"/>
        </w:rPr>
        <w:annotationRef/>
      </w:r>
      <w:r w:rsidRPr="00874A15">
        <w:rPr>
          <w:rFonts w:ascii="Calibri" w:eastAsia="Times New Roman" w:hAnsi="Calibri" w:cs="Times New Roman"/>
        </w:rPr>
        <w:t xml:space="preserve">and </w:t>
      </w:r>
      <w:r>
        <w:rPr>
          <w:rFonts w:ascii="Calibri" w:eastAsia="Times New Roman" w:hAnsi="Calibri" w:cs="Times New Roman"/>
        </w:rPr>
        <w:t>the model c-statistic</w:t>
      </w:r>
      <w:r w:rsidRPr="00874A15">
        <w:rPr>
          <w:rFonts w:ascii="Calibri" w:eastAsia="Times New Roman" w:hAnsi="Calibri" w:cs="Times New Roman"/>
        </w:rPr>
        <w:t>.</w:t>
      </w:r>
    </w:p>
    <w:p w14:paraId="1992FC2A" w14:textId="77777777" w:rsidR="00AE37A9" w:rsidRDefault="00AE37A9" w:rsidP="00092566">
      <w:pPr>
        <w:autoSpaceDE w:val="0"/>
        <w:autoSpaceDN w:val="0"/>
        <w:adjustRightInd w:val="0"/>
        <w:spacing w:after="0" w:line="240" w:lineRule="auto"/>
        <w:rPr>
          <w:rFonts w:cstheme="minorHAnsi"/>
          <w:b/>
          <w:bCs/>
        </w:rPr>
      </w:pPr>
    </w:p>
    <w:p w14:paraId="2EDA78C0" w14:textId="77777777" w:rsidR="00AE37A9" w:rsidRPr="00AD7234" w:rsidRDefault="00AE37A9" w:rsidP="00AE37A9">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6B6EECBF" w14:textId="2BCD8EEF" w:rsidR="00175229" w:rsidRPr="00822F36" w:rsidRDefault="00712C19" w:rsidP="00175229">
      <w:pPr>
        <w:autoSpaceDE w:val="0"/>
        <w:autoSpaceDN w:val="0"/>
        <w:adjustRightInd w:val="0"/>
        <w:spacing w:after="0" w:line="240" w:lineRule="auto"/>
        <w:rPr>
          <w:rFonts w:cstheme="minorHAnsi"/>
          <w:b/>
          <w:bCs/>
          <w:color w:val="C00000"/>
        </w:rPr>
      </w:pPr>
      <w:r>
        <w:rPr>
          <w:rFonts w:ascii="Calibri" w:eastAsia="Times New Roman" w:hAnsi="Calibri" w:cs="Times New Roman"/>
          <w:color w:val="C00000"/>
        </w:rPr>
        <w:t>See above section</w:t>
      </w:r>
      <w:r w:rsidR="005E7938">
        <w:rPr>
          <w:rFonts w:ascii="Calibri" w:eastAsia="Times New Roman" w:hAnsi="Calibri" w:cs="Times New Roman"/>
          <w:color w:val="C00000"/>
        </w:rPr>
        <w:t xml:space="preserve">s (2b3.1.1 and 2b3.3a) which describe </w:t>
      </w:r>
      <w:r>
        <w:rPr>
          <w:rFonts w:ascii="Calibri" w:eastAsia="Times New Roman" w:hAnsi="Calibri" w:cs="Times New Roman"/>
          <w:color w:val="C00000"/>
        </w:rPr>
        <w:t xml:space="preserve">the statistical methods used to develop and validate the model.  </w:t>
      </w:r>
      <w:r w:rsidR="00175229" w:rsidRPr="00822F36">
        <w:rPr>
          <w:rFonts w:ascii="Calibri" w:eastAsia="Times New Roman" w:hAnsi="Calibri" w:cs="Times New Roman"/>
          <w:color w:val="C00000"/>
        </w:rPr>
        <w:t xml:space="preserve">Risk factors were selected for the final model based on the magnitude of the coefficients, evaluation of their statistical </w:t>
      </w:r>
      <w:r w:rsidR="005E7938">
        <w:rPr>
          <w:rFonts w:ascii="Calibri" w:eastAsia="Times New Roman" w:hAnsi="Calibri" w:cs="Times New Roman"/>
          <w:color w:val="C00000"/>
        </w:rPr>
        <w:t xml:space="preserve">and clinical </w:t>
      </w:r>
      <w:r w:rsidR="00175229" w:rsidRPr="00822F36">
        <w:rPr>
          <w:rFonts w:ascii="Calibri" w:eastAsia="Times New Roman" w:hAnsi="Calibri" w:cs="Times New Roman"/>
          <w:color w:val="C00000"/>
        </w:rPr>
        <w:t xml:space="preserve">significance, </w:t>
      </w:r>
      <w:r w:rsidR="00175229" w:rsidRPr="00822F36">
        <w:rPr>
          <w:rStyle w:val="CommentReference"/>
          <w:color w:val="C00000"/>
        </w:rPr>
        <w:annotationRef/>
      </w:r>
      <w:r w:rsidR="00175229" w:rsidRPr="00822F36">
        <w:rPr>
          <w:rFonts w:ascii="Calibri" w:eastAsia="Times New Roman" w:hAnsi="Calibri" w:cs="Times New Roman"/>
          <w:color w:val="C00000"/>
        </w:rPr>
        <w:t>and the model c-statistic.</w:t>
      </w:r>
    </w:p>
    <w:p w14:paraId="0CABCFFC" w14:textId="77777777" w:rsidR="00743E46" w:rsidRDefault="00743E46" w:rsidP="00092566">
      <w:pPr>
        <w:autoSpaceDE w:val="0"/>
        <w:autoSpaceDN w:val="0"/>
        <w:adjustRightInd w:val="0"/>
        <w:spacing w:after="0" w:line="240" w:lineRule="auto"/>
        <w:rPr>
          <w:rFonts w:cstheme="minorHAnsi"/>
          <w:b/>
          <w:bCs/>
        </w:rPr>
      </w:pPr>
    </w:p>
    <w:p w14:paraId="28D8E61A" w14:textId="77777777" w:rsidR="00AE37A9"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23CB11C2" w14:textId="77777777" w:rsidR="00AE37A9" w:rsidRPr="00874A15" w:rsidRDefault="00AE37A9" w:rsidP="00AE37A9">
      <w:pPr>
        <w:spacing w:before="100" w:beforeAutospacing="1" w:after="100" w:afterAutospacing="1" w:line="240" w:lineRule="auto"/>
        <w:rPr>
          <w:rFonts w:ascii="Calibri" w:eastAsia="Times New Roman" w:hAnsi="Calibri" w:cs="Times New Roman"/>
          <w:sz w:val="24"/>
          <w:szCs w:val="24"/>
        </w:rPr>
      </w:pPr>
      <w:r w:rsidRPr="00874A15">
        <w:rPr>
          <w:rFonts w:ascii="Calibri" w:eastAsia="Calibri" w:hAnsi="Calibri" w:cs="Times New Roman"/>
        </w:rPr>
        <w:t>The C-statistic (also known as the Index of Concordance) was 0.70. This indicates that the model correctly ordered 70% of the pairs of patient-months that were discordant with respect to the response variate.</w:t>
      </w:r>
    </w:p>
    <w:p w14:paraId="328E2482" w14:textId="42B32D63" w:rsidR="00AE37A9" w:rsidRPr="00175229" w:rsidRDefault="00AE37A9" w:rsidP="00AE37A9">
      <w:pPr>
        <w:autoSpaceDE w:val="0"/>
        <w:autoSpaceDN w:val="0"/>
        <w:adjustRightInd w:val="0"/>
        <w:spacing w:after="0" w:line="240" w:lineRule="auto"/>
        <w:rPr>
          <w:rFonts w:cstheme="minorHAnsi"/>
          <w:b/>
          <w:bCs/>
          <w:color w:val="C00000"/>
          <w:u w:val="single"/>
        </w:rPr>
      </w:pPr>
      <w:r w:rsidRPr="00175229">
        <w:rPr>
          <w:rFonts w:cstheme="minorHAnsi"/>
          <w:b/>
          <w:bCs/>
          <w:color w:val="C00000"/>
          <w:u w:val="single"/>
        </w:rPr>
        <w:lastRenderedPageBreak/>
        <w:t>2019 Submission</w:t>
      </w:r>
    </w:p>
    <w:p w14:paraId="5589B8F4" w14:textId="76FEE8BE" w:rsidR="00732DDE" w:rsidRPr="00424C4A" w:rsidRDefault="00732DDE" w:rsidP="00732DDE">
      <w:pPr>
        <w:spacing w:before="100" w:beforeAutospacing="1" w:after="100" w:afterAutospacing="1" w:line="240" w:lineRule="auto"/>
        <w:rPr>
          <w:rFonts w:ascii="Calibri" w:eastAsia="Times New Roman" w:hAnsi="Calibri" w:cs="Times New Roman"/>
          <w:color w:val="C00000"/>
          <w:sz w:val="24"/>
          <w:szCs w:val="24"/>
        </w:rPr>
      </w:pPr>
      <w:r w:rsidRPr="00175229">
        <w:rPr>
          <w:rFonts w:ascii="Calibri" w:eastAsia="Calibri" w:hAnsi="Calibri" w:cs="Times New Roman"/>
          <w:color w:val="C00000"/>
        </w:rPr>
        <w:t xml:space="preserve">The C-statistic was </w:t>
      </w:r>
      <w:r w:rsidRPr="00822F36">
        <w:rPr>
          <w:rFonts w:ascii="Calibri" w:eastAsia="Calibri" w:hAnsi="Calibri" w:cs="Times New Roman"/>
          <w:color w:val="C00000"/>
        </w:rPr>
        <w:t>0.</w:t>
      </w:r>
      <w:r w:rsidR="00DC63E2" w:rsidRPr="00822F36">
        <w:rPr>
          <w:rFonts w:ascii="Calibri" w:eastAsia="Calibri" w:hAnsi="Calibri" w:cs="Times New Roman"/>
          <w:color w:val="C00000"/>
        </w:rPr>
        <w:t>705</w:t>
      </w:r>
      <w:r w:rsidRPr="00175229">
        <w:rPr>
          <w:rFonts w:ascii="Calibri" w:eastAsia="Calibri" w:hAnsi="Calibri" w:cs="Times New Roman"/>
          <w:color w:val="C00000"/>
        </w:rPr>
        <w:t xml:space="preserve">. This indicates that the model correctly ordered </w:t>
      </w:r>
      <w:r w:rsidR="00DC63E2" w:rsidRPr="00822F36">
        <w:rPr>
          <w:rFonts w:ascii="Calibri" w:eastAsia="Calibri" w:hAnsi="Calibri" w:cs="Times New Roman"/>
          <w:color w:val="C00000"/>
        </w:rPr>
        <w:t>70</w:t>
      </w:r>
      <w:r w:rsidRPr="00175229">
        <w:rPr>
          <w:rFonts w:ascii="Calibri" w:eastAsia="Calibri" w:hAnsi="Calibri" w:cs="Times New Roman"/>
          <w:color w:val="C00000"/>
        </w:rPr>
        <w:t>% of the pairs of patient-months that were discordant with respect to the response variate.</w:t>
      </w:r>
    </w:p>
    <w:p w14:paraId="0CABCFFD" w14:textId="5E7111C7" w:rsidR="00001D73" w:rsidRPr="00001D73" w:rsidRDefault="00001D73" w:rsidP="00092566">
      <w:pPr>
        <w:autoSpaceDE w:val="0"/>
        <w:autoSpaceDN w:val="0"/>
        <w:adjustRightInd w:val="0"/>
        <w:spacing w:after="0" w:line="240" w:lineRule="auto"/>
        <w:rPr>
          <w:rFonts w:cstheme="minorHAnsi"/>
          <w:b/>
          <w:bCs/>
        </w:rPr>
      </w:pPr>
    </w:p>
    <w:p w14:paraId="0BFF0ACE" w14:textId="77777777" w:rsidR="00AE37A9"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p>
    <w:p w14:paraId="67D206FB" w14:textId="77777777" w:rsidR="00AE37A9" w:rsidRDefault="00AE37A9" w:rsidP="00092566">
      <w:pPr>
        <w:autoSpaceDE w:val="0"/>
        <w:autoSpaceDN w:val="0"/>
        <w:adjustRightInd w:val="0"/>
        <w:spacing w:after="0" w:line="240" w:lineRule="auto"/>
        <w:rPr>
          <w:rFonts w:cstheme="minorHAnsi"/>
          <w:bCs/>
        </w:rPr>
      </w:pPr>
    </w:p>
    <w:p w14:paraId="73CECB92" w14:textId="77777777" w:rsidR="00AE37A9" w:rsidRDefault="00AE37A9" w:rsidP="00AE37A9">
      <w:pPr>
        <w:autoSpaceDE w:val="0"/>
        <w:autoSpaceDN w:val="0"/>
        <w:adjustRightInd w:val="0"/>
        <w:spacing w:after="0" w:line="240" w:lineRule="auto"/>
        <w:rPr>
          <w:rFonts w:cstheme="minorHAnsi"/>
          <w:b/>
          <w:bCs/>
        </w:rPr>
      </w:pPr>
      <w:r w:rsidRPr="00874A15">
        <w:rPr>
          <w:rFonts w:ascii="Calibri" w:eastAsia="SimSun" w:hAnsi="Calibri" w:cs="Times New Roman"/>
        </w:rPr>
        <w:t>The Hosmer-Lemeshow test statistic based on deciles of risk is 39.1 with p-value &lt;0.0001. In very large samples such as this even relatively small departures from the model will lead to significant results. The c-statistic and risk decile plot show that the model provides an overall good fit to the data.</w:t>
      </w:r>
    </w:p>
    <w:p w14:paraId="3634968E" w14:textId="77777777" w:rsidR="00AE37A9" w:rsidRPr="00175229" w:rsidRDefault="00092566" w:rsidP="00AE37A9">
      <w:pPr>
        <w:autoSpaceDE w:val="0"/>
        <w:autoSpaceDN w:val="0"/>
        <w:adjustRightInd w:val="0"/>
        <w:spacing w:after="0" w:line="240" w:lineRule="auto"/>
        <w:rPr>
          <w:rFonts w:cstheme="minorHAnsi"/>
          <w:b/>
          <w:bCs/>
          <w:color w:val="C00000"/>
          <w:u w:val="single"/>
        </w:rPr>
      </w:pPr>
      <w:r w:rsidRPr="00A25024">
        <w:rPr>
          <w:rFonts w:cstheme="minorHAnsi"/>
          <w:bCs/>
        </w:rPr>
        <w:br/>
      </w:r>
      <w:r w:rsidR="00AE37A9" w:rsidRPr="00175229">
        <w:rPr>
          <w:rFonts w:cstheme="minorHAnsi"/>
          <w:b/>
          <w:bCs/>
          <w:color w:val="C00000"/>
          <w:u w:val="single"/>
        </w:rPr>
        <w:t>2019 Submission</w:t>
      </w:r>
    </w:p>
    <w:p w14:paraId="5F8BA39C" w14:textId="312C62B0" w:rsidR="00732DDE" w:rsidRPr="002A0A2A" w:rsidRDefault="00732DDE" w:rsidP="00732DDE">
      <w:pPr>
        <w:autoSpaceDE w:val="0"/>
        <w:autoSpaceDN w:val="0"/>
        <w:adjustRightInd w:val="0"/>
        <w:spacing w:after="0" w:line="240" w:lineRule="auto"/>
        <w:rPr>
          <w:rFonts w:cstheme="minorHAnsi"/>
          <w:b/>
          <w:bCs/>
          <w:color w:val="C00000"/>
        </w:rPr>
      </w:pPr>
      <w:r w:rsidRPr="00175229">
        <w:rPr>
          <w:rFonts w:ascii="Calibri" w:eastAsia="SimSun" w:hAnsi="Calibri" w:cs="Times New Roman"/>
          <w:color w:val="C00000"/>
        </w:rPr>
        <w:t xml:space="preserve">The Hosmer-Lemeshow test statistic based on deciles of risk </w:t>
      </w:r>
      <w:r w:rsidRPr="00522B2F">
        <w:rPr>
          <w:rFonts w:ascii="Calibri" w:eastAsia="SimSun" w:hAnsi="Calibri" w:cs="Times New Roman"/>
          <w:color w:val="C00000"/>
        </w:rPr>
        <w:t xml:space="preserve">is </w:t>
      </w:r>
      <w:r w:rsidR="008357A5" w:rsidRPr="00175229">
        <w:rPr>
          <w:rFonts w:ascii="Calibri" w:eastAsia="SimSun" w:hAnsi="Calibri" w:cs="Times New Roman"/>
          <w:color w:val="C00000"/>
        </w:rPr>
        <w:t>16.9</w:t>
      </w:r>
      <w:r w:rsidRPr="00175229">
        <w:rPr>
          <w:rFonts w:ascii="Calibri" w:eastAsia="SimSun" w:hAnsi="Calibri" w:cs="Times New Roman"/>
          <w:color w:val="C00000"/>
        </w:rPr>
        <w:t xml:space="preserve"> with p-value</w:t>
      </w:r>
      <w:r w:rsidR="008357A5" w:rsidRPr="00175229">
        <w:rPr>
          <w:rFonts w:ascii="Calibri" w:eastAsia="SimSun" w:hAnsi="Calibri" w:cs="Times New Roman"/>
          <w:color w:val="C00000"/>
        </w:rPr>
        <w:t>=0.03</w:t>
      </w:r>
      <w:r w:rsidRPr="00522B2F">
        <w:rPr>
          <w:rFonts w:ascii="Calibri" w:eastAsia="SimSun" w:hAnsi="Calibri" w:cs="Times New Roman"/>
          <w:color w:val="C00000"/>
        </w:rPr>
        <w:t xml:space="preserve">. </w:t>
      </w:r>
      <w:r w:rsidRPr="00175229">
        <w:rPr>
          <w:rFonts w:ascii="Calibri" w:eastAsia="SimSun" w:hAnsi="Calibri" w:cs="Times New Roman"/>
          <w:color w:val="C00000"/>
        </w:rPr>
        <w:t>In very large samples such as this even relatively small departures from the model will lead to significant results. The c-statistic and risk decile plot show that the model provides an overall good fit to the data.</w:t>
      </w:r>
    </w:p>
    <w:p w14:paraId="0CABCFFE" w14:textId="5255C7EE" w:rsidR="00001D73" w:rsidRDefault="00001D73" w:rsidP="00092566">
      <w:pPr>
        <w:autoSpaceDE w:val="0"/>
        <w:autoSpaceDN w:val="0"/>
        <w:adjustRightInd w:val="0"/>
        <w:spacing w:after="0" w:line="240" w:lineRule="auto"/>
        <w:rPr>
          <w:rFonts w:cstheme="minorHAnsi"/>
          <w:b/>
          <w:bCs/>
        </w:rPr>
      </w:pPr>
    </w:p>
    <w:p w14:paraId="3FE3E63A" w14:textId="77777777" w:rsidR="00AE37A9" w:rsidRDefault="00AE37A9" w:rsidP="00092566">
      <w:pPr>
        <w:autoSpaceDE w:val="0"/>
        <w:autoSpaceDN w:val="0"/>
        <w:adjustRightInd w:val="0"/>
        <w:spacing w:after="0" w:line="240" w:lineRule="auto"/>
        <w:rPr>
          <w:rFonts w:cstheme="minorHAnsi"/>
          <w:b/>
          <w:bCs/>
        </w:rPr>
      </w:pPr>
    </w:p>
    <w:p w14:paraId="5F65FD35" w14:textId="77777777" w:rsidR="00484C9D" w:rsidRDefault="00484C9D">
      <w:pPr>
        <w:rPr>
          <w:rFonts w:cstheme="minorHAnsi"/>
          <w:b/>
          <w:bCs/>
        </w:rPr>
      </w:pPr>
      <w:r>
        <w:rPr>
          <w:rFonts w:cstheme="minorHAnsi"/>
          <w:b/>
          <w:bCs/>
        </w:rPr>
        <w:br w:type="page"/>
      </w:r>
    </w:p>
    <w:p w14:paraId="0CABCFFF" w14:textId="0CD195A1"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790F47EC" w14:textId="77777777" w:rsidR="00AE37A9" w:rsidRPr="00081161" w:rsidRDefault="00AE37A9" w:rsidP="00AE37A9">
      <w:pPr>
        <w:spacing w:after="120"/>
        <w:rPr>
          <w:rFonts w:ascii="Calibri" w:eastAsia="Calibri" w:hAnsi="Calibri" w:cs="Times New Roman"/>
          <w:b/>
          <w:szCs w:val="20"/>
        </w:rPr>
      </w:pPr>
      <w:r w:rsidRPr="00081161">
        <w:rPr>
          <w:rFonts w:ascii="Calibri" w:eastAsia="Calibri" w:hAnsi="Calibri" w:cs="Times New Roman"/>
          <w:b/>
          <w:szCs w:val="20"/>
        </w:rPr>
        <w:t xml:space="preserve">Figure 4: Decile plots for the number of patients using AVF </w:t>
      </w:r>
    </w:p>
    <w:p w14:paraId="5A472770" w14:textId="77777777" w:rsidR="00AE37A9" w:rsidRPr="00874A15" w:rsidRDefault="00AE37A9" w:rsidP="00AE37A9">
      <w:pPr>
        <w:spacing w:after="120"/>
        <w:rPr>
          <w:rFonts w:ascii="Calibri" w:eastAsia="Calibri" w:hAnsi="Calibri" w:cs="Times New Roman"/>
          <w:sz w:val="20"/>
          <w:szCs w:val="20"/>
        </w:rPr>
      </w:pPr>
      <w:r w:rsidRPr="00874A15">
        <w:rPr>
          <w:rFonts w:ascii="Calibri" w:eastAsia="Calibri" w:hAnsi="Calibri" w:cs="Times New Roman"/>
          <w:noProof/>
        </w:rPr>
        <w:drawing>
          <wp:inline distT="0" distB="0" distL="0" distR="0" wp14:anchorId="76C0D385" wp14:editId="5E7F7B5E">
            <wp:extent cx="5086350" cy="3644900"/>
            <wp:effectExtent l="0" t="0" r="19050" b="127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89A7CC5" w14:textId="7EA5B36E" w:rsidR="00AE37A9" w:rsidRDefault="00AE37A9" w:rsidP="00092566">
      <w:pPr>
        <w:autoSpaceDE w:val="0"/>
        <w:autoSpaceDN w:val="0"/>
        <w:adjustRightInd w:val="0"/>
        <w:spacing w:after="0" w:line="240" w:lineRule="auto"/>
        <w:rPr>
          <w:rFonts w:cstheme="minorHAnsi"/>
          <w:b/>
        </w:rPr>
      </w:pPr>
    </w:p>
    <w:p w14:paraId="35E174EE" w14:textId="3029AB8E" w:rsidR="00AE37A9" w:rsidRDefault="00AE37A9" w:rsidP="00092566">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49A74239" w14:textId="17CA9766" w:rsidR="00732DDE" w:rsidRDefault="00732DDE" w:rsidP="00092566">
      <w:pPr>
        <w:autoSpaceDE w:val="0"/>
        <w:autoSpaceDN w:val="0"/>
        <w:adjustRightInd w:val="0"/>
        <w:spacing w:after="0" w:line="240" w:lineRule="auto"/>
        <w:rPr>
          <w:rFonts w:cstheme="minorHAnsi"/>
          <w:b/>
          <w:bCs/>
          <w:color w:val="C00000"/>
          <w:u w:val="single"/>
        </w:rPr>
      </w:pPr>
    </w:p>
    <w:p w14:paraId="1806C96F" w14:textId="0B2F0B1F" w:rsidR="00732DDE" w:rsidRPr="00081161" w:rsidRDefault="00732DDE" w:rsidP="00732DDE">
      <w:pPr>
        <w:spacing w:after="120"/>
        <w:rPr>
          <w:rFonts w:ascii="Calibri" w:eastAsia="Calibri" w:hAnsi="Calibri" w:cs="Times New Roman"/>
          <w:b/>
          <w:color w:val="C00000"/>
          <w:szCs w:val="20"/>
        </w:rPr>
      </w:pPr>
      <w:r w:rsidRPr="00081161">
        <w:rPr>
          <w:rFonts w:ascii="Calibri" w:eastAsia="Calibri" w:hAnsi="Calibri" w:cs="Times New Roman"/>
          <w:b/>
          <w:color w:val="C00000"/>
          <w:szCs w:val="20"/>
        </w:rPr>
        <w:t>Figure 4: Decile plots for the number of patients using AVF</w:t>
      </w:r>
      <w:r w:rsidR="00522B2F" w:rsidRPr="00081161">
        <w:rPr>
          <w:rFonts w:ascii="Calibri" w:eastAsia="Calibri" w:hAnsi="Calibri" w:cs="Times New Roman"/>
          <w:b/>
          <w:color w:val="C00000"/>
          <w:szCs w:val="20"/>
        </w:rPr>
        <w:t xml:space="preserve">, </w:t>
      </w:r>
      <w:r w:rsidR="00030186" w:rsidRPr="00081161">
        <w:rPr>
          <w:rFonts w:ascii="Calibri" w:eastAsia="Calibri" w:hAnsi="Calibri" w:cs="Times New Roman"/>
          <w:b/>
          <w:color w:val="C00000"/>
          <w:szCs w:val="20"/>
        </w:rPr>
        <w:t xml:space="preserve">using </w:t>
      </w:r>
      <w:r w:rsidR="00522B2F" w:rsidRPr="00081161">
        <w:rPr>
          <w:rFonts w:ascii="Calibri" w:eastAsia="Calibri" w:hAnsi="Calibri" w:cs="Times New Roman"/>
          <w:b/>
          <w:color w:val="C00000"/>
          <w:szCs w:val="20"/>
        </w:rPr>
        <w:t xml:space="preserve">2018 data </w:t>
      </w:r>
    </w:p>
    <w:p w14:paraId="521EDCD9" w14:textId="25C89A94" w:rsidR="00732DDE" w:rsidRDefault="002A0A2A" w:rsidP="00092566">
      <w:pPr>
        <w:autoSpaceDE w:val="0"/>
        <w:autoSpaceDN w:val="0"/>
        <w:adjustRightInd w:val="0"/>
        <w:spacing w:after="0" w:line="240" w:lineRule="auto"/>
        <w:rPr>
          <w:rFonts w:cstheme="minorHAnsi"/>
          <w:b/>
          <w:bCs/>
          <w:color w:val="C00000"/>
          <w:u w:val="single"/>
        </w:rPr>
      </w:pPr>
      <w:r>
        <w:rPr>
          <w:noProof/>
        </w:rPr>
        <w:lastRenderedPageBreak/>
        <w:drawing>
          <wp:inline distT="0" distB="0" distL="0" distR="0" wp14:anchorId="1BDEE141" wp14:editId="68C9B7BC">
            <wp:extent cx="4495800" cy="3019425"/>
            <wp:effectExtent l="0" t="0" r="0" b="952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16F9005" w14:textId="77777777" w:rsidR="00AE37A9" w:rsidRDefault="00AE37A9"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2" w:name="question2b49"/>
      <w:bookmarkEnd w:id="12"/>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19F47598" w:rsidR="00092566" w:rsidRPr="00AE37A9" w:rsidRDefault="00AE37A9" w:rsidP="00AE37A9">
      <w:pPr>
        <w:rPr>
          <w:rFonts w:cstheme="minorHAnsi"/>
          <w:bCs/>
        </w:rPr>
      </w:pPr>
      <w:r>
        <w:rPr>
          <w:rFonts w:cstheme="minorHAnsi"/>
          <w:bCs/>
        </w:rPr>
        <w:t>N/A</w:t>
      </w:r>
    </w:p>
    <w:p w14:paraId="0CABD002" w14:textId="438F4527" w:rsidR="00092566"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476A9484" w14:textId="77777777" w:rsidR="00C02613" w:rsidRDefault="00C02613" w:rsidP="00C02613">
      <w:pPr>
        <w:rPr>
          <w:rFonts w:cstheme="minorHAnsi"/>
          <w:bCs/>
        </w:rPr>
      </w:pPr>
      <w:r w:rsidRPr="00874A15">
        <w:t xml:space="preserve">The decile plot (Figure </w:t>
      </w:r>
      <w:r>
        <w:t>4</w:t>
      </w:r>
      <w:r w:rsidRPr="00874A15">
        <w:t>) shows that the risk factors in the model are discriminating well between patients. There is good separation among all 10 groups by risk scores, and the ordering is as predicted by the model (i.e., patients predicted to have a lower probability of AVF use actually do have a lower percentage of AVF use). The absolute differences between the risk groups are also large, with patients predicted to have the highest likelihood of AVF use (Group 10) having 3 times higher AVF rate than those predicted to have the lowest likelihood (Group 1). This means that the model fit is good and therefore adequately adjusts for patient characteristics (case mix).</w:t>
      </w:r>
    </w:p>
    <w:p w14:paraId="7EF45136" w14:textId="77777777" w:rsidR="00C02613" w:rsidRPr="00732DDE" w:rsidRDefault="00C02613" w:rsidP="00C02613">
      <w:pPr>
        <w:autoSpaceDE w:val="0"/>
        <w:autoSpaceDN w:val="0"/>
        <w:adjustRightInd w:val="0"/>
        <w:spacing w:after="0" w:line="240" w:lineRule="auto"/>
        <w:rPr>
          <w:rFonts w:cstheme="minorHAnsi"/>
          <w:b/>
          <w:bCs/>
          <w:color w:val="C00000"/>
          <w:u w:val="single"/>
        </w:rPr>
      </w:pPr>
      <w:r w:rsidRPr="00732DDE">
        <w:rPr>
          <w:rFonts w:cstheme="minorHAnsi"/>
          <w:b/>
          <w:bCs/>
          <w:color w:val="C00000"/>
          <w:u w:val="single"/>
        </w:rPr>
        <w:t>2019 Submission</w:t>
      </w:r>
    </w:p>
    <w:p w14:paraId="6A5CCDCB" w14:textId="584C7D34" w:rsidR="00C02613" w:rsidRPr="00732DDE" w:rsidRDefault="00732DDE" w:rsidP="00092566">
      <w:pPr>
        <w:autoSpaceDE w:val="0"/>
        <w:autoSpaceDN w:val="0"/>
        <w:adjustRightInd w:val="0"/>
        <w:spacing w:after="0" w:line="240" w:lineRule="auto"/>
        <w:rPr>
          <w:rFonts w:cstheme="minorHAnsi"/>
          <w:bCs/>
          <w:color w:val="C00000"/>
        </w:rPr>
      </w:pPr>
      <w:r w:rsidRPr="00732DDE">
        <w:rPr>
          <w:rFonts w:cstheme="minorHAnsi"/>
          <w:bCs/>
          <w:color w:val="C00000"/>
        </w:rPr>
        <w:t xml:space="preserve">The interpretation from the previous submission remains accurate for this submission. </w:t>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2BB667C4" w:rsidR="003755CB" w:rsidRPr="00484C9D" w:rsidRDefault="00484C9D" w:rsidP="00D61410">
      <w:pPr>
        <w:autoSpaceDE w:val="0"/>
        <w:autoSpaceDN w:val="0"/>
        <w:adjustRightInd w:val="0"/>
        <w:spacing w:after="0" w:line="240" w:lineRule="auto"/>
        <w:rPr>
          <w:rFonts w:cstheme="minorHAnsi"/>
          <w:bCs/>
        </w:rPr>
      </w:pPr>
      <w:r w:rsidRPr="00484C9D">
        <w:rPr>
          <w:rFonts w:cstheme="minorHAnsi"/>
          <w:bCs/>
        </w:rPr>
        <w:t>N/A</w:t>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3" w:name="section2b5"/>
      <w:bookmarkEnd w:id="13"/>
      <w:r>
        <w:rPr>
          <w:rFonts w:cstheme="minorHAnsi"/>
          <w:b/>
          <w:bCs/>
        </w:rPr>
        <w:t>2b4</w:t>
      </w:r>
      <w:r w:rsidR="00D61410" w:rsidRPr="00A25024">
        <w:rPr>
          <w:rFonts w:cstheme="minorHAnsi"/>
          <w:b/>
          <w:bCs/>
        </w:rPr>
        <w:t>. IDENTIFICATION OF STATISTICALLY SIGNIFICANT &amp; MEANINGFUL DIFFERENCES IN PERFORMANCE</w:t>
      </w:r>
    </w:p>
    <w:p w14:paraId="6AE0A9AD" w14:textId="77777777" w:rsidR="00C02613" w:rsidRPr="00874A15" w:rsidRDefault="009C7513" w:rsidP="00C02613">
      <w:r>
        <w:rPr>
          <w:rFonts w:cstheme="minorHAnsi"/>
          <w:b/>
          <w:bCs/>
        </w:rPr>
        <w:lastRenderedPageBreak/>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r w:rsidR="00C02613" w:rsidRPr="00874A15">
        <w:t>Differences in measure performance were evaluated separately for each facility, where the annual standardized fistula rate (SFR) of each facility was compared to the overall national distribution.</w:t>
      </w:r>
    </w:p>
    <w:p w14:paraId="47DA386D" w14:textId="77777777" w:rsidR="00C02613" w:rsidRDefault="00C02613" w:rsidP="00C02613">
      <w:r w:rsidRPr="00874A15">
        <w:rPr>
          <w:rFonts w:eastAsia="Arial Unicode MS" w:cs="Arial Unicode MS"/>
          <w:bCs/>
        </w:rPr>
        <w:t xml:space="preserve">Here we describe our approach for testing of statistical significance. Let </w:t>
      </w:r>
      <w:r w:rsidRPr="00874A15">
        <w:rPr>
          <w:rFonts w:eastAsia="Arial Unicode MS" w:cs="Arial Unicode MS"/>
          <w:bCs/>
          <w:i/>
        </w:rPr>
        <w:t>T</w:t>
      </w:r>
      <w:r w:rsidRPr="00874A15">
        <w:rPr>
          <w:rFonts w:eastAsia="Arial Unicode MS" w:cs="Arial Unicode MS"/>
          <w:bCs/>
          <w:vertAlign w:val="subscript"/>
        </w:rPr>
        <w:t>1</w:t>
      </w:r>
      <w:r w:rsidRPr="00874A15">
        <w:rPr>
          <w:rFonts w:eastAsia="Arial Unicode MS" w:cs="Arial Unicode MS"/>
          <w:bCs/>
        </w:rPr>
        <w:t>,…,</w:t>
      </w:r>
      <w:r w:rsidRPr="00874A15">
        <w:rPr>
          <w:rFonts w:eastAsia="Arial Unicode MS" w:cs="Arial Unicode MS"/>
          <w:bCs/>
          <w:i/>
        </w:rPr>
        <w:t>T</w:t>
      </w:r>
      <w:r w:rsidRPr="00874A15">
        <w:rPr>
          <w:rFonts w:eastAsia="Arial Unicode MS" w:cs="Arial Unicode MS"/>
          <w:bCs/>
          <w:i/>
          <w:vertAlign w:val="subscript"/>
        </w:rPr>
        <w:t>N</w:t>
      </w:r>
      <w:r w:rsidRPr="00874A15">
        <w:rPr>
          <w:rFonts w:eastAsia="Arial Unicode MS" w:cs="Arial Unicode MS"/>
          <w:bCs/>
        </w:rPr>
        <w:t xml:space="preserve">  be the Standardized Fistula Rate (SFR) for </w:t>
      </w:r>
      <w:r w:rsidRPr="00874A15">
        <w:rPr>
          <w:rFonts w:eastAsia="Arial Unicode MS" w:cs="Arial Unicode MS"/>
          <w:bCs/>
          <w:i/>
        </w:rPr>
        <w:t>N</w:t>
      </w:r>
      <w:r w:rsidRPr="00874A15">
        <w:rPr>
          <w:rFonts w:eastAsia="Arial Unicode MS" w:cs="Arial Unicode MS"/>
          <w:bCs/>
        </w:rPr>
        <w:t xml:space="preserve"> facilities. Since the variation in </w:t>
      </w:r>
      <w:r w:rsidRPr="00874A15">
        <w:rPr>
          <w:rFonts w:eastAsia="Arial Unicode MS" w:cs="Arial Unicode MS"/>
          <w:bCs/>
          <w:i/>
        </w:rPr>
        <w:t>T</w:t>
      </w:r>
      <w:r w:rsidRPr="00874A15">
        <w:rPr>
          <w:rFonts w:eastAsia="Arial Unicode MS" w:cs="Arial Unicode MS"/>
          <w:bCs/>
          <w:vertAlign w:val="subscript"/>
        </w:rPr>
        <w:t>1</w:t>
      </w:r>
      <w:r w:rsidRPr="00874A15">
        <w:rPr>
          <w:rFonts w:eastAsia="Arial Unicode MS" w:cs="Arial Unicode MS"/>
          <w:bCs/>
        </w:rPr>
        <w:t>,…,</w:t>
      </w:r>
      <w:r w:rsidRPr="00874A15">
        <w:rPr>
          <w:rFonts w:eastAsia="Arial Unicode MS" w:cs="Arial Unicode MS"/>
          <w:bCs/>
          <w:i/>
        </w:rPr>
        <w:t>T</w:t>
      </w:r>
      <w:r w:rsidRPr="00874A15">
        <w:rPr>
          <w:rFonts w:eastAsia="Arial Unicode MS" w:cs="Arial Unicode MS"/>
          <w:bCs/>
          <w:i/>
          <w:vertAlign w:val="subscript"/>
        </w:rPr>
        <w:t xml:space="preserve">N </w:t>
      </w:r>
      <w:r w:rsidRPr="00874A15">
        <w:rPr>
          <w:rFonts w:eastAsia="Arial Unicode MS" w:cs="Arial Unicode MS"/>
          <w:bCs/>
        </w:rPr>
        <w:t xml:space="preserve"> is mainly driven by the estimates of facility-specific intercepts (α</w:t>
      </w:r>
      <w:r w:rsidRPr="00874A15">
        <w:rPr>
          <w:rFonts w:eastAsia="Arial Unicode MS" w:cs="Arial Unicode MS"/>
          <w:bCs/>
          <w:vertAlign w:val="subscript"/>
        </w:rPr>
        <w:t>1</w:t>
      </w:r>
      <w:r w:rsidRPr="00874A15">
        <w:rPr>
          <w:rFonts w:eastAsia="Arial Unicode MS" w:cs="Arial Unicode MS"/>
          <w:bCs/>
        </w:rPr>
        <w:t>,…, α</w:t>
      </w:r>
      <w:r w:rsidRPr="00874A15">
        <w:rPr>
          <w:rFonts w:eastAsia="Arial Unicode MS" w:cs="Arial Unicode MS"/>
          <w:bCs/>
          <w:i/>
          <w:vertAlign w:val="subscript"/>
        </w:rPr>
        <w:t xml:space="preserve"> N</w:t>
      </w:r>
      <w:r w:rsidRPr="00874A15">
        <w:rPr>
          <w:rFonts w:eastAsia="Arial Unicode MS" w:cs="Arial Unicode MS"/>
          <w:bCs/>
        </w:rPr>
        <w:t xml:space="preserve">), we use their asymptotic distributions and apply the delta method to estimate </w:t>
      </w:r>
      <w:r w:rsidRPr="00874A15">
        <w:rPr>
          <w:rFonts w:eastAsia="Arial Unicode MS" w:cs="Arial Unicode MS"/>
        </w:rPr>
        <w:t>the standard errors of SFRs</w:t>
      </w:r>
      <w:r w:rsidRPr="00874A15">
        <w:rPr>
          <w:rFonts w:eastAsia="Arial Unicode MS" w:cs="Arial Unicode MS"/>
          <w:bCs/>
        </w:rPr>
        <w:t xml:space="preserve">. Let </w:t>
      </w:r>
      <w:r w:rsidRPr="00874A15">
        <w:rPr>
          <w:rFonts w:eastAsia="Arial Unicode MS" w:cs="Arial Unicode MS"/>
          <w:bCs/>
          <w:i/>
        </w:rPr>
        <w:t>S</w:t>
      </w:r>
      <w:r w:rsidRPr="00874A15">
        <w:rPr>
          <w:rFonts w:eastAsia="Arial Unicode MS" w:cs="Arial Unicode MS"/>
          <w:bCs/>
          <w:vertAlign w:val="subscript"/>
        </w:rPr>
        <w:t>i</w:t>
      </w:r>
      <w:r w:rsidRPr="00874A15">
        <w:rPr>
          <w:rFonts w:eastAsia="Arial Unicode MS" w:cs="Arial Unicode MS"/>
          <w:bCs/>
        </w:rPr>
        <w:t xml:space="preserve"> denote the standard error estimate of </w:t>
      </w:r>
      <w:r w:rsidRPr="00874A15">
        <w:rPr>
          <w:rFonts w:eastAsia="Arial Unicode MS" w:cs="Arial Unicode MS"/>
          <w:bCs/>
          <w:i/>
        </w:rPr>
        <w:t>T</w:t>
      </w:r>
      <w:r w:rsidRPr="00874A15">
        <w:rPr>
          <w:rFonts w:eastAsia="Arial Unicode MS" w:cs="Arial Unicode MS"/>
          <w:bCs/>
          <w:vertAlign w:val="subscript"/>
        </w:rPr>
        <w:t>i</w:t>
      </w:r>
      <w:r w:rsidRPr="00874A15">
        <w:rPr>
          <w:rFonts w:eastAsia="Arial Unicode MS" w:cs="Arial Unicode MS"/>
          <w:bCs/>
        </w:rPr>
        <w:t xml:space="preserve">. </w:t>
      </w:r>
      <w:r w:rsidRPr="00874A15">
        <w:t>The test-statistic is then calculated by (</w:t>
      </w:r>
      <w:r w:rsidRPr="00874A15">
        <w:rPr>
          <w:i/>
          <w:iCs/>
        </w:rPr>
        <w:t>T</w:t>
      </w:r>
      <w:r w:rsidRPr="00874A15">
        <w:rPr>
          <w:i/>
          <w:iCs/>
          <w:vertAlign w:val="subscript"/>
        </w:rPr>
        <w:t>i</w:t>
      </w:r>
      <w:r w:rsidRPr="00874A15">
        <w:t xml:space="preserve"> - national average of SFR)/</w:t>
      </w:r>
      <w:r w:rsidRPr="00874A15">
        <w:rPr>
          <w:i/>
          <w:iCs/>
        </w:rPr>
        <w:t xml:space="preserve"> S</w:t>
      </w:r>
      <w:r w:rsidRPr="00874A15">
        <w:rPr>
          <w:vertAlign w:val="subscript"/>
        </w:rPr>
        <w:t>i</w:t>
      </w:r>
      <w:r w:rsidRPr="00874A15">
        <w:t xml:space="preserve">, which asymptotically follows the standard normal distribution under the null hypothesis. </w:t>
      </w:r>
      <w:r>
        <w:t xml:space="preserve">A </w:t>
      </w:r>
      <w:r w:rsidRPr="000F17CD">
        <w:t>two-sided test with significant level 0.05 was used. As the reference null distribution, we used Efron’s empirical null distribution in lieu of the theoretical null distribution since the empirical null method is more robust approach that takes account of the national random variation among facilities not accounted for in the model (Efron, 2004; Kalbfleisch and Wolfe, 2013). It essentially rescales the critical value for the test statistic.</w:t>
      </w:r>
      <w:r>
        <w:t xml:space="preserve"> </w:t>
      </w:r>
      <w:r w:rsidRPr="000F17CD">
        <w:t>The rescaling multiple is estimated by the slope (estimated via robust regression) correlating the empirical and theoretical Z-score quantiles (e.g., with a multiple of 1 indicating that in fact no rescaling is required). In this approach, facilities are flagged if they have outcomes that are more extreme when compared to the variation in national AVF rate.</w:t>
      </w:r>
    </w:p>
    <w:p w14:paraId="19B37AB4" w14:textId="77777777" w:rsidR="00C02613" w:rsidRPr="00064872" w:rsidRDefault="00C02613" w:rsidP="00C02613">
      <w:pPr>
        <w:rPr>
          <w:rFonts w:cstheme="minorHAnsi"/>
          <w:bCs/>
        </w:rPr>
      </w:pPr>
      <w:r w:rsidRPr="00064872">
        <w:rPr>
          <w:rFonts w:cstheme="minorHAnsi"/>
          <w:bCs/>
        </w:rPr>
        <w:t xml:space="preserve">Efron, Bradley. Large-Scale Simultaneous Hypothesis Testing: The Choice of a Null Hypothesis. Journal of the American Statistical Association. Vol. 99, No. 465 (Mar., 2004), pp. 96-104 </w:t>
      </w:r>
    </w:p>
    <w:p w14:paraId="1576FB59" w14:textId="77777777" w:rsidR="00C02613" w:rsidRDefault="00C02613" w:rsidP="00C02613">
      <w:pPr>
        <w:rPr>
          <w:rFonts w:cstheme="minorHAnsi"/>
          <w:bCs/>
        </w:rPr>
      </w:pPr>
      <w:r w:rsidRPr="00064872">
        <w:rPr>
          <w:rFonts w:cstheme="minorHAnsi"/>
          <w:bCs/>
        </w:rPr>
        <w:t>Kalbfleisch JD, Wolfe RA. On monitoring outcomes of medical providers. Statistics in the Biosciences. November 2013, Volume 5, Issue 2, pp 286-302</w:t>
      </w:r>
    </w:p>
    <w:p w14:paraId="5A6293BE" w14:textId="77777777" w:rsidR="00C02613" w:rsidRPr="00AD7234" w:rsidRDefault="00C02613" w:rsidP="00C02613">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0CABD008" w14:textId="62A2B6BB" w:rsidR="00D61410" w:rsidRPr="00A25024" w:rsidRDefault="00B77F92" w:rsidP="00B77F92">
      <w:pPr>
        <w:autoSpaceDE w:val="0"/>
        <w:autoSpaceDN w:val="0"/>
        <w:adjustRightInd w:val="0"/>
        <w:spacing w:after="0" w:line="240" w:lineRule="auto"/>
        <w:rPr>
          <w:rFonts w:cstheme="minorHAnsi"/>
          <w:bCs/>
        </w:rPr>
      </w:pPr>
      <w:r w:rsidRPr="004446C1">
        <w:rPr>
          <w:rFonts w:cstheme="minorHAnsi"/>
          <w:bCs/>
          <w:color w:val="C00000"/>
        </w:rPr>
        <w:t>The methodology described above was replicated for this submission, using 2018 data.</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58E1C775" w14:textId="77777777" w:rsidR="00C02613"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42B7D015" w14:textId="27906445" w:rsidR="00C02613" w:rsidRPr="00081161" w:rsidRDefault="00E12743" w:rsidP="00C02613">
      <w:pPr>
        <w:spacing w:before="240" w:after="240" w:line="240" w:lineRule="auto"/>
        <w:rPr>
          <w:rFonts w:ascii="Calibri" w:eastAsia="SimSun" w:hAnsi="Calibri" w:cs="Times New Roman"/>
          <w:b/>
          <w:szCs w:val="24"/>
        </w:rPr>
      </w:pPr>
      <w:r w:rsidRPr="00081161">
        <w:rPr>
          <w:rFonts w:ascii="Calibri" w:eastAsia="SimSun" w:hAnsi="Calibri" w:cs="Times New Roman"/>
          <w:b/>
          <w:szCs w:val="24"/>
        </w:rPr>
        <w:t xml:space="preserve">Table 7. </w:t>
      </w:r>
      <w:r w:rsidR="00C02613" w:rsidRPr="00081161">
        <w:rPr>
          <w:rFonts w:ascii="Calibri" w:eastAsia="SimSun" w:hAnsi="Calibri" w:cs="Times New Roman"/>
          <w:b/>
          <w:szCs w:val="24"/>
        </w:rPr>
        <w:t xml:space="preserve">Proportion of facilities with statistically significant differences (p-values &lt; 0.05) </w:t>
      </w:r>
    </w:p>
    <w:tbl>
      <w:tblPr>
        <w:tblStyle w:val="TableGrid2"/>
        <w:tblW w:w="0" w:type="auto"/>
        <w:tblInd w:w="108" w:type="dxa"/>
        <w:tblLook w:val="04A0" w:firstRow="1" w:lastRow="0" w:firstColumn="1" w:lastColumn="0" w:noHBand="0" w:noVBand="1"/>
      </w:tblPr>
      <w:tblGrid>
        <w:gridCol w:w="2132"/>
        <w:gridCol w:w="2014"/>
        <w:gridCol w:w="1968"/>
      </w:tblGrid>
      <w:tr w:rsidR="00C02613" w:rsidRPr="005D6D59" w14:paraId="1589F30C" w14:textId="77777777" w:rsidTr="00E547BF">
        <w:trPr>
          <w:trHeight w:val="521"/>
        </w:trPr>
        <w:tc>
          <w:tcPr>
            <w:tcW w:w="0" w:type="auto"/>
          </w:tcPr>
          <w:p w14:paraId="20B68761" w14:textId="77777777" w:rsidR="00C02613" w:rsidRPr="0028162C" w:rsidRDefault="00C02613" w:rsidP="00E547BF">
            <w:pPr>
              <w:spacing w:before="240" w:after="240"/>
              <w:rPr>
                <w:rFonts w:eastAsia="SimSun" w:cs="Times New Roman"/>
                <w:b/>
              </w:rPr>
            </w:pPr>
            <w:r w:rsidRPr="0028162C">
              <w:rPr>
                <w:rFonts w:eastAsia="SimSun" w:cs="Times New Roman"/>
                <w:b/>
              </w:rPr>
              <w:t>Category</w:t>
            </w:r>
          </w:p>
        </w:tc>
        <w:tc>
          <w:tcPr>
            <w:tcW w:w="0" w:type="auto"/>
          </w:tcPr>
          <w:p w14:paraId="15744E3C" w14:textId="77777777" w:rsidR="00C02613" w:rsidRPr="0028162C" w:rsidRDefault="00C02613" w:rsidP="00E547BF">
            <w:pPr>
              <w:spacing w:before="240" w:after="240"/>
              <w:rPr>
                <w:rFonts w:eastAsia="SimSun" w:cs="Times New Roman"/>
                <w:b/>
              </w:rPr>
            </w:pPr>
            <w:r w:rsidRPr="0028162C">
              <w:rPr>
                <w:rFonts w:eastAsia="SimSun" w:cs="Times New Roman"/>
                <w:b/>
              </w:rPr>
              <w:t>Number of facilities</w:t>
            </w:r>
          </w:p>
        </w:tc>
        <w:tc>
          <w:tcPr>
            <w:tcW w:w="0" w:type="auto"/>
          </w:tcPr>
          <w:p w14:paraId="29EA1DE7" w14:textId="77777777" w:rsidR="00C02613" w:rsidRPr="0028162C" w:rsidRDefault="00C02613" w:rsidP="00E547BF">
            <w:pPr>
              <w:spacing w:before="240" w:after="240"/>
              <w:rPr>
                <w:rFonts w:eastAsia="SimSun" w:cs="Times New Roman"/>
                <w:b/>
              </w:rPr>
            </w:pPr>
            <w:r w:rsidRPr="0028162C">
              <w:rPr>
                <w:rFonts w:eastAsia="SimSun" w:cs="Times New Roman"/>
                <w:b/>
              </w:rPr>
              <w:t>Percent of facilities</w:t>
            </w:r>
          </w:p>
        </w:tc>
      </w:tr>
      <w:tr w:rsidR="00C02613" w:rsidRPr="005D6D59" w14:paraId="2893068E" w14:textId="77777777" w:rsidTr="00E547BF">
        <w:tc>
          <w:tcPr>
            <w:tcW w:w="0" w:type="auto"/>
          </w:tcPr>
          <w:p w14:paraId="683DDBD0" w14:textId="77777777" w:rsidR="00C02613" w:rsidRPr="0028162C" w:rsidRDefault="00C02613" w:rsidP="00E547BF">
            <w:pPr>
              <w:spacing w:before="240" w:after="240"/>
              <w:rPr>
                <w:rFonts w:eastAsia="SimSun" w:cs="Times New Roman"/>
              </w:rPr>
            </w:pPr>
            <w:r w:rsidRPr="0028162C">
              <w:rPr>
                <w:rFonts w:eastAsia="SimSun" w:cs="Times New Roman"/>
              </w:rPr>
              <w:t>Better than expected</w:t>
            </w:r>
          </w:p>
        </w:tc>
        <w:tc>
          <w:tcPr>
            <w:tcW w:w="0" w:type="auto"/>
          </w:tcPr>
          <w:p w14:paraId="2826AD34" w14:textId="77777777" w:rsidR="00C02613" w:rsidRPr="0028162C" w:rsidRDefault="00C02613" w:rsidP="00E547BF">
            <w:pPr>
              <w:spacing w:before="240" w:after="240"/>
              <w:rPr>
                <w:rFonts w:eastAsia="SimSun" w:cs="Times New Roman"/>
              </w:rPr>
            </w:pPr>
            <w:r w:rsidRPr="0028162C">
              <w:rPr>
                <w:rFonts w:eastAsia="Times New Roman" w:cs="Times New Roman"/>
              </w:rPr>
              <w:t>261</w:t>
            </w:r>
          </w:p>
        </w:tc>
        <w:tc>
          <w:tcPr>
            <w:tcW w:w="0" w:type="auto"/>
          </w:tcPr>
          <w:p w14:paraId="6ECF7A48" w14:textId="77777777" w:rsidR="00C02613" w:rsidRPr="0028162C" w:rsidRDefault="00C02613" w:rsidP="00E547BF">
            <w:pPr>
              <w:spacing w:before="240" w:after="240"/>
              <w:rPr>
                <w:rFonts w:eastAsia="SimSun" w:cs="Times New Roman"/>
              </w:rPr>
            </w:pPr>
            <w:r w:rsidRPr="0028162C">
              <w:rPr>
                <w:rFonts w:eastAsia="Times New Roman" w:cs="Times New Roman"/>
              </w:rPr>
              <w:t>4.40%</w:t>
            </w:r>
          </w:p>
        </w:tc>
      </w:tr>
      <w:tr w:rsidR="00C02613" w:rsidRPr="005D6D59" w14:paraId="4182A96E" w14:textId="77777777" w:rsidTr="00E547BF">
        <w:tc>
          <w:tcPr>
            <w:tcW w:w="0" w:type="auto"/>
          </w:tcPr>
          <w:p w14:paraId="2B6F4CBB" w14:textId="77777777" w:rsidR="00C02613" w:rsidRPr="0028162C" w:rsidRDefault="00C02613" w:rsidP="00E547BF">
            <w:pPr>
              <w:spacing w:before="240" w:after="240"/>
              <w:rPr>
                <w:rFonts w:eastAsia="SimSun" w:cs="Times New Roman"/>
              </w:rPr>
            </w:pPr>
            <w:r w:rsidRPr="0028162C">
              <w:rPr>
                <w:rFonts w:eastAsia="SimSun" w:cs="Times New Roman"/>
              </w:rPr>
              <w:lastRenderedPageBreak/>
              <w:t>As expected</w:t>
            </w:r>
          </w:p>
        </w:tc>
        <w:tc>
          <w:tcPr>
            <w:tcW w:w="0" w:type="auto"/>
          </w:tcPr>
          <w:p w14:paraId="67DF5EEC" w14:textId="77777777" w:rsidR="00C02613" w:rsidRPr="0028162C" w:rsidRDefault="00C02613" w:rsidP="00E547BF">
            <w:pPr>
              <w:spacing w:before="240" w:after="240"/>
              <w:rPr>
                <w:rFonts w:eastAsia="SimSun" w:cs="Times New Roman"/>
              </w:rPr>
            </w:pPr>
            <w:r w:rsidRPr="0028162C">
              <w:rPr>
                <w:rFonts w:eastAsia="Times New Roman" w:cs="Times New Roman"/>
              </w:rPr>
              <w:t>5526</w:t>
            </w:r>
          </w:p>
        </w:tc>
        <w:tc>
          <w:tcPr>
            <w:tcW w:w="0" w:type="auto"/>
          </w:tcPr>
          <w:p w14:paraId="7F497E63" w14:textId="77777777" w:rsidR="00C02613" w:rsidRPr="0028162C" w:rsidRDefault="00C02613" w:rsidP="00E547BF">
            <w:pPr>
              <w:spacing w:before="240" w:after="240"/>
              <w:rPr>
                <w:rFonts w:eastAsia="SimSun" w:cs="Times New Roman"/>
              </w:rPr>
            </w:pPr>
            <w:r w:rsidRPr="0028162C">
              <w:rPr>
                <w:rFonts w:eastAsia="Times New Roman" w:cs="Times New Roman"/>
              </w:rPr>
              <w:t>93.22%</w:t>
            </w:r>
          </w:p>
        </w:tc>
      </w:tr>
      <w:tr w:rsidR="00C02613" w:rsidRPr="005D6D59" w14:paraId="60E0031D" w14:textId="77777777" w:rsidTr="00E547BF">
        <w:tc>
          <w:tcPr>
            <w:tcW w:w="0" w:type="auto"/>
          </w:tcPr>
          <w:p w14:paraId="4CAAB867" w14:textId="77777777" w:rsidR="00C02613" w:rsidRPr="0028162C" w:rsidRDefault="00C02613" w:rsidP="00E547BF">
            <w:pPr>
              <w:spacing w:before="240" w:after="240"/>
              <w:rPr>
                <w:rFonts w:eastAsia="SimSun" w:cs="Times New Roman"/>
              </w:rPr>
            </w:pPr>
            <w:r w:rsidRPr="0028162C">
              <w:rPr>
                <w:rFonts w:eastAsia="SimSun" w:cs="Times New Roman"/>
              </w:rPr>
              <w:t>Worse than expected</w:t>
            </w:r>
          </w:p>
        </w:tc>
        <w:tc>
          <w:tcPr>
            <w:tcW w:w="0" w:type="auto"/>
          </w:tcPr>
          <w:p w14:paraId="4C712048" w14:textId="77777777" w:rsidR="00C02613" w:rsidRPr="0028162C" w:rsidRDefault="00C02613" w:rsidP="00E547BF">
            <w:pPr>
              <w:spacing w:before="240" w:after="240"/>
              <w:rPr>
                <w:rFonts w:eastAsia="SimSun" w:cs="Times New Roman"/>
              </w:rPr>
            </w:pPr>
            <w:r w:rsidRPr="0028162C">
              <w:rPr>
                <w:rFonts w:eastAsia="Times New Roman" w:cs="Times New Roman"/>
              </w:rPr>
              <w:t>141</w:t>
            </w:r>
          </w:p>
        </w:tc>
        <w:tc>
          <w:tcPr>
            <w:tcW w:w="0" w:type="auto"/>
          </w:tcPr>
          <w:p w14:paraId="2AF05455" w14:textId="77777777" w:rsidR="00C02613" w:rsidRPr="0028162C" w:rsidRDefault="00C02613" w:rsidP="00E547BF">
            <w:pPr>
              <w:spacing w:before="240" w:after="240"/>
              <w:rPr>
                <w:rFonts w:eastAsia="SimSun" w:cs="Times New Roman"/>
              </w:rPr>
            </w:pPr>
            <w:r w:rsidRPr="0028162C">
              <w:rPr>
                <w:rFonts w:eastAsia="Times New Roman" w:cs="Times New Roman"/>
              </w:rPr>
              <w:t>2.38%</w:t>
            </w:r>
          </w:p>
        </w:tc>
      </w:tr>
    </w:tbl>
    <w:p w14:paraId="3DACAB87" w14:textId="77777777" w:rsidR="00C02613" w:rsidRDefault="00C02613" w:rsidP="00C02613">
      <w:pPr>
        <w:autoSpaceDE w:val="0"/>
        <w:autoSpaceDN w:val="0"/>
        <w:adjustRightInd w:val="0"/>
        <w:spacing w:after="0" w:line="240" w:lineRule="auto"/>
        <w:rPr>
          <w:rFonts w:cstheme="minorHAnsi"/>
          <w:b/>
          <w:bCs/>
          <w:color w:val="C00000"/>
          <w:u w:val="single"/>
        </w:rPr>
      </w:pPr>
    </w:p>
    <w:p w14:paraId="35D94463" w14:textId="795E9CA7" w:rsidR="00C02613" w:rsidRPr="00AD7234" w:rsidRDefault="00C02613" w:rsidP="00C02613">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0EDBFC7A" w14:textId="32C3D816" w:rsidR="001D07F9" w:rsidRPr="001D07F9" w:rsidRDefault="00522B2F" w:rsidP="001D07F9">
      <w:pPr>
        <w:spacing w:before="240" w:after="240" w:line="240" w:lineRule="auto"/>
        <w:rPr>
          <w:rFonts w:ascii="Calibri" w:eastAsia="SimSun" w:hAnsi="Calibri" w:cs="Times New Roman"/>
          <w:color w:val="C00000"/>
          <w:szCs w:val="24"/>
        </w:rPr>
      </w:pPr>
      <w:r>
        <w:rPr>
          <w:rFonts w:ascii="Calibri" w:eastAsia="SimSun" w:hAnsi="Calibri" w:cs="Times New Roman"/>
          <w:color w:val="C00000"/>
          <w:szCs w:val="24"/>
        </w:rPr>
        <w:t xml:space="preserve">Table </w:t>
      </w:r>
      <w:r w:rsidR="00EC719D">
        <w:rPr>
          <w:rFonts w:ascii="Calibri" w:eastAsia="SimSun" w:hAnsi="Calibri" w:cs="Times New Roman"/>
          <w:color w:val="C00000"/>
          <w:szCs w:val="24"/>
        </w:rPr>
        <w:t>7</w:t>
      </w:r>
      <w:r>
        <w:rPr>
          <w:rFonts w:ascii="Calibri" w:eastAsia="SimSun" w:hAnsi="Calibri" w:cs="Times New Roman"/>
          <w:color w:val="C00000"/>
          <w:szCs w:val="24"/>
        </w:rPr>
        <w:t xml:space="preserve">. </w:t>
      </w:r>
      <w:r w:rsidR="001D07F9" w:rsidRPr="001D07F9">
        <w:rPr>
          <w:rFonts w:ascii="Calibri" w:eastAsia="SimSun" w:hAnsi="Calibri" w:cs="Times New Roman"/>
          <w:color w:val="C00000"/>
          <w:szCs w:val="24"/>
        </w:rPr>
        <w:t>Proportion of facilities with statistically significant differences (p-values &lt; 0.05)</w:t>
      </w:r>
      <w:r>
        <w:rPr>
          <w:rFonts w:ascii="Calibri" w:eastAsia="SimSun" w:hAnsi="Calibri" w:cs="Times New Roman"/>
          <w:color w:val="C00000"/>
          <w:szCs w:val="24"/>
        </w:rPr>
        <w:t xml:space="preserve">, </w:t>
      </w:r>
      <w:r w:rsidR="005A56A3">
        <w:rPr>
          <w:rFonts w:ascii="Calibri" w:eastAsia="SimSun" w:hAnsi="Calibri" w:cs="Times New Roman"/>
          <w:color w:val="C00000"/>
          <w:szCs w:val="24"/>
        </w:rPr>
        <w:t xml:space="preserve">using </w:t>
      </w:r>
      <w:r>
        <w:rPr>
          <w:rFonts w:ascii="Calibri" w:eastAsia="SimSun" w:hAnsi="Calibri" w:cs="Times New Roman"/>
          <w:color w:val="C00000"/>
          <w:szCs w:val="24"/>
        </w:rPr>
        <w:t>2018 data</w:t>
      </w:r>
      <w:r w:rsidR="001D07F9" w:rsidRPr="001D07F9">
        <w:rPr>
          <w:rFonts w:ascii="Calibri" w:eastAsia="SimSun" w:hAnsi="Calibri" w:cs="Times New Roman"/>
          <w:color w:val="C00000"/>
          <w:szCs w:val="24"/>
        </w:rPr>
        <w:t xml:space="preserve"> </w:t>
      </w:r>
    </w:p>
    <w:tbl>
      <w:tblPr>
        <w:tblStyle w:val="TableGrid2"/>
        <w:tblW w:w="0" w:type="auto"/>
        <w:tblInd w:w="108" w:type="dxa"/>
        <w:tblLook w:val="04A0" w:firstRow="1" w:lastRow="0" w:firstColumn="1" w:lastColumn="0" w:noHBand="0" w:noVBand="1"/>
      </w:tblPr>
      <w:tblGrid>
        <w:gridCol w:w="2132"/>
        <w:gridCol w:w="2014"/>
        <w:gridCol w:w="1968"/>
      </w:tblGrid>
      <w:tr w:rsidR="001D07F9" w:rsidRPr="001D07F9" w14:paraId="5CE6B6B0" w14:textId="77777777" w:rsidTr="000A4361">
        <w:trPr>
          <w:trHeight w:val="521"/>
        </w:trPr>
        <w:tc>
          <w:tcPr>
            <w:tcW w:w="0" w:type="auto"/>
          </w:tcPr>
          <w:p w14:paraId="54CFCE28" w14:textId="77777777" w:rsidR="001D07F9" w:rsidRPr="001D07F9" w:rsidRDefault="001D07F9" w:rsidP="000A4361">
            <w:pPr>
              <w:spacing w:before="240" w:after="240"/>
              <w:rPr>
                <w:rFonts w:eastAsia="SimSun" w:cs="Times New Roman"/>
                <w:b/>
                <w:color w:val="C00000"/>
              </w:rPr>
            </w:pPr>
            <w:r w:rsidRPr="001D07F9">
              <w:rPr>
                <w:rFonts w:eastAsia="SimSun" w:cs="Times New Roman"/>
                <w:b/>
                <w:color w:val="C00000"/>
              </w:rPr>
              <w:t>Category</w:t>
            </w:r>
          </w:p>
        </w:tc>
        <w:tc>
          <w:tcPr>
            <w:tcW w:w="0" w:type="auto"/>
          </w:tcPr>
          <w:p w14:paraId="4324B7D0" w14:textId="77777777" w:rsidR="001D07F9" w:rsidRPr="001D07F9" w:rsidRDefault="001D07F9" w:rsidP="000A4361">
            <w:pPr>
              <w:spacing w:before="240" w:after="240"/>
              <w:rPr>
                <w:rFonts w:eastAsia="SimSun" w:cs="Times New Roman"/>
                <w:b/>
                <w:color w:val="C00000"/>
              </w:rPr>
            </w:pPr>
            <w:r w:rsidRPr="001D07F9">
              <w:rPr>
                <w:rFonts w:eastAsia="SimSun" w:cs="Times New Roman"/>
                <w:b/>
                <w:color w:val="C00000"/>
              </w:rPr>
              <w:t>Number of facilities</w:t>
            </w:r>
          </w:p>
        </w:tc>
        <w:tc>
          <w:tcPr>
            <w:tcW w:w="0" w:type="auto"/>
          </w:tcPr>
          <w:p w14:paraId="72AC73E3" w14:textId="77777777" w:rsidR="001D07F9" w:rsidRPr="001D07F9" w:rsidRDefault="001D07F9" w:rsidP="000A4361">
            <w:pPr>
              <w:spacing w:before="240" w:after="240"/>
              <w:rPr>
                <w:rFonts w:eastAsia="SimSun" w:cs="Times New Roman"/>
                <w:b/>
                <w:color w:val="C00000"/>
              </w:rPr>
            </w:pPr>
            <w:r w:rsidRPr="001D07F9">
              <w:rPr>
                <w:rFonts w:eastAsia="SimSun" w:cs="Times New Roman"/>
                <w:b/>
                <w:color w:val="C00000"/>
              </w:rPr>
              <w:t>Percent of facilities</w:t>
            </w:r>
          </w:p>
        </w:tc>
      </w:tr>
      <w:tr w:rsidR="00FB0F7C" w:rsidRPr="001D07F9" w14:paraId="6AF3232F" w14:textId="77777777" w:rsidTr="000A4361">
        <w:tc>
          <w:tcPr>
            <w:tcW w:w="0" w:type="auto"/>
          </w:tcPr>
          <w:p w14:paraId="19FB5515" w14:textId="77777777" w:rsidR="00FB0F7C" w:rsidRPr="001D07F9" w:rsidRDefault="00FB0F7C" w:rsidP="00FB0F7C">
            <w:pPr>
              <w:spacing w:before="240" w:after="240"/>
              <w:rPr>
                <w:rFonts w:eastAsia="SimSun" w:cs="Times New Roman"/>
                <w:color w:val="C00000"/>
              </w:rPr>
            </w:pPr>
            <w:r w:rsidRPr="001D07F9">
              <w:rPr>
                <w:rFonts w:eastAsia="SimSun" w:cs="Times New Roman"/>
                <w:color w:val="C00000"/>
              </w:rPr>
              <w:t>Better than expected</w:t>
            </w:r>
          </w:p>
        </w:tc>
        <w:tc>
          <w:tcPr>
            <w:tcW w:w="0" w:type="auto"/>
          </w:tcPr>
          <w:p w14:paraId="59FBC39F" w14:textId="4AB0C902" w:rsidR="00FB0F7C" w:rsidRPr="00FB0F7C" w:rsidRDefault="00FB0F7C" w:rsidP="00FB0F7C">
            <w:pPr>
              <w:spacing w:before="240" w:after="240"/>
              <w:rPr>
                <w:rFonts w:eastAsia="SimSun" w:cs="Times New Roman"/>
                <w:color w:val="C00000"/>
              </w:rPr>
            </w:pPr>
            <w:r w:rsidRPr="00FB0F7C">
              <w:rPr>
                <w:color w:val="C00000"/>
              </w:rPr>
              <w:t>295</w:t>
            </w:r>
          </w:p>
        </w:tc>
        <w:tc>
          <w:tcPr>
            <w:tcW w:w="0" w:type="auto"/>
          </w:tcPr>
          <w:p w14:paraId="2A8C7F0F" w14:textId="7B1C311B" w:rsidR="00FB0F7C" w:rsidRPr="00FB0F7C" w:rsidRDefault="00FB0F7C" w:rsidP="00FB0F7C">
            <w:pPr>
              <w:spacing w:before="240" w:after="240"/>
              <w:rPr>
                <w:rFonts w:eastAsia="SimSun" w:cs="Times New Roman"/>
                <w:color w:val="C00000"/>
              </w:rPr>
            </w:pPr>
            <w:r w:rsidRPr="00FB0F7C">
              <w:rPr>
                <w:color w:val="C00000"/>
              </w:rPr>
              <w:t>4.31%</w:t>
            </w:r>
          </w:p>
        </w:tc>
      </w:tr>
      <w:tr w:rsidR="00FB0F7C" w:rsidRPr="001D07F9" w14:paraId="2E36E264" w14:textId="77777777" w:rsidTr="000A4361">
        <w:tc>
          <w:tcPr>
            <w:tcW w:w="0" w:type="auto"/>
          </w:tcPr>
          <w:p w14:paraId="0C99BFE2" w14:textId="77777777" w:rsidR="00FB0F7C" w:rsidRPr="001D07F9" w:rsidRDefault="00FB0F7C" w:rsidP="00FB0F7C">
            <w:pPr>
              <w:spacing w:before="240" w:after="240"/>
              <w:rPr>
                <w:rFonts w:eastAsia="SimSun" w:cs="Times New Roman"/>
                <w:color w:val="C00000"/>
              </w:rPr>
            </w:pPr>
            <w:r w:rsidRPr="001D07F9">
              <w:rPr>
                <w:rFonts w:eastAsia="SimSun" w:cs="Times New Roman"/>
                <w:color w:val="C00000"/>
              </w:rPr>
              <w:t>As expected</w:t>
            </w:r>
          </w:p>
        </w:tc>
        <w:tc>
          <w:tcPr>
            <w:tcW w:w="0" w:type="auto"/>
          </w:tcPr>
          <w:p w14:paraId="0162F3AF" w14:textId="0394E1C8" w:rsidR="00FB0F7C" w:rsidRPr="00FB0F7C" w:rsidRDefault="00FB0F7C" w:rsidP="00FB0F7C">
            <w:pPr>
              <w:spacing w:before="240" w:after="240"/>
              <w:rPr>
                <w:rFonts w:eastAsia="SimSun" w:cs="Times New Roman"/>
                <w:color w:val="C00000"/>
              </w:rPr>
            </w:pPr>
            <w:r w:rsidRPr="00FB0F7C">
              <w:rPr>
                <w:color w:val="C00000"/>
              </w:rPr>
              <w:t>6310</w:t>
            </w:r>
          </w:p>
        </w:tc>
        <w:tc>
          <w:tcPr>
            <w:tcW w:w="0" w:type="auto"/>
          </w:tcPr>
          <w:p w14:paraId="4C2B24FD" w14:textId="01A66AA2" w:rsidR="00FB0F7C" w:rsidRPr="00FB0F7C" w:rsidRDefault="00FB0F7C" w:rsidP="00FB0F7C">
            <w:pPr>
              <w:spacing w:before="240" w:after="240"/>
              <w:rPr>
                <w:rFonts w:eastAsia="SimSun" w:cs="Times New Roman"/>
                <w:color w:val="C00000"/>
              </w:rPr>
            </w:pPr>
            <w:r w:rsidRPr="00FB0F7C">
              <w:rPr>
                <w:color w:val="C00000"/>
              </w:rPr>
              <w:t>92.28%</w:t>
            </w:r>
          </w:p>
        </w:tc>
      </w:tr>
      <w:tr w:rsidR="00FB0F7C" w:rsidRPr="001D07F9" w14:paraId="69BC17DE" w14:textId="77777777" w:rsidTr="000A4361">
        <w:tc>
          <w:tcPr>
            <w:tcW w:w="0" w:type="auto"/>
          </w:tcPr>
          <w:p w14:paraId="0A97EB86" w14:textId="77777777" w:rsidR="00FB0F7C" w:rsidRPr="001D07F9" w:rsidRDefault="00FB0F7C" w:rsidP="00FB0F7C">
            <w:pPr>
              <w:spacing w:before="240" w:after="240"/>
              <w:rPr>
                <w:rFonts w:eastAsia="SimSun" w:cs="Times New Roman"/>
                <w:color w:val="C00000"/>
              </w:rPr>
            </w:pPr>
            <w:r w:rsidRPr="001D07F9">
              <w:rPr>
                <w:rFonts w:eastAsia="SimSun" w:cs="Times New Roman"/>
                <w:color w:val="C00000"/>
              </w:rPr>
              <w:t>Worse than expected</w:t>
            </w:r>
          </w:p>
        </w:tc>
        <w:tc>
          <w:tcPr>
            <w:tcW w:w="0" w:type="auto"/>
          </w:tcPr>
          <w:p w14:paraId="01333B51" w14:textId="68558C6F" w:rsidR="00FB0F7C" w:rsidRPr="00FB0F7C" w:rsidRDefault="00FB0F7C" w:rsidP="00FB0F7C">
            <w:pPr>
              <w:spacing w:before="240" w:after="240"/>
              <w:rPr>
                <w:rFonts w:eastAsia="SimSun" w:cs="Times New Roman"/>
                <w:color w:val="C00000"/>
              </w:rPr>
            </w:pPr>
            <w:r w:rsidRPr="00FB0F7C">
              <w:rPr>
                <w:color w:val="C00000"/>
              </w:rPr>
              <w:t>233</w:t>
            </w:r>
          </w:p>
        </w:tc>
        <w:tc>
          <w:tcPr>
            <w:tcW w:w="0" w:type="auto"/>
          </w:tcPr>
          <w:p w14:paraId="2577386B" w14:textId="34F97862" w:rsidR="00FB0F7C" w:rsidRPr="00FB0F7C" w:rsidRDefault="00FB0F7C" w:rsidP="00FB0F7C">
            <w:pPr>
              <w:spacing w:before="240" w:after="240"/>
              <w:rPr>
                <w:rFonts w:eastAsia="SimSun" w:cs="Times New Roman"/>
                <w:color w:val="C00000"/>
              </w:rPr>
            </w:pPr>
            <w:r w:rsidRPr="00FB0F7C">
              <w:rPr>
                <w:color w:val="C00000"/>
              </w:rPr>
              <w:t>3.41%</w:t>
            </w:r>
          </w:p>
        </w:tc>
      </w:tr>
    </w:tbl>
    <w:p w14:paraId="74D09070" w14:textId="77777777" w:rsidR="00C02613" w:rsidRPr="005D6D59" w:rsidRDefault="009C7513" w:rsidP="00C02613">
      <w:pPr>
        <w:spacing w:before="240" w:after="240" w:line="240" w:lineRule="auto"/>
        <w:rPr>
          <w:rFonts w:ascii="Calibri" w:eastAsia="SimSun" w:hAnsi="Calibri" w:cs="Times New Roman"/>
          <w:szCs w:val="24"/>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C02613" w:rsidRPr="005D6D59">
        <w:rPr>
          <w:rFonts w:ascii="Calibri" w:eastAsia="SimSun" w:hAnsi="Calibri" w:cs="Times New Roman"/>
          <w:szCs w:val="24"/>
        </w:rPr>
        <w:t>For the annua</w:t>
      </w:r>
      <w:r w:rsidR="00C02613" w:rsidRPr="005D6D59">
        <w:rPr>
          <w:rFonts w:ascii="Calibri" w:eastAsia="SimSun" w:hAnsi="Calibri" w:cs="Times New Roman"/>
        </w:rPr>
        <w:t>l</w:t>
      </w:r>
      <w:r w:rsidR="00C02613" w:rsidRPr="005D6D59">
        <w:rPr>
          <w:rFonts w:ascii="Calibri" w:eastAsia="SimSun" w:hAnsi="Calibri" w:cs="Times New Roman"/>
          <w:szCs w:val="24"/>
        </w:rPr>
        <w:t xml:space="preserve"> </w:t>
      </w:r>
      <w:r w:rsidR="00C02613" w:rsidRPr="005D6D59">
        <w:rPr>
          <w:rFonts w:ascii="Calibri" w:eastAsia="Calibri" w:hAnsi="Calibri" w:cs="Times New Roman"/>
        </w:rPr>
        <w:t>SFR</w:t>
      </w:r>
      <w:r w:rsidR="00C02613" w:rsidRPr="005D6D59">
        <w:rPr>
          <w:rFonts w:ascii="Calibri" w:eastAsia="SimSun" w:hAnsi="Calibri" w:cs="Times New Roman"/>
          <w:szCs w:val="24"/>
        </w:rPr>
        <w:t xml:space="preserve">, 5,526 (93%) facilities have achieved expected performance, 141 (2.4%) facilities have performed worse than expected (lower fistula </w:t>
      </w:r>
      <w:r w:rsidR="00C02613">
        <w:rPr>
          <w:rFonts w:ascii="Calibri" w:eastAsia="SimSun" w:hAnsi="Calibri" w:cs="Times New Roman"/>
          <w:szCs w:val="24"/>
        </w:rPr>
        <w:t>rate</w:t>
      </w:r>
      <w:r w:rsidR="00C02613" w:rsidRPr="005D6D59">
        <w:rPr>
          <w:rFonts w:ascii="Calibri" w:eastAsia="SimSun" w:hAnsi="Calibri" w:cs="Times New Roman"/>
          <w:szCs w:val="24"/>
        </w:rPr>
        <w:t xml:space="preserve">), 261 (4.4%) facilities have performed better than expected (higher fistula </w:t>
      </w:r>
      <w:r w:rsidR="00C02613">
        <w:rPr>
          <w:rFonts w:ascii="Calibri" w:eastAsia="SimSun" w:hAnsi="Calibri" w:cs="Times New Roman"/>
          <w:szCs w:val="24"/>
        </w:rPr>
        <w:t>rate</w:t>
      </w:r>
      <w:r w:rsidR="00C02613" w:rsidRPr="005D6D59">
        <w:rPr>
          <w:rFonts w:ascii="Calibri" w:eastAsia="SimSun" w:hAnsi="Calibri" w:cs="Times New Roman"/>
          <w:szCs w:val="24"/>
        </w:rPr>
        <w:t xml:space="preserve">). </w:t>
      </w:r>
    </w:p>
    <w:p w14:paraId="0042099C" w14:textId="77777777" w:rsidR="00C02613" w:rsidRPr="00874A15" w:rsidRDefault="00C02613" w:rsidP="00C02613">
      <w:r w:rsidRPr="00874A15">
        <w:t>In general, a higher rate of fistula use represents better quality of care.  This analysis demonstrates both practical and statistically significant differences in performance across facilities based on their adjusted proportion of patient months with a fistula in use.</w:t>
      </w:r>
    </w:p>
    <w:p w14:paraId="49BB69C0" w14:textId="77777777" w:rsidR="00C02613" w:rsidRPr="00AD7234" w:rsidRDefault="00C02613" w:rsidP="00C02613">
      <w:pPr>
        <w:autoSpaceDE w:val="0"/>
        <w:autoSpaceDN w:val="0"/>
        <w:adjustRightInd w:val="0"/>
        <w:spacing w:after="0" w:line="240" w:lineRule="auto"/>
        <w:rPr>
          <w:rFonts w:cstheme="minorHAnsi"/>
          <w:b/>
          <w:bCs/>
          <w:color w:val="C00000"/>
          <w:u w:val="single"/>
        </w:rPr>
      </w:pPr>
      <w:r w:rsidRPr="00AD7234">
        <w:rPr>
          <w:rFonts w:cstheme="minorHAnsi"/>
          <w:b/>
          <w:bCs/>
          <w:color w:val="C00000"/>
          <w:u w:val="single"/>
        </w:rPr>
        <w:t>2019 Submission</w:t>
      </w:r>
    </w:p>
    <w:p w14:paraId="005BF6FA" w14:textId="2505E1C2" w:rsidR="004B6A36" w:rsidRDefault="004B6A36" w:rsidP="004B6A36">
      <w:pPr>
        <w:autoSpaceDE w:val="0"/>
        <w:autoSpaceDN w:val="0"/>
        <w:adjustRightInd w:val="0"/>
        <w:spacing w:after="0" w:line="240" w:lineRule="auto"/>
        <w:rPr>
          <w:rFonts w:cstheme="minorHAnsi"/>
          <w:bCs/>
          <w:color w:val="C00000"/>
        </w:rPr>
      </w:pPr>
      <w:r w:rsidRPr="004B6A36">
        <w:rPr>
          <w:rFonts w:cstheme="minorHAnsi"/>
          <w:bCs/>
          <w:color w:val="C00000"/>
        </w:rPr>
        <w:t xml:space="preserve">For the annual SFR, </w:t>
      </w:r>
      <w:r>
        <w:rPr>
          <w:rFonts w:cstheme="minorHAnsi"/>
          <w:bCs/>
          <w:color w:val="C00000"/>
        </w:rPr>
        <w:t xml:space="preserve">6310 </w:t>
      </w:r>
      <w:r w:rsidRPr="004B6A36">
        <w:rPr>
          <w:rFonts w:cstheme="minorHAnsi"/>
          <w:bCs/>
          <w:color w:val="C00000"/>
        </w:rPr>
        <w:t xml:space="preserve">(93%) facilities have achieved expected performance, </w:t>
      </w:r>
      <w:r>
        <w:rPr>
          <w:rFonts w:cstheme="minorHAnsi"/>
          <w:bCs/>
          <w:color w:val="C00000"/>
        </w:rPr>
        <w:t>233</w:t>
      </w:r>
      <w:r w:rsidRPr="004B6A36">
        <w:rPr>
          <w:rFonts w:cstheme="minorHAnsi"/>
          <w:bCs/>
          <w:color w:val="C00000"/>
        </w:rPr>
        <w:t xml:space="preserve"> (</w:t>
      </w:r>
      <w:r>
        <w:rPr>
          <w:rFonts w:cstheme="minorHAnsi"/>
          <w:bCs/>
          <w:color w:val="C00000"/>
        </w:rPr>
        <w:t>3</w:t>
      </w:r>
      <w:r w:rsidRPr="004B6A36">
        <w:rPr>
          <w:rFonts w:cstheme="minorHAnsi"/>
          <w:bCs/>
          <w:color w:val="C00000"/>
        </w:rPr>
        <w:t xml:space="preserve">.4%) facilities have performed worse than expected (lower fistula rate), </w:t>
      </w:r>
      <w:r>
        <w:rPr>
          <w:rFonts w:cstheme="minorHAnsi"/>
          <w:bCs/>
          <w:color w:val="C00000"/>
        </w:rPr>
        <w:t>295</w:t>
      </w:r>
      <w:r w:rsidRPr="004B6A36">
        <w:rPr>
          <w:rFonts w:cstheme="minorHAnsi"/>
          <w:bCs/>
          <w:color w:val="C00000"/>
        </w:rPr>
        <w:t xml:space="preserve"> (4.</w:t>
      </w:r>
      <w:r>
        <w:rPr>
          <w:rFonts w:cstheme="minorHAnsi"/>
          <w:bCs/>
          <w:color w:val="C00000"/>
        </w:rPr>
        <w:t>3</w:t>
      </w:r>
      <w:r w:rsidRPr="004B6A36">
        <w:rPr>
          <w:rFonts w:cstheme="minorHAnsi"/>
          <w:bCs/>
          <w:color w:val="C00000"/>
        </w:rPr>
        <w:t>%) facilities have performed better than expected (higher fistula rate). In general, a higher rate of fistula use represents better quality of care.  This analysis demonstrates both practical and statistically significant differences in performance across facilities based on their adjusted proportion of patient months with a fistula in use.</w:t>
      </w:r>
    </w:p>
    <w:p w14:paraId="6DB28CC4" w14:textId="77777777" w:rsidR="004B6A36" w:rsidRDefault="004B6A36" w:rsidP="004B6A36">
      <w:pPr>
        <w:autoSpaceDE w:val="0"/>
        <w:autoSpaceDN w:val="0"/>
        <w:adjustRightInd w:val="0"/>
        <w:spacing w:after="0" w:line="240" w:lineRule="auto"/>
        <w:rPr>
          <w:rFonts w:cstheme="minorHAnsi"/>
          <w:bCs/>
          <w:color w:val="C00000"/>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1CAED92C"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p>
    <w:p w14:paraId="0CABD014" w14:textId="3041E343" w:rsidR="000F06B5" w:rsidRDefault="00C02613" w:rsidP="00DB3627">
      <w:pPr>
        <w:pStyle w:val="ListParagraph"/>
        <w:autoSpaceDE w:val="0"/>
        <w:autoSpaceDN w:val="0"/>
        <w:adjustRightInd w:val="0"/>
        <w:spacing w:after="0" w:line="240" w:lineRule="auto"/>
        <w:ind w:left="0"/>
        <w:rPr>
          <w:rFonts w:cstheme="minorHAnsi"/>
          <w:bCs/>
        </w:rPr>
      </w:pPr>
      <w:r>
        <w:rPr>
          <w:rFonts w:cstheme="minorHAnsi"/>
          <w:bCs/>
        </w:rPr>
        <w:t>N/A</w:t>
      </w:r>
    </w:p>
    <w:p w14:paraId="6AB84DB1" w14:textId="77777777" w:rsidR="00C02613" w:rsidRPr="00A25024" w:rsidRDefault="00C02613" w:rsidP="00DB3627">
      <w:pPr>
        <w:pStyle w:val="ListParagraph"/>
        <w:autoSpaceDE w:val="0"/>
        <w:autoSpaceDN w:val="0"/>
        <w:adjustRightInd w:val="0"/>
        <w:spacing w:after="0" w:line="240" w:lineRule="auto"/>
        <w:ind w:left="0"/>
        <w:rPr>
          <w:rFonts w:cstheme="minorHAnsi"/>
          <w:bCs/>
        </w:rPr>
      </w:pPr>
    </w:p>
    <w:p w14:paraId="5335EBB5" w14:textId="2CE710C4" w:rsidR="00C02613" w:rsidRDefault="009C7513" w:rsidP="00C02613">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C02613">
        <w:rPr>
          <w:rFonts w:cstheme="minorHAnsi"/>
          <w:bC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4D17D0C8" w14:textId="77777777" w:rsidR="00C02613" w:rsidRDefault="009C7513" w:rsidP="00C02613">
      <w:pPr>
        <w:pStyle w:val="ListParagraph"/>
        <w:autoSpaceDE w:val="0"/>
        <w:autoSpaceDN w:val="0"/>
        <w:adjustRightInd w:val="0"/>
        <w:spacing w:after="0" w:line="240" w:lineRule="auto"/>
        <w:ind w:left="0"/>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C02613">
        <w:rPr>
          <w:rFonts w:cstheme="minorHAnsi"/>
          <w:bCs/>
        </w:rPr>
        <w:t>N/A</w:t>
      </w:r>
    </w:p>
    <w:p w14:paraId="0CABD017" w14:textId="14B47098" w:rsidR="0079180E" w:rsidRDefault="0079180E" w:rsidP="00DB3627">
      <w:pPr>
        <w:autoSpaceDE w:val="0"/>
        <w:autoSpaceDN w:val="0"/>
        <w:adjustRightInd w:val="0"/>
        <w:spacing w:after="0" w:line="240" w:lineRule="auto"/>
        <w:rPr>
          <w:rFonts w:cstheme="minorHAnsi"/>
          <w:bCs/>
        </w:rPr>
      </w:pPr>
    </w:p>
    <w:p w14:paraId="69503A34" w14:textId="77777777" w:rsidR="00484C9D" w:rsidRDefault="00484C9D"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5D1A6B0A" w14:textId="216F17D1" w:rsidR="009800AC" w:rsidRPr="00E679FE" w:rsidRDefault="009C7513" w:rsidP="009800AC">
      <w:pPr>
        <w:rPr>
          <w:rFonts w:cstheme="minorHAnsi"/>
          <w:bCs/>
          <w:color w:val="C00000"/>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E679FE">
        <w:rPr>
          <w:color w:val="C00000"/>
        </w:rPr>
        <w:t xml:space="preserve">The </w:t>
      </w:r>
      <w:r w:rsidR="00E679FE" w:rsidRPr="00CD433D">
        <w:rPr>
          <w:color w:val="C00000"/>
        </w:rPr>
        <w:t xml:space="preserve">Standardized Fistula Rate </w:t>
      </w:r>
      <w:r w:rsidR="00424C4A" w:rsidRPr="00E679FE">
        <w:rPr>
          <w:rFonts w:cstheme="minorHAnsi"/>
          <w:bCs/>
          <w:color w:val="C00000"/>
        </w:rPr>
        <w:t xml:space="preserve">measure </w:t>
      </w:r>
      <w:r w:rsidR="005E1F47">
        <w:rPr>
          <w:rFonts w:cstheme="minorHAnsi"/>
          <w:bCs/>
          <w:color w:val="C00000"/>
        </w:rPr>
        <w:t xml:space="preserve">includes all patients regardless of Medicare coverage.  The measure </w:t>
      </w:r>
      <w:r w:rsidR="00424C4A" w:rsidRPr="00E679FE">
        <w:rPr>
          <w:rFonts w:cstheme="minorHAnsi"/>
          <w:bCs/>
          <w:color w:val="C00000"/>
        </w:rPr>
        <w:t xml:space="preserve">is based on data from CROWNWeb </w:t>
      </w:r>
      <w:r w:rsidR="00005543" w:rsidRPr="00E679FE">
        <w:rPr>
          <w:rFonts w:cstheme="minorHAnsi"/>
          <w:bCs/>
          <w:color w:val="C00000"/>
        </w:rPr>
        <w:t xml:space="preserve">(representative of all ESRD dialysis patients) </w:t>
      </w:r>
      <w:r w:rsidR="00424C4A" w:rsidRPr="00E679FE">
        <w:rPr>
          <w:rFonts w:cstheme="minorHAnsi"/>
          <w:bCs/>
          <w:color w:val="C00000"/>
        </w:rPr>
        <w:t>and Medicare claims</w:t>
      </w:r>
      <w:r w:rsidR="00476B57">
        <w:rPr>
          <w:rFonts w:cstheme="minorHAnsi"/>
          <w:bCs/>
          <w:color w:val="C00000"/>
        </w:rPr>
        <w:t xml:space="preserve">. Missing </w:t>
      </w:r>
      <w:r w:rsidR="00424C4A" w:rsidRPr="00E679FE">
        <w:rPr>
          <w:rFonts w:cstheme="minorHAnsi"/>
          <w:bCs/>
          <w:color w:val="C00000"/>
        </w:rPr>
        <w:t xml:space="preserve">data </w:t>
      </w:r>
      <w:r w:rsidR="00F06333">
        <w:rPr>
          <w:rFonts w:cstheme="minorHAnsi"/>
          <w:bCs/>
          <w:color w:val="C00000"/>
        </w:rPr>
        <w:t xml:space="preserve">for vascular access type </w:t>
      </w:r>
      <w:r w:rsidR="00424C4A" w:rsidRPr="00E679FE">
        <w:rPr>
          <w:rFonts w:cstheme="minorHAnsi"/>
          <w:bCs/>
          <w:color w:val="C00000"/>
        </w:rPr>
        <w:t xml:space="preserve">occurs rarely. </w:t>
      </w:r>
      <w:r w:rsidR="009800AC" w:rsidRPr="00E679FE">
        <w:rPr>
          <w:rFonts w:cstheme="minorHAnsi"/>
          <w:bCs/>
          <w:color w:val="C00000"/>
        </w:rPr>
        <w:t xml:space="preserve">We report the frequency of </w:t>
      </w:r>
      <w:r w:rsidR="00BB736D">
        <w:rPr>
          <w:rFonts w:cstheme="minorHAnsi"/>
          <w:bCs/>
          <w:color w:val="C00000"/>
        </w:rPr>
        <w:t xml:space="preserve">missing for the </w:t>
      </w:r>
      <w:r w:rsidR="009800AC" w:rsidRPr="00E679FE">
        <w:rPr>
          <w:rFonts w:cstheme="minorHAnsi"/>
          <w:bCs/>
          <w:color w:val="C00000"/>
        </w:rPr>
        <w:t xml:space="preserve">data below (patient-month level). </w:t>
      </w:r>
    </w:p>
    <w:p w14:paraId="59894B34" w14:textId="77777777" w:rsidR="009800AC" w:rsidRPr="00E679FE" w:rsidRDefault="009800AC" w:rsidP="009800AC">
      <w:pPr>
        <w:pStyle w:val="ListParagraph"/>
        <w:numPr>
          <w:ilvl w:val="0"/>
          <w:numId w:val="35"/>
        </w:numPr>
        <w:rPr>
          <w:rFonts w:cstheme="minorHAnsi"/>
          <w:bCs/>
          <w:color w:val="C00000"/>
        </w:rPr>
      </w:pPr>
      <w:r w:rsidRPr="00E679FE">
        <w:rPr>
          <w:rFonts w:cstheme="minorHAnsi"/>
          <w:bCs/>
          <w:color w:val="C00000"/>
        </w:rPr>
        <w:t>Missing CMS 2728</w:t>
      </w:r>
    </w:p>
    <w:p w14:paraId="0316EB4D" w14:textId="77777777" w:rsidR="009800AC" w:rsidRPr="00E679FE" w:rsidRDefault="009800AC" w:rsidP="009800AC">
      <w:pPr>
        <w:pStyle w:val="ListParagraph"/>
        <w:numPr>
          <w:ilvl w:val="0"/>
          <w:numId w:val="35"/>
        </w:numPr>
        <w:rPr>
          <w:rFonts w:cstheme="minorHAnsi"/>
          <w:bCs/>
          <w:color w:val="C00000"/>
        </w:rPr>
      </w:pPr>
      <w:r w:rsidRPr="00E679FE">
        <w:rPr>
          <w:rFonts w:cstheme="minorHAnsi"/>
          <w:bCs/>
          <w:color w:val="C00000"/>
        </w:rPr>
        <w:t>Missing BMI from the 2728</w:t>
      </w:r>
    </w:p>
    <w:p w14:paraId="2EDF0907" w14:textId="77777777" w:rsidR="00F211EA" w:rsidRDefault="00F211EA" w:rsidP="00F211EA">
      <w:pPr>
        <w:pStyle w:val="ListParagraph"/>
        <w:numPr>
          <w:ilvl w:val="0"/>
          <w:numId w:val="35"/>
        </w:numPr>
        <w:rPr>
          <w:rFonts w:cstheme="minorHAnsi"/>
          <w:bCs/>
          <w:color w:val="C00000"/>
        </w:rPr>
      </w:pPr>
      <w:r>
        <w:rPr>
          <w:rFonts w:cstheme="minorHAnsi"/>
          <w:bCs/>
          <w:color w:val="C00000"/>
        </w:rPr>
        <w:t xml:space="preserve">The overall percentage of patient months with </w:t>
      </w:r>
      <w:r w:rsidRPr="00160A23">
        <w:rPr>
          <w:rFonts w:cstheme="minorHAnsi"/>
          <w:bCs/>
          <w:color w:val="C00000"/>
        </w:rPr>
        <w:t xml:space="preserve">missing vascular </w:t>
      </w:r>
      <w:r>
        <w:rPr>
          <w:rFonts w:cstheme="minorHAnsi"/>
          <w:bCs/>
          <w:color w:val="C00000"/>
        </w:rPr>
        <w:t xml:space="preserve">access </w:t>
      </w:r>
      <w:r w:rsidRPr="00160A23">
        <w:rPr>
          <w:rFonts w:cstheme="minorHAnsi"/>
          <w:bCs/>
          <w:color w:val="C00000"/>
        </w:rPr>
        <w:t>type</w:t>
      </w:r>
    </w:p>
    <w:p w14:paraId="78D2AF53" w14:textId="7A13FF7B" w:rsidR="008508E7" w:rsidRDefault="009800AC" w:rsidP="005E1F47">
      <w:pPr>
        <w:pStyle w:val="ListParagraph"/>
        <w:numPr>
          <w:ilvl w:val="0"/>
          <w:numId w:val="35"/>
        </w:numPr>
        <w:rPr>
          <w:rFonts w:cstheme="minorHAnsi"/>
          <w:bCs/>
          <w:color w:val="C00000"/>
        </w:rPr>
      </w:pPr>
      <w:r w:rsidRPr="00E679FE">
        <w:rPr>
          <w:rFonts w:cstheme="minorHAnsi"/>
          <w:bCs/>
          <w:color w:val="C00000"/>
        </w:rPr>
        <w:t xml:space="preserve">Patient months where we are unable to </w:t>
      </w:r>
      <w:r w:rsidR="00BB736D">
        <w:rPr>
          <w:rFonts w:cstheme="minorHAnsi"/>
          <w:bCs/>
          <w:color w:val="C00000"/>
        </w:rPr>
        <w:t>determine presence of</w:t>
      </w:r>
      <w:r w:rsidRPr="00E679FE">
        <w:rPr>
          <w:rFonts w:cstheme="minorHAnsi"/>
          <w:bCs/>
          <w:color w:val="C00000"/>
        </w:rPr>
        <w:t xml:space="preserve"> prevalent comorbidities</w:t>
      </w:r>
      <w:r w:rsidR="005E1F47">
        <w:rPr>
          <w:rFonts w:cstheme="minorHAnsi"/>
          <w:bCs/>
          <w:color w:val="C00000"/>
        </w:rPr>
        <w:t xml:space="preserve"> for risk adjustment </w:t>
      </w:r>
    </w:p>
    <w:p w14:paraId="57D56406" w14:textId="4CB20403" w:rsidR="000E2BAF" w:rsidRDefault="000E2BAF" w:rsidP="000E2BAF">
      <w:pPr>
        <w:pStyle w:val="ListParagraph"/>
        <w:numPr>
          <w:ilvl w:val="0"/>
          <w:numId w:val="35"/>
        </w:numPr>
        <w:rPr>
          <w:rFonts w:cstheme="minorHAnsi"/>
          <w:bCs/>
          <w:color w:val="C00000"/>
        </w:rPr>
      </w:pPr>
      <w:r w:rsidRPr="00E679FE">
        <w:rPr>
          <w:rFonts w:cstheme="minorHAnsi"/>
          <w:bCs/>
          <w:color w:val="C00000"/>
        </w:rPr>
        <w:t xml:space="preserve">Patient months where we are unable to </w:t>
      </w:r>
      <w:r w:rsidR="007876AC">
        <w:rPr>
          <w:rFonts w:cstheme="minorHAnsi"/>
          <w:bCs/>
          <w:color w:val="C00000"/>
        </w:rPr>
        <w:t>determine presence of</w:t>
      </w:r>
      <w:r w:rsidRPr="00E679FE">
        <w:rPr>
          <w:rFonts w:cstheme="minorHAnsi"/>
          <w:bCs/>
          <w:color w:val="C00000"/>
        </w:rPr>
        <w:t xml:space="preserve"> comorbidities</w:t>
      </w:r>
      <w:r>
        <w:rPr>
          <w:rFonts w:cstheme="minorHAnsi"/>
          <w:bCs/>
          <w:color w:val="C00000"/>
        </w:rPr>
        <w:t xml:space="preserve"> for the limited life expectancy exclusions</w:t>
      </w:r>
    </w:p>
    <w:p w14:paraId="3EE0A65A" w14:textId="0C7E3746" w:rsidR="0009682A" w:rsidRPr="00081161" w:rsidRDefault="005758BF" w:rsidP="0009682A">
      <w:pPr>
        <w:spacing w:after="120" w:line="240" w:lineRule="auto"/>
        <w:rPr>
          <w:color w:val="C00000"/>
        </w:rPr>
      </w:pPr>
      <w:bookmarkStart w:id="14" w:name="_GoBack"/>
      <w:bookmarkEnd w:id="14"/>
      <w:r>
        <w:rPr>
          <w:rFonts w:cstheme="minorHAnsi"/>
          <w:bCs/>
          <w:color w:val="C00000"/>
        </w:rPr>
        <w:lastRenderedPageBreak/>
        <w:t xml:space="preserve">SFR </w:t>
      </w:r>
      <w:r w:rsidR="00E679FE">
        <w:rPr>
          <w:rFonts w:cstheme="minorHAnsi"/>
          <w:bCs/>
          <w:color w:val="C00000"/>
        </w:rPr>
        <w:t xml:space="preserve">uses </w:t>
      </w:r>
      <w:r w:rsidR="0009682A" w:rsidRPr="00081161">
        <w:rPr>
          <w:color w:val="C00000"/>
        </w:rPr>
        <w:t>CROWNWeb clinical data along with Medicare claims and other CMS administrative data for several important components of measure calculation, including ascertaining claims-based prevalent comorbidities for risk adjustment</w:t>
      </w:r>
      <w:r w:rsidR="00E679FE">
        <w:rPr>
          <w:color w:val="C00000"/>
        </w:rPr>
        <w:t xml:space="preserve"> and for exclusion</w:t>
      </w:r>
      <w:r w:rsidR="001E5B17">
        <w:rPr>
          <w:color w:val="C00000"/>
        </w:rPr>
        <w:t>s</w:t>
      </w:r>
      <w:r w:rsidR="0009682A" w:rsidRPr="00081161">
        <w:rPr>
          <w:color w:val="C00000"/>
        </w:rPr>
        <w:t xml:space="preserve">. </w:t>
      </w:r>
      <w:r>
        <w:rPr>
          <w:color w:val="C00000"/>
        </w:rPr>
        <w:t xml:space="preserve">The </w:t>
      </w:r>
      <w:r w:rsidR="0009682A" w:rsidRPr="00081161">
        <w:rPr>
          <w:color w:val="C00000"/>
        </w:rPr>
        <w:t>source of vascular access type</w:t>
      </w:r>
      <w:r>
        <w:rPr>
          <w:color w:val="C00000"/>
        </w:rPr>
        <w:t xml:space="preserve"> </w:t>
      </w:r>
      <w:r w:rsidR="0009682A" w:rsidRPr="00081161">
        <w:rPr>
          <w:color w:val="C00000"/>
        </w:rPr>
        <w:t>and several clinical risk factors are from CROWNWeb</w:t>
      </w:r>
      <w:r>
        <w:rPr>
          <w:color w:val="C00000"/>
        </w:rPr>
        <w:t xml:space="preserve"> (registry that includes all ESRD dialysis patients). </w:t>
      </w:r>
    </w:p>
    <w:p w14:paraId="5B33DAD0" w14:textId="4C86E3A3" w:rsidR="005E1F47" w:rsidRDefault="005E1F47" w:rsidP="0009682A">
      <w:pPr>
        <w:spacing w:after="120" w:line="240" w:lineRule="auto"/>
        <w:rPr>
          <w:color w:val="C00000"/>
        </w:rPr>
      </w:pPr>
      <w:r>
        <w:rPr>
          <w:color w:val="C00000"/>
        </w:rPr>
        <w:t xml:space="preserve">Ascertainment of prevalent comorbidities for risk adjustment relies on determining sufficient Medicare claims history.  This is determined by the presence of 6 or more months of </w:t>
      </w:r>
      <w:r w:rsidRPr="009800AC">
        <w:rPr>
          <w:color w:val="C00000"/>
        </w:rPr>
        <w:t>Medicare coverage</w:t>
      </w:r>
      <w:r>
        <w:rPr>
          <w:color w:val="C00000"/>
        </w:rPr>
        <w:t xml:space="preserve"> in the prior 12 months OR 1 or more Medicare Advantage patient months in the prior 12 months. </w:t>
      </w:r>
      <w:r w:rsidRPr="006F0DAB">
        <w:rPr>
          <w:color w:val="C00000"/>
        </w:rPr>
        <w:t xml:space="preserve">Medicare Advantage patient status was defined using Medicare Enrollment Database (EDB) criteria.  </w:t>
      </w:r>
      <w:r w:rsidR="00B35FED">
        <w:rPr>
          <w:color w:val="C00000"/>
        </w:rPr>
        <w:t xml:space="preserve">We </w:t>
      </w:r>
      <w:r w:rsidR="006F0DAB" w:rsidRPr="006F0DAB">
        <w:rPr>
          <w:color w:val="C00000"/>
        </w:rPr>
        <w:t xml:space="preserve">assessed the extent of </w:t>
      </w:r>
      <w:r>
        <w:rPr>
          <w:color w:val="C00000"/>
        </w:rPr>
        <w:t xml:space="preserve">incomplete comorbidity ascertainment for comorbidity risk adjustment. </w:t>
      </w:r>
    </w:p>
    <w:p w14:paraId="0E0A384F" w14:textId="4C7E4788" w:rsidR="000E2BAF" w:rsidRDefault="000E2BAF" w:rsidP="0009682A">
      <w:pPr>
        <w:spacing w:after="120" w:line="240" w:lineRule="auto"/>
        <w:rPr>
          <w:color w:val="C00000"/>
        </w:rPr>
      </w:pPr>
      <w:r>
        <w:rPr>
          <w:color w:val="C00000"/>
        </w:rPr>
        <w:t xml:space="preserve">For the limited life expectancy exclusions, we looked for the presence of any of the exclusion conditions reported on </w:t>
      </w:r>
      <w:r w:rsidR="007876AC">
        <w:rPr>
          <w:color w:val="C00000"/>
        </w:rPr>
        <w:t xml:space="preserve">Medicare </w:t>
      </w:r>
      <w:r>
        <w:rPr>
          <w:color w:val="C00000"/>
        </w:rPr>
        <w:t xml:space="preserve">claims in the prior 12 months. </w:t>
      </w:r>
    </w:p>
    <w:p w14:paraId="2249230F" w14:textId="77777777" w:rsidR="0009682A" w:rsidRPr="009D3882" w:rsidRDefault="0009682A" w:rsidP="008F7E67">
      <w:pPr>
        <w:pStyle w:val="ListParagraph"/>
        <w:autoSpaceDE w:val="0"/>
        <w:autoSpaceDN w:val="0"/>
        <w:adjustRightInd w:val="0"/>
        <w:spacing w:after="0" w:line="240" w:lineRule="auto"/>
        <w:ind w:left="0"/>
        <w:rPr>
          <w:rFonts w:cstheme="minorHAnsi"/>
          <w:bCs/>
          <w:sz w:val="18"/>
        </w:rPr>
      </w:pPr>
    </w:p>
    <w:p w14:paraId="0CABD01D" w14:textId="79583550"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5DCA85F4" w14:textId="77777777" w:rsidR="0009682A" w:rsidRPr="00081161" w:rsidRDefault="0009682A" w:rsidP="0009682A">
      <w:pPr>
        <w:spacing w:after="120" w:line="240" w:lineRule="auto"/>
        <w:rPr>
          <w:color w:val="C00000"/>
        </w:rPr>
      </w:pPr>
      <w:r w:rsidRPr="00081161">
        <w:rPr>
          <w:color w:val="C00000"/>
        </w:rPr>
        <w:t>Summary findings:</w:t>
      </w:r>
    </w:p>
    <w:p w14:paraId="1D08A2B3" w14:textId="0550C5F0" w:rsidR="00BA1941" w:rsidRDefault="00BA1941" w:rsidP="00BA1941">
      <w:pPr>
        <w:pStyle w:val="ListParagraph"/>
        <w:numPr>
          <w:ilvl w:val="0"/>
          <w:numId w:val="36"/>
        </w:numPr>
        <w:spacing w:after="120" w:line="240" w:lineRule="auto"/>
        <w:rPr>
          <w:color w:val="C00000"/>
        </w:rPr>
      </w:pPr>
      <w:r w:rsidRPr="005758BF">
        <w:rPr>
          <w:color w:val="C00000"/>
        </w:rPr>
        <w:t>Patient-months with missing CMS 2728 is 1.09% and missing BMI on the CMS</w:t>
      </w:r>
      <w:r>
        <w:rPr>
          <w:color w:val="C00000"/>
        </w:rPr>
        <w:t xml:space="preserve"> 2728 is 0.15% from the measure</w:t>
      </w:r>
      <w:r w:rsidRPr="005758BF">
        <w:rPr>
          <w:color w:val="C00000"/>
        </w:rPr>
        <w:t>.</w:t>
      </w:r>
    </w:p>
    <w:p w14:paraId="06C64D46" w14:textId="5E7F71DF" w:rsidR="00BA1941" w:rsidRPr="00F144F7" w:rsidRDefault="002A21E2" w:rsidP="00BA1941">
      <w:pPr>
        <w:pStyle w:val="ListParagraph"/>
        <w:numPr>
          <w:ilvl w:val="0"/>
          <w:numId w:val="36"/>
        </w:numPr>
        <w:spacing w:after="120" w:line="240" w:lineRule="auto"/>
        <w:rPr>
          <w:color w:val="C00000"/>
        </w:rPr>
      </w:pPr>
      <w:r>
        <w:rPr>
          <w:color w:val="C00000"/>
        </w:rPr>
        <w:t>2.</w:t>
      </w:r>
      <w:r w:rsidR="00A50770">
        <w:rPr>
          <w:color w:val="C00000"/>
        </w:rPr>
        <w:t>1</w:t>
      </w:r>
      <w:r>
        <w:rPr>
          <w:color w:val="C00000"/>
        </w:rPr>
        <w:t xml:space="preserve">6% </w:t>
      </w:r>
      <w:r w:rsidR="00BA1941">
        <w:rPr>
          <w:color w:val="C00000"/>
        </w:rPr>
        <w:t xml:space="preserve">of </w:t>
      </w:r>
      <w:r w:rsidR="00A50770">
        <w:rPr>
          <w:color w:val="C00000"/>
        </w:rPr>
        <w:t xml:space="preserve">overall </w:t>
      </w:r>
      <w:r w:rsidR="00BA1941">
        <w:rPr>
          <w:color w:val="C00000"/>
        </w:rPr>
        <w:t xml:space="preserve">patient months </w:t>
      </w:r>
      <w:r>
        <w:rPr>
          <w:color w:val="C00000"/>
        </w:rPr>
        <w:t xml:space="preserve">are </w:t>
      </w:r>
      <w:r w:rsidR="00BA1941">
        <w:rPr>
          <w:color w:val="C00000"/>
        </w:rPr>
        <w:t>missing vascular access type</w:t>
      </w:r>
      <w:r>
        <w:rPr>
          <w:color w:val="C00000"/>
        </w:rPr>
        <w:t xml:space="preserve">. </w:t>
      </w:r>
    </w:p>
    <w:p w14:paraId="2664EAE2" w14:textId="33F188FB" w:rsidR="00C353F4" w:rsidRPr="00E12743" w:rsidRDefault="000F64AC">
      <w:pPr>
        <w:pStyle w:val="ListParagraph"/>
        <w:numPr>
          <w:ilvl w:val="0"/>
          <w:numId w:val="36"/>
        </w:numPr>
        <w:spacing w:after="120" w:line="240" w:lineRule="auto"/>
        <w:rPr>
          <w:color w:val="C00000"/>
        </w:rPr>
      </w:pPr>
      <w:r>
        <w:rPr>
          <w:color w:val="C00000"/>
        </w:rPr>
        <w:t xml:space="preserve">We </w:t>
      </w:r>
      <w:r w:rsidR="003E3FD4">
        <w:rPr>
          <w:rFonts w:cstheme="minorHAnsi"/>
          <w:bCs/>
          <w:color w:val="C00000"/>
        </w:rPr>
        <w:t xml:space="preserve">are </w:t>
      </w:r>
      <w:r w:rsidR="00C353F4" w:rsidRPr="00E679FE">
        <w:rPr>
          <w:rFonts w:cstheme="minorHAnsi"/>
          <w:bCs/>
          <w:color w:val="C00000"/>
        </w:rPr>
        <w:t xml:space="preserve">unable to </w:t>
      </w:r>
      <w:r w:rsidR="007876AC">
        <w:rPr>
          <w:rFonts w:cstheme="minorHAnsi"/>
          <w:bCs/>
          <w:color w:val="C00000"/>
        </w:rPr>
        <w:t>determine the presence of</w:t>
      </w:r>
      <w:r w:rsidR="00C353F4" w:rsidRPr="00E679FE">
        <w:rPr>
          <w:rFonts w:cstheme="minorHAnsi"/>
          <w:bCs/>
          <w:color w:val="C00000"/>
        </w:rPr>
        <w:t xml:space="preserve"> prevalent comorbidities </w:t>
      </w:r>
      <w:r w:rsidR="005E1F47">
        <w:rPr>
          <w:rFonts w:cstheme="minorHAnsi"/>
          <w:bCs/>
          <w:color w:val="C00000"/>
        </w:rPr>
        <w:t xml:space="preserve">for risk adjustment </w:t>
      </w:r>
      <w:r>
        <w:rPr>
          <w:rFonts w:cstheme="minorHAnsi"/>
          <w:bCs/>
          <w:color w:val="C00000"/>
        </w:rPr>
        <w:t>for 23.</w:t>
      </w:r>
      <w:r w:rsidR="00F211EA">
        <w:rPr>
          <w:rFonts w:cstheme="minorHAnsi"/>
          <w:bCs/>
          <w:color w:val="C00000"/>
        </w:rPr>
        <w:t>2</w:t>
      </w:r>
      <w:r>
        <w:rPr>
          <w:rFonts w:cstheme="minorHAnsi"/>
          <w:bCs/>
          <w:color w:val="C00000"/>
        </w:rPr>
        <w:t xml:space="preserve">1% of patient months. </w:t>
      </w:r>
    </w:p>
    <w:p w14:paraId="5EC7D4AC" w14:textId="19A0E1A8" w:rsidR="000E2BAF" w:rsidRDefault="000E2BAF">
      <w:pPr>
        <w:pStyle w:val="ListParagraph"/>
        <w:numPr>
          <w:ilvl w:val="0"/>
          <w:numId w:val="36"/>
        </w:numPr>
        <w:spacing w:after="120" w:line="240" w:lineRule="auto"/>
        <w:rPr>
          <w:color w:val="C00000"/>
        </w:rPr>
      </w:pPr>
      <w:r>
        <w:rPr>
          <w:color w:val="C00000"/>
        </w:rPr>
        <w:t xml:space="preserve">We </w:t>
      </w:r>
      <w:r w:rsidRPr="00E679FE">
        <w:rPr>
          <w:rFonts w:cstheme="minorHAnsi"/>
          <w:bCs/>
          <w:color w:val="C00000"/>
        </w:rPr>
        <w:t xml:space="preserve">are unable to </w:t>
      </w:r>
      <w:r>
        <w:rPr>
          <w:rFonts w:cstheme="minorHAnsi"/>
          <w:bCs/>
          <w:color w:val="C00000"/>
        </w:rPr>
        <w:t>determine the presence of the conditions for the limited life expectancy exclusions for 21.4% of patient months.</w:t>
      </w:r>
    </w:p>
    <w:p w14:paraId="2F4C1762" w14:textId="77777777" w:rsidR="0009682A" w:rsidRPr="00081161" w:rsidRDefault="0009682A" w:rsidP="008F7E67">
      <w:pPr>
        <w:autoSpaceDE w:val="0"/>
        <w:autoSpaceDN w:val="0"/>
        <w:adjustRightInd w:val="0"/>
        <w:spacing w:after="0" w:line="240" w:lineRule="auto"/>
        <w:rPr>
          <w:rFonts w:cstheme="minorHAnsi"/>
          <w:bCs/>
          <w:color w:val="C00000"/>
        </w:rPr>
      </w:pPr>
    </w:p>
    <w:p w14:paraId="4802448F" w14:textId="09445B72" w:rsidR="00522B2F" w:rsidRPr="00081161" w:rsidRDefault="00522B2F" w:rsidP="008F7E67">
      <w:pPr>
        <w:autoSpaceDE w:val="0"/>
        <w:autoSpaceDN w:val="0"/>
        <w:adjustRightInd w:val="0"/>
        <w:spacing w:after="0" w:line="240" w:lineRule="auto"/>
        <w:rPr>
          <w:rFonts w:cstheme="minorHAnsi"/>
          <w:bCs/>
          <w:color w:val="C00000"/>
        </w:rPr>
      </w:pPr>
      <w:r w:rsidRPr="00081161">
        <w:rPr>
          <w:rFonts w:cstheme="minorHAnsi"/>
          <w:bCs/>
          <w:color w:val="C00000"/>
        </w:rPr>
        <w:t xml:space="preserve">Table </w:t>
      </w:r>
      <w:r w:rsidR="00E12743" w:rsidRPr="00081161">
        <w:rPr>
          <w:rFonts w:cstheme="minorHAnsi"/>
          <w:bCs/>
          <w:color w:val="C00000"/>
        </w:rPr>
        <w:t>8</w:t>
      </w:r>
      <w:r w:rsidRPr="00081161">
        <w:rPr>
          <w:rFonts w:cstheme="minorHAnsi"/>
          <w:bCs/>
          <w:color w:val="C00000"/>
        </w:rPr>
        <w:t>. Frequency of missing data elements, 2018 data</w:t>
      </w:r>
      <w:r w:rsidRPr="00081161">
        <w:rPr>
          <w:rFonts w:cstheme="minorHAnsi"/>
          <w:bCs/>
          <w:color w:val="C00000"/>
        </w:rPr>
        <w:br/>
      </w:r>
    </w:p>
    <w:tbl>
      <w:tblPr>
        <w:tblStyle w:val="TableGrid"/>
        <w:tblW w:w="0" w:type="auto"/>
        <w:tblLook w:val="04A0" w:firstRow="1" w:lastRow="0" w:firstColumn="1" w:lastColumn="0" w:noHBand="0" w:noVBand="1"/>
      </w:tblPr>
      <w:tblGrid>
        <w:gridCol w:w="3322"/>
        <w:gridCol w:w="1263"/>
      </w:tblGrid>
      <w:tr w:rsidR="0009682A" w:rsidRPr="00E679FE" w14:paraId="42BEEB36" w14:textId="77777777" w:rsidTr="00081161">
        <w:trPr>
          <w:trHeight w:val="116"/>
        </w:trPr>
        <w:tc>
          <w:tcPr>
            <w:tcW w:w="3322" w:type="dxa"/>
          </w:tcPr>
          <w:p w14:paraId="01CF0557" w14:textId="135B5D68" w:rsidR="0009682A" w:rsidRPr="00081161" w:rsidRDefault="00E12743" w:rsidP="008F7E67">
            <w:pPr>
              <w:autoSpaceDE w:val="0"/>
              <w:autoSpaceDN w:val="0"/>
              <w:adjustRightInd w:val="0"/>
              <w:rPr>
                <w:rFonts w:cstheme="minorHAnsi"/>
                <w:b/>
                <w:bCs/>
                <w:color w:val="C00000"/>
              </w:rPr>
            </w:pPr>
            <w:r w:rsidRPr="00081161">
              <w:rPr>
                <w:rFonts w:cstheme="minorHAnsi"/>
                <w:b/>
                <w:bCs/>
                <w:color w:val="C00000"/>
              </w:rPr>
              <w:t xml:space="preserve">Data Element </w:t>
            </w:r>
          </w:p>
        </w:tc>
        <w:tc>
          <w:tcPr>
            <w:tcW w:w="1263" w:type="dxa"/>
          </w:tcPr>
          <w:p w14:paraId="7E0C8B75" w14:textId="1E74DA24" w:rsidR="0009682A" w:rsidRPr="00081161" w:rsidRDefault="005758BF">
            <w:pPr>
              <w:autoSpaceDE w:val="0"/>
              <w:autoSpaceDN w:val="0"/>
              <w:adjustRightInd w:val="0"/>
              <w:rPr>
                <w:rFonts w:cstheme="minorHAnsi"/>
                <w:b/>
                <w:bCs/>
                <w:color w:val="C00000"/>
              </w:rPr>
            </w:pPr>
            <w:r w:rsidRPr="00081161">
              <w:rPr>
                <w:rFonts w:cstheme="minorHAnsi"/>
                <w:b/>
                <w:bCs/>
                <w:color w:val="C00000"/>
              </w:rPr>
              <w:t>Missing (%)</w:t>
            </w:r>
          </w:p>
        </w:tc>
      </w:tr>
      <w:tr w:rsidR="0009682A" w:rsidRPr="00E679FE" w14:paraId="261DE1BB" w14:textId="77777777" w:rsidTr="00081161">
        <w:trPr>
          <w:trHeight w:val="232"/>
        </w:trPr>
        <w:tc>
          <w:tcPr>
            <w:tcW w:w="3322" w:type="dxa"/>
          </w:tcPr>
          <w:p w14:paraId="599992E1" w14:textId="664ECD65" w:rsidR="0009682A" w:rsidRPr="00E679FE" w:rsidRDefault="0009682A" w:rsidP="008F7E67">
            <w:pPr>
              <w:autoSpaceDE w:val="0"/>
              <w:autoSpaceDN w:val="0"/>
              <w:adjustRightInd w:val="0"/>
              <w:rPr>
                <w:rFonts w:cstheme="minorHAnsi"/>
                <w:bCs/>
                <w:color w:val="C00000"/>
              </w:rPr>
            </w:pPr>
            <w:r w:rsidRPr="00E679FE">
              <w:rPr>
                <w:rFonts w:cstheme="minorHAnsi"/>
                <w:bCs/>
                <w:color w:val="C00000"/>
              </w:rPr>
              <w:t>Patient months with missing CMS 2728</w:t>
            </w:r>
          </w:p>
        </w:tc>
        <w:tc>
          <w:tcPr>
            <w:tcW w:w="1263" w:type="dxa"/>
          </w:tcPr>
          <w:p w14:paraId="59FFD376" w14:textId="20097F6D" w:rsidR="0009682A" w:rsidRPr="00E679FE" w:rsidRDefault="0009682A" w:rsidP="00424C4A">
            <w:pPr>
              <w:rPr>
                <w:rFonts w:ascii="Calibri" w:hAnsi="Calibri" w:cs="Calibri"/>
                <w:color w:val="C00000"/>
              </w:rPr>
            </w:pPr>
            <w:r w:rsidRPr="00E679FE">
              <w:rPr>
                <w:rFonts w:ascii="Calibri" w:hAnsi="Calibri" w:cs="Calibri"/>
                <w:color w:val="C00000"/>
              </w:rPr>
              <w:t>1.09%</w:t>
            </w:r>
          </w:p>
          <w:p w14:paraId="73A4A025" w14:textId="77777777" w:rsidR="0009682A" w:rsidRPr="00E679FE" w:rsidRDefault="0009682A" w:rsidP="00293493">
            <w:pPr>
              <w:rPr>
                <w:rFonts w:ascii="Calibri" w:hAnsi="Calibri" w:cs="Calibri"/>
                <w:color w:val="C00000"/>
              </w:rPr>
            </w:pPr>
          </w:p>
        </w:tc>
      </w:tr>
      <w:tr w:rsidR="0009682A" w:rsidRPr="00E679FE" w14:paraId="014DDC21" w14:textId="77777777" w:rsidTr="00081161">
        <w:trPr>
          <w:trHeight w:val="347"/>
        </w:trPr>
        <w:tc>
          <w:tcPr>
            <w:tcW w:w="3322" w:type="dxa"/>
          </w:tcPr>
          <w:p w14:paraId="31524B5D" w14:textId="1DD97C74" w:rsidR="0009682A" w:rsidRPr="00E679FE" w:rsidRDefault="0009682A" w:rsidP="008F7E67">
            <w:pPr>
              <w:autoSpaceDE w:val="0"/>
              <w:autoSpaceDN w:val="0"/>
              <w:adjustRightInd w:val="0"/>
              <w:rPr>
                <w:rFonts w:cstheme="minorHAnsi"/>
                <w:bCs/>
                <w:color w:val="C00000"/>
              </w:rPr>
            </w:pPr>
            <w:r w:rsidRPr="00E679FE">
              <w:rPr>
                <w:rFonts w:cstheme="minorHAnsi"/>
                <w:bCs/>
                <w:color w:val="C00000"/>
              </w:rPr>
              <w:t>Patient months without BMI reported on 2728</w:t>
            </w:r>
          </w:p>
        </w:tc>
        <w:tc>
          <w:tcPr>
            <w:tcW w:w="1263" w:type="dxa"/>
          </w:tcPr>
          <w:p w14:paraId="22BFAE63" w14:textId="77777777" w:rsidR="0009682A" w:rsidRPr="00E679FE" w:rsidRDefault="0009682A" w:rsidP="002E3041">
            <w:pPr>
              <w:rPr>
                <w:rFonts w:ascii="Calibri" w:hAnsi="Calibri" w:cs="Calibri"/>
                <w:color w:val="C00000"/>
              </w:rPr>
            </w:pPr>
            <w:r w:rsidRPr="00E679FE">
              <w:rPr>
                <w:rFonts w:ascii="Calibri" w:hAnsi="Calibri" w:cs="Calibri"/>
                <w:color w:val="C00000"/>
              </w:rPr>
              <w:t>0.15%</w:t>
            </w:r>
          </w:p>
          <w:p w14:paraId="3D21F2F8" w14:textId="77777777" w:rsidR="0009682A" w:rsidRPr="00E679FE" w:rsidRDefault="0009682A" w:rsidP="00822F36">
            <w:pPr>
              <w:rPr>
                <w:rFonts w:cstheme="minorHAnsi"/>
                <w:bCs/>
                <w:color w:val="C00000"/>
              </w:rPr>
            </w:pPr>
          </w:p>
        </w:tc>
      </w:tr>
      <w:tr w:rsidR="00BA1941" w:rsidRPr="00E679FE" w14:paraId="2B7ED418" w14:textId="77777777" w:rsidTr="00081161">
        <w:trPr>
          <w:trHeight w:val="116"/>
        </w:trPr>
        <w:tc>
          <w:tcPr>
            <w:tcW w:w="3322" w:type="dxa"/>
          </w:tcPr>
          <w:p w14:paraId="510CFBD7" w14:textId="77777777" w:rsidR="00BA1941" w:rsidRPr="00E679FE" w:rsidRDefault="00BA1941" w:rsidP="00476B57">
            <w:pPr>
              <w:autoSpaceDE w:val="0"/>
              <w:autoSpaceDN w:val="0"/>
              <w:adjustRightInd w:val="0"/>
              <w:rPr>
                <w:rFonts w:cstheme="minorHAnsi"/>
                <w:bCs/>
                <w:color w:val="C00000"/>
              </w:rPr>
            </w:pPr>
            <w:r>
              <w:rPr>
                <w:rFonts w:cstheme="minorHAnsi"/>
                <w:bCs/>
                <w:color w:val="C00000"/>
              </w:rPr>
              <w:t>Vascular access type</w:t>
            </w:r>
          </w:p>
        </w:tc>
        <w:tc>
          <w:tcPr>
            <w:tcW w:w="1263" w:type="dxa"/>
          </w:tcPr>
          <w:p w14:paraId="7A265459" w14:textId="77777777" w:rsidR="00BA1941" w:rsidRPr="00E679FE" w:rsidRDefault="00BA1941" w:rsidP="00476B57">
            <w:pPr>
              <w:rPr>
                <w:rFonts w:ascii="Calibri" w:hAnsi="Calibri" w:cs="Calibri"/>
                <w:color w:val="C00000"/>
              </w:rPr>
            </w:pPr>
            <w:r>
              <w:rPr>
                <w:rFonts w:ascii="Calibri" w:hAnsi="Calibri" w:cs="Calibri"/>
                <w:color w:val="C00000"/>
              </w:rPr>
              <w:t>2.16%</w:t>
            </w:r>
          </w:p>
        </w:tc>
      </w:tr>
      <w:tr w:rsidR="0009682A" w:rsidRPr="00E679FE" w14:paraId="15B0D3C3" w14:textId="77777777" w:rsidTr="00081161">
        <w:trPr>
          <w:trHeight w:val="463"/>
        </w:trPr>
        <w:tc>
          <w:tcPr>
            <w:tcW w:w="3322" w:type="dxa"/>
          </w:tcPr>
          <w:p w14:paraId="230297AF" w14:textId="7651CB9B" w:rsidR="0009682A" w:rsidRPr="00E679FE" w:rsidRDefault="0009682A">
            <w:pPr>
              <w:autoSpaceDE w:val="0"/>
              <w:autoSpaceDN w:val="0"/>
              <w:adjustRightInd w:val="0"/>
              <w:rPr>
                <w:rFonts w:cstheme="minorHAnsi"/>
                <w:bCs/>
                <w:color w:val="C00000"/>
              </w:rPr>
            </w:pPr>
            <w:r w:rsidRPr="00E679FE">
              <w:rPr>
                <w:rFonts w:cstheme="minorHAnsi"/>
                <w:bCs/>
                <w:color w:val="C00000"/>
              </w:rPr>
              <w:t xml:space="preserve">Patient months where we are unable to </w:t>
            </w:r>
            <w:r w:rsidR="003E3FD4">
              <w:rPr>
                <w:rFonts w:cstheme="minorHAnsi"/>
                <w:bCs/>
                <w:color w:val="C00000"/>
              </w:rPr>
              <w:t>determine presence of</w:t>
            </w:r>
            <w:r w:rsidRPr="00E679FE">
              <w:rPr>
                <w:rFonts w:cstheme="minorHAnsi"/>
                <w:bCs/>
                <w:color w:val="C00000"/>
              </w:rPr>
              <w:t xml:space="preserve"> prevalent comorbidities</w:t>
            </w:r>
            <w:r w:rsidR="00BA1941">
              <w:rPr>
                <w:rFonts w:cstheme="minorHAnsi"/>
                <w:bCs/>
                <w:color w:val="C00000"/>
              </w:rPr>
              <w:t>*</w:t>
            </w:r>
          </w:p>
        </w:tc>
        <w:tc>
          <w:tcPr>
            <w:tcW w:w="1263" w:type="dxa"/>
          </w:tcPr>
          <w:p w14:paraId="6D7EF5D6" w14:textId="2A9F8D5A" w:rsidR="0009682A" w:rsidRPr="00E679FE" w:rsidRDefault="009C6C21" w:rsidP="0009682A">
            <w:pPr>
              <w:rPr>
                <w:rFonts w:ascii="Calibri" w:hAnsi="Calibri" w:cs="Calibri"/>
                <w:color w:val="C00000"/>
              </w:rPr>
            </w:pPr>
            <w:r>
              <w:rPr>
                <w:rFonts w:ascii="Calibri" w:hAnsi="Calibri" w:cs="Calibri"/>
                <w:color w:val="C00000"/>
              </w:rPr>
              <w:t>23.21</w:t>
            </w:r>
            <w:r w:rsidR="0009682A" w:rsidRPr="00E679FE">
              <w:rPr>
                <w:rFonts w:ascii="Calibri" w:hAnsi="Calibri" w:cs="Calibri"/>
                <w:color w:val="C00000"/>
              </w:rPr>
              <w:t>%</w:t>
            </w:r>
          </w:p>
          <w:p w14:paraId="3581E92C" w14:textId="77777777" w:rsidR="0009682A" w:rsidRPr="00E679FE" w:rsidRDefault="0009682A" w:rsidP="008F7E67">
            <w:pPr>
              <w:autoSpaceDE w:val="0"/>
              <w:autoSpaceDN w:val="0"/>
              <w:adjustRightInd w:val="0"/>
              <w:rPr>
                <w:rFonts w:cstheme="minorHAnsi"/>
                <w:bCs/>
                <w:color w:val="C00000"/>
              </w:rPr>
            </w:pPr>
          </w:p>
        </w:tc>
      </w:tr>
      <w:tr w:rsidR="000E2BAF" w:rsidRPr="00E679FE" w14:paraId="104F7538" w14:textId="77777777" w:rsidTr="00BA1941">
        <w:trPr>
          <w:trHeight w:val="463"/>
        </w:trPr>
        <w:tc>
          <w:tcPr>
            <w:tcW w:w="3322" w:type="dxa"/>
          </w:tcPr>
          <w:p w14:paraId="22AB36ED" w14:textId="1C35091E" w:rsidR="000E2BAF" w:rsidRPr="00E679FE" w:rsidRDefault="000E2BAF">
            <w:pPr>
              <w:autoSpaceDE w:val="0"/>
              <w:autoSpaceDN w:val="0"/>
              <w:adjustRightInd w:val="0"/>
              <w:rPr>
                <w:rFonts w:cstheme="minorHAnsi"/>
                <w:bCs/>
                <w:color w:val="C00000"/>
              </w:rPr>
            </w:pPr>
            <w:r w:rsidRPr="00E679FE">
              <w:rPr>
                <w:rFonts w:cstheme="minorHAnsi"/>
                <w:bCs/>
                <w:color w:val="C00000"/>
              </w:rPr>
              <w:t xml:space="preserve">Patient months where we are unable to </w:t>
            </w:r>
            <w:r>
              <w:rPr>
                <w:rFonts w:cstheme="minorHAnsi"/>
                <w:bCs/>
                <w:color w:val="C00000"/>
              </w:rPr>
              <w:t>determine presence of limited life expectancy exclusion conditions*</w:t>
            </w:r>
          </w:p>
        </w:tc>
        <w:tc>
          <w:tcPr>
            <w:tcW w:w="1263" w:type="dxa"/>
          </w:tcPr>
          <w:p w14:paraId="1D66EAEE" w14:textId="66AB271A" w:rsidR="000E2BAF" w:rsidRDefault="000E2BAF" w:rsidP="0009682A">
            <w:pPr>
              <w:rPr>
                <w:rFonts w:ascii="Calibri" w:hAnsi="Calibri" w:cs="Calibri"/>
                <w:color w:val="C00000"/>
              </w:rPr>
            </w:pPr>
            <w:r>
              <w:rPr>
                <w:rFonts w:ascii="Calibri" w:hAnsi="Calibri" w:cs="Calibri"/>
                <w:color w:val="C00000"/>
              </w:rPr>
              <w:t>21.4%</w:t>
            </w:r>
          </w:p>
        </w:tc>
      </w:tr>
    </w:tbl>
    <w:p w14:paraId="0CABD01E" w14:textId="3714B5ED" w:rsidR="008F7E67" w:rsidRPr="00081161" w:rsidRDefault="00005543" w:rsidP="008F7E67">
      <w:pPr>
        <w:autoSpaceDE w:val="0"/>
        <w:autoSpaceDN w:val="0"/>
        <w:adjustRightInd w:val="0"/>
        <w:spacing w:after="0" w:line="240" w:lineRule="auto"/>
        <w:rPr>
          <w:rFonts w:cstheme="minorHAnsi"/>
          <w:bCs/>
          <w:color w:val="C00000"/>
        </w:rPr>
      </w:pPr>
      <w:r w:rsidRPr="00081161">
        <w:rPr>
          <w:rFonts w:cstheme="minorHAnsi"/>
          <w:bCs/>
          <w:color w:val="C00000"/>
        </w:rPr>
        <w:t>*</w:t>
      </w:r>
      <w:r w:rsidR="000F64AC">
        <w:rPr>
          <w:rFonts w:cstheme="minorHAnsi"/>
          <w:bCs/>
          <w:color w:val="C00000"/>
        </w:rPr>
        <w:t>This is used to determine sufficient claims history for comorbidity risk adjustment and for identifying the li</w:t>
      </w:r>
      <w:r w:rsidR="00F211EA">
        <w:rPr>
          <w:rFonts w:cstheme="minorHAnsi"/>
          <w:bCs/>
          <w:color w:val="C00000"/>
        </w:rPr>
        <w:t>mited life expectancy exclusion conditions</w:t>
      </w:r>
      <w:r w:rsidR="000F64AC">
        <w:rPr>
          <w:rFonts w:cstheme="minorHAnsi"/>
          <w:bCs/>
          <w:color w:val="C00000"/>
        </w:rPr>
        <w:t xml:space="preserve">. </w:t>
      </w:r>
    </w:p>
    <w:p w14:paraId="0B84885A" w14:textId="77777777" w:rsidR="0009682A" w:rsidRPr="00081161" w:rsidRDefault="0009682A" w:rsidP="008F7E67">
      <w:pPr>
        <w:autoSpaceDE w:val="0"/>
        <w:autoSpaceDN w:val="0"/>
        <w:adjustRightInd w:val="0"/>
        <w:spacing w:after="0" w:line="240" w:lineRule="auto"/>
        <w:rPr>
          <w:rFonts w:cstheme="minorHAnsi"/>
          <w:bCs/>
          <w:color w:val="C00000"/>
        </w:rPr>
      </w:pPr>
    </w:p>
    <w:p w14:paraId="5005D105" w14:textId="77777777" w:rsidR="00293493" w:rsidRPr="00E1508F" w:rsidRDefault="00293493"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2D38A41C" w14:textId="77777777" w:rsidR="00005543" w:rsidRDefault="00005543">
      <w:pPr>
        <w:autoSpaceDE w:val="0"/>
        <w:autoSpaceDN w:val="0"/>
        <w:adjustRightInd w:val="0"/>
        <w:spacing w:after="0" w:line="240" w:lineRule="auto"/>
        <w:rPr>
          <w:rFonts w:cstheme="minorHAnsi"/>
          <w:bCs/>
        </w:rPr>
      </w:pPr>
    </w:p>
    <w:p w14:paraId="1311F803" w14:textId="30942349" w:rsidR="009800AC" w:rsidRDefault="00005543">
      <w:pPr>
        <w:autoSpaceDE w:val="0"/>
        <w:autoSpaceDN w:val="0"/>
        <w:adjustRightInd w:val="0"/>
        <w:spacing w:after="0" w:line="240" w:lineRule="auto"/>
        <w:rPr>
          <w:rFonts w:cstheme="minorHAnsi"/>
          <w:bCs/>
          <w:color w:val="C00000"/>
        </w:rPr>
      </w:pPr>
      <w:r w:rsidRPr="00E679FE">
        <w:rPr>
          <w:rFonts w:cstheme="minorHAnsi"/>
          <w:bCs/>
          <w:color w:val="C00000"/>
        </w:rPr>
        <w:t>There is a very low frequency of patients with missing BMI</w:t>
      </w:r>
      <w:r w:rsidR="005051B5">
        <w:rPr>
          <w:rFonts w:cstheme="minorHAnsi"/>
          <w:bCs/>
          <w:color w:val="C00000"/>
        </w:rPr>
        <w:t xml:space="preserve"> from the CMS form 2728</w:t>
      </w:r>
      <w:r w:rsidRPr="00E679FE">
        <w:rPr>
          <w:rFonts w:cstheme="minorHAnsi"/>
          <w:bCs/>
          <w:color w:val="C00000"/>
        </w:rPr>
        <w:t xml:space="preserve">, and missing </w:t>
      </w:r>
      <w:r w:rsidR="005051B5">
        <w:rPr>
          <w:rFonts w:cstheme="minorHAnsi"/>
          <w:bCs/>
          <w:color w:val="C00000"/>
        </w:rPr>
        <w:t xml:space="preserve">CMS form </w:t>
      </w:r>
      <w:r w:rsidRPr="00E679FE">
        <w:rPr>
          <w:rFonts w:cstheme="minorHAnsi"/>
          <w:bCs/>
          <w:color w:val="C00000"/>
        </w:rPr>
        <w:t xml:space="preserve">2728 for SFR. </w:t>
      </w:r>
      <w:r w:rsidR="001E3F78" w:rsidRPr="00E679FE">
        <w:rPr>
          <w:rFonts w:cstheme="minorHAnsi"/>
          <w:bCs/>
          <w:color w:val="C00000"/>
        </w:rPr>
        <w:t>Missing CMS 2728 form was adjusted through inclusion of a missing indicator in the logistic regression model, and m</w:t>
      </w:r>
      <w:r w:rsidR="002462A4" w:rsidRPr="00E679FE">
        <w:rPr>
          <w:rFonts w:cstheme="minorHAnsi"/>
          <w:bCs/>
          <w:color w:val="C00000"/>
        </w:rPr>
        <w:t xml:space="preserve">issing BMI was </w:t>
      </w:r>
      <w:r w:rsidR="00E51525" w:rsidRPr="00E679FE">
        <w:rPr>
          <w:rFonts w:cstheme="minorHAnsi"/>
          <w:bCs/>
          <w:color w:val="C00000"/>
        </w:rPr>
        <w:t>i</w:t>
      </w:r>
      <w:r w:rsidR="002E3041" w:rsidRPr="00E679FE">
        <w:rPr>
          <w:rFonts w:cstheme="minorHAnsi"/>
          <w:bCs/>
          <w:color w:val="C00000"/>
        </w:rPr>
        <w:t>ncluded</w:t>
      </w:r>
      <w:r w:rsidR="00E51525" w:rsidRPr="00E679FE">
        <w:rPr>
          <w:rFonts w:cstheme="minorHAnsi"/>
          <w:bCs/>
          <w:color w:val="C00000"/>
        </w:rPr>
        <w:t xml:space="preserve"> </w:t>
      </w:r>
      <w:r w:rsidR="002E3041" w:rsidRPr="00E679FE">
        <w:rPr>
          <w:rFonts w:cstheme="minorHAnsi"/>
          <w:bCs/>
          <w:color w:val="C00000"/>
        </w:rPr>
        <w:t>as</w:t>
      </w:r>
      <w:r w:rsidR="002462A4" w:rsidRPr="00E679FE">
        <w:rPr>
          <w:rFonts w:cstheme="minorHAnsi"/>
          <w:bCs/>
          <w:color w:val="C00000"/>
        </w:rPr>
        <w:t xml:space="preserve"> BMI 30+ category (the group with the highest frequency</w:t>
      </w:r>
      <w:r w:rsidR="00E51525" w:rsidRPr="00E679FE">
        <w:rPr>
          <w:rFonts w:cstheme="minorHAnsi"/>
          <w:bCs/>
          <w:color w:val="C00000"/>
        </w:rPr>
        <w:t xml:space="preserve">). </w:t>
      </w:r>
      <w:r w:rsidR="00F40714" w:rsidRPr="00E679FE">
        <w:rPr>
          <w:rFonts w:cstheme="minorHAnsi"/>
          <w:bCs/>
          <w:color w:val="C00000"/>
        </w:rPr>
        <w:t>Given</w:t>
      </w:r>
      <w:r w:rsidR="00E51525" w:rsidRPr="00E679FE">
        <w:rPr>
          <w:rFonts w:cstheme="minorHAnsi"/>
          <w:bCs/>
          <w:color w:val="C00000"/>
        </w:rPr>
        <w:t xml:space="preserve"> such a small </w:t>
      </w:r>
      <w:r w:rsidR="00F40714" w:rsidRPr="00E679FE">
        <w:rPr>
          <w:rFonts w:cstheme="minorHAnsi"/>
          <w:bCs/>
          <w:color w:val="C00000"/>
        </w:rPr>
        <w:t xml:space="preserve">percent of missing </w:t>
      </w:r>
      <w:r w:rsidR="00E51525" w:rsidRPr="00E679FE">
        <w:rPr>
          <w:rFonts w:cstheme="minorHAnsi"/>
          <w:bCs/>
          <w:color w:val="C00000"/>
        </w:rPr>
        <w:t xml:space="preserve">(0.15% </w:t>
      </w:r>
      <w:r w:rsidR="00C05693" w:rsidRPr="00E679FE">
        <w:rPr>
          <w:rFonts w:cstheme="minorHAnsi"/>
          <w:bCs/>
          <w:color w:val="C00000"/>
        </w:rPr>
        <w:t>for BMI and 1.2% for CMS 2728 from</w:t>
      </w:r>
      <w:r w:rsidR="00E51525" w:rsidRPr="00E679FE">
        <w:rPr>
          <w:rFonts w:cstheme="minorHAnsi"/>
          <w:bCs/>
          <w:color w:val="C00000"/>
        </w:rPr>
        <w:t xml:space="preserve">), </w:t>
      </w:r>
      <w:r w:rsidR="00F81B23" w:rsidRPr="00E679FE">
        <w:rPr>
          <w:rFonts w:cstheme="minorHAnsi"/>
          <w:bCs/>
          <w:color w:val="C00000"/>
        </w:rPr>
        <w:t xml:space="preserve">the </w:t>
      </w:r>
      <w:r w:rsidR="00E51525" w:rsidRPr="00E679FE">
        <w:rPr>
          <w:rFonts w:cstheme="minorHAnsi"/>
          <w:bCs/>
          <w:color w:val="C00000"/>
        </w:rPr>
        <w:t>impa</w:t>
      </w:r>
      <w:r w:rsidR="00C05693" w:rsidRPr="00E679FE">
        <w:rPr>
          <w:rFonts w:cstheme="minorHAnsi"/>
          <w:bCs/>
          <w:color w:val="C00000"/>
        </w:rPr>
        <w:t>ct of missing data</w:t>
      </w:r>
      <w:r w:rsidR="00E51525" w:rsidRPr="00E679FE">
        <w:rPr>
          <w:rFonts w:cstheme="minorHAnsi"/>
          <w:bCs/>
          <w:color w:val="C00000"/>
        </w:rPr>
        <w:t xml:space="preserve"> </w:t>
      </w:r>
      <w:r w:rsidR="00F81B23" w:rsidRPr="00E679FE">
        <w:rPr>
          <w:rFonts w:cstheme="minorHAnsi"/>
          <w:bCs/>
          <w:color w:val="C00000"/>
        </w:rPr>
        <w:t>is negligible</w:t>
      </w:r>
      <w:r w:rsidR="00E51525" w:rsidRPr="00E679FE">
        <w:rPr>
          <w:rFonts w:cstheme="minorHAnsi"/>
          <w:bCs/>
          <w:color w:val="C00000"/>
        </w:rPr>
        <w:t>.</w:t>
      </w:r>
      <w:r w:rsidR="00F40714" w:rsidRPr="00E679FE">
        <w:rPr>
          <w:rFonts w:cstheme="minorHAnsi"/>
          <w:bCs/>
          <w:color w:val="C00000"/>
        </w:rPr>
        <w:t xml:space="preserve"> </w:t>
      </w:r>
      <w:r w:rsidR="008813C5">
        <w:rPr>
          <w:rFonts w:cstheme="minorHAnsi"/>
          <w:bCs/>
          <w:color w:val="C00000"/>
        </w:rPr>
        <w:t xml:space="preserve"> </w:t>
      </w:r>
    </w:p>
    <w:p w14:paraId="6D04E288" w14:textId="77777777" w:rsidR="009800AC" w:rsidRDefault="009800AC">
      <w:pPr>
        <w:autoSpaceDE w:val="0"/>
        <w:autoSpaceDN w:val="0"/>
        <w:adjustRightInd w:val="0"/>
        <w:spacing w:after="0" w:line="240" w:lineRule="auto"/>
        <w:rPr>
          <w:rFonts w:cstheme="minorHAnsi"/>
          <w:bCs/>
          <w:color w:val="C00000"/>
        </w:rPr>
      </w:pPr>
    </w:p>
    <w:p w14:paraId="10EC11CD" w14:textId="7EBE1485" w:rsidR="005758BF" w:rsidRDefault="00283B19">
      <w:pPr>
        <w:autoSpaceDE w:val="0"/>
        <w:autoSpaceDN w:val="0"/>
        <w:adjustRightInd w:val="0"/>
        <w:spacing w:after="0" w:line="240" w:lineRule="auto"/>
        <w:rPr>
          <w:rFonts w:cstheme="minorHAnsi"/>
          <w:bCs/>
          <w:color w:val="C00000"/>
        </w:rPr>
      </w:pPr>
      <w:r>
        <w:rPr>
          <w:rFonts w:cstheme="minorHAnsi"/>
          <w:bCs/>
          <w:color w:val="C00000"/>
        </w:rPr>
        <w:t xml:space="preserve">Failure to report vascular access type indicates facilities are not appropriately monitoring </w:t>
      </w:r>
      <w:r w:rsidR="008813C5">
        <w:rPr>
          <w:rFonts w:cstheme="minorHAnsi"/>
          <w:bCs/>
          <w:color w:val="C00000"/>
        </w:rPr>
        <w:t xml:space="preserve">or reporting </w:t>
      </w:r>
      <w:r>
        <w:rPr>
          <w:rFonts w:cstheme="minorHAnsi"/>
          <w:bCs/>
          <w:color w:val="C00000"/>
        </w:rPr>
        <w:t>vascular access outcomes</w:t>
      </w:r>
      <w:r w:rsidR="008813C5">
        <w:rPr>
          <w:rFonts w:cstheme="minorHAnsi"/>
          <w:bCs/>
          <w:color w:val="C00000"/>
        </w:rPr>
        <w:t xml:space="preserve"> as required</w:t>
      </w:r>
      <w:r>
        <w:rPr>
          <w:rFonts w:cstheme="minorHAnsi"/>
          <w:bCs/>
          <w:color w:val="C00000"/>
        </w:rPr>
        <w:t xml:space="preserve">.  </w:t>
      </w:r>
      <w:r w:rsidR="00BA1941" w:rsidRPr="00BA1941">
        <w:rPr>
          <w:rFonts w:cstheme="minorHAnsi"/>
          <w:bCs/>
          <w:color w:val="C00000"/>
        </w:rPr>
        <w:t xml:space="preserve">Reporting months with missing </w:t>
      </w:r>
      <w:r w:rsidR="00BA1941">
        <w:rPr>
          <w:rFonts w:cstheme="minorHAnsi"/>
          <w:bCs/>
          <w:color w:val="C00000"/>
        </w:rPr>
        <w:t xml:space="preserve">vascular access </w:t>
      </w:r>
      <w:r w:rsidR="00BA1941" w:rsidRPr="00BA1941">
        <w:rPr>
          <w:rFonts w:cstheme="minorHAnsi"/>
          <w:bCs/>
          <w:color w:val="C00000"/>
        </w:rPr>
        <w:t>values are not excluded from this measure</w:t>
      </w:r>
      <w:r w:rsidR="00BA1941">
        <w:rPr>
          <w:rFonts w:cstheme="minorHAnsi"/>
          <w:bCs/>
          <w:color w:val="C00000"/>
        </w:rPr>
        <w:t xml:space="preserve">. </w:t>
      </w:r>
      <w:r w:rsidRPr="00283B19">
        <w:rPr>
          <w:rFonts w:cstheme="minorHAnsi"/>
          <w:bCs/>
          <w:color w:val="C00000"/>
        </w:rPr>
        <w:t xml:space="preserve">We count patient months with missing vascular access type in the denominator for </w:t>
      </w:r>
      <w:r>
        <w:rPr>
          <w:rFonts w:cstheme="minorHAnsi"/>
          <w:bCs/>
          <w:color w:val="C00000"/>
        </w:rPr>
        <w:t xml:space="preserve">SFR, and </w:t>
      </w:r>
      <w:r w:rsidRPr="00283B19">
        <w:rPr>
          <w:rFonts w:cstheme="minorHAnsi"/>
          <w:bCs/>
          <w:color w:val="C00000"/>
        </w:rPr>
        <w:t>missing is treated as a “catheter”</w:t>
      </w:r>
      <w:r>
        <w:rPr>
          <w:rFonts w:cstheme="minorHAnsi"/>
          <w:bCs/>
          <w:color w:val="C00000"/>
        </w:rPr>
        <w:t xml:space="preserve"> and therefore does not count in the numerator for SFR.  Since these patient months are not excluded from the measure, </w:t>
      </w:r>
      <w:r w:rsidRPr="00283B19">
        <w:rPr>
          <w:rFonts w:cstheme="minorHAnsi"/>
          <w:bCs/>
          <w:color w:val="C00000"/>
        </w:rPr>
        <w:t xml:space="preserve">bias from missing vascular access type is not a consideration for the </w:t>
      </w:r>
      <w:r>
        <w:rPr>
          <w:rFonts w:cstheme="minorHAnsi"/>
          <w:bCs/>
          <w:color w:val="C00000"/>
        </w:rPr>
        <w:t xml:space="preserve">SFR. </w:t>
      </w:r>
    </w:p>
    <w:p w14:paraId="18630847" w14:textId="77777777" w:rsidR="005758BF" w:rsidRDefault="005758BF">
      <w:pPr>
        <w:autoSpaceDE w:val="0"/>
        <w:autoSpaceDN w:val="0"/>
        <w:adjustRightInd w:val="0"/>
        <w:spacing w:after="0" w:line="240" w:lineRule="auto"/>
        <w:rPr>
          <w:rFonts w:cstheme="minorHAnsi"/>
          <w:bCs/>
          <w:color w:val="C00000"/>
        </w:rPr>
      </w:pPr>
    </w:p>
    <w:p w14:paraId="0DA2235B" w14:textId="535EE422" w:rsidR="00AD5B9D" w:rsidRDefault="00C01EE7">
      <w:pPr>
        <w:autoSpaceDE w:val="0"/>
        <w:autoSpaceDN w:val="0"/>
        <w:adjustRightInd w:val="0"/>
        <w:spacing w:after="0" w:line="240" w:lineRule="auto"/>
        <w:rPr>
          <w:color w:val="C00000"/>
        </w:rPr>
      </w:pPr>
      <w:r>
        <w:rPr>
          <w:rFonts w:cstheme="minorHAnsi"/>
          <w:bCs/>
          <w:color w:val="C00000"/>
        </w:rPr>
        <w:t xml:space="preserve">Incomplete comorbidity </w:t>
      </w:r>
      <w:r w:rsidR="00623B13">
        <w:rPr>
          <w:rFonts w:cstheme="minorHAnsi"/>
          <w:bCs/>
          <w:color w:val="C00000"/>
        </w:rPr>
        <w:t xml:space="preserve">ascertainment </w:t>
      </w:r>
      <w:r w:rsidR="000F64AC">
        <w:rPr>
          <w:rFonts w:cstheme="minorHAnsi"/>
          <w:bCs/>
          <w:color w:val="C00000"/>
        </w:rPr>
        <w:t xml:space="preserve">for comorbidity risk adjustment </w:t>
      </w:r>
      <w:r w:rsidR="005051B5">
        <w:rPr>
          <w:rFonts w:cstheme="minorHAnsi"/>
          <w:bCs/>
          <w:color w:val="C00000"/>
        </w:rPr>
        <w:t xml:space="preserve">is </w:t>
      </w:r>
      <w:r w:rsidR="000F64AC">
        <w:rPr>
          <w:rFonts w:cstheme="minorHAnsi"/>
          <w:bCs/>
          <w:color w:val="C00000"/>
        </w:rPr>
        <w:t xml:space="preserve">mitigated </w:t>
      </w:r>
      <w:r w:rsidR="005051B5">
        <w:rPr>
          <w:rFonts w:cstheme="minorHAnsi"/>
          <w:bCs/>
          <w:color w:val="C00000"/>
        </w:rPr>
        <w:t xml:space="preserve">through </w:t>
      </w:r>
      <w:r w:rsidR="000F64AC">
        <w:rPr>
          <w:rFonts w:cstheme="minorHAnsi"/>
          <w:bCs/>
          <w:color w:val="C00000"/>
        </w:rPr>
        <w:t>an indicator (</w:t>
      </w:r>
      <w:r>
        <w:rPr>
          <w:color w:val="C00000"/>
        </w:rPr>
        <w:t xml:space="preserve">6 months </w:t>
      </w:r>
      <w:r w:rsidR="000F64AC">
        <w:rPr>
          <w:color w:val="C00000"/>
        </w:rPr>
        <w:t xml:space="preserve">or more </w:t>
      </w:r>
      <w:r>
        <w:rPr>
          <w:color w:val="C00000"/>
        </w:rPr>
        <w:t xml:space="preserve">of Medicare covered months in the prior </w:t>
      </w:r>
      <w:r w:rsidR="00CA22E8">
        <w:rPr>
          <w:color w:val="C00000"/>
        </w:rPr>
        <w:t>12 months</w:t>
      </w:r>
      <w:r>
        <w:rPr>
          <w:color w:val="C00000"/>
        </w:rPr>
        <w:t xml:space="preserve"> or </w:t>
      </w:r>
      <w:r w:rsidR="0009682A" w:rsidRPr="00081161">
        <w:rPr>
          <w:color w:val="C00000"/>
        </w:rPr>
        <w:t xml:space="preserve">1 </w:t>
      </w:r>
      <w:r>
        <w:rPr>
          <w:color w:val="C00000"/>
        </w:rPr>
        <w:t xml:space="preserve">month </w:t>
      </w:r>
      <w:r w:rsidR="000F64AC">
        <w:rPr>
          <w:color w:val="C00000"/>
        </w:rPr>
        <w:t xml:space="preserve">or more </w:t>
      </w:r>
      <w:r w:rsidR="0009682A" w:rsidRPr="00081161">
        <w:rPr>
          <w:color w:val="C00000"/>
        </w:rPr>
        <w:t xml:space="preserve">of MA coverage </w:t>
      </w:r>
      <w:r>
        <w:rPr>
          <w:color w:val="C00000"/>
        </w:rPr>
        <w:t xml:space="preserve">in the prior </w:t>
      </w:r>
      <w:r w:rsidR="00CA22E8">
        <w:rPr>
          <w:color w:val="C00000"/>
        </w:rPr>
        <w:t>12 months</w:t>
      </w:r>
      <w:r w:rsidR="000F64AC">
        <w:rPr>
          <w:color w:val="C00000"/>
        </w:rPr>
        <w:t>)</w:t>
      </w:r>
      <w:r w:rsidR="0009682A" w:rsidRPr="00081161">
        <w:rPr>
          <w:color w:val="C00000"/>
        </w:rPr>
        <w:t xml:space="preserve">. Using this indicator </w:t>
      </w:r>
      <w:r>
        <w:rPr>
          <w:color w:val="C00000"/>
        </w:rPr>
        <w:t xml:space="preserve">helps </w:t>
      </w:r>
      <w:r w:rsidR="0009682A" w:rsidRPr="00081161">
        <w:rPr>
          <w:color w:val="C00000"/>
        </w:rPr>
        <w:t>minimize</w:t>
      </w:r>
      <w:r>
        <w:rPr>
          <w:color w:val="C00000"/>
        </w:rPr>
        <w:t xml:space="preserve"> </w:t>
      </w:r>
      <w:r w:rsidR="0009682A" w:rsidRPr="00081161">
        <w:rPr>
          <w:color w:val="C00000"/>
        </w:rPr>
        <w:t xml:space="preserve">risk of biased measure scores. Patients with less than 6 months of Medicare covered months or less than one </w:t>
      </w:r>
      <w:r w:rsidR="005B4A87">
        <w:rPr>
          <w:color w:val="C00000"/>
        </w:rPr>
        <w:t xml:space="preserve">month of </w:t>
      </w:r>
      <w:r w:rsidR="0009682A" w:rsidRPr="00081161">
        <w:rPr>
          <w:color w:val="C00000"/>
        </w:rPr>
        <w:t xml:space="preserve">MA coverage in the prior </w:t>
      </w:r>
      <w:r w:rsidR="00CA22E8">
        <w:rPr>
          <w:color w:val="C00000"/>
        </w:rPr>
        <w:t>12 months</w:t>
      </w:r>
      <w:r w:rsidR="0009682A" w:rsidRPr="00081161">
        <w:rPr>
          <w:color w:val="C00000"/>
        </w:rPr>
        <w:t xml:space="preserve"> were not excluded from the SFR model. </w:t>
      </w:r>
      <w:r w:rsidR="00F06333">
        <w:rPr>
          <w:color w:val="C00000"/>
        </w:rPr>
        <w:t>T</w:t>
      </w:r>
      <w:r w:rsidR="0009682A" w:rsidRPr="00081161">
        <w:rPr>
          <w:color w:val="C00000"/>
        </w:rPr>
        <w:t xml:space="preserve">he percentage of </w:t>
      </w:r>
      <w:r w:rsidR="00C353F4" w:rsidRPr="00C353F4">
        <w:rPr>
          <w:color w:val="C00000"/>
        </w:rPr>
        <w:t xml:space="preserve">patient months we are unable to </w:t>
      </w:r>
      <w:r w:rsidR="00F211EA">
        <w:rPr>
          <w:color w:val="C00000"/>
        </w:rPr>
        <w:t>identify</w:t>
      </w:r>
      <w:r w:rsidR="00C353F4" w:rsidRPr="00C353F4">
        <w:rPr>
          <w:color w:val="C00000"/>
        </w:rPr>
        <w:t xml:space="preserve"> prevalent comorbidities </w:t>
      </w:r>
      <w:r w:rsidR="000F64AC">
        <w:rPr>
          <w:color w:val="C00000"/>
        </w:rPr>
        <w:t xml:space="preserve">for risk adjustment or the comorbidity exclusions </w:t>
      </w:r>
      <w:r w:rsidR="0009682A" w:rsidRPr="00081161">
        <w:rPr>
          <w:color w:val="C00000"/>
        </w:rPr>
        <w:t>is 23</w:t>
      </w:r>
      <w:r w:rsidR="000F64AC">
        <w:rPr>
          <w:color w:val="C00000"/>
        </w:rPr>
        <w:t>.2</w:t>
      </w:r>
      <w:r w:rsidR="00047B9F">
        <w:rPr>
          <w:color w:val="C00000"/>
        </w:rPr>
        <w:t>1</w:t>
      </w:r>
      <w:r w:rsidR="0009682A" w:rsidRPr="00081161">
        <w:rPr>
          <w:color w:val="C00000"/>
        </w:rPr>
        <w:t xml:space="preserve">%, </w:t>
      </w:r>
      <w:r w:rsidR="003E3FD4">
        <w:rPr>
          <w:color w:val="C00000"/>
        </w:rPr>
        <w:t xml:space="preserve">and 21.4% respectively </w:t>
      </w:r>
      <w:r w:rsidR="00F06333">
        <w:rPr>
          <w:color w:val="C00000"/>
        </w:rPr>
        <w:t xml:space="preserve">and </w:t>
      </w:r>
      <w:r w:rsidR="0009682A" w:rsidRPr="00081161">
        <w:rPr>
          <w:color w:val="C00000"/>
        </w:rPr>
        <w:t xml:space="preserve">we acknowledge this is a general limitation of relying on </w:t>
      </w:r>
      <w:r w:rsidR="00623B13">
        <w:rPr>
          <w:color w:val="C00000"/>
        </w:rPr>
        <w:t xml:space="preserve">FFS </w:t>
      </w:r>
      <w:r w:rsidR="0009682A" w:rsidRPr="00081161">
        <w:rPr>
          <w:color w:val="C00000"/>
        </w:rPr>
        <w:t xml:space="preserve">Medicare claims for ascertaining comorbidities. </w:t>
      </w:r>
      <w:r w:rsidR="000F64AC">
        <w:rPr>
          <w:color w:val="C00000"/>
        </w:rPr>
        <w:t xml:space="preserve"> </w:t>
      </w:r>
      <w:r w:rsidR="00F06333">
        <w:rPr>
          <w:color w:val="C00000"/>
        </w:rPr>
        <w:t>However</w:t>
      </w:r>
      <w:r w:rsidR="00932903">
        <w:rPr>
          <w:color w:val="C00000"/>
        </w:rPr>
        <w:t>, a</w:t>
      </w:r>
      <w:r w:rsidR="00AD5B9D">
        <w:rPr>
          <w:color w:val="C00000"/>
        </w:rPr>
        <w:t>s shown in the exclusion analysis</w:t>
      </w:r>
      <w:r w:rsidR="00932903">
        <w:rPr>
          <w:color w:val="C00000"/>
        </w:rPr>
        <w:t xml:space="preserve">, </w:t>
      </w:r>
      <w:r w:rsidR="00AD5B9D">
        <w:rPr>
          <w:color w:val="C00000"/>
        </w:rPr>
        <w:t>SFR with and without the exclusions applied are highly correlated</w:t>
      </w:r>
      <w:r w:rsidR="00932903">
        <w:rPr>
          <w:color w:val="C00000"/>
        </w:rPr>
        <w:t xml:space="preserve">. This suggests the unavailability of claims </w:t>
      </w:r>
      <w:r w:rsidR="000F64AC">
        <w:rPr>
          <w:color w:val="C00000"/>
        </w:rPr>
        <w:t xml:space="preserve">for non-Medicare patients </w:t>
      </w:r>
      <w:r w:rsidR="00932903">
        <w:rPr>
          <w:color w:val="C00000"/>
        </w:rPr>
        <w:t>to identify exclusions does not bias SFR performance scores</w:t>
      </w:r>
      <w:r w:rsidR="00AD5B9D">
        <w:rPr>
          <w:color w:val="C00000"/>
        </w:rPr>
        <w:t xml:space="preserve">. </w:t>
      </w:r>
    </w:p>
    <w:p w14:paraId="0CABD020" w14:textId="66666819" w:rsidR="00BA053B" w:rsidRPr="00522B2F" w:rsidRDefault="00BA053B">
      <w:pPr>
        <w:autoSpaceDE w:val="0"/>
        <w:autoSpaceDN w:val="0"/>
        <w:adjustRightInd w:val="0"/>
        <w:spacing w:after="0" w:line="240" w:lineRule="auto"/>
        <w:rPr>
          <w:rFonts w:cstheme="minorHAnsi"/>
          <w:bCs/>
          <w:color w:val="C00000"/>
        </w:rPr>
      </w:pPr>
    </w:p>
    <w:sectPr w:rsidR="00BA053B" w:rsidRPr="00522B2F" w:rsidSect="008505D1">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50AFE" w14:textId="77777777" w:rsidR="00081161" w:rsidRDefault="00081161" w:rsidP="005C73CA">
      <w:pPr>
        <w:spacing w:after="0" w:line="240" w:lineRule="auto"/>
      </w:pPr>
      <w:r>
        <w:separator/>
      </w:r>
    </w:p>
  </w:endnote>
  <w:endnote w:type="continuationSeparator" w:id="0">
    <w:p w14:paraId="54D3EA29" w14:textId="77777777" w:rsidR="00081161" w:rsidRDefault="0008116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660DC61D" w:rsidR="00081161" w:rsidRDefault="00081161">
    <w:pPr>
      <w:pStyle w:val="Footer"/>
    </w:pPr>
    <w:r>
      <w:t>Version 7.1 9/6/2017</w:t>
    </w:r>
    <w:r>
      <w:ptab w:relativeTo="margin" w:alignment="right" w:leader="none"/>
    </w:r>
    <w:r>
      <w:fldChar w:fldCharType="begin"/>
    </w:r>
    <w:r>
      <w:instrText xml:space="preserve"> PAGE   \* MERGEFORMAT </w:instrText>
    </w:r>
    <w:r>
      <w:fldChar w:fldCharType="separate"/>
    </w:r>
    <w:r w:rsidR="00484C9D">
      <w:rPr>
        <w:noProof/>
      </w:rPr>
      <w:t>32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9AB1B" w14:textId="77777777" w:rsidR="00081161" w:rsidRDefault="00081161" w:rsidP="005C73CA">
      <w:pPr>
        <w:spacing w:after="0" w:line="240" w:lineRule="auto"/>
      </w:pPr>
      <w:r>
        <w:separator/>
      </w:r>
    </w:p>
  </w:footnote>
  <w:footnote w:type="continuationSeparator" w:id="0">
    <w:p w14:paraId="67B64C5E" w14:textId="77777777" w:rsidR="00081161" w:rsidRDefault="00081161"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081161" w:rsidRPr="00105D8B" w:rsidRDefault="00081161"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549C9"/>
    <w:multiLevelType w:val="hybridMultilevel"/>
    <w:tmpl w:val="C3588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3D6C44"/>
    <w:multiLevelType w:val="hybridMultilevel"/>
    <w:tmpl w:val="6E3EAA9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F31B7A"/>
    <w:multiLevelType w:val="hybridMultilevel"/>
    <w:tmpl w:val="AD1E0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2D21A0"/>
    <w:multiLevelType w:val="hybridMultilevel"/>
    <w:tmpl w:val="D1BCA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7AD24CC"/>
    <w:multiLevelType w:val="hybridMultilevel"/>
    <w:tmpl w:val="BDEE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6E612C"/>
    <w:multiLevelType w:val="hybridMultilevel"/>
    <w:tmpl w:val="22C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450E0"/>
    <w:multiLevelType w:val="hybridMultilevel"/>
    <w:tmpl w:val="E5406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4"/>
  </w:num>
  <w:num w:numId="4">
    <w:abstractNumId w:val="7"/>
  </w:num>
  <w:num w:numId="5">
    <w:abstractNumId w:val="3"/>
  </w:num>
  <w:num w:numId="6">
    <w:abstractNumId w:val="2"/>
  </w:num>
  <w:num w:numId="7">
    <w:abstractNumId w:val="5"/>
  </w:num>
  <w:num w:numId="8">
    <w:abstractNumId w:val="25"/>
  </w:num>
  <w:num w:numId="9">
    <w:abstractNumId w:val="12"/>
  </w:num>
  <w:num w:numId="10">
    <w:abstractNumId w:val="30"/>
  </w:num>
  <w:num w:numId="11">
    <w:abstractNumId w:val="14"/>
  </w:num>
  <w:num w:numId="12">
    <w:abstractNumId w:val="28"/>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0"/>
  </w:num>
  <w:num w:numId="17">
    <w:abstractNumId w:val="29"/>
  </w:num>
  <w:num w:numId="18">
    <w:abstractNumId w:val="27"/>
  </w:num>
  <w:num w:numId="19">
    <w:abstractNumId w:val="26"/>
  </w:num>
  <w:num w:numId="20">
    <w:abstractNumId w:val="19"/>
  </w:num>
  <w:num w:numId="21">
    <w:abstractNumId w:val="23"/>
  </w:num>
  <w:num w:numId="22">
    <w:abstractNumId w:val="18"/>
  </w:num>
  <w:num w:numId="23">
    <w:abstractNumId w:val="8"/>
  </w:num>
  <w:num w:numId="24">
    <w:abstractNumId w:val="16"/>
  </w:num>
  <w:num w:numId="25">
    <w:abstractNumId w:val="15"/>
  </w:num>
  <w:num w:numId="26">
    <w:abstractNumId w:val="32"/>
  </w:num>
  <w:num w:numId="27">
    <w:abstractNumId w:val="0"/>
  </w:num>
  <w:num w:numId="28">
    <w:abstractNumId w:val="11"/>
  </w:num>
  <w:num w:numId="29">
    <w:abstractNumId w:val="20"/>
  </w:num>
  <w:num w:numId="30">
    <w:abstractNumId w:val="34"/>
  </w:num>
  <w:num w:numId="31">
    <w:abstractNumId w:val="1"/>
  </w:num>
  <w:num w:numId="32">
    <w:abstractNumId w:val="9"/>
  </w:num>
  <w:num w:numId="33">
    <w:abstractNumId w:val="24"/>
  </w:num>
  <w:num w:numId="34">
    <w:abstractNumId w:val="33"/>
  </w:num>
  <w:num w:numId="35">
    <w:abstractNumId w:val="31"/>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5543"/>
    <w:rsid w:val="00005DBF"/>
    <w:rsid w:val="0001094F"/>
    <w:rsid w:val="00012A3D"/>
    <w:rsid w:val="00021170"/>
    <w:rsid w:val="0002128B"/>
    <w:rsid w:val="00024DFD"/>
    <w:rsid w:val="00027AB8"/>
    <w:rsid w:val="00030186"/>
    <w:rsid w:val="000309DD"/>
    <w:rsid w:val="00031414"/>
    <w:rsid w:val="00033038"/>
    <w:rsid w:val="00033D63"/>
    <w:rsid w:val="0003436F"/>
    <w:rsid w:val="000414E8"/>
    <w:rsid w:val="0004593A"/>
    <w:rsid w:val="00047B9F"/>
    <w:rsid w:val="00050A3E"/>
    <w:rsid w:val="00052A6F"/>
    <w:rsid w:val="00053F02"/>
    <w:rsid w:val="0005612B"/>
    <w:rsid w:val="000574AB"/>
    <w:rsid w:val="0006147A"/>
    <w:rsid w:val="0006234F"/>
    <w:rsid w:val="000775F8"/>
    <w:rsid w:val="00080CF7"/>
    <w:rsid w:val="00081161"/>
    <w:rsid w:val="00081339"/>
    <w:rsid w:val="000851B2"/>
    <w:rsid w:val="00092566"/>
    <w:rsid w:val="0009682A"/>
    <w:rsid w:val="000968F8"/>
    <w:rsid w:val="00097012"/>
    <w:rsid w:val="000A4361"/>
    <w:rsid w:val="000B032A"/>
    <w:rsid w:val="000B2DF7"/>
    <w:rsid w:val="000B3880"/>
    <w:rsid w:val="000B7D57"/>
    <w:rsid w:val="000C036D"/>
    <w:rsid w:val="000C0FF8"/>
    <w:rsid w:val="000D2722"/>
    <w:rsid w:val="000D6854"/>
    <w:rsid w:val="000D7948"/>
    <w:rsid w:val="000D7C84"/>
    <w:rsid w:val="000E2BAF"/>
    <w:rsid w:val="000E4E13"/>
    <w:rsid w:val="000E78F6"/>
    <w:rsid w:val="000F034A"/>
    <w:rsid w:val="000F06B5"/>
    <w:rsid w:val="000F1B7A"/>
    <w:rsid w:val="000F39E9"/>
    <w:rsid w:val="000F64AC"/>
    <w:rsid w:val="00104B45"/>
    <w:rsid w:val="00105D8B"/>
    <w:rsid w:val="0011342F"/>
    <w:rsid w:val="001202E9"/>
    <w:rsid w:val="00120452"/>
    <w:rsid w:val="0012454F"/>
    <w:rsid w:val="00125273"/>
    <w:rsid w:val="0012575E"/>
    <w:rsid w:val="00127C06"/>
    <w:rsid w:val="00145149"/>
    <w:rsid w:val="00145D4F"/>
    <w:rsid w:val="0014773C"/>
    <w:rsid w:val="001524AB"/>
    <w:rsid w:val="00175229"/>
    <w:rsid w:val="0017696D"/>
    <w:rsid w:val="001848FC"/>
    <w:rsid w:val="0018783D"/>
    <w:rsid w:val="00192910"/>
    <w:rsid w:val="001932EF"/>
    <w:rsid w:val="00193F21"/>
    <w:rsid w:val="001969C5"/>
    <w:rsid w:val="001A6CDD"/>
    <w:rsid w:val="001B03EF"/>
    <w:rsid w:val="001C0017"/>
    <w:rsid w:val="001C12EE"/>
    <w:rsid w:val="001C7B02"/>
    <w:rsid w:val="001D07F9"/>
    <w:rsid w:val="001E3F78"/>
    <w:rsid w:val="001E4DD4"/>
    <w:rsid w:val="001E5B17"/>
    <w:rsid w:val="001E69DC"/>
    <w:rsid w:val="001F0FB2"/>
    <w:rsid w:val="001F169D"/>
    <w:rsid w:val="001F1DA1"/>
    <w:rsid w:val="001F6F93"/>
    <w:rsid w:val="001F7A20"/>
    <w:rsid w:val="0021054A"/>
    <w:rsid w:val="0021195A"/>
    <w:rsid w:val="00213383"/>
    <w:rsid w:val="00220250"/>
    <w:rsid w:val="00222444"/>
    <w:rsid w:val="0022691B"/>
    <w:rsid w:val="00232163"/>
    <w:rsid w:val="00236B7C"/>
    <w:rsid w:val="002376F8"/>
    <w:rsid w:val="002408E4"/>
    <w:rsid w:val="00241591"/>
    <w:rsid w:val="002462A4"/>
    <w:rsid w:val="00250B4F"/>
    <w:rsid w:val="0025762F"/>
    <w:rsid w:val="00275563"/>
    <w:rsid w:val="002767BF"/>
    <w:rsid w:val="0028114D"/>
    <w:rsid w:val="00283B19"/>
    <w:rsid w:val="00287649"/>
    <w:rsid w:val="00287E84"/>
    <w:rsid w:val="0029286C"/>
    <w:rsid w:val="0029300E"/>
    <w:rsid w:val="00293493"/>
    <w:rsid w:val="002A0A2A"/>
    <w:rsid w:val="002A21E2"/>
    <w:rsid w:val="002B0C3A"/>
    <w:rsid w:val="002B2116"/>
    <w:rsid w:val="002B2D9B"/>
    <w:rsid w:val="002B5016"/>
    <w:rsid w:val="002B742C"/>
    <w:rsid w:val="002B7F4D"/>
    <w:rsid w:val="002C285C"/>
    <w:rsid w:val="002C50FF"/>
    <w:rsid w:val="002C6E6C"/>
    <w:rsid w:val="002C7BE4"/>
    <w:rsid w:val="002D0339"/>
    <w:rsid w:val="002D417D"/>
    <w:rsid w:val="002D5E5D"/>
    <w:rsid w:val="002E3041"/>
    <w:rsid w:val="002E76DD"/>
    <w:rsid w:val="002E78A0"/>
    <w:rsid w:val="002F2687"/>
    <w:rsid w:val="002F44A0"/>
    <w:rsid w:val="002F48E1"/>
    <w:rsid w:val="002F4F3B"/>
    <w:rsid w:val="00304C86"/>
    <w:rsid w:val="00304F63"/>
    <w:rsid w:val="003059EB"/>
    <w:rsid w:val="003116AC"/>
    <w:rsid w:val="00315567"/>
    <w:rsid w:val="0031743B"/>
    <w:rsid w:val="00330144"/>
    <w:rsid w:val="00334329"/>
    <w:rsid w:val="00345CBA"/>
    <w:rsid w:val="00346245"/>
    <w:rsid w:val="00350901"/>
    <w:rsid w:val="0035286C"/>
    <w:rsid w:val="00353793"/>
    <w:rsid w:val="00356267"/>
    <w:rsid w:val="00356BAD"/>
    <w:rsid w:val="003605B4"/>
    <w:rsid w:val="003627AC"/>
    <w:rsid w:val="00366914"/>
    <w:rsid w:val="00372FE3"/>
    <w:rsid w:val="003755CB"/>
    <w:rsid w:val="00383F85"/>
    <w:rsid w:val="00387BA1"/>
    <w:rsid w:val="0039258D"/>
    <w:rsid w:val="0039626B"/>
    <w:rsid w:val="003A306C"/>
    <w:rsid w:val="003A7DE7"/>
    <w:rsid w:val="003B0F84"/>
    <w:rsid w:val="003B1006"/>
    <w:rsid w:val="003C5F11"/>
    <w:rsid w:val="003D294B"/>
    <w:rsid w:val="003D6401"/>
    <w:rsid w:val="003E1863"/>
    <w:rsid w:val="003E3FD4"/>
    <w:rsid w:val="003F7FDD"/>
    <w:rsid w:val="00404065"/>
    <w:rsid w:val="0041606D"/>
    <w:rsid w:val="00416962"/>
    <w:rsid w:val="00417CC8"/>
    <w:rsid w:val="004206A8"/>
    <w:rsid w:val="00424C4A"/>
    <w:rsid w:val="00431415"/>
    <w:rsid w:val="004348CC"/>
    <w:rsid w:val="00437105"/>
    <w:rsid w:val="00450C58"/>
    <w:rsid w:val="004658FF"/>
    <w:rsid w:val="00474ED7"/>
    <w:rsid w:val="004756E1"/>
    <w:rsid w:val="00476B57"/>
    <w:rsid w:val="0048008A"/>
    <w:rsid w:val="00482ABA"/>
    <w:rsid w:val="00483E94"/>
    <w:rsid w:val="00484120"/>
    <w:rsid w:val="00484C9D"/>
    <w:rsid w:val="004853A0"/>
    <w:rsid w:val="00496B5F"/>
    <w:rsid w:val="00497F60"/>
    <w:rsid w:val="004A2E10"/>
    <w:rsid w:val="004B17FF"/>
    <w:rsid w:val="004B1BA0"/>
    <w:rsid w:val="004B6A36"/>
    <w:rsid w:val="004B6B9D"/>
    <w:rsid w:val="004B6CEE"/>
    <w:rsid w:val="004C2443"/>
    <w:rsid w:val="004C498F"/>
    <w:rsid w:val="004C5D29"/>
    <w:rsid w:val="004C681A"/>
    <w:rsid w:val="004D4D8A"/>
    <w:rsid w:val="004F68EE"/>
    <w:rsid w:val="005038D5"/>
    <w:rsid w:val="005051B5"/>
    <w:rsid w:val="00511BA4"/>
    <w:rsid w:val="005149E7"/>
    <w:rsid w:val="00522B2F"/>
    <w:rsid w:val="005232D6"/>
    <w:rsid w:val="005333CC"/>
    <w:rsid w:val="005363F1"/>
    <w:rsid w:val="00537C1B"/>
    <w:rsid w:val="00541C12"/>
    <w:rsid w:val="0055007C"/>
    <w:rsid w:val="00554922"/>
    <w:rsid w:val="00555282"/>
    <w:rsid w:val="005560E7"/>
    <w:rsid w:val="005612CC"/>
    <w:rsid w:val="00563029"/>
    <w:rsid w:val="0056345A"/>
    <w:rsid w:val="00565946"/>
    <w:rsid w:val="00567D12"/>
    <w:rsid w:val="005758BF"/>
    <w:rsid w:val="00576062"/>
    <w:rsid w:val="005865FF"/>
    <w:rsid w:val="0059559F"/>
    <w:rsid w:val="005A49FF"/>
    <w:rsid w:val="005A56A3"/>
    <w:rsid w:val="005A7634"/>
    <w:rsid w:val="005B4A87"/>
    <w:rsid w:val="005B6F04"/>
    <w:rsid w:val="005C0447"/>
    <w:rsid w:val="005C739F"/>
    <w:rsid w:val="005C73CA"/>
    <w:rsid w:val="005D0B10"/>
    <w:rsid w:val="005D17C0"/>
    <w:rsid w:val="005D4768"/>
    <w:rsid w:val="005E0C8D"/>
    <w:rsid w:val="005E1F47"/>
    <w:rsid w:val="005E29AD"/>
    <w:rsid w:val="005E2CAB"/>
    <w:rsid w:val="005E429E"/>
    <w:rsid w:val="005E7938"/>
    <w:rsid w:val="005F3BB5"/>
    <w:rsid w:val="005F53E0"/>
    <w:rsid w:val="00601ED4"/>
    <w:rsid w:val="0060274C"/>
    <w:rsid w:val="006030BC"/>
    <w:rsid w:val="006105EB"/>
    <w:rsid w:val="00611083"/>
    <w:rsid w:val="00612866"/>
    <w:rsid w:val="00616EB5"/>
    <w:rsid w:val="006213BE"/>
    <w:rsid w:val="00622562"/>
    <w:rsid w:val="00623B13"/>
    <w:rsid w:val="006269D4"/>
    <w:rsid w:val="006327D8"/>
    <w:rsid w:val="0064070A"/>
    <w:rsid w:val="00643A01"/>
    <w:rsid w:val="00651D44"/>
    <w:rsid w:val="006574D2"/>
    <w:rsid w:val="00661E56"/>
    <w:rsid w:val="00663563"/>
    <w:rsid w:val="006676D4"/>
    <w:rsid w:val="006732D2"/>
    <w:rsid w:val="00675535"/>
    <w:rsid w:val="00681359"/>
    <w:rsid w:val="00690E9C"/>
    <w:rsid w:val="0069157C"/>
    <w:rsid w:val="00696262"/>
    <w:rsid w:val="006C173A"/>
    <w:rsid w:val="006C30B8"/>
    <w:rsid w:val="006C3A4F"/>
    <w:rsid w:val="006C4845"/>
    <w:rsid w:val="006D4119"/>
    <w:rsid w:val="006D5649"/>
    <w:rsid w:val="006D6BC1"/>
    <w:rsid w:val="006E2BFC"/>
    <w:rsid w:val="006E5C57"/>
    <w:rsid w:val="006F0DAB"/>
    <w:rsid w:val="006F22A5"/>
    <w:rsid w:val="00702C73"/>
    <w:rsid w:val="00712C19"/>
    <w:rsid w:val="00713394"/>
    <w:rsid w:val="007216C7"/>
    <w:rsid w:val="00724677"/>
    <w:rsid w:val="007253CE"/>
    <w:rsid w:val="00725AC2"/>
    <w:rsid w:val="007308E6"/>
    <w:rsid w:val="00732880"/>
    <w:rsid w:val="00732DDE"/>
    <w:rsid w:val="007416B9"/>
    <w:rsid w:val="007422FD"/>
    <w:rsid w:val="00743E46"/>
    <w:rsid w:val="00747C45"/>
    <w:rsid w:val="00756FDB"/>
    <w:rsid w:val="007629B6"/>
    <w:rsid w:val="007665BF"/>
    <w:rsid w:val="00771B2A"/>
    <w:rsid w:val="00774AF8"/>
    <w:rsid w:val="007757CE"/>
    <w:rsid w:val="00775800"/>
    <w:rsid w:val="007876AC"/>
    <w:rsid w:val="0079180E"/>
    <w:rsid w:val="007950CC"/>
    <w:rsid w:val="0079538B"/>
    <w:rsid w:val="007961B8"/>
    <w:rsid w:val="00797624"/>
    <w:rsid w:val="007A332B"/>
    <w:rsid w:val="007A4828"/>
    <w:rsid w:val="007B093D"/>
    <w:rsid w:val="007B2069"/>
    <w:rsid w:val="007B62C8"/>
    <w:rsid w:val="007C04A1"/>
    <w:rsid w:val="007C21FA"/>
    <w:rsid w:val="007C59FB"/>
    <w:rsid w:val="007D13B1"/>
    <w:rsid w:val="007D4351"/>
    <w:rsid w:val="007D7019"/>
    <w:rsid w:val="007E18DB"/>
    <w:rsid w:val="007E6F1C"/>
    <w:rsid w:val="00801F0F"/>
    <w:rsid w:val="00804C69"/>
    <w:rsid w:val="0080711D"/>
    <w:rsid w:val="008155CD"/>
    <w:rsid w:val="00822F36"/>
    <w:rsid w:val="008276C3"/>
    <w:rsid w:val="00833325"/>
    <w:rsid w:val="008357A5"/>
    <w:rsid w:val="00840A41"/>
    <w:rsid w:val="00842F3C"/>
    <w:rsid w:val="008505D1"/>
    <w:rsid w:val="008508E7"/>
    <w:rsid w:val="00855158"/>
    <w:rsid w:val="008579C3"/>
    <w:rsid w:val="00857EE8"/>
    <w:rsid w:val="00863F9E"/>
    <w:rsid w:val="0086464B"/>
    <w:rsid w:val="008647FC"/>
    <w:rsid w:val="00864CA8"/>
    <w:rsid w:val="00865E2D"/>
    <w:rsid w:val="00870E6C"/>
    <w:rsid w:val="00870FD8"/>
    <w:rsid w:val="00875846"/>
    <w:rsid w:val="008813C5"/>
    <w:rsid w:val="00884486"/>
    <w:rsid w:val="008871A9"/>
    <w:rsid w:val="008916BA"/>
    <w:rsid w:val="00892176"/>
    <w:rsid w:val="008A1341"/>
    <w:rsid w:val="008A1DB7"/>
    <w:rsid w:val="008A2E2A"/>
    <w:rsid w:val="008A403A"/>
    <w:rsid w:val="008A4C13"/>
    <w:rsid w:val="008B604D"/>
    <w:rsid w:val="008C40E4"/>
    <w:rsid w:val="008C54A9"/>
    <w:rsid w:val="008E3044"/>
    <w:rsid w:val="008E5A6D"/>
    <w:rsid w:val="008E67C3"/>
    <w:rsid w:val="008F589F"/>
    <w:rsid w:val="008F6C87"/>
    <w:rsid w:val="008F76A9"/>
    <w:rsid w:val="008F7E67"/>
    <w:rsid w:val="00900DBF"/>
    <w:rsid w:val="009048B9"/>
    <w:rsid w:val="00904A8F"/>
    <w:rsid w:val="00904E91"/>
    <w:rsid w:val="0091107C"/>
    <w:rsid w:val="009119B8"/>
    <w:rsid w:val="00915886"/>
    <w:rsid w:val="009214DC"/>
    <w:rsid w:val="00924033"/>
    <w:rsid w:val="00927027"/>
    <w:rsid w:val="00932903"/>
    <w:rsid w:val="00933B90"/>
    <w:rsid w:val="009344BA"/>
    <w:rsid w:val="00935917"/>
    <w:rsid w:val="00946E61"/>
    <w:rsid w:val="00947F78"/>
    <w:rsid w:val="00953234"/>
    <w:rsid w:val="00961EAF"/>
    <w:rsid w:val="0096278F"/>
    <w:rsid w:val="009726E1"/>
    <w:rsid w:val="00972A04"/>
    <w:rsid w:val="00977591"/>
    <w:rsid w:val="009800AC"/>
    <w:rsid w:val="00980E75"/>
    <w:rsid w:val="00983657"/>
    <w:rsid w:val="00994BE0"/>
    <w:rsid w:val="009A25B1"/>
    <w:rsid w:val="009A4608"/>
    <w:rsid w:val="009A6A57"/>
    <w:rsid w:val="009A70BF"/>
    <w:rsid w:val="009B1073"/>
    <w:rsid w:val="009B1A15"/>
    <w:rsid w:val="009C0852"/>
    <w:rsid w:val="009C13CA"/>
    <w:rsid w:val="009C32C6"/>
    <w:rsid w:val="009C665F"/>
    <w:rsid w:val="009C6C21"/>
    <w:rsid w:val="009C7513"/>
    <w:rsid w:val="009D2E8B"/>
    <w:rsid w:val="009D3882"/>
    <w:rsid w:val="009D4E53"/>
    <w:rsid w:val="009D7E38"/>
    <w:rsid w:val="009E095B"/>
    <w:rsid w:val="009E1846"/>
    <w:rsid w:val="009E675F"/>
    <w:rsid w:val="009E78FF"/>
    <w:rsid w:val="009F6DCC"/>
    <w:rsid w:val="00A01494"/>
    <w:rsid w:val="00A22FA9"/>
    <w:rsid w:val="00A25024"/>
    <w:rsid w:val="00A35A20"/>
    <w:rsid w:val="00A35F8F"/>
    <w:rsid w:val="00A41377"/>
    <w:rsid w:val="00A4263D"/>
    <w:rsid w:val="00A50770"/>
    <w:rsid w:val="00A509B8"/>
    <w:rsid w:val="00A52AB9"/>
    <w:rsid w:val="00A52DFF"/>
    <w:rsid w:val="00A6210B"/>
    <w:rsid w:val="00A6281F"/>
    <w:rsid w:val="00A64EBF"/>
    <w:rsid w:val="00A65713"/>
    <w:rsid w:val="00A71200"/>
    <w:rsid w:val="00A7323A"/>
    <w:rsid w:val="00A80770"/>
    <w:rsid w:val="00A831B4"/>
    <w:rsid w:val="00A96F5A"/>
    <w:rsid w:val="00A97798"/>
    <w:rsid w:val="00AA5213"/>
    <w:rsid w:val="00AA65A6"/>
    <w:rsid w:val="00AC0FCB"/>
    <w:rsid w:val="00AC1D8E"/>
    <w:rsid w:val="00AC48FA"/>
    <w:rsid w:val="00AD0240"/>
    <w:rsid w:val="00AD4137"/>
    <w:rsid w:val="00AD5B9D"/>
    <w:rsid w:val="00AE37A9"/>
    <w:rsid w:val="00AF2D68"/>
    <w:rsid w:val="00B035B0"/>
    <w:rsid w:val="00B037BA"/>
    <w:rsid w:val="00B12FAF"/>
    <w:rsid w:val="00B20139"/>
    <w:rsid w:val="00B218DA"/>
    <w:rsid w:val="00B33139"/>
    <w:rsid w:val="00B342FA"/>
    <w:rsid w:val="00B35FED"/>
    <w:rsid w:val="00B4071A"/>
    <w:rsid w:val="00B53E8B"/>
    <w:rsid w:val="00B622DD"/>
    <w:rsid w:val="00B67A63"/>
    <w:rsid w:val="00B774D2"/>
    <w:rsid w:val="00B77F92"/>
    <w:rsid w:val="00B8015A"/>
    <w:rsid w:val="00B82A57"/>
    <w:rsid w:val="00BA053B"/>
    <w:rsid w:val="00BA1941"/>
    <w:rsid w:val="00BB35AE"/>
    <w:rsid w:val="00BB736D"/>
    <w:rsid w:val="00BC03A1"/>
    <w:rsid w:val="00BC0D25"/>
    <w:rsid w:val="00BC1EAD"/>
    <w:rsid w:val="00BD2505"/>
    <w:rsid w:val="00BE2A3C"/>
    <w:rsid w:val="00BE4F5C"/>
    <w:rsid w:val="00BE592D"/>
    <w:rsid w:val="00BF52B0"/>
    <w:rsid w:val="00BF5697"/>
    <w:rsid w:val="00C01EE7"/>
    <w:rsid w:val="00C02613"/>
    <w:rsid w:val="00C05693"/>
    <w:rsid w:val="00C14CCC"/>
    <w:rsid w:val="00C1695E"/>
    <w:rsid w:val="00C17A99"/>
    <w:rsid w:val="00C22C1C"/>
    <w:rsid w:val="00C3356C"/>
    <w:rsid w:val="00C33F2E"/>
    <w:rsid w:val="00C34936"/>
    <w:rsid w:val="00C34C14"/>
    <w:rsid w:val="00C353F4"/>
    <w:rsid w:val="00C355B9"/>
    <w:rsid w:val="00C37EF1"/>
    <w:rsid w:val="00C401C4"/>
    <w:rsid w:val="00C403DC"/>
    <w:rsid w:val="00C41680"/>
    <w:rsid w:val="00C4277C"/>
    <w:rsid w:val="00C43524"/>
    <w:rsid w:val="00C5314D"/>
    <w:rsid w:val="00C60A25"/>
    <w:rsid w:val="00C765C5"/>
    <w:rsid w:val="00C775CE"/>
    <w:rsid w:val="00C82479"/>
    <w:rsid w:val="00C867F0"/>
    <w:rsid w:val="00CA06D8"/>
    <w:rsid w:val="00CA22E8"/>
    <w:rsid w:val="00CA345A"/>
    <w:rsid w:val="00CA3B6A"/>
    <w:rsid w:val="00CB49FF"/>
    <w:rsid w:val="00CC02CF"/>
    <w:rsid w:val="00CC086A"/>
    <w:rsid w:val="00CD0E24"/>
    <w:rsid w:val="00CD0F66"/>
    <w:rsid w:val="00CD364B"/>
    <w:rsid w:val="00CE23B8"/>
    <w:rsid w:val="00CE284E"/>
    <w:rsid w:val="00CE50D7"/>
    <w:rsid w:val="00CF31A2"/>
    <w:rsid w:val="00CF4CBE"/>
    <w:rsid w:val="00CF6618"/>
    <w:rsid w:val="00CF67B7"/>
    <w:rsid w:val="00D00344"/>
    <w:rsid w:val="00D1754D"/>
    <w:rsid w:val="00D2223F"/>
    <w:rsid w:val="00D274A4"/>
    <w:rsid w:val="00D277AF"/>
    <w:rsid w:val="00D31163"/>
    <w:rsid w:val="00D320B1"/>
    <w:rsid w:val="00D330F4"/>
    <w:rsid w:val="00D33AFD"/>
    <w:rsid w:val="00D35EB3"/>
    <w:rsid w:val="00D36489"/>
    <w:rsid w:val="00D365E7"/>
    <w:rsid w:val="00D369E9"/>
    <w:rsid w:val="00D42195"/>
    <w:rsid w:val="00D50704"/>
    <w:rsid w:val="00D5760A"/>
    <w:rsid w:val="00D57F72"/>
    <w:rsid w:val="00D61410"/>
    <w:rsid w:val="00D712DD"/>
    <w:rsid w:val="00D8181D"/>
    <w:rsid w:val="00D96145"/>
    <w:rsid w:val="00D968D8"/>
    <w:rsid w:val="00D96EC4"/>
    <w:rsid w:val="00DA087F"/>
    <w:rsid w:val="00DA563D"/>
    <w:rsid w:val="00DA7277"/>
    <w:rsid w:val="00DB3627"/>
    <w:rsid w:val="00DB4724"/>
    <w:rsid w:val="00DB6944"/>
    <w:rsid w:val="00DC4746"/>
    <w:rsid w:val="00DC63E2"/>
    <w:rsid w:val="00DD0847"/>
    <w:rsid w:val="00DD2DD8"/>
    <w:rsid w:val="00DE7149"/>
    <w:rsid w:val="00DF26EB"/>
    <w:rsid w:val="00E0314C"/>
    <w:rsid w:val="00E05AED"/>
    <w:rsid w:val="00E12743"/>
    <w:rsid w:val="00E1508F"/>
    <w:rsid w:val="00E150B7"/>
    <w:rsid w:val="00E261DF"/>
    <w:rsid w:val="00E27240"/>
    <w:rsid w:val="00E27EDD"/>
    <w:rsid w:val="00E30584"/>
    <w:rsid w:val="00E310B9"/>
    <w:rsid w:val="00E37E1B"/>
    <w:rsid w:val="00E51525"/>
    <w:rsid w:val="00E547BF"/>
    <w:rsid w:val="00E562C0"/>
    <w:rsid w:val="00E57FAF"/>
    <w:rsid w:val="00E606F0"/>
    <w:rsid w:val="00E672D6"/>
    <w:rsid w:val="00E679FE"/>
    <w:rsid w:val="00E76024"/>
    <w:rsid w:val="00E856A2"/>
    <w:rsid w:val="00E967AD"/>
    <w:rsid w:val="00E96884"/>
    <w:rsid w:val="00EA5435"/>
    <w:rsid w:val="00EA5F47"/>
    <w:rsid w:val="00EB455E"/>
    <w:rsid w:val="00EC719D"/>
    <w:rsid w:val="00EC79DE"/>
    <w:rsid w:val="00ED0520"/>
    <w:rsid w:val="00ED4ACE"/>
    <w:rsid w:val="00ED7FCE"/>
    <w:rsid w:val="00EE4104"/>
    <w:rsid w:val="00EE4D35"/>
    <w:rsid w:val="00EF2DA7"/>
    <w:rsid w:val="00F06333"/>
    <w:rsid w:val="00F1412B"/>
    <w:rsid w:val="00F15BFA"/>
    <w:rsid w:val="00F211EA"/>
    <w:rsid w:val="00F34FAB"/>
    <w:rsid w:val="00F40714"/>
    <w:rsid w:val="00F435AA"/>
    <w:rsid w:val="00F5738A"/>
    <w:rsid w:val="00F612D4"/>
    <w:rsid w:val="00F72691"/>
    <w:rsid w:val="00F7389E"/>
    <w:rsid w:val="00F77F1D"/>
    <w:rsid w:val="00F81B23"/>
    <w:rsid w:val="00F87CCB"/>
    <w:rsid w:val="00FA48C7"/>
    <w:rsid w:val="00FB0F7C"/>
    <w:rsid w:val="00FB51FB"/>
    <w:rsid w:val="00FB73C1"/>
    <w:rsid w:val="00FC6457"/>
    <w:rsid w:val="00FD7B18"/>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21"/>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865F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2Char">
    <w:name w:val="Heading 2 Char"/>
    <w:basedOn w:val="DefaultParagraphFont"/>
    <w:link w:val="Heading2"/>
    <w:uiPriority w:val="9"/>
    <w:semiHidden/>
    <w:rsid w:val="005865FF"/>
    <w:rPr>
      <w:rFonts w:asciiTheme="majorHAnsi" w:eastAsiaTheme="majorEastAsia" w:hAnsiTheme="majorHAnsi" w:cstheme="majorBidi"/>
      <w:color w:val="365F91" w:themeColor="accent1" w:themeShade="BF"/>
      <w:sz w:val="26"/>
      <w:szCs w:val="26"/>
    </w:rPr>
  </w:style>
  <w:style w:type="table" w:customStyle="1" w:styleId="TableGrid2">
    <w:name w:val="Table Grid2"/>
    <w:basedOn w:val="TableNormal"/>
    <w:next w:val="TableGrid"/>
    <w:uiPriority w:val="59"/>
    <w:rsid w:val="00C0261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1427">
      <w:bodyDiv w:val="1"/>
      <w:marLeft w:val="0"/>
      <w:marRight w:val="0"/>
      <w:marTop w:val="0"/>
      <w:marBottom w:val="0"/>
      <w:divBdr>
        <w:top w:val="none" w:sz="0" w:space="0" w:color="auto"/>
        <w:left w:val="none" w:sz="0" w:space="0" w:color="auto"/>
        <w:bottom w:val="none" w:sz="0" w:space="0" w:color="auto"/>
        <w:right w:val="none" w:sz="0" w:space="0" w:color="auto"/>
      </w:divBdr>
    </w:div>
    <w:div w:id="63332185">
      <w:bodyDiv w:val="1"/>
      <w:marLeft w:val="0"/>
      <w:marRight w:val="0"/>
      <w:marTop w:val="0"/>
      <w:marBottom w:val="0"/>
      <w:divBdr>
        <w:top w:val="none" w:sz="0" w:space="0" w:color="auto"/>
        <w:left w:val="none" w:sz="0" w:space="0" w:color="auto"/>
        <w:bottom w:val="none" w:sz="0" w:space="0" w:color="auto"/>
        <w:right w:val="none" w:sz="0" w:space="0" w:color="auto"/>
      </w:divBdr>
    </w:div>
    <w:div w:id="314454722">
      <w:bodyDiv w:val="1"/>
      <w:marLeft w:val="0"/>
      <w:marRight w:val="0"/>
      <w:marTop w:val="0"/>
      <w:marBottom w:val="0"/>
      <w:divBdr>
        <w:top w:val="none" w:sz="0" w:space="0" w:color="auto"/>
        <w:left w:val="none" w:sz="0" w:space="0" w:color="auto"/>
        <w:bottom w:val="none" w:sz="0" w:space="0" w:color="auto"/>
        <w:right w:val="none" w:sz="0" w:space="0" w:color="auto"/>
      </w:divBdr>
    </w:div>
    <w:div w:id="419066485">
      <w:bodyDiv w:val="1"/>
      <w:marLeft w:val="0"/>
      <w:marRight w:val="0"/>
      <w:marTop w:val="0"/>
      <w:marBottom w:val="0"/>
      <w:divBdr>
        <w:top w:val="none" w:sz="0" w:space="0" w:color="auto"/>
        <w:left w:val="none" w:sz="0" w:space="0" w:color="auto"/>
        <w:bottom w:val="none" w:sz="0" w:space="0" w:color="auto"/>
        <w:right w:val="none" w:sz="0" w:space="0" w:color="auto"/>
      </w:divBdr>
    </w:div>
    <w:div w:id="43930156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15310025">
      <w:bodyDiv w:val="1"/>
      <w:marLeft w:val="0"/>
      <w:marRight w:val="0"/>
      <w:marTop w:val="0"/>
      <w:marBottom w:val="0"/>
      <w:divBdr>
        <w:top w:val="none" w:sz="0" w:space="0" w:color="auto"/>
        <w:left w:val="none" w:sz="0" w:space="0" w:color="auto"/>
        <w:bottom w:val="none" w:sz="0" w:space="0" w:color="auto"/>
        <w:right w:val="none" w:sz="0" w:space="0" w:color="auto"/>
      </w:divBdr>
    </w:div>
    <w:div w:id="937566843">
      <w:bodyDiv w:val="1"/>
      <w:marLeft w:val="0"/>
      <w:marRight w:val="0"/>
      <w:marTop w:val="0"/>
      <w:marBottom w:val="0"/>
      <w:divBdr>
        <w:top w:val="none" w:sz="0" w:space="0" w:color="auto"/>
        <w:left w:val="none" w:sz="0" w:space="0" w:color="auto"/>
        <w:bottom w:val="none" w:sz="0" w:space="0" w:color="auto"/>
        <w:right w:val="none" w:sz="0" w:space="0" w:color="auto"/>
      </w:divBdr>
    </w:div>
    <w:div w:id="1023827937">
      <w:bodyDiv w:val="1"/>
      <w:marLeft w:val="0"/>
      <w:marRight w:val="0"/>
      <w:marTop w:val="0"/>
      <w:marBottom w:val="0"/>
      <w:divBdr>
        <w:top w:val="none" w:sz="0" w:space="0" w:color="auto"/>
        <w:left w:val="none" w:sz="0" w:space="0" w:color="auto"/>
        <w:bottom w:val="none" w:sz="0" w:space="0" w:color="auto"/>
        <w:right w:val="none" w:sz="0" w:space="0" w:color="auto"/>
      </w:divBdr>
    </w:div>
    <w:div w:id="1034384472">
      <w:bodyDiv w:val="1"/>
      <w:marLeft w:val="0"/>
      <w:marRight w:val="0"/>
      <w:marTop w:val="0"/>
      <w:marBottom w:val="0"/>
      <w:divBdr>
        <w:top w:val="none" w:sz="0" w:space="0" w:color="auto"/>
        <w:left w:val="none" w:sz="0" w:space="0" w:color="auto"/>
        <w:bottom w:val="none" w:sz="0" w:space="0" w:color="auto"/>
        <w:right w:val="none" w:sz="0" w:space="0" w:color="auto"/>
      </w:divBdr>
    </w:div>
    <w:div w:id="1218511791">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55714613">
      <w:bodyDiv w:val="1"/>
      <w:marLeft w:val="0"/>
      <w:marRight w:val="0"/>
      <w:marTop w:val="0"/>
      <w:marBottom w:val="0"/>
      <w:divBdr>
        <w:top w:val="none" w:sz="0" w:space="0" w:color="auto"/>
        <w:left w:val="none" w:sz="0" w:space="0" w:color="auto"/>
        <w:bottom w:val="none" w:sz="0" w:space="0" w:color="auto"/>
        <w:right w:val="none" w:sz="0" w:space="0" w:color="auto"/>
      </w:divBdr>
    </w:div>
    <w:div w:id="1495099799">
      <w:bodyDiv w:val="1"/>
      <w:marLeft w:val="0"/>
      <w:marRight w:val="0"/>
      <w:marTop w:val="0"/>
      <w:marBottom w:val="0"/>
      <w:divBdr>
        <w:top w:val="none" w:sz="0" w:space="0" w:color="auto"/>
        <w:left w:val="none" w:sz="0" w:space="0" w:color="auto"/>
        <w:bottom w:val="none" w:sz="0" w:space="0" w:color="auto"/>
        <w:right w:val="none" w:sz="0" w:space="0" w:color="auto"/>
      </w:divBdr>
    </w:div>
    <w:div w:id="1708483470">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37378214">
      <w:bodyDiv w:val="1"/>
      <w:marLeft w:val="0"/>
      <w:marRight w:val="0"/>
      <w:marTop w:val="0"/>
      <w:marBottom w:val="0"/>
      <w:divBdr>
        <w:top w:val="none" w:sz="0" w:space="0" w:color="auto"/>
        <w:left w:val="none" w:sz="0" w:space="0" w:color="auto"/>
        <w:bottom w:val="none" w:sz="0" w:space="0" w:color="auto"/>
        <w:right w:val="none" w:sz="0" w:space="0" w:color="auto"/>
      </w:divBdr>
    </w:div>
    <w:div w:id="1935281292">
      <w:bodyDiv w:val="1"/>
      <w:marLeft w:val="0"/>
      <w:marRight w:val="0"/>
      <w:marTop w:val="0"/>
      <w:marBottom w:val="0"/>
      <w:divBdr>
        <w:top w:val="none" w:sz="0" w:space="0" w:color="auto"/>
        <w:left w:val="none" w:sz="0" w:space="0" w:color="auto"/>
        <w:bottom w:val="none" w:sz="0" w:space="0" w:color="auto"/>
        <w:right w:val="none" w:sz="0" w:space="0" w:color="auto"/>
      </w:divBdr>
    </w:div>
    <w:div w:id="2123573992">
      <w:bodyDiv w:val="1"/>
      <w:marLeft w:val="0"/>
      <w:marRight w:val="0"/>
      <w:marTop w:val="0"/>
      <w:marBottom w:val="0"/>
      <w:divBdr>
        <w:top w:val="none" w:sz="0" w:space="0" w:color="auto"/>
        <w:left w:val="none" w:sz="0" w:space="0" w:color="auto"/>
        <w:bottom w:val="none" w:sz="0" w:space="0" w:color="auto"/>
        <w:right w:val="none" w:sz="0" w:space="0" w:color="auto"/>
      </w:divBdr>
    </w:div>
    <w:div w:id="213332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oleObject" Target="file:///\\cumulus\cms\MEASURES\2013-2018\Chapter4\Vascular%20Access%20TEP\Analyses\MJF_MIF_201602\fistula\standardized_rate\RiskModelCompare_CstaDecile_mon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oleObject" Target="file:///\\adsroot.itcs.umich.edu\kecc\Enclave\Projects\Measures\Docs\2018-2023\CH4-Measure%20Maintenance\VAT\analysis\VAT_NQF_SFR.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2686209167674"/>
          <c:y val="3.8684737578534398E-2"/>
          <c:w val="0.79625232239228505"/>
          <c:h val="0.87402727098137101"/>
        </c:manualLayout>
      </c:layout>
      <c:barChart>
        <c:barDir val="col"/>
        <c:grouping val="clustered"/>
        <c:varyColors val="0"/>
        <c:ser>
          <c:idx val="0"/>
          <c:order val="0"/>
          <c:tx>
            <c:strRef>
              <c:f>decile!$D$36</c:f>
              <c:strCache>
                <c:ptCount val="1"/>
                <c:pt idx="0">
                  <c:v>Observed number of patients using AVF</c:v>
                </c:pt>
              </c:strCache>
            </c:strRef>
          </c:tx>
          <c:invertIfNegative val="0"/>
          <c:val>
            <c:numRef>
              <c:f>decile!$D$37:$D$46</c:f>
              <c:numCache>
                <c:formatCode>General</c:formatCode>
                <c:ptCount val="10"/>
                <c:pt idx="0">
                  <c:v>11458</c:v>
                </c:pt>
                <c:pt idx="1">
                  <c:v>15767</c:v>
                </c:pt>
                <c:pt idx="2">
                  <c:v>18299</c:v>
                </c:pt>
                <c:pt idx="3">
                  <c:v>20613</c:v>
                </c:pt>
                <c:pt idx="4">
                  <c:v>22373</c:v>
                </c:pt>
                <c:pt idx="5">
                  <c:v>23693</c:v>
                </c:pt>
                <c:pt idx="6">
                  <c:v>25325</c:v>
                </c:pt>
                <c:pt idx="7">
                  <c:v>26675</c:v>
                </c:pt>
                <c:pt idx="8">
                  <c:v>28369</c:v>
                </c:pt>
                <c:pt idx="9">
                  <c:v>30801</c:v>
                </c:pt>
              </c:numCache>
            </c:numRef>
          </c:val>
          <c:extLst>
            <c:ext xmlns:c16="http://schemas.microsoft.com/office/drawing/2014/chart" uri="{C3380CC4-5D6E-409C-BE32-E72D297353CC}">
              <c16:uniqueId val="{00000000-E478-4DC9-B43C-47FE3DBBD7EE}"/>
            </c:ext>
          </c:extLst>
        </c:ser>
        <c:ser>
          <c:idx val="1"/>
          <c:order val="1"/>
          <c:tx>
            <c:strRef>
              <c:f>decile!$E$36</c:f>
              <c:strCache>
                <c:ptCount val="1"/>
                <c:pt idx="0">
                  <c:v>Expected number of patients using AVF</c:v>
                </c:pt>
              </c:strCache>
            </c:strRef>
          </c:tx>
          <c:invertIfNegative val="0"/>
          <c:val>
            <c:numRef>
              <c:f>decile!$E$37:$E$46</c:f>
              <c:numCache>
                <c:formatCode>General</c:formatCode>
                <c:ptCount val="10"/>
                <c:pt idx="0">
                  <c:v>11153.1</c:v>
                </c:pt>
                <c:pt idx="1">
                  <c:v>15847.44</c:v>
                </c:pt>
                <c:pt idx="2">
                  <c:v>18531.37</c:v>
                </c:pt>
                <c:pt idx="3">
                  <c:v>20624</c:v>
                </c:pt>
                <c:pt idx="4">
                  <c:v>22370.06</c:v>
                </c:pt>
                <c:pt idx="5">
                  <c:v>23903.03</c:v>
                </c:pt>
                <c:pt idx="6">
                  <c:v>25335.33</c:v>
                </c:pt>
                <c:pt idx="7">
                  <c:v>26745.74</c:v>
                </c:pt>
                <c:pt idx="8">
                  <c:v>28276.7</c:v>
                </c:pt>
                <c:pt idx="9">
                  <c:v>30585.75</c:v>
                </c:pt>
              </c:numCache>
            </c:numRef>
          </c:val>
          <c:extLst>
            <c:ext xmlns:c16="http://schemas.microsoft.com/office/drawing/2014/chart" uri="{C3380CC4-5D6E-409C-BE32-E72D297353CC}">
              <c16:uniqueId val="{00000001-E478-4DC9-B43C-47FE3DBBD7EE}"/>
            </c:ext>
          </c:extLst>
        </c:ser>
        <c:dLbls>
          <c:showLegendKey val="0"/>
          <c:showVal val="0"/>
          <c:showCatName val="0"/>
          <c:showSerName val="0"/>
          <c:showPercent val="0"/>
          <c:showBubbleSize val="0"/>
        </c:dLbls>
        <c:gapWidth val="150"/>
        <c:axId val="95971584"/>
        <c:axId val="96002048"/>
      </c:barChart>
      <c:catAx>
        <c:axId val="95971584"/>
        <c:scaling>
          <c:orientation val="minMax"/>
        </c:scaling>
        <c:delete val="0"/>
        <c:axPos val="b"/>
        <c:majorTickMark val="out"/>
        <c:minorTickMark val="none"/>
        <c:tickLblPos val="nextTo"/>
        <c:crossAx val="96002048"/>
        <c:crosses val="autoZero"/>
        <c:auto val="1"/>
        <c:lblAlgn val="ctr"/>
        <c:lblOffset val="100"/>
        <c:noMultiLvlLbl val="0"/>
      </c:catAx>
      <c:valAx>
        <c:axId val="96002048"/>
        <c:scaling>
          <c:orientation val="minMax"/>
        </c:scaling>
        <c:delete val="0"/>
        <c:axPos val="l"/>
        <c:majorGridlines/>
        <c:numFmt formatCode="General" sourceLinked="1"/>
        <c:majorTickMark val="out"/>
        <c:minorTickMark val="none"/>
        <c:tickLblPos val="nextTo"/>
        <c:crossAx val="95971584"/>
        <c:crosses val="autoZero"/>
        <c:crossBetween val="between"/>
      </c:valAx>
    </c:plotArea>
    <c:legend>
      <c:legendPos val="r"/>
      <c:layout>
        <c:manualLayout>
          <c:xMode val="edge"/>
          <c:yMode val="edge"/>
          <c:x val="0.102961652265377"/>
          <c:y val="5.5256111278773098E-2"/>
          <c:w val="0.28065266841644798"/>
          <c:h val="0.21432203745402201"/>
        </c:manualLayout>
      </c:layout>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396124410997706E-2"/>
          <c:y val="3.8344210792701373E-2"/>
          <c:w val="0.8795760804376247"/>
          <c:h val="0.85884472214033702"/>
        </c:manualLayout>
      </c:layout>
      <c:barChart>
        <c:barDir val="col"/>
        <c:grouping val="clustered"/>
        <c:varyColors val="0"/>
        <c:ser>
          <c:idx val="1"/>
          <c:order val="1"/>
          <c:tx>
            <c:strRef>
              <c:f>SESSDS!$L$78</c:f>
              <c:strCache>
                <c:ptCount val="1"/>
                <c:pt idx="0">
                  <c:v>Observed number of patients using AVF</c:v>
                </c:pt>
              </c:strCache>
            </c:strRef>
          </c:tx>
          <c:spPr>
            <a:solidFill>
              <a:schemeClr val="accent1">
                <a:lumMod val="75000"/>
              </a:schemeClr>
            </a:solidFill>
            <a:ln>
              <a:noFill/>
            </a:ln>
            <a:effectLst/>
          </c:spPr>
          <c:invertIfNegative val="0"/>
          <c:val>
            <c:numRef>
              <c:f>SESSDS!$L$79:$L$88</c:f>
              <c:numCache>
                <c:formatCode>General</c:formatCode>
                <c:ptCount val="10"/>
                <c:pt idx="0">
                  <c:v>12274</c:v>
                </c:pt>
                <c:pt idx="1">
                  <c:v>18661</c:v>
                </c:pt>
                <c:pt idx="2">
                  <c:v>22356</c:v>
                </c:pt>
                <c:pt idx="3">
                  <c:v>24994</c:v>
                </c:pt>
                <c:pt idx="4">
                  <c:v>26996</c:v>
                </c:pt>
                <c:pt idx="5">
                  <c:v>28653</c:v>
                </c:pt>
                <c:pt idx="6">
                  <c:v>30369</c:v>
                </c:pt>
                <c:pt idx="7">
                  <c:v>32003</c:v>
                </c:pt>
                <c:pt idx="8">
                  <c:v>33979</c:v>
                </c:pt>
                <c:pt idx="9">
                  <c:v>36527</c:v>
                </c:pt>
              </c:numCache>
            </c:numRef>
          </c:val>
          <c:extLst>
            <c:ext xmlns:c16="http://schemas.microsoft.com/office/drawing/2014/chart" uri="{C3380CC4-5D6E-409C-BE32-E72D297353CC}">
              <c16:uniqueId val="{00000000-3797-4E1D-84BE-17B213C73648}"/>
            </c:ext>
          </c:extLst>
        </c:ser>
        <c:ser>
          <c:idx val="2"/>
          <c:order val="2"/>
          <c:tx>
            <c:strRef>
              <c:f>SESSDS!$M$78</c:f>
              <c:strCache>
                <c:ptCount val="1"/>
                <c:pt idx="0">
                  <c:v>Expected number of patients using AVF</c:v>
                </c:pt>
              </c:strCache>
            </c:strRef>
          </c:tx>
          <c:spPr>
            <a:solidFill>
              <a:schemeClr val="accent4">
                <a:lumMod val="60000"/>
                <a:lumOff val="40000"/>
              </a:schemeClr>
            </a:solidFill>
            <a:ln>
              <a:noFill/>
            </a:ln>
            <a:effectLst/>
          </c:spPr>
          <c:invertIfNegative val="0"/>
          <c:val>
            <c:numRef>
              <c:f>SESSDS!$M$79:$M$88</c:f>
              <c:numCache>
                <c:formatCode>General</c:formatCode>
                <c:ptCount val="10"/>
                <c:pt idx="0">
                  <c:v>12184.43</c:v>
                </c:pt>
                <c:pt idx="1">
                  <c:v>18709.61</c:v>
                </c:pt>
                <c:pt idx="2">
                  <c:v>22274.12</c:v>
                </c:pt>
                <c:pt idx="3">
                  <c:v>24919.05</c:v>
                </c:pt>
                <c:pt idx="4">
                  <c:v>27042.91</c:v>
                </c:pt>
                <c:pt idx="5">
                  <c:v>28852.57</c:v>
                </c:pt>
                <c:pt idx="6">
                  <c:v>30495.77</c:v>
                </c:pt>
                <c:pt idx="7">
                  <c:v>32101.99</c:v>
                </c:pt>
                <c:pt idx="8">
                  <c:v>33830.53</c:v>
                </c:pt>
                <c:pt idx="9">
                  <c:v>36402.980000000003</c:v>
                </c:pt>
              </c:numCache>
            </c:numRef>
          </c:val>
          <c:extLst>
            <c:ext xmlns:c16="http://schemas.microsoft.com/office/drawing/2014/chart" uri="{C3380CC4-5D6E-409C-BE32-E72D297353CC}">
              <c16:uniqueId val="{00000001-3797-4E1D-84BE-17B213C73648}"/>
            </c:ext>
          </c:extLst>
        </c:ser>
        <c:dLbls>
          <c:showLegendKey val="0"/>
          <c:showVal val="0"/>
          <c:showCatName val="0"/>
          <c:showSerName val="0"/>
          <c:showPercent val="0"/>
          <c:showBubbleSize val="0"/>
        </c:dLbls>
        <c:gapWidth val="115"/>
        <c:axId val="754103487"/>
        <c:axId val="754098911"/>
        <c:extLst>
          <c:ext xmlns:c15="http://schemas.microsoft.com/office/drawing/2012/chart" uri="{02D57815-91ED-43cb-92C2-25804820EDAC}">
            <c15:filteredBarSeries>
              <c15:ser>
                <c:idx val="0"/>
                <c:order val="0"/>
                <c:tx>
                  <c:strRef>
                    <c:extLst>
                      <c:ext uri="{02D57815-91ED-43cb-92C2-25804820EDAC}">
                        <c15:formulaRef>
                          <c15:sqref>SESSDS!$K$78</c15:sqref>
                        </c15:formulaRef>
                      </c:ext>
                    </c:extLst>
                    <c:strCache>
                      <c:ptCount val="1"/>
                      <c:pt idx="0">
                        <c:v>Group</c:v>
                      </c:pt>
                    </c:strCache>
                  </c:strRef>
                </c:tx>
                <c:spPr>
                  <a:solidFill>
                    <a:schemeClr val="accent1"/>
                  </a:solidFill>
                  <a:ln>
                    <a:noFill/>
                  </a:ln>
                  <a:effectLst/>
                </c:spPr>
                <c:invertIfNegative val="0"/>
                <c:val>
                  <c:numRef>
                    <c:extLst>
                      <c:ext uri="{02D57815-91ED-43cb-92C2-25804820EDAC}">
                        <c15:formulaRef>
                          <c15:sqref>SESSDS!$K$79:$K$88</c15:sqref>
                        </c15:formulaRef>
                      </c:ext>
                    </c:extLst>
                    <c:numCache>
                      <c:formatCode>General</c:formatCode>
                      <c:ptCount val="10"/>
                      <c:pt idx="0">
                        <c:v>1</c:v>
                      </c:pt>
                      <c:pt idx="1">
                        <c:v>2</c:v>
                      </c:pt>
                      <c:pt idx="2">
                        <c:v>3</c:v>
                      </c:pt>
                      <c:pt idx="3">
                        <c:v>4</c:v>
                      </c:pt>
                      <c:pt idx="4">
                        <c:v>5</c:v>
                      </c:pt>
                      <c:pt idx="5">
                        <c:v>6</c:v>
                      </c:pt>
                      <c:pt idx="6">
                        <c:v>7</c:v>
                      </c:pt>
                      <c:pt idx="7">
                        <c:v>8</c:v>
                      </c:pt>
                      <c:pt idx="8">
                        <c:v>9</c:v>
                      </c:pt>
                      <c:pt idx="9">
                        <c:v>10</c:v>
                      </c:pt>
                    </c:numCache>
                  </c:numRef>
                </c:val>
                <c:extLst>
                  <c:ext xmlns:c16="http://schemas.microsoft.com/office/drawing/2014/chart" uri="{C3380CC4-5D6E-409C-BE32-E72D297353CC}">
                    <c16:uniqueId val="{00000002-3797-4E1D-84BE-17B213C73648}"/>
                  </c:ext>
                </c:extLst>
              </c15:ser>
            </c15:filteredBarSeries>
          </c:ext>
        </c:extLst>
      </c:barChart>
      <c:catAx>
        <c:axId val="7541034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4098911"/>
        <c:crosses val="autoZero"/>
        <c:auto val="1"/>
        <c:lblAlgn val="ctr"/>
        <c:lblOffset val="100"/>
        <c:noMultiLvlLbl val="0"/>
      </c:catAx>
      <c:valAx>
        <c:axId val="75409891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4103487"/>
        <c:crosses val="autoZero"/>
        <c:crossBetween val="between"/>
      </c:valAx>
      <c:spPr>
        <a:noFill/>
        <a:ln>
          <a:noFill/>
        </a:ln>
        <a:effectLst/>
      </c:spPr>
    </c:plotArea>
    <c:legend>
      <c:legendPos val="b"/>
      <c:layout>
        <c:manualLayout>
          <c:xMode val="edge"/>
          <c:yMode val="edge"/>
          <c:x val="8.6896974384461714E-2"/>
          <c:y val="3.8231524507094751E-2"/>
          <c:w val="0.47430840496566362"/>
          <c:h val="0.18431406131889813"/>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6FC67B187FA34DDAB826882E06781175"/>
        <w:category>
          <w:name w:val="General"/>
          <w:gallery w:val="placeholder"/>
        </w:category>
        <w:types>
          <w:type w:val="bbPlcHdr"/>
        </w:types>
        <w:behaviors>
          <w:behavior w:val="content"/>
        </w:behaviors>
        <w:guid w:val="{FF9357F4-C79D-46AF-80CD-2D3418800A74}"/>
      </w:docPartPr>
      <w:docPartBody>
        <w:p w:rsidR="00910B58" w:rsidRDefault="00910B58" w:rsidP="00910B58">
          <w:pPr>
            <w:pStyle w:val="6FC67B187FA34DDAB826882E06781175"/>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06D74"/>
    <w:rsid w:val="00021F89"/>
    <w:rsid w:val="00123670"/>
    <w:rsid w:val="00127222"/>
    <w:rsid w:val="001736D7"/>
    <w:rsid w:val="00190AF4"/>
    <w:rsid w:val="002157F3"/>
    <w:rsid w:val="00216352"/>
    <w:rsid w:val="00223FA3"/>
    <w:rsid w:val="002A288F"/>
    <w:rsid w:val="002B155A"/>
    <w:rsid w:val="002C65A7"/>
    <w:rsid w:val="002F052A"/>
    <w:rsid w:val="00330B0C"/>
    <w:rsid w:val="00350176"/>
    <w:rsid w:val="00371E58"/>
    <w:rsid w:val="003840F0"/>
    <w:rsid w:val="00437537"/>
    <w:rsid w:val="004D785E"/>
    <w:rsid w:val="00513FC9"/>
    <w:rsid w:val="0053654E"/>
    <w:rsid w:val="00610196"/>
    <w:rsid w:val="00632A7E"/>
    <w:rsid w:val="00632AB6"/>
    <w:rsid w:val="00660CBB"/>
    <w:rsid w:val="007107A0"/>
    <w:rsid w:val="00730B33"/>
    <w:rsid w:val="00772B2A"/>
    <w:rsid w:val="007C672A"/>
    <w:rsid w:val="007D4368"/>
    <w:rsid w:val="00822666"/>
    <w:rsid w:val="00823ECC"/>
    <w:rsid w:val="00826796"/>
    <w:rsid w:val="00844B8D"/>
    <w:rsid w:val="00866C97"/>
    <w:rsid w:val="008840E9"/>
    <w:rsid w:val="009017AE"/>
    <w:rsid w:val="00910B58"/>
    <w:rsid w:val="009575FE"/>
    <w:rsid w:val="009B0DC2"/>
    <w:rsid w:val="009C542D"/>
    <w:rsid w:val="00A01A18"/>
    <w:rsid w:val="00A06C32"/>
    <w:rsid w:val="00A73C03"/>
    <w:rsid w:val="00A95183"/>
    <w:rsid w:val="00AB4AF7"/>
    <w:rsid w:val="00AD7C4F"/>
    <w:rsid w:val="00B445F5"/>
    <w:rsid w:val="00BD40CB"/>
    <w:rsid w:val="00C362A2"/>
    <w:rsid w:val="00C74DC2"/>
    <w:rsid w:val="00C90121"/>
    <w:rsid w:val="00C96E73"/>
    <w:rsid w:val="00CA1FE8"/>
    <w:rsid w:val="00CA344F"/>
    <w:rsid w:val="00CA660C"/>
    <w:rsid w:val="00CC6FD6"/>
    <w:rsid w:val="00D1676E"/>
    <w:rsid w:val="00D82412"/>
    <w:rsid w:val="00DC0246"/>
    <w:rsid w:val="00DD59D3"/>
    <w:rsid w:val="00E34390"/>
    <w:rsid w:val="00E6518A"/>
    <w:rsid w:val="00F540AB"/>
    <w:rsid w:val="00F8158B"/>
    <w:rsid w:val="00F915BA"/>
    <w:rsid w:val="00FE63C2"/>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0B5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6FC67B187FA34DDAB826882E06781175">
    <w:name w:val="6FC67B187FA34DDAB826882E06781175"/>
    <w:rsid w:val="00910B5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2006/documentManagement/types"/>
    <ds:schemaRef ds:uri="http://schemas.microsoft.com/office/infopath/2007/PartnerControls"/>
    <ds:schemaRef ds:uri="http://purl.org/dc/terms/"/>
    <ds:schemaRef ds:uri="http://www.w3.org/XML/1998/namespace"/>
    <ds:schemaRef ds:uri="http://purl.org/dc/elements/1.1/"/>
    <ds:schemaRef ds:uri="http://schemas.openxmlformats.org/package/2006/metadata/core-properties"/>
    <ds:schemaRef ds:uri="836b82f1-340d-495e-85b5-201c5296619a"/>
    <ds:schemaRef ds:uri="http://purl.org/dc/dcmitype/"/>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74081738-1EA1-4B4E-BFD4-754B42FB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34</Pages>
  <Words>10713</Words>
  <Characters>61065</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Jennifer Sardone</cp:lastModifiedBy>
  <cp:revision>3</cp:revision>
  <dcterms:created xsi:type="dcterms:W3CDTF">2020-01-06T17:31:00Z</dcterms:created>
  <dcterms:modified xsi:type="dcterms:W3CDTF">2020-01-06T17:44:00Z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