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8A5FE8">
            <w:rPr>
              <w:rFonts w:eastAsia="Times New Roman"/>
              <w:color w:val="000000"/>
              <w:sz w:val="23"/>
              <w:szCs w:val="23"/>
            </w:rPr>
            <w:t>GAPPS: Rate of preventable adverse events per 1,000 patient-days among pediatric inpatients</w:t>
          </w:r>
          <w:r w:rsidR="008A5FE8" w:rsidRPr="00591C9C">
            <w:rPr>
              <w:b/>
            </w:rPr>
            <w:t xml:space="preserve">  </w:t>
          </w:r>
          <w:r w:rsidR="008A5FE8">
            <w:rPr>
              <w:b/>
            </w:rPr>
            <w:t xml:space="preserve"> </w:t>
          </w:r>
        </w:sdtContent>
      </w:sdt>
    </w:p>
    <w:p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8A5FE8">
            <w:rPr>
              <w:rStyle w:val="Style1"/>
            </w:rPr>
            <w:t xml:space="preserve">Not Applicable </w:t>
          </w:r>
        </w:sdtContent>
      </w:sdt>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12-07T00:00:00Z">
            <w:dateFormat w:val="M/d/yyyy"/>
            <w:lid w:val="en-US"/>
            <w:storeMappedDataAs w:val="dateTime"/>
            <w:calendar w:val="gregorian"/>
          </w:date>
        </w:sdtPr>
        <w:sdtEndPr>
          <w:rPr>
            <w:rStyle w:val="DefaultParagraphFont"/>
            <w:noProof/>
            <w:color w:val="auto"/>
            <w:u w:val="none"/>
          </w:rPr>
        </w:sdtEndPr>
        <w:sdtContent>
          <w:r w:rsidR="008A5FE8">
            <w:rPr>
              <w:rStyle w:val="Style2"/>
            </w:rPr>
            <w:t>12/7/2016</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F4A7F" w:rsidRDefault="000F4A7F" w:rsidP="00024526">
            <w:pPr>
              <w:pStyle w:val="CommentText"/>
              <w:numPr>
                <w:ilvl w:val="0"/>
                <w:numId w:val="5"/>
              </w:numPr>
              <w:rPr>
                <w:i/>
                <w:sz w:val="22"/>
                <w:szCs w:val="22"/>
              </w:rPr>
            </w:pPr>
            <w:r>
              <w:rPr>
                <w:i/>
                <w:sz w:val="22"/>
                <w:szCs w:val="22"/>
              </w:rPr>
              <w:t xml:space="preserve">Complete 1a.1 and 1a.12 for all measures. </w:t>
            </w:r>
          </w:p>
          <w:p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F81FE3">
        <w:trPr>
          <w:jc w:val="center"/>
        </w:trPr>
        <w:tc>
          <w:tcPr>
            <w:tcW w:w="10534"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61327A" w:rsidRDefault="008659ED" w:rsidP="0061327A">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supports the relationship of the health outcome to processes or structures of care. </w:t>
            </w:r>
            <w:r w:rsidR="0061327A">
              <w:rPr>
                <w:rFonts w:eastAsia="Calibri" w:cs="Calibri"/>
                <w:sz w:val="20"/>
                <w:szCs w:val="20"/>
              </w:rPr>
              <w:t xml:space="preserve">Applies to </w:t>
            </w:r>
            <w:r w:rsidR="0061327A" w:rsidRPr="0061327A">
              <w:rPr>
                <w:rFonts w:eastAsia="Calibri" w:cs="Calibri"/>
                <w:sz w:val="20"/>
                <w:szCs w:val="20"/>
              </w:rPr>
              <w:t>p</w:t>
            </w:r>
            <w:r w:rsidRPr="0061327A">
              <w:rPr>
                <w:rFonts w:eastAsia="Calibri" w:cs="Calibri"/>
                <w:sz w:val="20"/>
                <w:szCs w:val="20"/>
              </w:rPr>
              <w:t>atient-reported outcomes (PRO), including health-related quality of life/functional status, symptom/symptom burden, experience with care, health-related behavior.</w:t>
            </w:r>
            <w:r w:rsidR="00C41794" w:rsidRPr="0061327A">
              <w:rPr>
                <w:rFonts w:eastAsia="Calibri" w:cs="Calibri"/>
                <w:sz w:val="20"/>
                <w:szCs w:val="20"/>
              </w:rPr>
              <w:t xml:space="preserve">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4"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5"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6"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8"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F81FE3" w:rsidRDefault="00F81FE3" w:rsidP="002E2177">
      <w:pPr>
        <w:ind w:left="0" w:firstLine="0"/>
        <w:rPr>
          <w:b/>
          <w:bCs/>
          <w:color w:val="0000FF"/>
        </w:rPr>
      </w:pPr>
    </w:p>
    <w:p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EC7EDF"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8A5FE8">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EC7EDF"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rsidR="00496AF8" w:rsidRPr="003B1CC5" w:rsidRDefault="00EC7EDF"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D73685" w:rsidRDefault="00EC7EDF"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rsidR="00496AF8" w:rsidRPr="003B1CC5" w:rsidRDefault="00EC7ED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EC7ED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752CC0" w:rsidRDefault="00676BD4" w:rsidP="00752CC0">
      <w:pPr>
        <w:ind w:left="432" w:hanging="432"/>
        <w:rPr>
          <w:iCs/>
        </w:rPr>
      </w:pPr>
      <w:r>
        <w:rPr>
          <w:b/>
          <w:bCs/>
          <w:color w:val="0000FF"/>
        </w:rPr>
        <w:t>1a.</w:t>
      </w:r>
      <w:r w:rsidR="00C41794">
        <w:rPr>
          <w:b/>
          <w:bCs/>
          <w:color w:val="0000FF"/>
        </w:rPr>
        <w:t>12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rsidR="00752CC0" w:rsidRDefault="00752CC0" w:rsidP="00752CC0">
      <w:pPr>
        <w:ind w:left="0" w:firstLine="0"/>
        <w:rPr>
          <w:color w:val="00B050"/>
        </w:rPr>
      </w:pPr>
    </w:p>
    <w:p w:rsidR="008A5FE8" w:rsidRDefault="008A5FE8" w:rsidP="00752CC0">
      <w:pPr>
        <w:ind w:left="0" w:firstLine="0"/>
        <w:rPr>
          <w:color w:val="00B050"/>
        </w:rPr>
      </w:pPr>
      <w:r w:rsidRPr="00C827A3">
        <w:rPr>
          <w:color w:val="00B050"/>
        </w:rPr>
        <w:t>GAPPS is a measure of global patient safety that specifically focuses on identifying preventable adverse events. All the AEs that GAPPS identifies represent instances in which existing patient safety interventions could be applied to prevent patient harm.  GAPPS improves the capacity of hospitals to identify preventable AEs, target resources, and implement methods for decreasing risk of AEs in these prioritized domains. For example, GAPPS may assist hospitals in identifying preventable AEs resulting from errors. A hospital may implement new protocols to decrease the use of narcotics in an attempt to address preventable AEs related to the Naloxone (</w:t>
      </w:r>
      <w:proofErr w:type="spellStart"/>
      <w:r w:rsidRPr="00C827A3">
        <w:rPr>
          <w:color w:val="00B050"/>
        </w:rPr>
        <w:t>Narcan</w:t>
      </w:r>
      <w:proofErr w:type="spellEnd"/>
      <w:r w:rsidRPr="00C827A3">
        <w:rPr>
          <w:color w:val="00B050"/>
        </w:rPr>
        <w:t xml:space="preserve">) administration trigger (see medication administration records </w:t>
      </w:r>
      <w:r>
        <w:rPr>
          <w:color w:val="00B050"/>
        </w:rPr>
        <w:t>[</w:t>
      </w:r>
      <w:r w:rsidRPr="00C827A3">
        <w:rPr>
          <w:color w:val="00B050"/>
        </w:rPr>
        <w:t>MARs</w:t>
      </w:r>
      <w:r>
        <w:rPr>
          <w:color w:val="00B050"/>
        </w:rPr>
        <w:t>]</w:t>
      </w:r>
      <w:r w:rsidRPr="00C827A3">
        <w:rPr>
          <w:color w:val="00B050"/>
        </w:rPr>
        <w:t xml:space="preserve"> section of the included trigger list). Another example might be the initiation of rapid response teams to decrease AEs related to the trigger transfer to higher level of care (see physician orders section of trigger list).  The advantage of the GAPPS Measure is that it allows hospitals to make notable improvements in patient safety while complementing voluntary event reporting. Using GAPPS, hospitals can implement evidence-based approaches to improve patient safety and measure the effectiveness of these efforts, allowing for ongoing improvement. Additionally, the GAPPS Measure can be used for analys</w:t>
      </w:r>
      <w:r>
        <w:rPr>
          <w:color w:val="00B050"/>
        </w:rPr>
        <w:t>e</w:t>
      </w:r>
      <w:r w:rsidRPr="00C827A3">
        <w:rPr>
          <w:color w:val="00B050"/>
        </w:rPr>
        <w:t>s across institutions that may serve as the foundation for development of new evidence-based interventions to reduce preventable AEs.</w:t>
      </w:r>
    </w:p>
    <w:p w:rsidR="008A5FE8" w:rsidRDefault="008A5FE8" w:rsidP="008A5FE8">
      <w:pPr>
        <w:ind w:firstLine="0"/>
        <w:rPr>
          <w:color w:val="00B050"/>
        </w:rPr>
      </w:pPr>
    </w:p>
    <w:p w:rsidR="008A5FE8" w:rsidRPr="00C827A3" w:rsidRDefault="008A5FE8" w:rsidP="008A5FE8">
      <w:pPr>
        <w:ind w:firstLine="0"/>
        <w:rPr>
          <w:color w:val="00B050"/>
        </w:rPr>
      </w:pPr>
      <w:bookmarkStart w:id="5" w:name="_GoBack"/>
      <w:bookmarkEnd w:id="5"/>
      <w:r>
        <w:rPr>
          <w:noProof/>
        </w:rPr>
        <w:lastRenderedPageBreak/>
        <w:drawing>
          <wp:inline distT="0" distB="0" distL="0" distR="0" wp14:anchorId="1488B96E" wp14:editId="5C3E658F">
            <wp:extent cx="3726611" cy="3324316"/>
            <wp:effectExtent l="0" t="0" r="7620" b="0"/>
            <wp:docPr id="6" name="Picture 6" descr="cid:image001.png@01D22AE1.304DF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2AE1.304DF7F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726725" cy="3324418"/>
                    </a:xfrm>
                    <a:prstGeom prst="rect">
                      <a:avLst/>
                    </a:prstGeom>
                    <a:noFill/>
                    <a:ln>
                      <a:noFill/>
                    </a:ln>
                  </pic:spPr>
                </pic:pic>
              </a:graphicData>
            </a:graphic>
          </wp:inline>
        </w:drawing>
      </w:r>
    </w:p>
    <w:p w:rsidR="002B06BD" w:rsidRPr="003B1CC5" w:rsidRDefault="002B06BD" w:rsidP="002E2177">
      <w:pPr>
        <w:ind w:left="432" w:hanging="432"/>
        <w:rPr>
          <w:color w:val="0000FF"/>
        </w:rPr>
      </w:pPr>
    </w:p>
    <w:p w:rsidR="00676BD4" w:rsidRDefault="00676BD4" w:rsidP="002E2177">
      <w:pPr>
        <w:ind w:left="432" w:hanging="432"/>
        <w:rPr>
          <w:b/>
          <w:color w:val="0000FF"/>
        </w:rPr>
      </w:pPr>
    </w:p>
    <w:p w:rsidR="00676BD4" w:rsidRDefault="00676BD4" w:rsidP="002E2177">
      <w:pPr>
        <w:ind w:left="432" w:hanging="432"/>
        <w:rPr>
          <w:b/>
          <w:color w:val="0000FF"/>
        </w:rPr>
      </w:pPr>
    </w:p>
    <w:p w:rsidR="00F90F82" w:rsidRDefault="00F90F82" w:rsidP="002E2177">
      <w:pPr>
        <w:ind w:left="432" w:hanging="432"/>
        <w:rPr>
          <w:b/>
          <w:color w:val="0000FF"/>
        </w:rPr>
      </w:pPr>
    </w:p>
    <w:p w:rsidR="00676BD4" w:rsidRDefault="00676BD4" w:rsidP="00A9011D">
      <w:pPr>
        <w:ind w:left="0" w:firstLine="0"/>
        <w:rPr>
          <w:b/>
          <w:color w:val="0000FF"/>
        </w:rPr>
      </w:pPr>
    </w:p>
    <w:p w:rsidR="00676BD4" w:rsidRDefault="00676BD4" w:rsidP="002E2177">
      <w:pPr>
        <w:ind w:left="432" w:hanging="432"/>
        <w:rPr>
          <w:b/>
          <w:color w:val="0000FF"/>
        </w:rPr>
      </w:pPr>
    </w:p>
    <w:p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rsidR="00676BD4" w:rsidRDefault="00676BD4" w:rsidP="002E2177">
      <w:pPr>
        <w:ind w:left="432" w:hanging="432"/>
        <w:rPr>
          <w:b/>
          <w:color w:val="0000FF"/>
        </w:rPr>
      </w:pPr>
    </w:p>
    <w:p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C41794">
        <w:rPr>
          <w:b/>
        </w:rPr>
        <w:t>-</w:t>
      </w:r>
      <w:r w:rsidR="00C41794" w:rsidRPr="003B1CC5">
        <w:rPr>
          <w:b/>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676BD4">
        <w:rPr>
          <w:b/>
          <w:iCs/>
        </w:rPr>
        <w:t xml:space="preserve">healthcare structure, process (e.g., </w:t>
      </w:r>
      <w:r w:rsidR="00496AF8" w:rsidRPr="003B1CC5">
        <w:rPr>
          <w:b/>
          <w:iCs/>
        </w:rPr>
        <w:t>intervention, or service</w:t>
      </w:r>
      <w:r w:rsidR="00676BD4">
        <w:rPr>
          <w:b/>
          <w:iCs/>
        </w:rPr>
        <w:t>).</w:t>
      </w:r>
      <w:r w:rsidR="00AC1E53">
        <w:rPr>
          <w:b/>
          <w:iCs/>
        </w:rPr>
        <w:t xml:space="preserve"> </w:t>
      </w:r>
    </w:p>
    <w:p w:rsidR="008A5FE8" w:rsidRDefault="008A5FE8" w:rsidP="008A5FE8">
      <w:pPr>
        <w:ind w:left="0" w:firstLine="0"/>
        <w:rPr>
          <w:iCs/>
        </w:rPr>
      </w:pPr>
    </w:p>
    <w:p w:rsidR="008A5FE8" w:rsidRPr="008A5FE8" w:rsidRDefault="008A5FE8" w:rsidP="008A5FE8">
      <w:pPr>
        <w:ind w:left="0" w:firstLine="0"/>
        <w:rPr>
          <w:rFonts w:cs="Times New Roman"/>
          <w:b/>
          <w:color w:val="00B050"/>
        </w:rPr>
      </w:pPr>
      <w:r w:rsidRPr="008A5FE8">
        <w:rPr>
          <w:rFonts w:cs="Times New Roman"/>
          <w:b/>
          <w:color w:val="00B050"/>
        </w:rPr>
        <w:t>Use of trigger tools to identify patient harm</w:t>
      </w:r>
    </w:p>
    <w:p w:rsidR="008A5FE8" w:rsidRPr="008A5FE8" w:rsidRDefault="008A5FE8" w:rsidP="008A5FE8">
      <w:pPr>
        <w:ind w:left="0" w:firstLine="0"/>
        <w:rPr>
          <w:rFonts w:cs="Times New Roman"/>
          <w:color w:val="00B050"/>
        </w:rPr>
      </w:pPr>
      <w:r w:rsidRPr="008A5FE8">
        <w:rPr>
          <w:rFonts w:cs="Times New Roman"/>
          <w:color w:val="00B050"/>
        </w:rPr>
        <w:t>The GAPPS measure uses a trigger tool to detect preventable AEs in hospitalized children. Multiple studies suggest that trigger tools are valid and reliable for tracking the incidence of patient harms in hospital settings, including within pediatric populations; trigger tools, including automated approaches to trigger tools, are better able to detect AEs than other methods (e.g., traditional voluntary incident reporting and detection tools used with administrative databases).</w:t>
      </w:r>
      <w:r w:rsidRPr="008A5FE8">
        <w:rPr>
          <w:rFonts w:cs="Times New Roman"/>
          <w:color w:val="00B050"/>
        </w:rPr>
        <w:fldChar w:fldCharType="begin"/>
      </w:r>
      <w:r w:rsidRPr="008A5FE8">
        <w:rPr>
          <w:rFonts w:cs="Times New Roman"/>
          <w:color w:val="00B050"/>
        </w:rPr>
        <w:instrText xml:space="preserve"> ADDIN ZOTERO_ITEM CSL_CITATION {"citationID":"Rz3ppM8l","properties":{"formattedCitation":"{\\rtf (1\\uc0\\u8211{}12)}","plainCitation":"(1–12)"},"citationItems":[{"id":2902,"uris":["http://zotero.org/groups/202565/items/JA32TV7P"],"uri":["http://zotero.org/groups/202565/items/JA32TV7P"],"itemData":{"id":2902,"type":"article-journal","title":"Computerized surveillance of adverse drug events in hospital patients","container-title":"JAMA: the journal of the American Medical Association","page":"2847-2851","volume":"266","issue":"20","source":"NCBI PubMed","abstract":"OBJECTIVE: To develop a new method to improve the detection and characterization of adverse drug events (ADEs) in hospital patients.\nDESIGN: Prospective study of all patients admitted to our hospital over an 18-month period.\nSETTING: LDS Hospital, Salt Lake City, Utah, a 520-bed tertiary care center affiliated with the University of Utah School of Medicine, Salt Lake City.\nPATIENTS: We developed a computerized ADE monitor, and computer programs were written using an integrated hospital information system to allow for multiple source detection of potential ADEs occurring in hospital patients. Signals of potential ADEs, both voluntary and automated, included sudden medication stop orders, antidote ordering, and certain abnormal laboratory values. Each day, a list of all potential ADEs from these sources was generated, and a pharmacist reviewed the medical records of all patients with possible ADEs for accuracy and causality. Verified ADEs were characterized as mild, moderate, or severe and as type A (dose-dependent or predictable) or type B (idiosyncratic or allergic) reactions, and causality was further measured using a standardized scoring method.\nOUTCOME MEASURE: The number and characterization of ADEs detected.\nRESULTS: Over 18 months, we monitored 36,653 hospitalized patients. There were 731 verified ADEs identified in 648 patients, 701 ADEs were characterized as moderate or severe, and 664 were classified as type A reactions. During this same period, only nine ADEs were identified using traditional detection methods. Physicians, pharmacists, and nurses voluntarily reported 92 of the 731 ADEs detected using this automated system. The other 631 ADEs were detected from automated signals, the most common of which were diphenhydramine hydrochloride and naloxone hydrochloride use, high serum drug levels, leukopenia, and the use of phytonadione and antidiarrheals. The most common symptoms and signs were pruritus, nausea and/or vomiting, rash, and confusion-lethargy. The most common drug classes involved were analgesics, anti-infectives, and cardiovascular agents.\nCONCLUSION: We believe that screening for ADEs with a computerized hospital information system offers a potential method for improving the detection and characterization of these events in hospital patients.","ISSN":"0098-7484","note":"PMID: 1942452","journalAbbreviation":"JAMA","language":"eng","author":[{"family":"Classen","given":"D C"},{"family":"Pestotnik","given":"S L"},{"family":"Evans","given":"R S"},{"family":"Burke","given":"J P"}],"issued":{"date-parts":[["1991",11,27]]},"PMID":"1942452"}},{"id":2946,"uris":["http://zotero.org/groups/202565/items/HVF823BI"],"uri":["http://zotero.org/groups/202565/items/HVF823BI"],"itemData":{"id":2946,"type":"article-journal","title":"Prevalence of adverse events in pediatric intensive care units in the United States","container-title":"Pediatric critical care medicine: a journal of the Society of Critical Care Medicine and the World Federation of Pediatric Intensive and Critical Care Societies","page":"568-578","volume":"11","issue":"5","source":"NCBI PubMed","abstract":"OBJECTIVES: Selection of relevant patient safety interventions for the pediatric intensive care (PICU) requires identification of the types and severity of adverse events (AEs) and adverse drug events (ADEs) that occur in this setting. The study's objectives were to: 1) determine the rates of AEs/ADEs, including types, severity, and preventability, in PICU patients; 2) identify population characteristics associated with increased risk of AEs/ADEs; 3) develop and test a PICU specific trigger tool to facilitate identification of AEs/ADEs.\nDESIGN, SETTING, PATIENTS: Retrospective, cross-sectional, randomized review of 734 patient records who were discharged from 15 U.S. PICUs between September and December 2005.\nINTERVENTION: A novel PICU-focused trigger tool for AE/ADE detection.\nMEASUREMENTS AND RESULTS: Sixty-two percent of PICU patients had at least one AE. A total of 1488 AEs, including 256 ADEs, were identified. This translates to a rate of 28.6 AEs and 4.9 ADEs per 100 patient-days. The most common types of AEs were catheter complications, uncontrolled pain, and endotracheal tube malposition. Ten percent of AEs were classified as life-threatening or permanent; 45% were deemed preventable. Higher adjusted rates of AEs were found in surgical patients (p = .02), patients intubated at some point during their PICU stay (p = .002), and patients who died (p &lt; .001). Surgical patients had higher preventable adjusted AE (p = .01) and ADE rates (p = .02). The adjusted cumulative risk of an AE per PICU day was 5.3% and 1.6% for an ADE alone. There was a 4% increase in adjusted ADEs rates for every year increase in age.\nCONCLUSIONS: AEs and ADEs occur frequently in the PICU setting. These data provide areas of focus for evidence-based prevention strategies to decrease the substantial risk to this vulnerable pediatric population.","DOI":"10.1097/PCC.0b013e3181d8e405","ISSN":"1529-7535","note":"PMID: 20308932","journalAbbreviation":"Pediatr Crit Care Med","language":"eng","author":[{"family":"Agarwal","given":"Swati"},{"family":"Classen","given":"David"},{"family":"Larsen","given":"Gitte"},{"family":"Tofil","given":"Nancy M"},{"family":"Hayes","given":"Leslie W"},{"family":"Sullivan","given":"Janice E"},{"family":"Storgion","given":"Stephanie A"},{"family":"Coopes","given":"Barbara J"},{"family":"Craig","given":"Vicki"},{"family":"Jaderlund","given":"Christine"},{"family":"Bisarya","given":"Hema"},{"family":"Parast","given":"Layla"},{"family":"Sharek","given":"Paul"}],"issued":{"date-parts":[["2010",9]]},"PMID":"20308932"}},{"id":2988,"uris":["http://zotero.org/groups/202565/items/KWTEFAJ5"],"uri":["http://zotero.org/groups/202565/items/KWTEFAJ5"],"itemData":{"id":2988,"type":"article-journal","title":"Adverse Drug Event Detection in Pediatric Oncology and Hematology Patients: Using Medication Triggers to Identify Patient Harm in a Specialized Pediatric Patient Population","container-title":"The Journal of pediatrics","source":"NCBI PubMed","abstract":"OBJECTIVE: To investigate the use of a trigger tool for the detection of adverse drug events (ADE) in a pediatric hospital specializing in oncology, hematology, and other catastrophic diseases.\nSTUDY DESIGN: A medication-based trigger tool package analyzed electronic health records from February 2009 to February 2013. Chart review determined whether an ADE precipitated the trigger. Severity was assigned to ADEs, and preventability was assessed. Preventable ADEs were compared with the hospital's electronic voluntary event reporting system to identify whether these ADEs had been previously identified. The positive predictive values (PPVs) of the entire trigger tool and individual triggers were calculated to assess their accuracy to detect ADEs.\nRESULTS: Trigger occurrences (n = 706) were detected in 390 patients from 6 medication triggers, 33 of which were ADEs (overall PPV = 16%). Hyaluronidase had the greatest PPV (60%). Most ADEs were category E harm (temporary harm) per the National Coordinating Council for Medication Error Reporting and Prevention index. One event was category H harm (intervention to sustain life). Naloxone was associated with the most grade 4 ADEs per the Common Terminology Criteria for Adverse Events v4.03. Twenty-one (64%) ADEs were preventable, 3 of which were submitted via the voluntary reporting system.\nCONCLUSION: Most of the medication-based triggers yielded low PPVs. Refining the triggers based on patients' characteristics and medication usage patterns could increase the PPVs and make them more useful for quality improvement. To efficiently detect ADEs, triggers must be revised to reflect specialized pediatric patient populations such as hematology and oncology patients.","DOI":"10.1016/j.jpeds.2014.03.033","ISSN":"1097-6833","note":"PMID: 24768254","shortTitle":"Adverse Drug Event Detection in Pediatric Oncology and Hematology Patients","journalAbbreviation":"J. Pediatr.","language":"ENG","author":[{"family":"Call","given":"Rosemary J"},{"family":"Burlison","given":"Jonathan D"},{"family":"Robertson","given":"Jennifer J"},{"family":"Scott","given":"Jeffrey R"},{"family":"Baker","given":"Donald K"},{"family":"Rossi","given":"Michael G"},{"family":"Howard","given":"Scott C"},{"family":"Hoffman","given":"James M"}],"issued":{"date-parts":[["2014",4,24]]},"PMID":"24768254"}},{"id":2939,"uris":["http://zotero.org/groups/202565/items/IU37XHC5"],"uri":["http://zotero.org/groups/202565/items/IU37XHC5"],"itemData":{"id":2939,"type":"article-journal","title":"‘Global Trigger Tool’ Shows That Adverse Events In Hospitals May Be Ten Times Greater Than Previously Measured","container-title":"Health Affairs","page":"581-589","volume":"30","issue":"4","source":"content.healthaffairs.org.ezp-prod1.hul.harvard.edu","abstract":"Identification and measurement of adverse medical events is central to patient safety, forming a foundation for accountability, prioritizing problems to work on, generating ideas for safer care, and testing which interventions work. We compared three methods to detect adverse events in hospitalized patients, using the same patient sample set from three leading hospitals. We found that the adverse event detection methods commonly used to track patient safety in the United States today—voluntary reporting and the Agency for Healthcare Research and Quality’s Patient Safety Indicators—fared very poorly compared to other methods and missed 90 percent of the adverse events. The Institute for Healthcare Improvement’s Global Trigger Tool found at least ten times more confirmed, serious events than these other methods. Overall, adverse events occurred in one-third of hospital admissions. Reliance on voluntary reporting and the Patient Safety Indicators could produce misleading conclusions about the current safety of care in the US health care system and misdirect efforts to improve patient safety.","DOI":"10.1377/hlthaff.2011.0190","ISSN":"0278-2715, 1544-5208","note":"PMID: 21471476","journalAbbreviation":"Health Aff","language":"en","author":[{"family":"Classen","given":"David C."},{"family":"Resar","given":"Roger"},{"family":"Griffin","given":"Frances"},{"family":"Federico","given":"Frank"},{"family":"Frankel","given":"Terri"},{"family":"Kimmel","given":"Nancy"},{"family":"Whittington","given":"John C."},{"family":"Frankel","given":"Allan"},{"family":"Seger","given":"Andrew"},{"family":"James","given":"Brent C."}],"issued":{"date-parts":[["2011",4,1]]},"PMID":"21471476"}},{"id":2950,"uris":["http://zotero.org/groups/202565/items/2SFH4FZ5"],"uri":["http://zotero.org/groups/202565/items/2SFH4FZ5"],"itemData":{"id":2950,"type":"article-journal","title":"Detection of adverse events in surgical patients using the Trigger Tool approach","container-title":"Quality and Safety in Health Care","page":"253-258","volume":"17","issue":"4","source":"qualitysafety.bmj.com.ezp-prod1.hul.harvard.edu","abstract":"Background: Most studies of healthcare complications identify surgery as a major contributor to the overall burden of complicated care that leads to injury or death. Indeed, surgical adverse events account for one-half to three-quarters of all adverse events in these studies. Despite the intensive current focus on improving medical quality and safety, only a minority of quality improvement efforts are focused on surgery. This study reports on the development and testing of a Trigger Tool to detect adverse events among patients undergoing inpatient surgery.\nMethods: Rather than relying on traditional voluntary reporting for safety outcome measures such as incident reports, surgical peer review, or morbidity and mortality conferences, the Institute for Healthcare Improvement (IHI) has employed a new method for the detection of surgical adverse events (SAEs). This approach, commonly referred to as the “Trigger Tool”, identifies adverse events using a form of retrospective record review that has been developed and implemented in many areas of care.\nResults: During a 12-month IHI Perioperative Safety Collaborative, 11 hospitals voluntarily submitted data from surgical inpatient record reviews. In 854 patients, 138 SAEs were detected in 125 records for a rate of 16 SAEs per 100 patients or 14.6% of patients; 61 (44%) of these events contributed to increased length of stay or readmission and 12 (8.7%) events required life-saving intervention or resulted in permanent harm or death. Hospital review teams reported verbally that most of the events identified during the Trigger Tool review process had not been detected or reported via any other existing mechanism.\nConclusions: The IHI Surgical Trigger Tool may offer a practical, easy-to-use approach to detecting safety problems in patients undergoing surgery; it can be the basis not only for estimating the frequency of adverse events in an organisation, but also determining the impact of interventions that focus on reducing adverse events in surgical patients.","DOI":"10.1136/qshc.2007.025080","ISSN":", 2044-5423","note":"PMID: 18678721","journalAbbreviation":"Qual Saf Health Care","language":"en","author":[{"family":"Griffin","given":"F. A."},{"family":"Classen","given":"D. C."}],"issued":{"date-parts":[["2008",8,1]]},"PMID":"18678721"}},{"id":2986,"uris":["http://zotero.org/groups/202565/items/2BMNQU42"],"uri":["http://zotero.org/groups/202565/items/2BMNQU42"],"itemData":{"id":2986,"type":"article-journal","title":"Comparison of a Trigger Tool and voluntary reporting to identify adverse events in a paediatric intensive care unit","container-title":"Anaesthesia and intensive care","page":"199-206","volume":"42","issue":"2","source":"NCBI PubMed","abstract":"Reduction of adverse events depends on accurate detection. The utility of a Trigger Tool to detect and classify severity of adverse events in an intensive care unit of a paediatric university hospital was compared to voluntary reporting. Sixty patient records were randomly selected from 314 admissions over three months. Events detected by the Trigger Tool were classified by two independent investigators as insignificant, minor, moderate, major or catastrophic. Examination of each record required, on average, 40 minutes. Ninety-eight adverse events (1.66/patient) were detected in 59 available records. Mean admission was 2.77 days. The incidence of adverse events was 59.9 per 100 patient days or 0.60 events per patient per day. The number of events detected by the Trigger Tool was related to duration of admission (r=0.70, P &lt;0.0001) and risk of mortality on admission (r=0.50, P=0.0001) but not to age. The inter-rater agreement on detection of adverse events was good. Investigator One detected 66 adverse events while Investigator Two detected 93 events (kappa 0.63). Of the 61 events detected by both investigators, the agreement of classification of severity was very good (kappa 0.89). Of the 56 events rated similarly by both investigators, 13 (23%) were insignificant, 19 (34%) were minor, 17 (30%) were moderate, 4 (7%) were major and 3 (6%) were catastrophic. Only four adverse events had been reported voluntarily, of which two were detected using the Trigger Tool. Whereas the Trigger Tool is a simple, efficient and robust method, voluntary reporting is inadequate and captures very few adverse events in the intensive care unit environment.","ISSN":"0310-057X","note":"PMID: 24580385","journalAbbreviation":"Anaesth Intensive Care","language":"eng","author":[{"family":"Hooper","given":"A J"},{"family":"Tibballs","given":"J"}],"issued":{"date-parts":[["2014",3]]},"PMID":"24580385"}},{"id":2990,"uris":["http://zotero.org/groups/202565/items/WA3WUBEA"],"uri":["http://zotero.org/groups/202565/items/WA3WUBEA"],"itemData":{"id":2990,"type":"article-journal","title":"Characterization of Adverse Events Detected in a Large Health Care Delivery System Using an Enhanced Global Trigger Tool over a Five-Year Interval","container-title":"Health services research","source":"NCBI PubMed","abstract":"OBJECTIVE: To report 5 years of adverse events (AEs) identified using an enhanced Global Trigger Tool (GTT) in a large health care system.\nSTUDY SETTING: Records from monthly random samples of adults admitted to eight acute care hospitals from 2007 to 2011 with lengths of stay ≥3 days were reviewed.\nSTUDY DESIGN: We examined AE incidence overall and by presence on admission, severity, stemming from care provided versus omitted, preventability, and category; and the overlap with commonly used AE-detection systems.\nDATA COLLECTION: Professional nurse reviewers abstracted 9,017 records using the enhanced GTT, recording triggers and AEs. Medical record/account numbers were matched to identify overlapping voluntary reports or AHRQ Patient Safety Indicators (PSIs).\nPRINCIPAL FINDINGS: Estimated AE rates were as follows: 61.4 AEs/1,000 patient-days, 38.1 AEs/100 discharges, and 32.1 percent of patients with ≥1 AE. Of 1,300 present-on-admission AEs (37.9 percent of total), 78.5 percent showed NCC-MERP level F harm and 87.6 percent were \"preventable/possibly preventable.\" Of 2,129 hospital-acquired AEs, 63.3 percent had level E harm, 70.8 percent were \"preventable/possibly preventable\"; the most common category was \"surgical/procedural\" (40.5 percent). Voluntary reports and PSIs captured &lt;5 percent of encounters with hospital-acquired AEs.\nCONCLUSIONS: AEs are common and potentially amenable to prevention. GTT-identified AEs are seldom caught by commonly used AE-detection systems.","DOI":"10.1111/1475-6773.12163","ISSN":"1475-6773","note":"PMID: 24628436","journalAbbreviation":"Health Serv Res","language":"ENG","author":[{"family":"Kennerly","given":"Donald A"},{"family":"Kudyakov","given":"Rustam"},{"family":"Graca","given":"Briget","non-dropping-particle":"da"},{"family":"Saldaña","given":"Margaret"},{"family":"Compton","given":"Jan"},{"family":"Nicewander","given":"David"},{"family":"Gilder","given":"Richard"}],"issued":{"date-parts":[["2014",3,13]]},"PMID":"24628436"}},{"id":2945,"uris":["http://zotero.org/groups/202565/items/ZB57MI7U"],"uri":["http://zotero.org/groups/202565/items/ZB57MI7U"],"itemData":{"id":2945,"type":"article-journal","title":"Adverse drug event trigger tool: a practical methodology for measuring medication related harm","container-title":"Quality and Safety in Health Care","page":"194-200","volume":"12","issue":"3","source":"qualitysafety.bmj.com","abstract":"Adverse drug events continue to be the single most frequent source of healthcare mishaps, continually placing patients at risk of injury. This is not unexpected, given that drug treatment is the most common medical intervention and medication use is a highly complex, multidisciplinary, and largely manual process. Assessing the actual safety of drug use has been historically difficult, mainly because traditional methods such as chart audits and voluntary reporting of data have been shown to be expensive, insensitive, and largely ineffective for detecting mistakes in drug administration and drug related adverse clinical events (ADEs). Computerized methods for detecting ADEs, employing sentinel words or “triggers” in a patient’s medical record, are effective but expensive and require customized software linkage to pharmacy databases. This paper describes the use of the “trigger tool”, a relatively low cost and “low tech” modification of the automated technique. The adapted technique appears to increase the rate of ADE detection approximately 50-fold over traditional reporting methodologies.","DOI":"10.1136/qhc.12.3.194","ISSN":", 2044-5423","note":"PMID: 12792009","shortTitle":"Adverse drug event trigger tool","journalAbbreviation":"Qual Saf Health Care","language":"en","author":[{"family":"Rozich","given":"J. D."},{"family":"Haraden","given":"C. R."},{"family":"Resar","given":"R. K."}],"issued":{"date-parts":[["2003",6,1]]},"PMID":"12792009"}},{"id":2914,"uris":["http://zotero.org/groups/202565/items/3D3JIVZD"],"uri":["http://zotero.org/groups/202565/items/3D3JIVZD"],"itemData":{"id":2914,"type":"article-journal","title":"Development, testing, and findings of a pediatric-focused trigger tool to identify medication-related harm in US children's hospitals","container-title":"Pediatrics","page":"e927-935","volume":"121","issue":"4","source":"NCBI PubMed","abstract":"OBJECTIVES: The purposes of this study were to develop a pediatric-focused tool for adverse drug event detection and describe the incidence and characteristics of adverse drug events in children's hospitals identified by this tool.\nMETHODS: A pediatric-specific trigger tool for adverse drug event detection was developed and tested. Eighty patients from each site were randomly selected for retrospective chart review. All adverse drug events identified using the trigger tool were evaluated for severity, preventability, ability to mitigate, ability to identify the event earlier, and presence of associated occurrence report. Each trigger and the entire tool were evaluated for positive predictive value.\nRESULTS: Review of 960 randomly selected charts from 12 children's hospitals revealed 2388 triggers (2.49 per patient) and 107 unique adverse drug events. Mean adverse drug event rates were 11.1 per 100 patients, 15.7 per 1000 patient-days, and 1.23 per 1000 medication doses. The positive predictive value of the trigger tool was 3.7%. Twenty-two percent of all adverse drug events were deemed preventable, 17.8% could have been identified earlier, and 16.8% could have been mitigated more effectively. Ninety-seven percent of the identified adverse drug events resulted in mild, temporary harm. Only 3.7% of adverse drug events were identified in existing hospital-based occurrence reports. The most common adverse drug events identified were pruritus and nausea, the most common medication classes causing adverse drug events were opioid analgesics and antibiotics, and the most common stages of the medication management process associated with preventable adverse drug events were monitoring and prescribing/ordering.\nCONCLUSIONS: Adverse drug event rates in hospitalized children are substantially higher than previously described. Most adverse drug events resulted in temporary harm, and 22% were classified as preventable. Only 3.7% were identified by using traditional voluntary reporting methods. Our pediatric-focused trigger tool is effective at identifying adverse drug events in inpatient pediatric populations.","DOI":"10.1542/peds.2007-1779","ISSN":"1098-4275","note":"PMID: 18381521","journalAbbreviation":"Pediatrics","language":"eng","author":[{"family":"Takata","given":"Glenn S"},{"family":"Mason","given":"Wilbert"},{"family":"Taketomo","given":"Carol"},{"family":"Logsdon","given":"Tina"},{"family":"Sharek","given":"Paul J"}],"issued":{"date-parts":[["2008",4]]},"PMID":"18381521"}},{"id":2668,"uris":["http://zotero.org/groups/202565/items/6M6G7DAZ"],"uri":["http://zotero.org/groups/202565/items/6M6G7DAZ"],"itemData":{"id":2668,"type":"report","title":"Adverse Events in Hospitals: Methods for Identifying Events","publisher":"Office of the Inspector General, Department of Health and Human Services","publisher-place":"Washington, DC","event-place":"Washington, DC","number":"OEI-06-08-00221","author":[{"family":"Levinson","given":"Daniel R"}],"issued":{"date-parts":[["2010"]]}}},{"id":3127,"uris":["http://zotero.org/groups/202565/items/APJTR4F6"],"uri":["http://zotero.org/groups/202565/items/APJTR4F6"],"itemData":{"id":3127,"type":"article-journal","title":"Automated adverse event detection collaborative: electronic adverse event identification, classification, and corrective actions across academic pediatric institutions","container-title":"Journal of Patient Safety","page":"203-210","volume":"9","issue":"4","source":"NCBI PubMed","abstract":"BACKGROUND: Historically, the gold standard for detecting medical errors has been the voluntary incident reporting system. Voluntary reporting rates significantly underestimate the number of actual adverse events in any given organization. The electronic health record (EHR) contains clinical and administrative data that may indicate the occurrence of an adverse event and can be used to detect adverse events that may otherwise remain unrecognized. Automated adverse event detection has been shown to be efficient and cost effective in the hospital setting. The Automated Adverse Event Detection Collaborative (AAEDC) is a group of academic pediatric organizations working to identify optimal electronic methods of adverse event detection. The Collaborative seeks to aggregate and analyze data around adverse events as well as identify and share specific intervention strategies to reduce the rate of such events, ultimately to deliver higher quality and safer care. The objective of this study is to describe the process of automated adverse event detection, report early results from the Collaborative, identify commonalities and notable differences between 2 organizations, and suggest future directions for the Collaborative.\nMETHODS: In this retrospective observational study, the implementation and use of an automated adverse event detection system was compared between 2 academic children's hospital participants in the AAEDC, Children's National Medical Center, and Cincinnati Children's Hospital Medical Center. Both organizations use the EHR to identify potential adverse events as designated by specific electronic data triggers. After gathering the electronic data, a clinical investigator at each hospital manually examined the patient record to determine whether an adverse event had occurred, whether the event was preventable, and the level of harm involved.\nRESULTS: The Automated Adverse Event Detection Collaborative data from the 2 organizations between July 2006 and October 2010 were analyzed. Adverse event triggers associated with opioid and benzodiazepine toxicity and intravenous infiltration had the greatest positive predictive value (range, 47%- 96%). Triggers associated with hypoglycemia, coagulation disturbances, and renal dysfunction also had good positive predictive values (range, 22%-74%). In combination, the 2 organizations detected 3,264 adverse events, and 1,870 (57.3%) of these were preventable. Of these 3,264 events, clinicians submitted only 492 voluntary incident reports (15.1%).\nCONCLUSIONS: This work demonstrates the value of EHR-derived data aggregation and analysis in the detection and understanding of adverse events. Comparison and selection of optimal electronic trigger methods and recognition of adverse event trends within and between organizations are beneficial. Automated detection of adverse events likely contributes to the discovery of opportunities, expeditious implementation of process redesign, and quality improvement.","DOI":"10.1097/PTS.0000000000000055","ISSN":"1549-8425","note":"PMID: 24257063","shortTitle":"Automated adverse event detection collaborative","journalAbbreviation":"J Patient Saf","language":"eng","author":[{"family":"Stockwell","given":"David C."},{"family":"Kirkendall","given":"Eric"},{"family":"Muething","given":"Stephen E."},{"family":"Kloppenborg","given":"Elizabeth"},{"family":"Vinodrao","given":"Hima"},{"family":"Jacobs","given":"Brian R."}],"issued":{"date-parts":[["2013",12]]},"PMID":"24257063"}},{"id":3164,"uris":["http://zotero.org/groups/202565/items/3AQG3DEP"],"uri":["http://zotero.org/groups/202565/items/3AQG3DEP"],"itemData":{"id":3164,"type":"article-journal","title":"A Multifaceted Approach to Safety: The Synergistic Detection of Adverse Drug Events in Adult Inpatients","container-title":"Journal of Patient Safety","page":"184-190","volume":"4","issue":"3","source":"CrossRef","DOI":"10.1097/PTS.0b013e318184a9d5","ISSN":"1549-8417","shortTitle":"A Multifaceted Approach to Safety","language":"en","author":[{"family":"Ferranti","given":"Jeffrey"},{"family":"Horvath","given":"Monica M."},{"family":"Cozart","given":"Heidi"},{"family":"Whitehurst","given":"Julie"},{"family":"Eckstrand","given":"Julie"},{"family":"Pietrobon","given":"Ricardo"},{"family":"Rajgor","given":"Dimple"},{"family":"Ahmad","given":"Asif"}],"issued":{"date-parts":[["2008",9]]}}}],"schema":"https://github.com/citation-style-language/schema/raw/master/csl-citation.json"} </w:instrText>
      </w:r>
      <w:r w:rsidRPr="008A5FE8">
        <w:rPr>
          <w:rFonts w:cs="Times New Roman"/>
          <w:color w:val="00B050"/>
        </w:rPr>
        <w:fldChar w:fldCharType="separate"/>
      </w:r>
      <w:r w:rsidRPr="008A5FE8">
        <w:rPr>
          <w:rFonts w:ascii="Calibri" w:hAnsi="Calibri" w:cs="Times New Roman"/>
          <w:color w:val="00B050"/>
          <w:szCs w:val="24"/>
        </w:rPr>
        <w:t>(1–12)</w:t>
      </w:r>
      <w:r w:rsidRPr="008A5FE8">
        <w:rPr>
          <w:rFonts w:cs="Times New Roman"/>
          <w:color w:val="00B050"/>
        </w:rPr>
        <w:fldChar w:fldCharType="end"/>
      </w:r>
      <w:r w:rsidRPr="008A5FE8">
        <w:rPr>
          <w:rFonts w:cs="Times New Roman"/>
          <w:color w:val="00B050"/>
        </w:rPr>
        <w:t xml:space="preserve"> Trigger tool studies have identified specific triggers that have high yields for AE detection, such as “return to surgery,” “positive blood culture,” or “abrupt medication stop.”</w:t>
      </w:r>
      <w:r w:rsidRPr="008A5FE8">
        <w:rPr>
          <w:rFonts w:cs="Times New Roman"/>
          <w:color w:val="00B050"/>
        </w:rPr>
        <w:fldChar w:fldCharType="begin"/>
      </w:r>
      <w:r w:rsidRPr="008A5FE8">
        <w:rPr>
          <w:rFonts w:cs="Times New Roman"/>
          <w:color w:val="00B050"/>
        </w:rPr>
        <w:instrText xml:space="preserve"> ADDIN ZOTERO_ITEM CSL_CITATION {"citationID":"UeRoUKLM","properties":{"formattedCitation":"(8,13,14)","plainCitation":"(8,13,14)"},"citationItems":[{"id":3001,"uris":["http://zotero.org/groups/202565/items/9IHISCIT"],"uri":["http://zotero.org/groups/202565/items/9IHISCIT"],"itemData":{"id":3001,"type":"article-journal","title":"Measuring hospital adverse events: assessing inter-rater reliability and trigger performance of the Global Trigger Tool","container-title":"International journal for quality in health care: journal of the International Society for Quality in Health Care / ISQua","page":"266-274","volume":"22","issue":"4","source":"NCBI PubMed","abstract":"OBJECTIVE: To determine the inter-rater reliability of the Institute for Healthcare Improvement's Global Trigger Tool (GTT) in a practice setting, and explore the value of individual triggers.\nDESIGN: Prospective assessment of application of the GTT to monthly random samples of hospitalized patients at four hospitals across three regions in the USA.\nSETTING: Mayo Clinic campuses are in Minnesota, Arizona and Florida.\nPARTICIPANTS: A total of 1138 non-pediatric inpatients from all units across the hospital.\nINTERVENTION: GTT was applied to randomly selected medical records with independent assessments of two registered nurses with a physician review for confirmation.\nMAIN OUTCOME MEASURE: The Cohen Kappa coefficient was used as a measure of inter-rater agreement. The positive predictive value was assessed for individual triggers.\nRESULTS: Good levels of reliability were obtained between independent nurse reviewers at the case-level for both the occurrence of any trigger and the identification of an adverse event. Nurse reviewer agreement for individual triggers was much more varied. Higher agreement appears to occur among triggers that are objective and consistently recorded in selected portions of the medical record. Individual triggers also varied on their yield to detect adverse events. Cases with adverse events had significantly more triggers identified (mean 4.7) than cases with no adverse events (mean 1.8).\nCONCLUSIONS: The trigger methodology appears to be a promising approach to the measurement of patient safety. However, automated processes could make the process more efficient in identifying adverse events and has a greater potential of improving care delivery and patient 'outcomes'.","DOI":"10.1093/intqhc/mzq026","ISSN":"1464-3677","note":"PMID: 20534607","shortTitle":"Measuring hospital adverse events","journalAbbreviation":"Int J Qual Health Care","language":"eng","author":[{"family":"Naessens","given":"James M"},{"family":"O'Byrne","given":"Thomas J"},{"family":"Johnson","given":"Matthew G"},{"family":"Vansuch","given":"Monica B"},{"family":"McGlone","given":"Corey M"},{"family":"Huddleston","given":"Jeanne M"}],"issued":{"date-parts":[["2010",8]]},"PMID":"20534607"}},{"id":2948,"uris":["http://zotero.org/groups/202565/items/XZKD44DG"],"uri":["http://zotero.org/groups/202565/items/XZKD44DG"],"itemData":{"id":2948,"type":"article-journal","title":"A trigger tool to identify adverse events in the intensive care unit","container-title":"Joint Commission journal on quality and patient safety / Joint Commission Resources","page":"585-590","volume":"32","issue":"10","source":"NCBI PubMed","abstract":"BACKGROUND: The Institute for Healthcare Improvement has tested and taught use of a variety of trigger tools, including those for adverse medication events, neonatal intensive care events, and a global trigger tool for measuring all event categories in a hospital. The trigger tools have evolved as a complimentary adjunct to voluntary reporting. The Trigger Tool technique was used to identify the rate of occurrence of adverse events in the intensive care unit (ICU), and a subset of ICUs described those events in detail.\nMETHODS: Sixty-two ICUs in 54 hospitals (both academic and community) engaged in IHI critical care collaboratives between 2001 and late 2004. Charts were selected using a random sampling technique and reviewed using a two-stage process.\nRESULTS: The prevalence of adverse events observed on 12,074 ICU admissions was 11.3 adverse events/100 patient days. For a subset of 1,294 charts from 13 ICUs which were reviewed in detail, 1,450 adverse events were identified, for a prevalence of 16.4 events/100 ICU days. Fifty-five percent of the charts in this subset contained at least one adverse event.\nDISCUSSION: The Trigger Tool methodology is a practical approach to enhance detection of adverse events in ICU patients. Evaluation of these adverse events can be used to direct resource use for improvement work. The measurement of these sampled chart reviews can also be used to follow the impact of the change strategies on the occurrence of adverse events within a local ICU.","ISSN":"1553-7250","note":"PMID: 17066996","journalAbbreviation":"Jt Comm J Qual Patient Saf","language":"eng","author":[{"family":"Resar","given":"Roger K"},{"family":"Rozich","given":"John D"},{"family":"Simmonds","given":"Terri"},{"family":"Haraden","given":"Carol R"}],"issued":{"date-parts":[["2006",10]]},"PMID":"17066996"}},{"id":2945,"uris":["http://zotero.org/groups/202565/items/ZB57MI7U"],"uri":["http://zotero.org/groups/202565/items/ZB57MI7U"],"itemData":{"id":2945,"type":"article-journal","title":"Adverse drug event trigger tool: a practical methodology for measuring medication related harm","container-title":"Quality and Safety in Health Care","page":"194-200","volume":"12","issue":"3","source":"qualitysafety.bmj.com","abstract":"Adverse drug events continue to be the single most frequent source of healthcare mishaps, continually placing patients at risk of injury. This is not unexpected, given that drug treatment is the most common medical intervention and medication use is a highly complex, multidisciplinary, and largely manual process. Assessing the actual safety of drug use has been historically difficult, mainly because traditional methods such as chart audits and voluntary reporting of data have been shown to be expensive, insensitive, and largely ineffective for detecting mistakes in drug administration and drug related adverse clinical events (ADEs). Computerized methods for detecting ADEs, employing sentinel words or “triggers” in a patient’s medical record, are effective but expensive and require customized software linkage to pharmacy databases. This paper describes the use of the “trigger tool”, a relatively low cost and “low tech” modification of the automated technique. The adapted technique appears to increase the rate of ADE detection approximately 50-fold over traditional reporting methodologies.","DOI":"10.1136/qhc.12.3.194","ISSN":", 2044-5423","note":"PMID: 12792009","shortTitle":"Adverse drug event trigger tool","journalAbbreviation":"Qual Saf Health Care","language":"en","author":[{"family":"Rozich","given":"J. D."},{"family":"Haraden","given":"C. R."},{"family":"Resar","given":"R. K."}],"issued":{"date-parts":[["2003",6,1]]},"PMID":"12792009"}}],"schema":"https://github.com/citation-style-language/schema/raw/master/csl-citation.json"} </w:instrText>
      </w:r>
      <w:r w:rsidRPr="008A5FE8">
        <w:rPr>
          <w:rFonts w:cs="Times New Roman"/>
          <w:color w:val="00B050"/>
        </w:rPr>
        <w:fldChar w:fldCharType="separate"/>
      </w:r>
      <w:r w:rsidRPr="008A5FE8">
        <w:rPr>
          <w:rFonts w:ascii="Calibri" w:hAnsi="Calibri"/>
          <w:color w:val="00B050"/>
        </w:rPr>
        <w:t>(8,13,14)</w:t>
      </w:r>
      <w:r w:rsidRPr="008A5FE8">
        <w:rPr>
          <w:rFonts w:cs="Times New Roman"/>
          <w:color w:val="00B050"/>
        </w:rPr>
        <w:fldChar w:fldCharType="end"/>
      </w:r>
      <w:r w:rsidRPr="008A5FE8">
        <w:rPr>
          <w:rFonts w:cs="Times New Roman"/>
          <w:color w:val="00B050"/>
        </w:rPr>
        <w:t xml:space="preserve"> These findings were applied when developing the triggers used in the GAPPS measure. </w:t>
      </w:r>
    </w:p>
    <w:p w:rsidR="008A5FE8" w:rsidRPr="008A5FE8" w:rsidRDefault="008A5FE8" w:rsidP="008A5FE8">
      <w:pPr>
        <w:rPr>
          <w:rFonts w:cs="Times New Roman"/>
          <w:color w:val="00B050"/>
        </w:rPr>
      </w:pPr>
    </w:p>
    <w:p w:rsidR="008A5FE8" w:rsidRPr="008A5FE8" w:rsidRDefault="008A5FE8" w:rsidP="008A5FE8">
      <w:pPr>
        <w:ind w:left="0" w:firstLine="0"/>
        <w:rPr>
          <w:rFonts w:cs="Times New Roman"/>
          <w:color w:val="00B050"/>
        </w:rPr>
      </w:pPr>
      <w:r w:rsidRPr="008A5FE8">
        <w:rPr>
          <w:rFonts w:cs="Times New Roman"/>
          <w:color w:val="00B050"/>
        </w:rPr>
        <w:t>In addition, nearly all studies evaluating mean medical record review times reported times under 30 minutes,</w:t>
      </w:r>
      <w:r w:rsidRPr="008A5FE8">
        <w:rPr>
          <w:rFonts w:cs="Times New Roman"/>
          <w:color w:val="00B050"/>
        </w:rPr>
        <w:fldChar w:fldCharType="begin"/>
      </w:r>
      <w:r w:rsidRPr="008A5FE8">
        <w:rPr>
          <w:rFonts w:cs="Times New Roman"/>
          <w:color w:val="00B050"/>
        </w:rPr>
        <w:instrText xml:space="preserve"> ADDIN ZOTERO_ITEM CSL_CITATION {"citationID":"zZues5Kj","properties":{"formattedCitation":"{\\rtf (2,15\\uc0\\u8211{}17)}","plainCitation":"(2,15–17)"},"citationItems":[{"id":2946,"uris":["http://zotero.org/groups/202565/items/HVF823BI"],"uri":["http://zotero.org/groups/202565/items/HVF823BI"],"itemData":{"id":2946,"type":"article-journal","title":"Prevalence of adverse events in pediatric intensive care units in the United States","container-title":"Pediatric critical care medicine: a journal of the Society of Critical Care Medicine and the World Federation of Pediatric Intensive and Critical Care Societies","page":"568-578","volume":"11","issue":"5","source":"NCBI PubMed","abstract":"OBJECTIVES: Selection of relevant patient safety interventions for the pediatric intensive care (PICU) requires identification of the types and severity of adverse events (AEs) and adverse drug events (ADEs) that occur in this setting. The study's objectives were to: 1) determine the rates of AEs/ADEs, including types, severity, and preventability, in PICU patients; 2) identify population characteristics associated with increased risk of AEs/ADEs; 3) develop and test a PICU specific trigger tool to facilitate identification of AEs/ADEs.\nDESIGN, SETTING, PATIENTS: Retrospective, cross-sectional, randomized review of 734 patient records who were discharged from 15 U.S. PICUs between September and December 2005.\nINTERVENTION: A novel PICU-focused trigger tool for AE/ADE detection.\nMEASUREMENTS AND RESULTS: Sixty-two percent of PICU patients had at least one AE. A total of 1488 AEs, including 256 ADEs, were identified. This translates to a rate of 28.6 AEs and 4.9 ADEs per 100 patient-days. The most common types of AEs were catheter complications, uncontrolled pain, and endotracheal tube malposition. Ten percent of AEs were classified as life-threatening or permanent; 45% were deemed preventable. Higher adjusted rates of AEs were found in surgical patients (p = .02), patients intubated at some point during their PICU stay (p = .002), and patients who died (p &lt; .001). Surgical patients had higher preventable adjusted AE (p = .01) and ADE rates (p = .02). The adjusted cumulative risk of an AE per PICU day was 5.3% and 1.6% for an ADE alone. There was a 4% increase in adjusted ADEs rates for every year increase in age.\nCONCLUSIONS: AEs and ADEs occur frequently in the PICU setting. These data provide areas of focus for evidence-based prevention strategies to decrease the substantial risk to this vulnerable pediatric population.","DOI":"10.1097/PCC.0b013e3181d8e405","ISSN":"1529-7535","note":"PMID: 20308932","journalAbbreviation":"Pediatr Crit Care Med","language":"eng","author":[{"family":"Agarwal","given":"Swati"},{"family":"Classen","given":"David"},{"family":"Larsen","given":"Gitte"},{"family":"Tofil","given":"Nancy M"},{"family":"Hayes","given":"Leslie W"},{"family":"Sullivan","given":"Janice E"},{"family":"Storgion","given":"Stephanie A"},{"family":"Coopes","given":"Barbara J"},{"family":"Craig","given":"Vicki"},{"family":"Jaderlund","given":"Christine"},{"family":"Bisarya","given":"Hema"},{"family":"Parast","given":"Layla"},{"family":"Sharek","given":"Paul"}],"issued":{"date-parts":[["2010",9]]},"PMID":"20308932"}},{"id":3000,"uris":["http://zotero.org/groups/202565/items/KEWI9XI7"],"uri":["http://zotero.org/groups/202565/items/KEWI9XI7"],"itemData":{"id":3000,"type":"article-journal","title":"A trigger tool fails to identify serious errors and adverse events in pediatric otolaryngology","container-title":"Otolaryngology--head and neck surgery: official journal of American Academy of Otolaryngology-Head and Neck Surgery","page":"480-486","volume":"143","issue":"4","source":"NCBI PubMed","abstract":"OBJECTIVE: To identify and quantify errors and adverse events on an inpatient academic tertiary-care pediatric otolaryngology service, a trigger tool was developed and validated as part of a quality improvement initiative.\nSTUDY DESIGN: Retrospective record review.\nSETTING: Children's Hospital Boston quality improvement initiative.\nSUBJECTS AND METHODS: Fifty inpatient admissions were reviewed. The gold standard for errors and adverse events identification was a detailed chart review by two board-certified otolaryngologists blinded to trigger tool findings.\nRESULTS: Trigger tool interrater reliability ranged from poor to high for admission triggers (kappa = 0.35, 95% confidence interval [95% CI] -0.07 to 0.76), discharge triggers (kappa = 0.63, 95% CI 0.27-0.99), medical records triggers (kappa = 0.61, 95% CI 0.11-1.00), and medication triggers (kappa = 0.90, 95% CI 0.71-1.00). Errors and adverse events were found in all admissions: three percent were potentially harmful, and 93 percent were documentation-related.\nCONCLUSION: The trigger tool was successful in identifying clerical and administrative errors and adverse events but failed to identify complex errors and adverse events. A hybrid approach for chart review may be cost-effective in pediatric otolaryngology.","DOI":"10.1016/j.otohns.2010.06.820","ISSN":"1097-6817","note":"PMID: 20869555","journalAbbreviation":"Otolaryngol Head Neck Surg","language":"eng","author":[{"family":"Lander","given":"Lina"},{"family":"Roberson","given":"David W"},{"family":"Plummer","given":"Katrina M"},{"family":"Forbes","given":"Peter W"},{"family":"Healy","given":"Gerald B"},{"family":"Shah","given":"Rahul K"}],"issued":{"date-parts":[["2010",10]]},"PMID":"20869555"}},{"id":2912,"uris":["http://zotero.org/groups/202565/items/E3ZEUCQH"],"uri":["http://zotero.org/groups/202565/items/E3ZEUCQH"],"itemData":{"id":2912,"type":"article-journal","title":"Adverse events in the neonatal intensive care unit: development, testing, and findings of an NICU-focused trigger tool to identify harm in North American NICUs","container-title":"Pediatrics","page":"1332-1340","volume":"118","issue":"4","source":"NCBI PubMed","abstract":"OBJECTIVES: Currently there are few practical methods to identify and measure harm to hospitalized children. Patients in NICUs are at high risk and warrant a detailed assessment of harm to guide patient safety efforts. The purpose of this work was to develop a NICU-focused tool for adverse event detection and to describe the incidence of adverse events in NICUs identified by this tool.\nMETHODS: A NICU-focused trigger tool for adverse event detection was developed and tested. Fifty patients from each site with a minimum 2-day NICU stay were randomly selected. All adverse events identified using the trigger tool were evaluated for severity, preventability, ability to mitigate, ability to identify the event earlier, and presence of associated occurrence report. Each trigger, and the entire tool, was evaluated for positive predictive value. Study chart reviewers, in aggregate, identified 88.0% of all potential triggers and 92.4% of all potential adverse events.\nRESULTS: Review of 749 randomly selected charts from 15 NICUs revealed 2218 triggers or 2.96 per patient, and 554 unique adverse events or 0.74 per patient. The positive predictive value of the trigger tool was 0.38. Adverse event rates were higher for patients &lt;28 weeks' gestation and &lt;1500 g birth weight. Fifty-six percent of all adverse events were deemed preventable; 16% could have been identified earlier, and 6% could have been mitigated more effectively. Only 8% of adverse events were identified in existing hospital-based occurrence reports. The most common adverse events identified were nosocomial infections, catheter infiltrates, and abnormal cranial imaging.\nCONCLUSIONS: Adverse event rates in the NICU setting are substantially higher than previously described. Many adverse events resulted in permanent harm and the majority were classified as preventable. Only 8% were identified using traditional voluntary reporting methods. Our NICU-focused trigger tool appears efficient and effective at identifying adverse events.","DOI":"10.1542/peds.2006-0565","ISSN":"1098-4275","note":"PMID: 17015521","shortTitle":"Adverse events in the neonatal intensive care unit","journalAbbreviation":"Pediatrics","language":"eng","author":[{"family":"Sharek","given":"Paul J"},{"family":"Horbar","given":"Jeffrey D"},{"family":"Mason","given":"Wilbert"},{"family":"Bisarya","given":"Hema"},{"family":"Thurm","given":"Cary W"},{"family":"Suresh","given":"Gautham"},{"family":"Gray","given":"James E"},{"family":"Edwards","given":"William H"},{"family":"Goldmann","given":"Donald"},{"family":"Classen","given":"David"}],"issued":{"date-parts":[["2006",10]]},"PMID":"17015521"}},{"id":2997,"uris":["http://zotero.org/groups/202565/items/IZUZKHGD"],"uri":["http://zotero.org/groups/202565/items/IZUZKHGD"],"itemData":{"id":2997,"type":"article-journal","title":"Is detection of adverse events affected by record review methodology? an evaluation of the \"Harvard Medical Practice Study\" method and the \"Global Trigger Tool\"","container-title":"Patient safety in surgery","page":"10","volume":"7","issue":"1","source":"NCBI PubMed","abstract":"BACKGROUND: There has been a theoretical debate as to which retrospective record review method is the most valid, reliable, cost efficient and feasible for detecting adverse events. The aim of the present study was to evaluate the feasibility and capability of two common retrospective record review methods, the \"Harvard Medical Practice Study\" method and the \"Global Trigger Tool\" in detecting adverse events in adult orthopaedic inpatients.\nMETHODS: We performed a three-stage structured retrospective record review process in a random sample of 350 orthopaedic admissions during 2009 at a Swedish university hospital. Two teams comprised each of a registered nurse and two physicians were assigned, one to each method. All records were primarily reviewed by registered nurses. Records containing a potential adverse event were forwarded to physicians for review in stage 2. Physicians made an independent review regarding, for example, healthcare causation, preventability and severity. In the third review stage all adverse events that were found with the two methods together were compared and all discrepancies after review stage 2 were analysed. Events that had not been identified by one of the methods in the first two review stages were reviewed by the respective physicians.\nRESULTS: Altogether, 160 different adverse events were identified in 105 (30.0%) of the 350 records with both methods combined. The \"Harvard Medical Practice Study\" method identified 155 of the 160 (96.9%, 95% CI: 92.9-99.0) adverse events in 104 (29.7%) records compared with 137 (85.6%, 95% CI: 79.2-90.7) adverse events in 98 (28.0%) records using the \"Global Trigger Tool\". Adverse events \"causing harm without permanent disability\" accounted for most of the observed difference. The overall positive predictive value for criteria and triggers using the \"Harvard Medical Practice Study\" method and the \"Global Trigger Tool\" was 40.3% and 30.4%, respectively.\nCONCLUSIONS: More adverse events were identified using the \"Harvard Medical Practice Study\" method than using the \"Global Trigger Tool\". Differences in review methodology, perception of less severe adverse events and context knowledge may explain the observed difference between two expert review teams in the detection of adverse events.","DOI":"10.1186/1754-9493-7-10","ISSN":"1754-9493","note":"PMID: 23587448 \nPMCID: PMC3637606","shortTitle":"Is detection of adverse events affected by record review methodology?","journalAbbreviation":"Patient Saf Surg","language":"eng","author":[{"family":"Unbeck","given":"Maria"},{"family":"Schildmeijer","given":"Kristina"},{"family":"Henriksson","given":"Peter"},{"family":"Jürgensen","given":"Urban"},{"family":"Muren","given":"Olav"},{"family":"Nilsson","given":"Lena"},{"family":"Pukk Härenstam","given":"Karin"}],"issued":{"date-parts":[["2013"]]},"PMID":"23587448","PMCID":"PMC3637606"}}],"schema":"https://github.com/citation-style-language/schema/raw/master/csl-citation.json"} </w:instrText>
      </w:r>
      <w:r w:rsidRPr="008A5FE8">
        <w:rPr>
          <w:rFonts w:cs="Times New Roman"/>
          <w:color w:val="00B050"/>
        </w:rPr>
        <w:fldChar w:fldCharType="separate"/>
      </w:r>
      <w:r w:rsidRPr="008A5FE8">
        <w:rPr>
          <w:rFonts w:ascii="Calibri" w:hAnsi="Calibri" w:cs="Times New Roman"/>
          <w:color w:val="00B050"/>
          <w:szCs w:val="24"/>
        </w:rPr>
        <w:t>(2,15–17)</w:t>
      </w:r>
      <w:r w:rsidRPr="008A5FE8">
        <w:rPr>
          <w:rFonts w:cs="Times New Roman"/>
          <w:color w:val="00B050"/>
        </w:rPr>
        <w:fldChar w:fldCharType="end"/>
      </w:r>
      <w:r w:rsidRPr="008A5FE8">
        <w:rPr>
          <w:rFonts w:cs="Times New Roman"/>
          <w:color w:val="00B050"/>
        </w:rPr>
        <w:t xml:space="preserve"> indicating that trigger tools can be used to adequately detect AEs with a reasonably small time burden. The GAPPS methodology likewise employs a maximum 30-minute time frame. Since GAPPS can be applied using either a manual or automated approach (the difference is whether triggers are initially identified by a primary reviewer or by an algorithm programmed into an electronic health record [EHR] system), the automated approach to identifying preventable AEs may decrease the time </w:t>
      </w:r>
      <w:r w:rsidRPr="008A5FE8">
        <w:rPr>
          <w:rFonts w:cs="Times New Roman"/>
          <w:color w:val="00B050"/>
        </w:rPr>
        <w:lastRenderedPageBreak/>
        <w:t>burden even further as shown in several studies.</w:t>
      </w:r>
      <w:r w:rsidRPr="008A5FE8">
        <w:rPr>
          <w:rFonts w:cs="Times New Roman"/>
          <w:color w:val="00B050"/>
        </w:rPr>
        <w:fldChar w:fldCharType="begin"/>
      </w:r>
      <w:r w:rsidRPr="008A5FE8">
        <w:rPr>
          <w:rFonts w:cs="Times New Roman"/>
          <w:color w:val="00B050"/>
        </w:rPr>
        <w:instrText xml:space="preserve"> ADDIN ZOTERO_ITEM CSL_CITATION {"citationID":"iuzgLtMV","properties":{"formattedCitation":"{\\rtf (18\\uc0\\u8211{}21)}","plainCitation":"(18–21)"},"citationItems":[{"id":3158,"uris":["http://zotero.org/groups/202565/items/AV6X5SU5"],"uri":["http://zotero.org/groups/202565/items/AV6X5SU5"],"itemData":{"id":3158,"type":"article-journal","title":"Development of trigger-based semi-automated surveillance of ventilator-associated pneumonia and central line-associated bloodstream infections in a Dutch intensive care","container-title":"Annals of Intensive Care","page":"40","volume":"4","source":"PubMed Central","abstract":"Background\nAvailability of a patient data management system (PDMS) has created the opportunity to develop trigger-based electronic surveillance systems (ESSs). The aim was to evaluate a semi-automated trigger-based ESS for the detection of ventilator-associated pneumonia (VAP) and central line-associated blood stream infections (CLABSIs) in the intensive care.\n\nMethods\nProspective comparison of surveillance was based on a semi-automated ESS with and without trigger. Components of the VAP/CLABSI definition served as triggers. These included the use of VAP/CLABSI-related antibiotics, the presence of mechanical ventilation or an intravenous central line, and the presence of specific clinical symptoms. Triggers were automatically fired by the PDMS. Chest X-rays and microbiology culture results were checked only on patient days with a positive trigger signal from the ESS. In traditional screening, no triggers were used; therefore, chest X-rays and culture results had to be screened for all patient days of all included patients. Patients with pneumonia at admission were excluded.\n\nResults\nA total of 553 patients were screened for VAP and CLABSI. The incidence of VAP was 3.3/1,000 ventilation days (13 VAP/3,927 mechanical ventilation days), and the incidence of CLABSI was 1.7/1,000 central line days (24 CLABSI/13.887 central line days). For VAP, the trigger-based screening had a sensitivity of 92.3%, a specificity of 100%, and a negative predictive value of 99.8% compared to traditional screening of all patients. For CLABSI, sensitivity was 91.3%, specificity 100%, and negative predictive value 99.6%.\n\nConclusions\nPre-selection of patients to be checked for signs and symptoms of VAP and CLABSI by a computer-generated automated trigger system was time saving but slightly less accurate than conventional surveillance. However, this after-the-fact surveillance was mainly designed as a quality indicator over time rather than for precise determination of infection rates. Therefore, surveillance of VAP and CLABSI with a trigger-based ESS is feasible and effective.","DOI":"10.1186/s13613-014-0040-x","ISSN":"2110-5820","note":"PMID: 25646148\nPMCID: PMC4303743","journalAbbreviation":"Ann Intensive Care","author":[{"family":"Kaiser","given":"Anna Maria"},{"family":"Jong","given":"Evelien","non-dropping-particle":"de"},{"family":"Evelein-Brugman","given":"Sabine FM"},{"family":"Peppink","given":"Jan M"},{"family":"Vandenbroucke-Grauls","given":"Christina MJE"},{"family":"Girbes","given":"Armand RJ"}],"issued":{"date-parts":[["2014",12,21]]},"PMID":"25646148","PMCID":"PMC4303743"}},{"id":2904,"uris":["http://zotero.org/groups/202565/items/MR4Z3F3C"],"uri":["http://zotero.org/groups/202565/items/MR4Z3F3C"],"itemData":{"id":2904,"type":"article-journal","title":"Identifying adverse drug events: development of a computer-based monitor and comparison with chart review and stimulated voluntary report","container-title":"Journal of the American Medical Informatics Association: JAMIA","page":"305-314","volume":"5","issue":"3","source":"NCBI PubMed","abstract":"BACKGROUND: Adverse drug events (ADEs) are both common and costly. Most hospitals identify ADEs using spontaneous reporting, but this approach lacks sensitivity; chart review identifies more events but is expensive. Computer-based approaches to ADE identification appear promising, but they have not been directly compared with chart review and they are not widely used.\nOBJECTIVES: To develop a computer-based ADE monitor, and to compare the rate and type of ADEs found with the monitor with those discovered by chart review and by stimulated voluntary report.\nDESIGN: Prospective cohort study in one tertiary-care hospital.\nPARTICIPANTS: All patients admitted to nine medical and surgical units in a tertiary-care hospital over an eight-month period.\nMAIN OUTCOME MEASURE: Adverse drug events identified by the computer-based monitor, by chart review, and by stimulated voluntary report.\nMETHODS: A computer-based monitoring program identified alerts, which were situations suggesting that an ADE might be present (e.g., an order for an antidote such as naloxone). A trained reviewer then examined patients' hospital records to determine whether an ADE had occurred. The results of the computer-based monitoring strategy were compared with two other ADE detection strategies: intensive chart review and stimulated voluntary report by nurses and pharmacists. The monitor and the chart review strategies were independent, and the reviewers were blinded.\nRESULTS: The computer monitoring strategy identified 2,620 alerts, of which 275 were determined to be ADEs. The chart review found 398 ADEs, whereas voluntary report detected 23. Of the 617 ADEs detected by at least one method, 76 ADEs were detected by both computer monitor and chart review. The computer monitor identified 45 percent; chart review, 65 percent; and voluntary report, 4 percent. The ADEs identified by computer monitor were more likely to be classified as \"severe\" than were those identified by chart review (51 versus 42 percent, p = .04). The positive predictive value of computer-generated alerts was 16 percent during the first eight weeks of the study; rule modifications increased this to 23 percent in the final eight weeks. The computer strategy required 11 person-hours per week to execute, whereas chart review required 55 person-hours per week and voluntary report strategy required 5.\nCONCLUSIONS: The computer-based monitor identified fewer ADEs than did chart review but many more ADEs than did stimulated voluntary report. The overlap among the ADEs identified using different methods was small, suggesting that the incidence of ADEs may be higher than previously reported and that different detection methods capture different events. The computer-based monitoring system represents an efficient approach for measuring ADE frequency and gauging the effectiveness of ADE prevention programs.","ISSN":"1067-5027","note":"PMID: 9609500","shortTitle":"Identifying adverse drug events","journalAbbreviation":"J Am Med Inform Assoc","language":"eng","author":[{"family":"Jha","given":"A K"},{"family":"Kuperman","given":"G J"},{"family":"Teich","given":"J M"},{"family":"Leape","given":"L"},{"family":"Shea","given":"B"},{"family":"Rittenberg","given":"E"},{"family":"Burdick","given":"E"},{"family":"Seger","given":"D L"},{"family":"Vander Vliet","given":"M"},{"family":"Bates","given":"D W"}],"issued":{"date-parts":[["1998",6]]},"PMID":"9609500"}},{"id":3161,"uris":["http://zotero.org/groups/202565/items/V9AUDRCH"],"uri":["http://zotero.org/groups/202565/items/V9AUDRCH"],"itemData":{"id":3161,"type":"article-journal","title":"Detecting Adverse Events Using Information Technology","container-title":"Journal of the American Medical Informatics Association","page":"115-128","volume":"10","issue":"2","source":"jamia.oxfordjournals.org.ezp-prod1.hul.harvard.edu","abstract":"Context: Although patient safety is a major problem, most health care organizations rely on spontaneous reporting, which detects only a small minority of adverse events. As a result, problems with safety have remained hidden. Chart review can detect adverse events in research settings, but it is too expensive for routine use. Information technology techniques can detect some adverse events in a timely and cost-effective way, in some cases early enough to prevent patient harm.Objective: To review methodologies of detecting adverse events using information technology, reports of studies that used these techniques to detect adverse events, and study results for specific types of adverse events.Design: Structured review.Methodology: English-language studies that reported using information technology to detect adverse events were identified using standard techniques. Only studies that contained original data were included.Main Outcome Measures: Adverse events, with specific focus on nosocomial infections, adverse drug events, and injurious falls.Results: Tools such as event monitoring and natural language processing can inexpensively detect certain types of adverse events in clinical databases. These approaches already work well for some types of adverse events, including adverse drug events and nosocomial infections, and are in routine use in a few hospitals. In addition, it appears likely that these techniques will be adaptable in ways that allow detection of a broad array of adverse events, especially as more medical information becomes computerized.Conclusion: Computerized detection of adverse events will soon be practical on a widespread basis.","DOI":"10.1197/jamia.M1074","ISSN":"1067-5027, 1527-974X","note":"PMID: 12595401","language":"en","author":[{"family":"Bates","given":"David W."},{"family":"Evans","given":"R. Scott"},{"family":"Murff","given":"Harvey"},{"family":"Stetson","given":"Peter D."},{"family":"Pizziferri","given":"Lisa"},{"family":"Hripcsak","given":"George"}],"issued":{"date-parts":[["2003",3,1]]},"PMID":"12595401"}},{"id":3157,"uris":["http://zotero.org/groups/202565/items/32NINRJH"],"uri":["http://zotero.org/groups/202565/items/32NINRJH"],"itemData":{"id":3157,"type":"article-journal","title":"Development and Performance of Electronic Acute Kidney Injury Triggers to Identify Pediatric Patients at Risk for Nephrotoxic Medication-Associated Harm","container-title":"Applied Clinical Informatics","page":"313-333","volume":"5","issue":"2","source":"PubMed Central","abstract":"Background\nNephrotoxic medication-associated acute kidney injury (NTMx-AKI) is a costly clinical phenomenon and more common than previously recognized. Prior efforts to use technology to identify AKI have focused on detection after renal injury has occurred.\n\nObjectives\nDescribe an approach and provide a technical framework for the creation of risk-stratifying AKI triggers and the development of an application to manage the AKI trigger data. Report the performance characteristics of those triggers and the refinement process and on the challenges of implementation.\n\nMethods\nInitial manual trigger screening guided design of an automated electronic trigger report. A web-based application was designed to alleviate inefficiency and serve as a user interface and central workspace for the project. Performance of the NTMx exposure trigger reports from September 2011 to September 2013 were evaluated using sensitivity (SN), specificity (SP), positive and negative predictive values (PPV, NPV).\n\nResults\nAutomated reports were created to replace manual screening for NTMx-AKI. The initial performance of the NTMx exposure triggers for SN, SP, PPV, and NPV all were ≥0.78, and increased over the study, with all four measures reaching ≥0.95 consistently. A web-based application was implemented that simplifies data entry and couriering from the reports, expedites results viewing, and interfaces with an automated data visualization tool. Sociotechnical challenges were logged and reported.\n\nConclusion\nWe have built a risk-stratifying system based on electronic triggers that detects patients at-risk for NTMx-AKI before injury occurs. The performance of the NTMx-exposed reports has neared 100% through iterative optimization. The complexity of the trigger logic and clinical workflows surrounding NTMx-AKI led to a challenging implementation, but one that has been successful from technical, clinical, and quality improvement standpoints. This report summarizes the construction of a trigger-based application, the performance of the triggers, and the challenges uncovered during the design, build, and implementation of the system.","DOI":"10.4338/ACI-2013-12-RA-0102","ISSN":"1869-0327","note":"PMID: 25024752\nPMCID: PMC4081739","journalAbbreviation":"Appl Clin Inform","author":[{"family":"Kirkendall","given":"E.S."},{"family":"Spires","given":"W.L."},{"family":"Mottes","given":"T.A."},{"family":"Schaffzin","given":"J.K."},{"family":"Barclay","given":"C."},{"family":"Goldstein","given":"S.L."}],"issued":{"date-parts":[["2014",4,2]]},"PMID":"25024752","PMCID":"PMC4081739"}}],"schema":"https://github.com/citation-style-language/schema/raw/master/csl-citation.json"} </w:instrText>
      </w:r>
      <w:r w:rsidRPr="008A5FE8">
        <w:rPr>
          <w:rFonts w:cs="Times New Roman"/>
          <w:color w:val="00B050"/>
        </w:rPr>
        <w:fldChar w:fldCharType="separate"/>
      </w:r>
      <w:r w:rsidRPr="008A5FE8">
        <w:rPr>
          <w:rFonts w:ascii="Calibri" w:hAnsi="Calibri" w:cs="Times New Roman"/>
          <w:color w:val="00B050"/>
          <w:szCs w:val="24"/>
        </w:rPr>
        <w:t>(18–21)</w:t>
      </w:r>
      <w:r w:rsidRPr="008A5FE8">
        <w:rPr>
          <w:rFonts w:cs="Times New Roman"/>
          <w:color w:val="00B050"/>
        </w:rPr>
        <w:fldChar w:fldCharType="end"/>
      </w:r>
      <w:r w:rsidR="0054319F">
        <w:rPr>
          <w:rFonts w:cs="Times New Roman"/>
          <w:color w:val="00B050"/>
        </w:rPr>
        <w:t xml:space="preserve"> </w:t>
      </w:r>
      <w:r w:rsidR="0054319F" w:rsidRPr="00EC7EDF">
        <w:rPr>
          <w:rFonts w:cs="Times New Roman"/>
          <w:color w:val="FF0000"/>
        </w:rPr>
        <w:t xml:space="preserve">As previously indicated, </w:t>
      </w:r>
      <w:r w:rsidR="0054319F" w:rsidRPr="00EC7EDF">
        <w:rPr>
          <w:color w:val="FF0000"/>
        </w:rPr>
        <w:t xml:space="preserve">the automation of the trigger identification system has no impact on the measure beyond changing the means by which triggers are identified. The remaining pieces of the measure process following trigger identification are exactly the same for the automated and manual trigger approaches.  </w:t>
      </w:r>
    </w:p>
    <w:p w:rsidR="008A5FE8" w:rsidRPr="008A5FE8" w:rsidRDefault="008A5FE8" w:rsidP="008A5FE8">
      <w:pPr>
        <w:rPr>
          <w:rFonts w:cs="Times New Roman"/>
          <w:color w:val="00B050"/>
        </w:rPr>
      </w:pPr>
    </w:p>
    <w:p w:rsidR="008A5FE8" w:rsidRPr="008A5FE8" w:rsidRDefault="008A5FE8" w:rsidP="008A5FE8">
      <w:pPr>
        <w:rPr>
          <w:rFonts w:cs="Times New Roman"/>
          <w:b/>
          <w:color w:val="00B050"/>
        </w:rPr>
      </w:pPr>
      <w:r w:rsidRPr="008A5FE8">
        <w:rPr>
          <w:rFonts w:cs="Times New Roman"/>
          <w:b/>
          <w:color w:val="00B050"/>
        </w:rPr>
        <w:t>Relationship between patient safety and other aspects of quality</w:t>
      </w:r>
    </w:p>
    <w:p w:rsidR="008A5FE8" w:rsidRPr="008A5FE8" w:rsidRDefault="008A5FE8" w:rsidP="008A5FE8">
      <w:pPr>
        <w:ind w:left="0" w:firstLine="0"/>
        <w:rPr>
          <w:rFonts w:cs="Times New Roman"/>
          <w:color w:val="00B050"/>
        </w:rPr>
      </w:pPr>
      <w:r w:rsidRPr="008A5FE8">
        <w:rPr>
          <w:rFonts w:cs="Times New Roman"/>
          <w:color w:val="00B050"/>
        </w:rPr>
        <w:t>Some studies in adult populations have shown that patient harm rates are associated with other aspects of clinical quality. These studies demonstrate that rates of patient harm directly correlate with other quality metrics, including performance on clinical processes of care and other health outcomes.</w:t>
      </w:r>
      <w:r w:rsidRPr="008A5FE8">
        <w:rPr>
          <w:rFonts w:cs="Times New Roman"/>
          <w:color w:val="00B050"/>
        </w:rPr>
        <w:fldChar w:fldCharType="begin"/>
      </w:r>
      <w:r w:rsidRPr="008A5FE8">
        <w:rPr>
          <w:rFonts w:cs="Times New Roman"/>
          <w:color w:val="00B050"/>
        </w:rPr>
        <w:instrText xml:space="preserve"> ADDIN ZOTERO_ITEM CSL_CITATION {"citationID":"9LXoyAle","properties":{"formattedCitation":"{\\rtf (22\\uc0\\u8211{}26)}","plainCitation":"(22–26)"},"citationItems":[{"id":3011,"uris":["http://zotero.org/groups/202565/items/D8RADWP4"],"uri":["http://zotero.org/groups/202565/items/D8RADWP4"],"itemData":{"id":3011,"type":"article-journal","title":"Patient safety analysis of the ED care of patients with heart failure and COPD exacerbations: a multicenter prospective cohort study","container-title":"The American journal of emergency medicine","page":"29-35","volume":"32","issue":"1","source":"NCBI PubMed","abstract":"OBJECTIVES: For emergency department (ED) patients with acute exacerbations of heart failure and chronic obstructive pulmonary disease (COPD), we aimed to assess the adherence to evidence-based care and determine the proportion that experienced adverse events.\nMETHODS: An expert panel identified critical actions for ED care of heart failure and COPD patients based on clinical practice guidelines. We collected outcome data for discharged ED patients &gt;age 50 with acute heart failure or COPD in a multicenter prospective cohort study at five academic EDs. We measured 3 flagged outcomes: return ED visit, admission, or death within 14 days. Three trained physician reviewers reviewed case summaries for adverse event determination (flagged outcomes related to healthcare received). We evaluated health records for adherence to the critical actions for each condition.\nRESULTS: We identified 122 (7.0%) flagged outcomes among 1,718 enrolled patients (61 heart failure, 59 COPD and 2 dual diagnoses). The mean age was 74.2 (SD 10.4) and 44.3% were female. Among 10 critical actions for heart failure and 13 for COPD, a mean proportion of 9.4/10 and 11.0/13 were adhered to respectively. We identified 12 adverse events (9.8%, 95%CI: 5.6-16.5%), all of which were deemed preventable, including 1 death. The most common contributors were unsafe disposition decisions (10/12, 83.3%) and diagnostic issues (5/12, 41.7%). Patients who died with heart failure were statistically significantly less likely to have guideline adherent care (P = .02).\nCONCLUSIONS: A small proportion of return ED visits were related to index care. We believe there is need for improvement around disposition decision making for both conditions to reduce the highly preventable and clinically significant adverse events we found.","DOI":"10.1016/j.ajem.2013.09.013","ISSN":"1532-8171","note":"PMID: 24139995","shortTitle":"Patient safety analysis of the ED care of patients with heart failure and COPD exacerbations","journalAbbreviation":"Am J Emerg Med","language":"eng","author":[{"family":"Calder","given":"Lisa"},{"family":"Tierney","given":"Sarah"},{"family":"Jiang","given":"Yue"},{"family":"Gagné","given":"Austin"},{"family":"Gee","given":"Andrew"},{"family":"Hobden","given":"Elisabeth"},{"family":"Vaillancourt","given":"Christian"},{"family":"Perry","given":"Jeffrey"},{"family":"Stiell","given":"Ian"},{"family":"Forster","given":"Alan"}],"issued":{"date-parts":[["2014",1]]},"PMID":"24139995"}},{"id":3007,"uris":["http://zotero.org/groups/202565/items/XII3E2E3"],"uri":["http://zotero.org/groups/202565/items/XII3E2E3"],"itemData":{"id":3007,"type":"article-journal","title":"\"Never events\": Centers for Medicare and Medicaid Services complications after radical cystectomy","container-title":"Urology","page":"527-532","volume":"81","issue":"3","source":"NCBI PubMed","abstract":"OBJECTIVE: To describe \"never event\" (NE) complications after radical cystectomy.\nMATERIALS AND METHODS: The Centers for Medicare and Medicaid Services has denied reimbursement for 10 hospital-acquired conditions that were deemed \"reasonably preventable.\" These NEs do not take into consideration pre-existing risk factors that make patients more susceptible. Radical cystectomy is a complex surgery that is often necessary in a population with extensive comorbidities. In this setting, the application of an unmodified system to deny reimbursement of adverse outcomes could have a significant effect on healthcare delivery. We hypothesized that measurable patient and hospital characteristics could predict the occurrence of NE complications after radical cystectomy. Using the weighted Nationwide Inpatient Sample database, we identified 61,142 patients with bladder cancer who underwent radical cystectomy from 2002 to 2009. The NE rates were calculated, and their effect on in-hospital mortality, length of stay, and total hospital costs were determined by multivariate regression analysis.\nRESULTS: The rate for any NE was 2.42%. Vascular-catheter infections (1.25%) were the most common. Black race and comorbidities increased the likelihood of a NE. The presence of any NE increased the average length of stay (by 15 days), total costs (by $37,000), and in-hospital mortality (8.0% vs 2.2%).\nCONCLUSION: Centers for Medicare and Medicaid Services NEs are more likely in older patients with comorbidities. NEs strongly predict for negative patient outcomes during hospitalization (length of stay, costs, in-hospital mortality). High-risk populations could benefit from risk adjustment before implementing a significant alteration in hospital or physician reimbursement policies.","DOI":"10.1016/j.urology.2012.09.050","ISSN":"1527-9995","note":"PMID: 23290151","shortTitle":"Never events","journalAbbreviation":"Urology","language":"eng","author":[{"family":"Joice","given":"Gregory A"},{"family":"Deibert","given":"Christopher M"},{"family":"Kates","given":"Max"},{"family":"Spencer","given":"Benjamin A"},{"family":"McKiernan","given":"James M"}],"issued":{"date-parts":[["2013",3]]},"PMID":"23290151"}},{"id":3008,"uris":["http://zotero.org/groups/202565/items/9GZ5BVF9"],"uri":["http://zotero.org/groups/202565/items/9GZ5BVF9"],"itemData":{"id":3008,"type":"article-journal","title":"Postoperative adverse events of common surgical procedures in the Medicare population","container-title":"Medical care","page":"753-765","volume":"30","issue":"9","source":"NCBI PubMed","abstract":"Mortality rates are the most widely used measure in assessing patient outcome from hospitalization. However, they may be an insensitive measure of quality for surgical patients because death is a relatively rare outcome. A random sample of patient data (n = 8126) selected from the Medicare files of seven states was used to identify, through chart abstraction, clinical postoperative complications of surgery that could serve as measures of quality. Four surgical procedures were studied: 1) coronary artery bypass grafting; 2) coronary angioplasty; 3) cholecystectomy; and 4) prostatectomy. Severity at admission was controlled for using severity-of-illness models developed with chart-abstracted data to predict adverse events after these four procedures. 30-day mortality rates ranged from 1.0% to 6.6%, while the prevalence of postoperative adverse events identified from chart review was greater (6.9% to 33.3%). There were significant differences between patients with and without adverse events. For example, coronary artery bypass graft patients with adverse events had prolonged postsurgical lengths of stay (18.5 +/- 13.2 vs. 13.2 +/- 6.2, P less than 0.001) and higher mortality rates (15.2% vs. 2.6%, P less than 0.001). The R-square values using clinical indicators at admission to predict the occurrence of any adverse event ranged from 0.05 to 0.13. Clinically meaningful adverse events of surgery can be successfully identified through chart abstraction and appear to be valid measures of postoperative complications among surgical patients. Severity adjustment at admission only modestly predicts the occurrence of these adverse events.","ISSN":"0025-7079","note":"PMID: 1518309","journalAbbreviation":"Med Care","language":"eng","author":[{"family":"Rosen","given":"A K"},{"family":"Geraci","given":"J M"},{"family":"Ash","given":"A S"},{"family":"McNiff","given":"K J"},{"family":"Moskowitz","given":"M A"}],"issued":{"date-parts":[["1992",9]]},"PMID":"1518309"}},{"id":3010,"uris":["http://zotero.org/groups/202565/items/MKQBDPET"],"uri":["http://zotero.org/groups/202565/items/MKQBDPET"],"itemData":{"id":3010,"type":"article-journal","title":"Examining the impact of the AHRQ Patient Safety Indicators (PSIs) on the Veterans Health Administration: the case of readmissions","container-title":"Medical care","page":"37-44","volume":"51","issue":"1","source":"NCBI PubMed","abstract":"BACKGROUND: By focusing primarily on outcomes in the inpatient setting one may overlook serious adverse events that may occur after discharge (eg, readmissions, mortality) as well as opportunities for improving outpatient care.\nOBJECTIVE: Our overall objective was to examine whether experiencing an Agency for Healthcare Research and Quality Patient Safety Indicator (PSI) event in an index medical or surgical hospitalization increased the likelihood of readmission.\nMETHODS: We applied the Agency for Healthcare Research and Quality PSI software (version 4.1.a) to 2003-2007 Veterans Health Administration inpatient discharge data to generate risk-adjusted PSI rates for 9 individual PSIs and 4 aggregate PSI measures: any PSI event and composite PSIs reflecting \"Technical Care,\" \"Continuity of Care,\" and both surgical and medical care (Mixed). We estimated separate logistic regression models to predict the likelihood of 30-day readmission for individual PSIs, any PSI event, and the 3 composites, adjusting for age, sex, comorbidities, and the occurrence of other PSI(s).\nRESULTS: The odds of readmission were 23% higher for index hospitalizations with any PSI event compared with those with no event [confidence interval (CI), 1.19-1.26], and ranged from 22% higher for Iatrogenic Pneumothorax (CI, 1.03-1.45) to 61% higher for Postoperative Wound Dehiscence (CI, 1.27-2.05). For the composites, the odds of readmission ranged from 15% higher for the Technical Care composite (CI, 1.08-1.22) to 37% higher for the Continuity of Care composite (CI, 1.26-1.50).\nCONCLUSIONS: Our results suggest that interventions that focus on minimizing preventable inpatient safety events as well as improving coordination of care between and across settings may decrease the likelihood of readmission.","DOI":"10.1097/MLR.0b013e318270c0f7","ISSN":"1537-1948","note":"PMID: 23032358","shortTitle":"Examining the impact of the AHRQ Patient Safety Indicators (PSIs) on the Veterans Health Administration","journalAbbreviation":"Med Care","language":"eng","author":[{"family":"Rosen","given":"Amy K"},{"family":"Loveland","given":"Susan"},{"family":"Shin","given":"Marlena"},{"family":"Shwartz","given":"Michael"},{"family":"Hanchate","given":"Amresh"},{"family":"Chen","given":"Qi"},{"family":"Kaafarani","given":"Haytham M A"},{"family":"Borzecki","given":"Ann"}],"issued":{"date-parts":[["2013",1]]},"PMID":"23032358"}},{"id":3006,"uris":["http://zotero.org/groups/202565/items/32Z3U4DP"],"uri":["http://zotero.org/groups/202565/items/32Z3U4DP"],"itemData":{"id":3006,"type":"article-journal","title":"National trends in hospital-acquired preventable adverse events after major cancer surgery in the USA","container-title":"BMJ open","volume":"3","issue":"6","source":"NCBI PubMed","abstract":"OBJECTIVES: While multiple studies have demonstrated variations in the quality of cancer care in the USA, payers are increasingly assessing structure-level and process-level measures to promote quality improvement. Hospital-acquired adverse events are one such measure and we examine their national trends after major cancer surgery.\nDESIGN: Retrospective, cross-sectional analysis of a weighted-national estimate from the Nationwide Inpatient Sample (NIS) undergoing major oncological procedures (colectomy, cystectomy, oesophagectomy, gastrectomy, hysterectomy, lung resection, pancreatectomy and prostatectomy). The Agency for Healthcare Research and Quality Patient Safety Indicators (PSIs) were utilised to identify trends in hospital-acquired adverse events.\nSETTING: Secondary and tertiary care, US hospitals in NIS PARTICIPANTS: A weighted-national estimate of 2 508 917 patients (&gt;18 years, 1999-2009) from NIS.\nPRIMARY OUTCOME MEASURES: Hospital-acquired adverse events.\nRESULTS: 324 852 patients experienced ≥1-PSI event (12.9%). Patients with ≥1-PSI experienced higher rates of in-hospital mortality (OR 19.38, 95% CI 18.44 to 20.37), prolonged length of stay (OR 4.43, 95% CI 4.31 to 4.54) and excessive hospital-charges (OR 5.21, 95% CI 5.10 to 5.32). Patients treated at lower volume hospitals experienced both higher PSI events and failure-to-rescue rates. While a steady increase in the frequency of PSI events after major cancer surgery has occurred over the last 10 years (estimated annual % change (EAPC): 3.5%, p&lt;0.001), a concomitant decrease in failure-to-rescue rates (EAPC -3.01%) and overall mortality (EAPC -2.30%) was noted (all p&lt;0.001).\nCONCLUSIONS: Over the past decade, there has been a substantial increase in the national frequency of potentially avoidable adverse events after major cancer surgery, with a detrimental effect on numerous outcome-level measures. However, there was a concomitant reduction in failure-to-rescue rates and overall mortality rates. Policy changes to improve the increasing burden of specific adverse events, such as postoperative sepsis, pressure ulcers and respiratory failure, are required.","DOI":"10.1136/bmjopen-2013-002843","ISSN":"2044-6055","note":"PMID: 23804313 \nPMCID: PMC3696870","journalAbbreviation":"BMJ Open","language":"eng","author":[{"family":"Sukumar","given":"Shyam"},{"family":"Roghmann","given":"Florian"},{"family":"Trinh","given":"Vincent Q"},{"family":"Sammon","given":"Jesse D"},{"family":"Gervais","given":"Mai-Kim"},{"family":"Tan","given":"Hung-Jui"},{"family":"Ravi","given":"Praful"},{"family":"Kim","given":"Simon P"},{"family":"Hu","given":"Jim C"},{"family":"Karakiewicz","given":"Pierre I"},{"family":"Noldus","given":"Joachim"},{"family":"Sun","given":"Maxine"},{"family":"Menon","given":"Mani"},{"family":"Trinh","given":"Quoc-Dien"}],"issued":{"date-parts":[["2013"]]},"PMID":"23804313","PMCID":"PMC3696870"}}],"schema":"https://github.com/citation-style-language/schema/raw/master/csl-citation.json"} </w:instrText>
      </w:r>
      <w:r w:rsidRPr="008A5FE8">
        <w:rPr>
          <w:rFonts w:cs="Times New Roman"/>
          <w:color w:val="00B050"/>
        </w:rPr>
        <w:fldChar w:fldCharType="separate"/>
      </w:r>
      <w:r w:rsidRPr="008A5FE8">
        <w:rPr>
          <w:rFonts w:ascii="Calibri" w:hAnsi="Calibri" w:cs="Times New Roman"/>
          <w:color w:val="00B050"/>
          <w:szCs w:val="24"/>
        </w:rPr>
        <w:t>(22–26)</w:t>
      </w:r>
      <w:r w:rsidRPr="008A5FE8">
        <w:rPr>
          <w:rFonts w:cs="Times New Roman"/>
          <w:color w:val="00B050"/>
        </w:rPr>
        <w:fldChar w:fldCharType="end"/>
      </w:r>
      <w:r w:rsidRPr="008A5FE8">
        <w:rPr>
          <w:rFonts w:cs="Times New Roman"/>
          <w:color w:val="00B050"/>
        </w:rPr>
        <w:t xml:space="preserve"> For example, evidence shows that patients who experience healthcare-related harms have greater odds of in-hospital and 30-day mortality, as well as 30-day readmission.</w:t>
      </w:r>
      <w:r w:rsidRPr="008A5FE8">
        <w:rPr>
          <w:rFonts w:cs="Times New Roman"/>
          <w:color w:val="00B050"/>
        </w:rPr>
        <w:fldChar w:fldCharType="begin"/>
      </w:r>
      <w:r w:rsidRPr="008A5FE8">
        <w:rPr>
          <w:rFonts w:cs="Times New Roman"/>
          <w:color w:val="00B050"/>
        </w:rPr>
        <w:instrText xml:space="preserve"> ADDIN ZOTERO_ITEM CSL_CITATION {"citationID":"zM618rEw","properties":{"formattedCitation":"{\\rtf (23\\uc0\\u8211{}26)}","plainCitation":"(23–26)"},"citationItems":[{"id":3007,"uris":["http://zotero.org/groups/202565/items/XII3E2E3"],"uri":["http://zotero.org/groups/202565/items/XII3E2E3"],"itemData":{"id":3007,"type":"article-journal","title":"\"Never events\": Centers for Medicare and Medicaid Services complications after radical cystectomy","container-title":"Urology","page":"527-532","volume":"81","issue":"3","source":"NCBI PubMed","abstract":"OBJECTIVE: To describe \"never event\" (NE) complications after radical cystectomy.\nMATERIALS AND METHODS: The Centers for Medicare and Medicaid Services has denied reimbursement for 10 hospital-acquired conditions that were deemed \"reasonably preventable.\" These NEs do not take into consideration pre-existing risk factors that make patients more susceptible. Radical cystectomy is a complex surgery that is often necessary in a population with extensive comorbidities. In this setting, the application of an unmodified system to deny reimbursement of adverse outcomes could have a significant effect on healthcare delivery. We hypothesized that measurable patient and hospital characteristics could predict the occurrence of NE complications after radical cystectomy. Using the weighted Nationwide Inpatient Sample database, we identified 61,142 patients with bladder cancer who underwent radical cystectomy from 2002 to 2009. The NE rates were calculated, and their effect on in-hospital mortality, length of stay, and total hospital costs were determined by multivariate regression analysis.\nRESULTS: The rate for any NE was 2.42%. Vascular-catheter infections (1.25%) were the most common. Black race and comorbidities increased the likelihood of a NE. The presence of any NE increased the average length of stay (by 15 days), total costs (by $37,000), and in-hospital mortality (8.0% vs 2.2%).\nCONCLUSION: Centers for Medicare and Medicaid Services NEs are more likely in older patients with comorbidities. NEs strongly predict for negative patient outcomes during hospitalization (length of stay, costs, in-hospital mortality). High-risk populations could benefit from risk adjustment before implementing a significant alteration in hospital or physician reimbursement policies.","DOI":"10.1016/j.urology.2012.09.050","ISSN":"1527-9995","note":"PMID: 23290151","shortTitle":"Never events","journalAbbreviation":"Urology","language":"eng","author":[{"family":"Joice","given":"Gregory A"},{"family":"Deibert","given":"Christopher M"},{"family":"Kates","given":"Max"},{"family":"Spencer","given":"Benjamin A"},{"family":"McKiernan","given":"James M"}],"issued":{"date-parts":[["2013",3]]},"PMID":"23290151"}},{"id":3008,"uris":["http://zotero.org/groups/202565/items/9GZ5BVF9"],"uri":["http://zotero.org/groups/202565/items/9GZ5BVF9"],"itemData":{"id":3008,"type":"article-journal","title":"Postoperative adverse events of common surgical procedures in the Medicare population","container-title":"Medical care","page":"753-765","volume":"30","issue":"9","source":"NCBI PubMed","abstract":"Mortality rates are the most widely used measure in assessing patient outcome from hospitalization. However, they may be an insensitive measure of quality for surgical patients because death is a relatively rare outcome. A random sample of patient data (n = 8126) selected from the Medicare files of seven states was used to identify, through chart abstraction, clinical postoperative complications of surgery that could serve as measures of quality. Four surgical procedures were studied: 1) coronary artery bypass grafting; 2) coronary angioplasty; 3) cholecystectomy; and 4) prostatectomy. Severity at admission was controlled for using severity-of-illness models developed with chart-abstracted data to predict adverse events after these four procedures. 30-day mortality rates ranged from 1.0% to 6.6%, while the prevalence of postoperative adverse events identified from chart review was greater (6.9% to 33.3%). There were significant differences between patients with and without adverse events. For example, coronary artery bypass graft patients with adverse events had prolonged postsurgical lengths of stay (18.5 +/- 13.2 vs. 13.2 +/- 6.2, P less than 0.001) and higher mortality rates (15.2% vs. 2.6%, P less than 0.001). The R-square values using clinical indicators at admission to predict the occurrence of any adverse event ranged from 0.05 to 0.13. Clinically meaningful adverse events of surgery can be successfully identified through chart abstraction and appear to be valid measures of postoperative complications among surgical patients. Severity adjustment at admission only modestly predicts the occurrence of these adverse events.","ISSN":"0025-7079","note":"PMID: 1518309","journalAbbreviation":"Med Care","language":"eng","author":[{"family":"Rosen","given":"A K"},{"family":"Geraci","given":"J M"},{"family":"Ash","given":"A S"},{"family":"McNiff","given":"K J"},{"family":"Moskowitz","given":"M A"}],"issued":{"date-parts":[["1992",9]]},"PMID":"1518309"}},{"id":3006,"uris":["http://zotero.org/groups/202565/items/32Z3U4DP"],"uri":["http://zotero.org/groups/202565/items/32Z3U4DP"],"itemData":{"id":3006,"type":"article-journal","title":"National trends in hospital-acquired preventable adverse events after major cancer surgery in the USA","container-title":"BMJ open","volume":"3","issue":"6","source":"NCBI PubMed","abstract":"OBJECTIVES: While multiple studies have demonstrated variations in the quality of cancer care in the USA, payers are increasingly assessing structure-level and process-level measures to promote quality improvement. Hospital-acquired adverse events are one such measure and we examine their national trends after major cancer surgery.\nDESIGN: Retrospective, cross-sectional analysis of a weighted-national estimate from the Nationwide Inpatient Sample (NIS) undergoing major oncological procedures (colectomy, cystectomy, oesophagectomy, gastrectomy, hysterectomy, lung resection, pancreatectomy and prostatectomy). The Agency for Healthcare Research and Quality Patient Safety Indicators (PSIs) were utilised to identify trends in hospital-acquired adverse events.\nSETTING: Secondary and tertiary care, US hospitals in NIS PARTICIPANTS: A weighted-national estimate of 2 508 917 patients (&gt;18 years, 1999-2009) from NIS.\nPRIMARY OUTCOME MEASURES: Hospital-acquired adverse events.\nRESULTS: 324 852 patients experienced ≥1-PSI event (12.9%). Patients with ≥1-PSI experienced higher rates of in-hospital mortality (OR 19.38, 95% CI 18.44 to 20.37), prolonged length of stay (OR 4.43, 95% CI 4.31 to 4.54) and excessive hospital-charges (OR 5.21, 95% CI 5.10 to 5.32). Patients treated at lower volume hospitals experienced both higher PSI events and failure-to-rescue rates. While a steady increase in the frequency of PSI events after major cancer surgery has occurred over the last 10 years (estimated annual % change (EAPC): 3.5%, p&lt;0.001), a concomitant decrease in failure-to-rescue rates (EAPC -3.01%) and overall mortality (EAPC -2.30%) was noted (all p&lt;0.001).\nCONCLUSIONS: Over the past decade, there has been a substantial increase in the national frequency of potentially avoidable adverse events after major cancer surgery, with a detrimental effect on numerous outcome-level measures. However, there was a concomitant reduction in failure-to-rescue rates and overall mortality rates. Policy changes to improve the increasing burden of specific adverse events, such as postoperative sepsis, pressure ulcers and respiratory failure, are required.","DOI":"10.1136/bmjopen-2013-002843","ISSN":"2044-6055","note":"PMID: 23804313 \nPMCID: PMC3696870","journalAbbreviation":"BMJ Open","language":"eng","author":[{"family":"Sukumar","given":"Shyam"},{"family":"Roghmann","given":"Florian"},{"family":"Trinh","given":"Vincent Q"},{"family":"Sammon","given":"Jesse D"},{"family":"Gervais","given":"Mai-Kim"},{"family":"Tan","given":"Hung-Jui"},{"family":"Ravi","given":"Praful"},{"family":"Kim","given":"Simon P"},{"family":"Hu","given":"Jim C"},{"family":"Karakiewicz","given":"Pierre I"},{"family":"Noldus","given":"Joachim"},{"family":"Sun","given":"Maxine"},{"family":"Menon","given":"Mani"},{"family":"Trinh","given":"Quoc-Dien"}],"issued":{"date-parts":[["2013"]]},"PMID":"23804313","PMCID":"PMC3696870"}},{"id":3010,"uris":["http://zotero.org/groups/202565/items/MKQBDPET"],"uri":["http://zotero.org/groups/202565/items/MKQBDPET"],"itemData":{"id":3010,"type":"article-journal","title":"Examining the impact of the AHRQ Patient Safety Indicators (PSIs) on the Veterans Health Administration: the case of readmissions","container-title":"Medical care","page":"37-44","volume":"51","issue":"1","source":"NCBI PubMed","abstract":"BACKGROUND: By focusing primarily on outcomes in the inpatient setting one may overlook serious adverse events that may occur after discharge (eg, readmissions, mortality) as well as opportunities for improving outpatient care.\nOBJECTIVE: Our overall objective was to examine whether experiencing an Agency for Healthcare Research and Quality Patient Safety Indicator (PSI) event in an index medical or surgical hospitalization increased the likelihood of readmission.\nMETHODS: We applied the Agency for Healthcare Research and Quality PSI software (version 4.1.a) to 2003-2007 Veterans Health Administration inpatient discharge data to generate risk-adjusted PSI rates for 9 individual PSIs and 4 aggregate PSI measures: any PSI event and composite PSIs reflecting \"Technical Care,\" \"Continuity of Care,\" and both surgical and medical care (Mixed). We estimated separate logistic regression models to predict the likelihood of 30-day readmission for individual PSIs, any PSI event, and the 3 composites, adjusting for age, sex, comorbidities, and the occurrence of other PSI(s).\nRESULTS: The odds of readmission were 23% higher for index hospitalizations with any PSI event compared with those with no event [confidence interval (CI), 1.19-1.26], and ranged from 22% higher for Iatrogenic Pneumothorax (CI, 1.03-1.45) to 61% higher for Postoperative Wound Dehiscence (CI, 1.27-2.05). For the composites, the odds of readmission ranged from 15% higher for the Technical Care composite (CI, 1.08-1.22) to 37% higher for the Continuity of Care composite (CI, 1.26-1.50).\nCONCLUSIONS: Our results suggest that interventions that focus on minimizing preventable inpatient safety events as well as improving coordination of care between and across settings may decrease the likelihood of readmission.","DOI":"10.1097/MLR.0b013e318270c0f7","ISSN":"1537-1948","note":"PMID: 23032358","shortTitle":"Examining the impact of the AHRQ Patient Safety Indicators (PSIs) on the Veterans Health Administration","journalAbbreviation":"Med Care","language":"eng","author":[{"family":"Rosen","given":"Amy K"},{"family":"Loveland","given":"Susan"},{"family":"Shin","given":"Marlena"},{"family":"Shwartz","given":"Michael"},{"family":"Hanchate","given":"Amresh"},{"family":"Chen","given":"Qi"},{"family":"Kaafarani","given":"Haytham M A"},{"family":"Borzecki","given":"Ann"}],"issued":{"date-parts":[["2013",1]]},"PMID":"23032358"}}],"schema":"https://github.com/citation-style-language/schema/raw/master/csl-citation.json"} </w:instrText>
      </w:r>
      <w:r w:rsidRPr="008A5FE8">
        <w:rPr>
          <w:rFonts w:cs="Times New Roman"/>
          <w:color w:val="00B050"/>
        </w:rPr>
        <w:fldChar w:fldCharType="separate"/>
      </w:r>
      <w:r w:rsidRPr="008A5FE8">
        <w:rPr>
          <w:rFonts w:ascii="Calibri" w:hAnsi="Calibri" w:cs="Times New Roman"/>
          <w:color w:val="00B050"/>
          <w:szCs w:val="24"/>
        </w:rPr>
        <w:t>(23–26)</w:t>
      </w:r>
      <w:r w:rsidRPr="008A5FE8">
        <w:rPr>
          <w:rFonts w:cs="Times New Roman"/>
          <w:color w:val="00B050"/>
        </w:rPr>
        <w:fldChar w:fldCharType="end"/>
      </w:r>
      <w:r w:rsidRPr="008A5FE8">
        <w:rPr>
          <w:rFonts w:cs="Times New Roman"/>
          <w:color w:val="00B050"/>
        </w:rPr>
        <w:t xml:space="preserve"> It is likely that the same general associations hold true for pediatric populations.</w:t>
      </w:r>
    </w:p>
    <w:p w:rsidR="008A5FE8" w:rsidRPr="008A5FE8" w:rsidRDefault="008A5FE8" w:rsidP="008A5FE8">
      <w:pPr>
        <w:rPr>
          <w:rFonts w:cs="Times New Roman"/>
          <w:color w:val="00B050"/>
        </w:rPr>
      </w:pPr>
    </w:p>
    <w:p w:rsidR="008A5FE8" w:rsidRPr="008A5FE8" w:rsidRDefault="008A5FE8" w:rsidP="008A5FE8">
      <w:pPr>
        <w:rPr>
          <w:rFonts w:cs="Times New Roman"/>
          <w:b/>
          <w:color w:val="00B050"/>
        </w:rPr>
      </w:pPr>
      <w:r w:rsidRPr="008A5FE8">
        <w:rPr>
          <w:rFonts w:cs="Times New Roman"/>
          <w:b/>
          <w:color w:val="00B050"/>
        </w:rPr>
        <w:t>Measuring patient safety to drive quality improvement</w:t>
      </w:r>
    </w:p>
    <w:p w:rsidR="008A5FE8" w:rsidRPr="008A5FE8" w:rsidRDefault="008A5FE8" w:rsidP="008A5FE8">
      <w:pPr>
        <w:ind w:left="0" w:firstLine="0"/>
        <w:rPr>
          <w:rFonts w:cs="Times New Roman"/>
          <w:color w:val="00B050"/>
        </w:rPr>
      </w:pPr>
      <w:r w:rsidRPr="008A5FE8">
        <w:rPr>
          <w:rFonts w:cs="Times New Roman"/>
          <w:color w:val="00B050"/>
        </w:rPr>
        <w:t>Patient safety is a core domain of healthcare quality and a major focus for quality improvement efforts.</w:t>
      </w:r>
      <w:r w:rsidRPr="008A5FE8">
        <w:rPr>
          <w:rFonts w:cs="Times New Roman"/>
          <w:color w:val="00B050"/>
        </w:rPr>
        <w:fldChar w:fldCharType="begin"/>
      </w:r>
      <w:r w:rsidRPr="008A5FE8">
        <w:rPr>
          <w:rFonts w:cs="Times New Roman"/>
          <w:color w:val="00B050"/>
        </w:rPr>
        <w:instrText xml:space="preserve"> ADDIN ZOTERO_ITEM CSL_CITATION {"citationID":"zH7pNz5n","properties":{"formattedCitation":"(10,27)","plainCitation":"(10,27)"},"citationItems":[{"id":2668,"uris":["http://zotero.org/groups/202565/items/6M6G7DAZ"],"uri":["http://zotero.org/groups/202565/items/6M6G7DAZ"],"itemData":{"id":2668,"type":"report","title":"Adverse Events in Hospitals: Methods for Identifying Events","publisher":"Office of the Inspector General, Department of Health and Human Services","publisher-place":"Washington, DC","event-place":"Washington, DC","number":"OEI-06-08-00221","author":[{"family":"Levinson","given":"Daniel R"}],"issued":{"date-parts":[["2010"]]}}},{"id":3171,"uris":["http://zotero.org/groups/202565/items/4XD2VPI3"],"uri":["http://zotero.org/groups/202565/items/4XD2VPI3"],"itemData":{"id":3171,"type":"report","title":"To Err Is Human: Building a Safer Health System","publisher":"Institute of Medicine Committee on the Quality of Health Care in America","publisher-place":"Washington, DC","event-place":"Washington, DC","abstract":"Experts estimate that as many as 98,000 people die in any given year from medical errors that occur in hospitals. That's more than die from motor vehicle accidents, breast cancer, or AIDS--three causes that receive far more public attention. Indeed, more people die annually from medication errors than from workplace injuries. Add the financial cost to the human tragedy, and medical error easily rises to the top ranks of urgent, widespread public problems. To Err Is Human breaks the silence that has surrounded medical errors and their consequence--but not by pointing fingers at caring health care professionals who make honest mistakes. After all, to err is human. Instead, this book sets forth a national agenda--with state and local implications--for reducing medical errors and improving patient safety through the design of a safer health system. This volume reveals the often startling statistics of medical error and the disparity between the incidence of error and public perception of it, given many patients' expectations that the medical profession always performs perfectly. A careful examination is made of how the surrounding forces of legislation, regulation, and market activity influence the quality of care provided by health care organizations and then looks at their handling of medical mistakes. Using a detailed case study, the book reviews the current understanding of why these mistakes happen. A key theme is that legitimate liability concerns discourage reporting of errors--which begs the question,","shortTitle":"To Err Is Human","author":[{"family":"Kohn","given":"Linda T"},{"family":"Corrigan","given":"Janet M"},{"family":"Donaldson","given":"Molla S"}],"issued":{"date-parts":[["1999"]]}}}],"schema":"https://github.com/citation-style-language/schema/raw/master/csl-citation.json"} </w:instrText>
      </w:r>
      <w:r w:rsidRPr="008A5FE8">
        <w:rPr>
          <w:rFonts w:cs="Times New Roman"/>
          <w:color w:val="00B050"/>
        </w:rPr>
        <w:fldChar w:fldCharType="separate"/>
      </w:r>
      <w:r w:rsidRPr="008A5FE8">
        <w:rPr>
          <w:rFonts w:ascii="Calibri" w:hAnsi="Calibri"/>
          <w:color w:val="00B050"/>
        </w:rPr>
        <w:t>(10,27)</w:t>
      </w:r>
      <w:r w:rsidRPr="008A5FE8">
        <w:rPr>
          <w:rFonts w:cs="Times New Roman"/>
          <w:color w:val="00B050"/>
        </w:rPr>
        <w:fldChar w:fldCharType="end"/>
      </w:r>
      <w:r w:rsidRPr="008A5FE8">
        <w:rPr>
          <w:rFonts w:cs="Times New Roman"/>
          <w:color w:val="00B050"/>
        </w:rPr>
        <w:t xml:space="preserve"> Hospitals have been able to demonstrate that having a reliable means to track AEs leads to improvements in patient safety and associated clinical outcomes.</w:t>
      </w:r>
      <w:r w:rsidRPr="008A5FE8">
        <w:rPr>
          <w:rFonts w:cs="Times New Roman"/>
          <w:color w:val="00B050"/>
        </w:rPr>
        <w:fldChar w:fldCharType="begin"/>
      </w:r>
      <w:r w:rsidRPr="008A5FE8">
        <w:rPr>
          <w:rFonts w:cs="Times New Roman"/>
          <w:color w:val="00B050"/>
        </w:rPr>
        <w:instrText xml:space="preserve"> ADDIN ZOTERO_ITEM CSL_CITATION {"citationID":"XCDhefKy","properties":{"formattedCitation":"{\\rtf (28\\uc0\\u8211{}32)}","plainCitation":"(28–32)"},"citationItems":[{"id":2916,"uris":["http://zotero.org/groups/202565/items/UPBCQEB3"],"uri":["http://zotero.org/groups/202565/items/UPBCQEB3"],"itemData":{"id":2916,"type":"article-journal","title":"Prevention of adverse drug events through computerized surveillance","container-title":"Proceedings / the ... Annual Symposium on Computer Application [sic] in Medical Care. Symposium on Computer Applications in Medical Care","page":"437-441","source":"NCBI PubMed","abstract":"Adverse drug events (ADEs) are a serious health problem and are the leading adverse event experienced by hospitalized patients. Numerous hospitals have used different methods to improve the reporting of ADEs but few have undertaken studies aimed at the prevention of ADEs. We found that computerized ADE surveillance identified significantly more ADEs than our previous voluntary reporting method. Moreover, the computerized ADE surveillance system created a database of ADEs which allowed us to analyze the ADEs and design methods for prevention. We found that computer alerts of previously known drug allergies generated when drugs were ordered significantly reduced the number of type B ADEs, 56 vs 8 (p &lt; 0.001). In addition, we found that the timely surveillance of ADEs combined with physician notification reduced the number of severe ADEs, 41 vs 12 (p &lt; 0.001). Initial analysis of the ADE database has shown that on average patients with type B ADEs are hospitalized longer (17 vs 14 days) and have larger hospitalization costs ($30,617 vs $23,256) than patients with type A ADEs. Patients with severe ADEs also are hospitalized longer (20 vs 13 days) and have larger hospitalization costs ($38,007 vs $22,474) than patients with moderate ADEs. This indicates that the prevention and early treatment of ADEs can reduce the length of hospitalization and result in a considerable cost savings to the hospital.","ISSN":"0195-4210","note":"PMID: 1482913","journalAbbreviation":"Proc Annu Symp Comput Appl Med Care","language":"eng","author":[{"family":"Evans","given":"R S"},{"family":"Pestotnik","given":"S L"},{"family":"Classen","given":"D C"},{"family":"Bass","given":"S B"},{"family":"Burke","given":"J P"}],"issued":{"date-parts":[["1992"]]},"PMID":"1482913"}},{"id":3004,"uris":["http://zotero.org/groups/202565/items/7N8E9TNR"],"uri":["http://zotero.org/groups/202565/items/7N8E9TNR"],"itemData":{"id":3004,"type":"article-journal","title":"An interdisciplinary initiative to reduce unplanned extubations in pediatric critical care units","container-title":"Pediatrics","page":"e1594-1600","volume":"129","issue":"6","source":"NCBI PubMed","abstract":"OBJECTIVE: Unplanned extubations in pediatric critical care units can result in increased mortality, morbidity, and length of stay. We sought to reduce the incidence of these events by reliably measuring occurrences and instituting a series of coordinated interdisciplinary interventions.\nMETHODS: This was an internal review board-approved quality improvement project. Data were prospectively collected from the electronic medical record, and analyzed over 24 months (January 1, 2009-December 2010), and divided into 3 periods: baseline (9 months), intervention with multiple rapid improvement cycles (8 months), and postintervention (7 months). Interventions included standardization of endotracheal tube taping practices upon admission, improved patient handoffs, systematic review of unplanned events, reexamination of sedation practices, and promotion of transparency of performance measures.\nRESULTS: The PICU experienced 21 events in the 9 months before the initiative, 13 events over the 8-month intervention period, and 5 events in the 7-month postintervention period. The cardiac intensive care unit (CICU) experienced 11, 4, and 0 events, respectively. Mean event rates per 100 patient days for each interval were 0.80, 0.50, and 0.29 for the PICU and 0.74, 0.44, and 0 for the CICU. Monthly event rates for the CICU were significantly different by using the Kruskal-Wallis test (P &lt; .05) but not for the PICU (P = .36)\nCONCLUSIONS: Through accurate tracking, multiple practice changes, and promoting transparency of efforts and data, an interdisciplinary team reduced the number of unplanned extubations in both ICUs. This reduction has been sustained throughout the postintervention monitoring period.","DOI":"10.1542/peds.2011-2642","ISSN":"1098-4275","note":"PMID: 22585764","journalAbbreviation":"Pediatrics","language":"eng","author":[{"family":"Kaufman","given":"Jon"},{"family":"Rannie","given":"Michael"},{"family":"Kahn","given":"Michael G"},{"family":"Vitaska","given":"Matthew"},{"family":"Wathen","given":"Beth"},{"family":"Peyton","given":"Chris"},{"family":"Judd","given":"Jerrold"},{"family":"Quinby","given":"Zachary"},{"family":"Cruz","given":"Eduardo M","non-dropping-particle":"da"},{"family":"Dobyns","given":"Emily"}],"issued":{"date-parts":[["2012",6]]},"PMID":"22585764"}},{"id":3005,"uris":["http://zotero.org/groups/202565/items/E3T9F7KH"],"uri":["http://zotero.org/groups/202565/items/E3T9F7KH"],"itemData":{"id":3005,"type":"article-journal","title":"Effects of an adverse-drug-event alert system on cost and quality outcomes in community hospitals","container-title":"American journal of health-system pharmacy: AJHP: official journal of the American Society of Health-System Pharmacists","page":"613-620","volume":"67","issue":"8","source":"NCBI PubMed","abstract":"PURPOSE: The effects of an adverse-drug-event (ADE) alert system on cost and quality outcomes in community hospitals were evaluated.\nMETHODS: This retrospective observational study evaluated the effects of an ADE alert system in seven hospitals in the Trinity Health network. Outcomes for all inpatients admitted to these hospitals after and one year before the deployment of an ADE alert system were evaluated. Inpatients in two network hospitals that lacked any computerized ADE alert system constituted the external control group. Administrative data were gathered for patients from these facilities for the same time frames as for the preimplementation and postimplementation groups. Primary outcomes evaluated included pharmacy department costs, variable drug costs, and mortality rates. Secondary outcomes included total hospitalization costs, length of hospital stay (LOS), rate of readmission, and case-mix index. Mean differences in primary and secondary outcome measures across all four groups were examined using analysis of variance.\nRESULTS: Significant decreases in mean pharmacy department costs per patient were observed from preimplementation to postimplementation (p &lt; 0.001), while pharmacy department costs increased significantly in the external control group (p = 0.029). Drug costs decreased significantly from baseline (p &lt; 0.001) in the postimplementation group. Drug costs increased significantly in the external control group (p = 0.029). Severity-adjusted mortality rates and LOS decreased significantly in the postimplementation group. Total patient hospitalization costs, both crude and severity adjusted, significantly increased in both groups.\nCONCLUSION: Implementation of an ADE alert system in seven community hospitals demonstrated significant decreases in pharmacy department costs, variable drug costs, and severity-adjusted mortality rates.","DOI":"10.2146/ajhp090056","ISSN":"1535-2900","note":"PMID: 20360588","journalAbbreviation":"Am J Health Syst Pharm","language":"eng","author":[{"family":"Piontek","given":"Frank"},{"family":"Kohli","given":"Rajiv"},{"family":"Conlon","given":"Paul"},{"family":"Ellis","given":"Jeffrey J"},{"family":"Jablonski","given":"Jason"},{"family":"Kini","given":"Narendra"}],"issued":{"date-parts":[["2010",4,15]]},"PMID":"20360588"}},{"id":3003,"uris":["http://zotero.org/groups/202565/items/48NZDFP6"],"uri":["http://zotero.org/groups/202565/items/48NZDFP6"],"itemData":{"id":3003,"type":"article-journal","title":"Medication safety program reduces adverse drug events in a community hospital","container-title":"Quality &amp; safety in health care","page":"169-174","volume":"14","issue":"3","source":"NCBI PubMed","abstract":"BACKGROUND: There is widespread interest in improving medication safety, particularly in the hospital setting. Numerous suggestions have been made as to how this should be done, but there is a paucity of data demonstrating the effectiveness of any of the interventions that have been proposed.\nOBJECTIVES: To assess the impact of a wide ranging, community hospital based patient safety program on patient harm as measured by the rate of adverse drug events.\nDESIGN: An audit of discharged hospital patients was conducted from January 2001 to December 2003. Baseline data were collected for the first 6 months and multiple drug protocols and other interventions were instituted on the nursing units and in the pharmacy department over the subsequent 9 months (transition period). These interventions were largely based on information about medication risks acquired from internal medication event reporting. Each month of the study adverse drug events (ADE) were sought from a random sample of inpatient charts. A trigger tool was used to detect clues to ADEs, the presence of which was confirmed or excluded by detailed manual chart review. The severity of these events was categorized using the classification system of the National Coordinating Council for Medication Error and Reporting and Prevention.\nMAIN OUTCOME MEASURES AND RESULTS: Median ADEs per 1000 doses of medication dispensed declined significantly from 2.04 to 0.65 (p&lt;0.001). Median ADEs per 100 patient days declined significantly from 5.07 to 1.30 (p&lt;0.001). The proportion of inpatients with one or more ADE in the baseline period was 31% and declined threefold (p&lt;0.001). The severity of reported medication events also declined. The number of ADEs associated conclusively with patient harm was 1.67 per total doses delivered in the baseline period and declined eightfold (p&lt;0.001).\nCONCLUSION: The implementation of a carefully planned series of low cost interventions focused on high risk medications, driven by information largely from internal event reporting, and designed to improve a hospital's medication safety leads to a significant decrease in patient harm.","DOI":"10.1136/qshc.2004.010942","ISSN":"1475-3901","note":"PMID: 15933311 \nPMCID: PMC1744034","journalAbbreviation":"Qual Saf Health Care","language":"eng","author":[{"family":"Cohen","given":"M M"},{"family":"Kimmel","given":"N L"},{"family":"Benage","given":"M K"},{"family":"Cox","given":"M J"},{"family":"Sanders","given":"N"},{"family":"Spence","given":"D"},{"family":"Chen","given":"J"}],"issued":{"date-parts":[["2005",6]]},"PMID":"15933311","PMCID":"PMC1744034"}},{"id":2994,"uris":["http://zotero.org/groups/202565/items/M9DNJX92"],"uri":["http://zotero.org/groups/202565/items/M9DNJX92"],"itemData":{"id":2994,"type":"article-journal","title":"Developing and implementing a standardized process for global trigger tool application across a large health system","container-title":"Joint Commission journal on quality and patient safety / Joint Commission Resources","page":"292-297","volume":"39","issue":"7","source":"NCBI PubMed","abstract":"BACKGROUND: To complement voluntary adverse event reporting, which may detect only specific categories of harms and may represent merely a fraction of actual adverse events, the Adventist Health System (AHS) began using the Institute for Healthcare Improvement (IHI) Global Trigger Tool (GTT) to more accurately gauge the number, types, and severity levels of adverse events and developed a centralized process to do so uniformly.\nMETHODS: AHS began using the GTT in 2009 in 25 of its 42 hospitals that used a common electronic medical record (EMR). The common EMR and centralized record review enables AHS to apply the GTT uniformly and provides consistency of data collected. AHS sends quarterly reports to participating facilities to communicate findings and provides case studies illustrating the most egregious harms. Case study recipients are encouraged to further examine patient records, explore events leading to harm, and share the information with process/quality improvement committees, medical executive committees, and boards of directors to identify opportunities for quality improvement. AHS staffing and record review processes have evolved since 2009.\nRESULTS: A GTT review of 17,295 patient records indicated that adverse events clustered as medication-related glycemic events; medication-related delirium, confusion, or oversedation related to analgesics, sedatives, and muscle relaxants; pressure ulcers; medication-related bleeding; and medication-related skin/mucosal reaction/itching.\nCONCLUSIONS: The AHS process demonstrates how a large health system uses the GTT to detect harms. Since 2009 AHS has improved and streamlined its reporting, data entry and review processes. AHS used major harms findings to initiate systemwide collaborative improvement projects for glycemic management and pressure ulcers.","ISSN":"1553-7250","note":"PMID: 23888638","journalAbbreviation":"Jt Comm J Qual Patient Saf","language":"eng","author":[{"family":"Garrett","given":"Paul R","suffix":"Jr"},{"family":"Sammer","given":"Christine"},{"family":"Nelson","given":"Antoinette"},{"family":"Paisley","given":"Kathleen A"},{"family":"Jones","given":"Cason"},{"family":"Shapiro","given":"Eve"},{"family":"Tonkel","given":"Jackie"},{"family":"Housman","given":"Michael"}],"issued":{"date-parts":[["2013",7]]},"PMID":"23888638"}}],"schema":"https://github.com/citation-style-language/schema/raw/master/csl-citation.json"} </w:instrText>
      </w:r>
      <w:r w:rsidRPr="008A5FE8">
        <w:rPr>
          <w:rFonts w:cs="Times New Roman"/>
          <w:color w:val="00B050"/>
        </w:rPr>
        <w:fldChar w:fldCharType="separate"/>
      </w:r>
      <w:r w:rsidRPr="008A5FE8">
        <w:rPr>
          <w:rFonts w:ascii="Calibri" w:hAnsi="Calibri" w:cs="Times New Roman"/>
          <w:color w:val="00B050"/>
          <w:szCs w:val="24"/>
        </w:rPr>
        <w:t>(28–32)</w:t>
      </w:r>
      <w:r w:rsidRPr="008A5FE8">
        <w:rPr>
          <w:rFonts w:cs="Times New Roman"/>
          <w:color w:val="00B050"/>
        </w:rPr>
        <w:fldChar w:fldCharType="end"/>
      </w:r>
      <w:r w:rsidRPr="008A5FE8">
        <w:rPr>
          <w:rFonts w:cs="Times New Roman"/>
          <w:color w:val="00B050"/>
        </w:rPr>
        <w:t xml:space="preserve"> For example, hospitals that institute real-time adverse drug event surveillance systems are able to intervene before AEs become severe, or are able to prevent future AEs altogether.</w:t>
      </w:r>
      <w:r w:rsidRPr="008A5FE8">
        <w:rPr>
          <w:rFonts w:cs="Times New Roman"/>
          <w:color w:val="00B050"/>
        </w:rPr>
        <w:fldChar w:fldCharType="begin"/>
      </w:r>
      <w:r w:rsidRPr="008A5FE8">
        <w:rPr>
          <w:rFonts w:cs="Times New Roman"/>
          <w:color w:val="00B050"/>
        </w:rPr>
        <w:instrText xml:space="preserve"> ADDIN ZOTERO_ITEM CSL_CITATION {"citationID":"NzHEl6o8","properties":{"formattedCitation":"(28,30)","plainCitation":"(28,30)"},"citationItems":[{"id":2916,"uris":["http://zotero.org/groups/202565/items/UPBCQEB3"],"uri":["http://zotero.org/groups/202565/items/UPBCQEB3"],"itemData":{"id":2916,"type":"article-journal","title":"Prevention of adverse drug events through computerized surveillance","container-title":"Proceedings / the ... Annual Symposium on Computer Application [sic] in Medical Care. Symposium on Computer Applications in Medical Care","page":"437-441","source":"NCBI PubMed","abstract":"Adverse drug events (ADEs) are a serious health problem and are the leading adverse event experienced by hospitalized patients. Numerous hospitals have used different methods to improve the reporting of ADEs but few have undertaken studies aimed at the prevention of ADEs. We found that computerized ADE surveillance identified significantly more ADEs than our previous voluntary reporting method. Moreover, the computerized ADE surveillance system created a database of ADEs which allowed us to analyze the ADEs and design methods for prevention. We found that computer alerts of previously known drug allergies generated when drugs were ordered significantly reduced the number of type B ADEs, 56 vs 8 (p &lt; 0.001). In addition, we found that the timely surveillance of ADEs combined with physician notification reduced the number of severe ADEs, 41 vs 12 (p &lt; 0.001). Initial analysis of the ADE database has shown that on average patients with type B ADEs are hospitalized longer (17 vs 14 days) and have larger hospitalization costs ($30,617 vs $23,256) than patients with type A ADEs. Patients with severe ADEs also are hospitalized longer (20 vs 13 days) and have larger hospitalization costs ($38,007 vs $22,474) than patients with moderate ADEs. This indicates that the prevention and early treatment of ADEs can reduce the length of hospitalization and result in a considerable cost savings to the hospital.","ISSN":"0195-4210","note":"PMID: 1482913","journalAbbreviation":"Proc Annu Symp Comput Appl Med Care","language":"eng","author":[{"family":"Evans","given":"R S"},{"family":"Pestotnik","given":"S L"},{"family":"Classen","given":"D C"},{"family":"Bass","given":"S B"},{"family":"Burke","given":"J P"}],"issued":{"date-parts":[["1992"]]},"PMID":"1482913"}},{"id":3005,"uris":["http://zotero.org/groups/202565/items/E3T9F7KH"],"uri":["http://zotero.org/groups/202565/items/E3T9F7KH"],"itemData":{"id":3005,"type":"article-journal","title":"Effects of an adverse-drug-event alert system on cost and quality outcomes in community hospitals","container-title":"American journal of health-system pharmacy: AJHP: official journal of the American Society of Health-System Pharmacists","page":"613-620","volume":"67","issue":"8","source":"NCBI PubMed","abstract":"PURPOSE: The effects of an adverse-drug-event (ADE) alert system on cost and quality outcomes in community hospitals were evaluated.\nMETHODS: This retrospective observational study evaluated the effects of an ADE alert system in seven hospitals in the Trinity Health network. Outcomes for all inpatients admitted to these hospitals after and one year before the deployment of an ADE alert system were evaluated. Inpatients in two network hospitals that lacked any computerized ADE alert system constituted the external control group. Administrative data were gathered for patients from these facilities for the same time frames as for the preimplementation and postimplementation groups. Primary outcomes evaluated included pharmacy department costs, variable drug costs, and mortality rates. Secondary outcomes included total hospitalization costs, length of hospital stay (LOS), rate of readmission, and case-mix index. Mean differences in primary and secondary outcome measures across all four groups were examined using analysis of variance.\nRESULTS: Significant decreases in mean pharmacy department costs per patient were observed from preimplementation to postimplementation (p &lt; 0.001), while pharmacy department costs increased significantly in the external control group (p = 0.029). Drug costs decreased significantly from baseline (p &lt; 0.001) in the postimplementation group. Drug costs increased significantly in the external control group (p = 0.029). Severity-adjusted mortality rates and LOS decreased significantly in the postimplementation group. Total patient hospitalization costs, both crude and severity adjusted, significantly increased in both groups.\nCONCLUSION: Implementation of an ADE alert system in seven community hospitals demonstrated significant decreases in pharmacy department costs, variable drug costs, and severity-adjusted mortality rates.","DOI":"10.2146/ajhp090056","ISSN":"1535-2900","note":"PMID: 20360588","journalAbbreviation":"Am J Health Syst Pharm","language":"eng","author":[{"family":"Piontek","given":"Frank"},{"family":"Kohli","given":"Rajiv"},{"family":"Conlon","given":"Paul"},{"family":"Ellis","given":"Jeffrey J"},{"family":"Jablonski","given":"Jason"},{"family":"Kini","given":"Narendra"}],"issued":{"date-parts":[["2010",4,15]]},"PMID":"20360588"}}],"schema":"https://github.com/citation-style-language/schema/raw/master/csl-citation.json"} </w:instrText>
      </w:r>
      <w:r w:rsidRPr="008A5FE8">
        <w:rPr>
          <w:rFonts w:cs="Times New Roman"/>
          <w:color w:val="00B050"/>
        </w:rPr>
        <w:fldChar w:fldCharType="separate"/>
      </w:r>
      <w:r w:rsidRPr="008A5FE8">
        <w:rPr>
          <w:rFonts w:ascii="Calibri" w:hAnsi="Calibri"/>
          <w:color w:val="00B050"/>
        </w:rPr>
        <w:t>(28,30)</w:t>
      </w:r>
      <w:r w:rsidRPr="008A5FE8">
        <w:rPr>
          <w:rFonts w:cs="Times New Roman"/>
          <w:color w:val="00B050"/>
        </w:rPr>
        <w:fldChar w:fldCharType="end"/>
      </w:r>
      <w:r w:rsidRPr="008A5FE8">
        <w:rPr>
          <w:rFonts w:cs="Times New Roman"/>
          <w:color w:val="00B050"/>
        </w:rPr>
        <w:t xml:space="preserve"> In addition, the ability to track AEs allows for the design, implementation, and evaluation of targeted interventions, resulting in fewer AEs and decreased mortality.</w:t>
      </w:r>
      <w:r w:rsidRPr="008A5FE8">
        <w:rPr>
          <w:rFonts w:cs="Times New Roman"/>
          <w:color w:val="00B050"/>
        </w:rPr>
        <w:fldChar w:fldCharType="begin"/>
      </w:r>
      <w:r w:rsidRPr="008A5FE8">
        <w:rPr>
          <w:rFonts w:cs="Times New Roman"/>
          <w:color w:val="00B050"/>
        </w:rPr>
        <w:instrText xml:space="preserve"> ADDIN ZOTERO_ITEM CSL_CITATION {"citationID":"BI14CpVK","properties":{"formattedCitation":"(29,30,32)","plainCitation":"(29,30,32)"},"citationItems":[{"id":3004,"uris":["http://zotero.org/groups/202565/items/7N8E9TNR"],"uri":["http://zotero.org/groups/202565/items/7N8E9TNR"],"itemData":{"id":3004,"type":"article-journal","title":"An interdisciplinary initiative to reduce unplanned extubations in pediatric critical care units","container-title":"Pediatrics","page":"e1594-1600","volume":"129","issue":"6","source":"NCBI PubMed","abstract":"OBJECTIVE: Unplanned extubations in pediatric critical care units can result in increased mortality, morbidity, and length of stay. We sought to reduce the incidence of these events by reliably measuring occurrences and instituting a series of coordinated interdisciplinary interventions.\nMETHODS: This was an internal review board-approved quality improvement project. Data were prospectively collected from the electronic medical record, and analyzed over 24 months (January 1, 2009-December 2010), and divided into 3 periods: baseline (9 months), intervention with multiple rapid improvement cycles (8 months), and postintervention (7 months). Interventions included standardization of endotracheal tube taping practices upon admission, improved patient handoffs, systematic review of unplanned events, reexamination of sedation practices, and promotion of transparency of performance measures.\nRESULTS: The PICU experienced 21 events in the 9 months before the initiative, 13 events over the 8-month intervention period, and 5 events in the 7-month postintervention period. The cardiac intensive care unit (CICU) experienced 11, 4, and 0 events, respectively. Mean event rates per 100 patient days for each interval were 0.80, 0.50, and 0.29 for the PICU and 0.74, 0.44, and 0 for the CICU. Monthly event rates for the CICU were significantly different by using the Kruskal-Wallis test (P &lt; .05) but not for the PICU (P = .36)\nCONCLUSIONS: Through accurate tracking, multiple practice changes, and promoting transparency of efforts and data, an interdisciplinary team reduced the number of unplanned extubations in both ICUs. This reduction has been sustained throughout the postintervention monitoring period.","DOI":"10.1542/peds.2011-2642","ISSN":"1098-4275","note":"PMID: 22585764","journalAbbreviation":"Pediatrics","language":"eng","author":[{"family":"Kaufman","given":"Jon"},{"family":"Rannie","given":"Michael"},{"family":"Kahn","given":"Michael G"},{"family":"Vitaska","given":"Matthew"},{"family":"Wathen","given":"Beth"},{"family":"Peyton","given":"Chris"},{"family":"Judd","given":"Jerrold"},{"family":"Quinby","given":"Zachary"},{"family":"Cruz","given":"Eduardo M","non-dropping-particle":"da"},{"family":"Dobyns","given":"Emily"}],"issued":{"date-parts":[["2012",6]]},"PMID":"22585764"}},{"id":3005,"uris":["http://zotero.org/groups/202565/items/E3T9F7KH"],"uri":["http://zotero.org/groups/202565/items/E3T9F7KH"],"itemData":{"id":3005,"type":"article-journal","title":"Effects of an adverse-drug-event alert system on cost and quality outcomes in community hospitals","container-title":"American journal of health-system pharmacy: AJHP: official journal of the American Society of Health-System Pharmacists","page":"613-620","volume":"67","issue":"8","source":"NCBI PubMed","abstract":"PURPOSE: The effects of an adverse-drug-event (ADE) alert system on cost and quality outcomes in community hospitals were evaluated.\nMETHODS: This retrospective observational study evaluated the effects of an ADE alert system in seven hospitals in the Trinity Health network. Outcomes for all inpatients admitted to these hospitals after and one year before the deployment of an ADE alert system were evaluated. Inpatients in two network hospitals that lacked any computerized ADE alert system constituted the external control group. Administrative data were gathered for patients from these facilities for the same time frames as for the preimplementation and postimplementation groups. Primary outcomes evaluated included pharmacy department costs, variable drug costs, and mortality rates. Secondary outcomes included total hospitalization costs, length of hospital stay (LOS), rate of readmission, and case-mix index. Mean differences in primary and secondary outcome measures across all four groups were examined using analysis of variance.\nRESULTS: Significant decreases in mean pharmacy department costs per patient were observed from preimplementation to postimplementation (p &lt; 0.001), while pharmacy department costs increased significantly in the external control group (p = 0.029). Drug costs decreased significantly from baseline (p &lt; 0.001) in the postimplementation group. Drug costs increased significantly in the external control group (p = 0.029). Severity-adjusted mortality rates and LOS decreased significantly in the postimplementation group. Total patient hospitalization costs, both crude and severity adjusted, significantly increased in both groups.\nCONCLUSION: Implementation of an ADE alert system in seven community hospitals demonstrated significant decreases in pharmacy department costs, variable drug costs, and severity-adjusted mortality rates.","DOI":"10.2146/ajhp090056","ISSN":"1535-2900","note":"PMID: 20360588","journalAbbreviation":"Am J Health Syst Pharm","language":"eng","author":[{"family":"Piontek","given":"Frank"},{"family":"Kohli","given":"Rajiv"},{"family":"Conlon","given":"Paul"},{"family":"Ellis","given":"Jeffrey J"},{"family":"Jablonski","given":"Jason"},{"family":"Kini","given":"Narendra"}],"issued":{"date-parts":[["2010",4,15]]},"PMID":"20360588"}},{"id":2994,"uris":["http://zotero.org/groups/202565/items/M9DNJX92"],"uri":["http://zotero.org/groups/202565/items/M9DNJX92"],"itemData":{"id":2994,"type":"article-journal","title":"Developing and implementing a standardized process for global trigger tool application across a large health system","container-title":"Joint Commission journal on quality and patient safety / Joint Commission Resources","page":"292-297","volume":"39","issue":"7","source":"NCBI PubMed","abstract":"BACKGROUND: To complement voluntary adverse event reporting, which may detect only specific categories of harms and may represent merely a fraction of actual adverse events, the Adventist Health System (AHS) began using the Institute for Healthcare Improvement (IHI) Global Trigger Tool (GTT) to more accurately gauge the number, types, and severity levels of adverse events and developed a centralized process to do so uniformly.\nMETHODS: AHS began using the GTT in 2009 in 25 of its 42 hospitals that used a common electronic medical record (EMR). The common EMR and centralized record review enables AHS to apply the GTT uniformly and provides consistency of data collected. AHS sends quarterly reports to participating facilities to communicate findings and provides case studies illustrating the most egregious harms. Case study recipients are encouraged to further examine patient records, explore events leading to harm, and share the information with process/quality improvement committees, medical executive committees, and boards of directors to identify opportunities for quality improvement. AHS staffing and record review processes have evolved since 2009.\nRESULTS: A GTT review of 17,295 patient records indicated that adverse events clustered as medication-related glycemic events; medication-related delirium, confusion, or oversedation related to analgesics, sedatives, and muscle relaxants; pressure ulcers; medication-related bleeding; and medication-related skin/mucosal reaction/itching.\nCONCLUSIONS: The AHS process demonstrates how a large health system uses the GTT to detect harms. Since 2009 AHS has improved and streamlined its reporting, data entry and review processes. AHS used major harms findings to initiate systemwide collaborative improvement projects for glycemic management and pressure ulcers.","ISSN":"1553-7250","note":"PMID: 23888638","journalAbbreviation":"Jt Comm J Qual Patient Saf","language":"eng","author":[{"family":"Garrett","given":"Paul R","suffix":"Jr"},{"family":"Sammer","given":"Christine"},{"family":"Nelson","given":"Antoinette"},{"family":"Paisley","given":"Kathleen A"},{"family":"Jones","given":"Cason"},{"family":"Shapiro","given":"Eve"},{"family":"Tonkel","given":"Jackie"},{"family":"Housman","given":"Michael"}],"issued":{"date-parts":[["2013",7]]},"PMID":"23888638"}}],"schema":"https://github.com/citation-style-language/schema/raw/master/csl-citation.json"} </w:instrText>
      </w:r>
      <w:r w:rsidRPr="008A5FE8">
        <w:rPr>
          <w:rFonts w:cs="Times New Roman"/>
          <w:color w:val="00B050"/>
        </w:rPr>
        <w:fldChar w:fldCharType="separate"/>
      </w:r>
      <w:r w:rsidRPr="008A5FE8">
        <w:rPr>
          <w:rFonts w:ascii="Calibri" w:hAnsi="Calibri"/>
          <w:color w:val="00B050"/>
        </w:rPr>
        <w:t>(29,30,32)</w:t>
      </w:r>
      <w:r w:rsidRPr="008A5FE8">
        <w:rPr>
          <w:rFonts w:cs="Times New Roman"/>
          <w:color w:val="00B050"/>
        </w:rPr>
        <w:fldChar w:fldCharType="end"/>
      </w:r>
    </w:p>
    <w:p w:rsidR="008A5FE8" w:rsidRPr="008A5FE8" w:rsidRDefault="008A5FE8" w:rsidP="008A5FE8">
      <w:pPr>
        <w:rPr>
          <w:rFonts w:cs="Times New Roman"/>
          <w:color w:val="00B050"/>
        </w:rPr>
      </w:pPr>
    </w:p>
    <w:p w:rsidR="008A5FE8" w:rsidRPr="008A5FE8" w:rsidRDefault="008A5FE8" w:rsidP="008A5FE8">
      <w:pPr>
        <w:rPr>
          <w:rFonts w:cs="Times New Roman"/>
          <w:color w:val="00B050"/>
        </w:rPr>
      </w:pPr>
      <w:r w:rsidRPr="008A5FE8">
        <w:rPr>
          <w:rFonts w:cs="Times New Roman"/>
          <w:color w:val="00B050"/>
        </w:rPr>
        <w:t xml:space="preserve">REFERENCES </w:t>
      </w:r>
    </w:p>
    <w:p w:rsidR="008A5FE8" w:rsidRPr="008A5FE8" w:rsidRDefault="008A5FE8" w:rsidP="008A5FE8">
      <w:pPr>
        <w:pStyle w:val="Bibliography"/>
        <w:ind w:left="0" w:firstLine="0"/>
        <w:rPr>
          <w:rFonts w:ascii="Calibri" w:hAnsi="Calibri"/>
          <w:color w:val="00B050"/>
        </w:rPr>
      </w:pPr>
      <w:r w:rsidRPr="008A5FE8">
        <w:rPr>
          <w:color w:val="00B050"/>
        </w:rPr>
        <w:fldChar w:fldCharType="begin"/>
      </w:r>
      <w:r w:rsidRPr="008A5FE8">
        <w:rPr>
          <w:color w:val="00B050"/>
        </w:rPr>
        <w:instrText xml:space="preserve"> ADDIN ZOTERO_BIBL {"custom":[]} CSL_BIBLIOGRAPHY </w:instrText>
      </w:r>
      <w:r w:rsidRPr="008A5FE8">
        <w:rPr>
          <w:color w:val="00B050"/>
        </w:rPr>
        <w:fldChar w:fldCharType="separate"/>
      </w:r>
      <w:r w:rsidRPr="008A5FE8">
        <w:rPr>
          <w:rFonts w:ascii="Calibri" w:hAnsi="Calibri"/>
          <w:color w:val="00B050"/>
        </w:rPr>
        <w:t xml:space="preserve">1. </w:t>
      </w:r>
      <w:r w:rsidRPr="008A5FE8">
        <w:rPr>
          <w:rFonts w:ascii="Calibri" w:hAnsi="Calibri"/>
          <w:color w:val="00B050"/>
        </w:rPr>
        <w:tab/>
        <w:t xml:space="preserve">Classen DC, Pestotnik SL, Evans RS, Burke JP. Computerized surveillance of adverse drug events in hospital patients. JAMA J Am Med Assoc. 1991 Nov 27;266(20):2847–51.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 </w:t>
      </w:r>
      <w:r w:rsidRPr="008A5FE8">
        <w:rPr>
          <w:rFonts w:ascii="Calibri" w:hAnsi="Calibri"/>
          <w:color w:val="00B050"/>
        </w:rPr>
        <w:tab/>
        <w:t xml:space="preserve">Agarwal S, Classen D, Larsen G, Tofil NM, Hayes LW, Sullivan JE, et al. Prevalence of adverse events in pediatric intensive care units in the United States. Pediatr Crit Care Med J Soc Crit Care Med World Fed Pediatr Intensive Crit Care Soc. 2010 Sep;11(5):568–78.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3. </w:t>
      </w:r>
      <w:r w:rsidRPr="008A5FE8">
        <w:rPr>
          <w:rFonts w:ascii="Calibri" w:hAnsi="Calibri"/>
          <w:color w:val="00B050"/>
        </w:rPr>
        <w:tab/>
        <w:t xml:space="preserve">Call RJ, Burlison JD, Robertson JJ, Scott JR, Baker DK, Rossi MG, et al. Adverse Drug Event Detection in Pediatric Oncology and Hematology Patients: Using Medication Triggers to Identify Patient Harm in a Specialized Pediatric Patient Population. J Pediatr. 2014 Apr 24;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4. </w:t>
      </w:r>
      <w:r w:rsidRPr="008A5FE8">
        <w:rPr>
          <w:rFonts w:ascii="Calibri" w:hAnsi="Calibri"/>
          <w:color w:val="00B050"/>
        </w:rPr>
        <w:tab/>
        <w:t xml:space="preserve">Classen DC, Resar R, Griffin F, Federico F, Frankel T, Kimmel N, et al. “Global Trigger Tool” Shows That Adverse Events In Hospitals May Be Ten Times Greater Than Previously Measured. Health Aff (Millwood). 2011 Apr 1;30(4):581–9.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5. </w:t>
      </w:r>
      <w:r w:rsidRPr="008A5FE8">
        <w:rPr>
          <w:rFonts w:ascii="Calibri" w:hAnsi="Calibri"/>
          <w:color w:val="00B050"/>
        </w:rPr>
        <w:tab/>
        <w:t xml:space="preserve">Griffin FA, Classen DC. Detection of adverse events in surgical patients using the Trigger Tool approach. Qual Saf Health Care. 2008 Aug 1;17(4):253–8.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6. </w:t>
      </w:r>
      <w:r w:rsidRPr="008A5FE8">
        <w:rPr>
          <w:rFonts w:ascii="Calibri" w:hAnsi="Calibri"/>
          <w:color w:val="00B050"/>
        </w:rPr>
        <w:tab/>
        <w:t xml:space="preserve">Hooper AJ, Tibballs J. Comparison of a Trigger Tool and voluntary reporting to identify adverse events in a paediatric intensive care unit. Anaesth Intensive Care. 2014 Mar;42(2):199–206.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7. </w:t>
      </w:r>
      <w:r w:rsidRPr="008A5FE8">
        <w:rPr>
          <w:rFonts w:ascii="Calibri" w:hAnsi="Calibri"/>
          <w:color w:val="00B050"/>
        </w:rPr>
        <w:tab/>
        <w:t xml:space="preserve">Kennerly DA, Kudyakov R, da Graca B, Saldaña M, Compton J, Nicewander D, et al. Characterization of Adverse Events Detected in a Large Health Care Delivery System Using an Enhanced Global Trigger Tool over a Five-Year Interval. Health Serv Res. 2014 Mar 13;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lastRenderedPageBreak/>
        <w:t xml:space="preserve">8. </w:t>
      </w:r>
      <w:r w:rsidRPr="008A5FE8">
        <w:rPr>
          <w:rFonts w:ascii="Calibri" w:hAnsi="Calibri"/>
          <w:color w:val="00B050"/>
        </w:rPr>
        <w:tab/>
        <w:t xml:space="preserve">Rozich JD, Haraden CR, Resar RK. Adverse drug event trigger tool: a practical methodology for measuring medication related harm. Qual Saf Health Care. 2003 Jun 1;12(3):194–200. </w:t>
      </w: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9. </w:t>
      </w:r>
      <w:r w:rsidRPr="008A5FE8">
        <w:rPr>
          <w:rFonts w:ascii="Calibri" w:hAnsi="Calibri"/>
          <w:color w:val="00B050"/>
        </w:rPr>
        <w:tab/>
        <w:t xml:space="preserve">Takata GS, Mason W, Taketomo C, Logsdon T, Sharek PJ. Development, testing, and findings of a pediatric-focused trigger tool to identify medication-related harm in US children’s hospitals. Pediatrics. 2008 Apr;121(4):e927-935.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10. </w:t>
      </w:r>
      <w:r w:rsidRPr="008A5FE8">
        <w:rPr>
          <w:rFonts w:ascii="Calibri" w:hAnsi="Calibri"/>
          <w:color w:val="00B050"/>
        </w:rPr>
        <w:tab/>
        <w:t xml:space="preserve">Levinson DR. Adverse Events in Hospitals: Methods for Identifying Events. Washington, DC: Office of the Inspector General, Department of Health and Human Services; 2010. Report No.: OEI-06-08-00221.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11. </w:t>
      </w:r>
      <w:r w:rsidRPr="008A5FE8">
        <w:rPr>
          <w:rFonts w:ascii="Calibri" w:hAnsi="Calibri"/>
          <w:color w:val="00B050"/>
        </w:rPr>
        <w:tab/>
        <w:t xml:space="preserve">Stockwell DC, Kirkendall E, Muething SE, Kloppenborg E, Vinodrao H, Jacobs BR. Automated adverse event detection collaborative: electronic adverse event identification, classification, and corrective actions across academic pediatric institutions. J Patient Saf. 2013 Dec;9(4):203–10.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12. </w:t>
      </w:r>
      <w:r w:rsidRPr="008A5FE8">
        <w:rPr>
          <w:rFonts w:ascii="Calibri" w:hAnsi="Calibri"/>
          <w:color w:val="00B050"/>
        </w:rPr>
        <w:tab/>
        <w:t xml:space="preserve">Ferranti J, Horvath MM, Cozart H, Whitehurst J, Eckstrand J, Pietrobon R, et al. A Multifaceted Approach to Safety: The Synergistic Detection of Adverse Drug Events in Adult Inpatients. J Patient Saf. 2008 Sep;4(3):184–90.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13. </w:t>
      </w:r>
      <w:r w:rsidRPr="008A5FE8">
        <w:rPr>
          <w:rFonts w:ascii="Calibri" w:hAnsi="Calibri"/>
          <w:color w:val="00B050"/>
        </w:rPr>
        <w:tab/>
        <w:t xml:space="preserve">Naessens JM, O’Byrne TJ, Johnson MG, Vansuch MB, McGlone CM, Huddleston JM. Measuring hospital adverse events: assessing inter-rater reliability and trigger performance of the Global Trigger Tool. Int J Qual Health Care J Int Soc Qual Health Care ISQua. 2010 Aug;22(4):266–74.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14. </w:t>
      </w:r>
      <w:r w:rsidRPr="008A5FE8">
        <w:rPr>
          <w:rFonts w:ascii="Calibri" w:hAnsi="Calibri"/>
          <w:color w:val="00B050"/>
        </w:rPr>
        <w:tab/>
        <w:t xml:space="preserve">Resar RK, Rozich JD, Simmonds T, Haraden CR. A trigger tool to identify adverse events in the intensive care unit. Jt Comm J Qual Patient Saf Jt Comm Resour. 2006 Oct;32(10):585–90.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15. </w:t>
      </w:r>
      <w:r w:rsidRPr="008A5FE8">
        <w:rPr>
          <w:rFonts w:ascii="Calibri" w:hAnsi="Calibri"/>
          <w:color w:val="00B050"/>
        </w:rPr>
        <w:tab/>
        <w:t xml:space="preserve">Lander L, Roberson DW, Plummer KM, Forbes PW, Healy GB, Shah RK. A trigger tool fails to identify serious errors and adverse events in pediatric otolaryngology. Otolaryngol--Head Neck Surg Off J Am Acad Otolaryngol-Head Neck Surg. 2010 Oct;143(4):480–6.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16. </w:t>
      </w:r>
      <w:r w:rsidRPr="008A5FE8">
        <w:rPr>
          <w:rFonts w:ascii="Calibri" w:hAnsi="Calibri"/>
          <w:color w:val="00B050"/>
        </w:rPr>
        <w:tab/>
        <w:t xml:space="preserve">Sharek PJ, Horbar JD, Mason W, Bisarya H, Thurm CW, Suresh G, et al. Adverse events in the neonatal intensive care unit: development, testing, and findings of an NICU-focused trigger tool to identify harm in North American NICUs. Pediatrics. 2006 Oct;118(4):1332–40.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17. </w:t>
      </w:r>
      <w:r w:rsidRPr="008A5FE8">
        <w:rPr>
          <w:rFonts w:ascii="Calibri" w:hAnsi="Calibri"/>
          <w:color w:val="00B050"/>
        </w:rPr>
        <w:tab/>
        <w:t xml:space="preserve">Unbeck M, Schildmeijer K, Henriksson P, Jürgensen U, Muren O, Nilsson L, et al. Is detection of adverse events affected by record review methodology? an evaluation of the “Harvard Medical Practice Study” method and the “Global Trigger Tool.” Patient Saf Surg. 2013;7(1):10.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18. </w:t>
      </w:r>
      <w:r w:rsidRPr="008A5FE8">
        <w:rPr>
          <w:rFonts w:ascii="Calibri" w:hAnsi="Calibri"/>
          <w:color w:val="00B050"/>
        </w:rPr>
        <w:tab/>
        <w:t xml:space="preserve">Kaiser AM, de Jong E, Evelein-Brugman SF, Peppink JM, Vandenbroucke-Grauls CM, Girbes AR. Development of trigger-based semi-automated surveillance of ventilator-associated pneumonia and central line-associated bloodstream infections in a Dutch intensive care. Ann Intensive Care. 2014 Dec 21;4:40.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19. </w:t>
      </w:r>
      <w:r w:rsidRPr="008A5FE8">
        <w:rPr>
          <w:rFonts w:ascii="Calibri" w:hAnsi="Calibri"/>
          <w:color w:val="00B050"/>
        </w:rPr>
        <w:tab/>
        <w:t xml:space="preserve">Jha AK, Kuperman GJ, Teich JM, Leape L, Shea B, Rittenberg E, et al. Identifying adverse drug events: development of a computer-based monitor and comparison with chart review and stimulated voluntary report. J Am Med Inform Assoc JAMIA. 1998 Jun;5(3):305–14.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20. </w:t>
      </w:r>
      <w:r w:rsidRPr="008A5FE8">
        <w:rPr>
          <w:rFonts w:ascii="Calibri" w:hAnsi="Calibri"/>
          <w:color w:val="00B050"/>
        </w:rPr>
        <w:tab/>
        <w:t xml:space="preserve">Bates DW, Evans RS, Murff H, Stetson PD, Pizziferri L, Hripcsak G. Detecting Adverse Events Using Information Technology. J Am Med Inform Assoc. 2003 Mar 1;10(2):115–28. </w:t>
      </w: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lastRenderedPageBreak/>
        <w:t xml:space="preserve">21. </w:t>
      </w:r>
      <w:r w:rsidRPr="008A5FE8">
        <w:rPr>
          <w:rFonts w:ascii="Calibri" w:hAnsi="Calibri"/>
          <w:color w:val="00B050"/>
        </w:rPr>
        <w:tab/>
        <w:t xml:space="preserve">Kirkendall ES, Spires WL, Mottes TA, Schaffzin JK, Barclay C, Goldstein SL. Development and Performance of Electronic Acute Kidney Injury Triggers to Identify Pediatric Patients at Risk for Nephrotoxic Medication-Associated Harm. Appl Clin Inform. 2014 Apr 2;5(2):313–33.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22. </w:t>
      </w:r>
      <w:r w:rsidRPr="008A5FE8">
        <w:rPr>
          <w:rFonts w:ascii="Calibri" w:hAnsi="Calibri"/>
          <w:color w:val="00B050"/>
        </w:rPr>
        <w:tab/>
        <w:t xml:space="preserve">Calder L, Tierney S, Jiang Y, Gagné A, Gee A, Hobden E, et al. Patient safety analysis of the ED care of patients with heart failure and COPD exacerbations: a multicenter prospective cohort study. Am J Emerg Med. 2014 Jan;32(1):29–35.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23. </w:t>
      </w:r>
      <w:r w:rsidRPr="008A5FE8">
        <w:rPr>
          <w:rFonts w:ascii="Calibri" w:hAnsi="Calibri"/>
          <w:color w:val="00B050"/>
        </w:rPr>
        <w:tab/>
        <w:t xml:space="preserve">Joice GA, Deibert CM, Kates M, Spencer BA, McKiernan JM. “Never events”: Centers for Medicare and Medicaid Services complications after radical cystectomy. Urology. 2013 Mar;81(3):527–32.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24. </w:t>
      </w:r>
      <w:r w:rsidRPr="008A5FE8">
        <w:rPr>
          <w:rFonts w:ascii="Calibri" w:hAnsi="Calibri"/>
          <w:color w:val="00B050"/>
        </w:rPr>
        <w:tab/>
        <w:t xml:space="preserve">Rosen AK, Geraci JM, Ash AS, McNiff KJ, Moskowitz MA. Postoperative adverse events of common surgical procedures in the Medicare population. Med Care. 1992 Sep;30(9):753–65.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25. </w:t>
      </w:r>
      <w:r w:rsidRPr="008A5FE8">
        <w:rPr>
          <w:rFonts w:ascii="Calibri" w:hAnsi="Calibri"/>
          <w:color w:val="00B050"/>
        </w:rPr>
        <w:tab/>
        <w:t xml:space="preserve">Rosen AK, Loveland S, Shin M, Shwartz M, Hanchate A, Chen Q, et al. Examining the impact of the AHRQ Patient Safety Indicators (PSIs) on the Veterans Health Administration: the case of readmissions. Med Care. 2013 Jan;51(1):37–44.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26. </w:t>
      </w:r>
      <w:r w:rsidRPr="008A5FE8">
        <w:rPr>
          <w:rFonts w:ascii="Calibri" w:hAnsi="Calibri"/>
          <w:color w:val="00B050"/>
        </w:rPr>
        <w:tab/>
        <w:t xml:space="preserve">Sukumar S, Roghmann F, Trinh VQ, Sammon JD, Gervais M-K, Tan H-J, et al. National trends in hospital-acquired preventable adverse events after major cancer surgery in the USA. BMJ Open. 2013;3(6).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27. </w:t>
      </w:r>
      <w:r w:rsidRPr="008A5FE8">
        <w:rPr>
          <w:rFonts w:ascii="Calibri" w:hAnsi="Calibri"/>
          <w:color w:val="00B050"/>
        </w:rPr>
        <w:tab/>
        <w:t xml:space="preserve">Kohn LT, Corrigan JM, Donaldson MS. To Err Is Human: Building a Safer Health System. Washington, DC: Institute of Medicine Committee on the Quality of Health Care in America; 1999.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28. </w:t>
      </w:r>
      <w:r w:rsidRPr="008A5FE8">
        <w:rPr>
          <w:rFonts w:ascii="Calibri" w:hAnsi="Calibri"/>
          <w:color w:val="00B050"/>
        </w:rPr>
        <w:tab/>
        <w:t xml:space="preserve">Evans RS, Pestotnik SL, Classen DC, Bass SB, Burke JP. Prevention of adverse drug events through computerized surveillance. Proc Annu Symp Comput Appl Sic Med Care Symp Comput Appl Med Care. 1992;437–41.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29. </w:t>
      </w:r>
      <w:r w:rsidRPr="008A5FE8">
        <w:rPr>
          <w:rFonts w:ascii="Calibri" w:hAnsi="Calibri"/>
          <w:color w:val="00B050"/>
        </w:rPr>
        <w:tab/>
        <w:t xml:space="preserve">Kaufman J, Rannie M, Kahn MG, Vitaska M, Wathen B, Peyton C, et al. An interdisciplinary initiative to reduce unplanned extubations in pediatric critical care units. Pediatrics. 2012 Jun;129(6):e1594-1600.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30. </w:t>
      </w:r>
      <w:r w:rsidRPr="008A5FE8">
        <w:rPr>
          <w:rFonts w:ascii="Calibri" w:hAnsi="Calibri"/>
          <w:color w:val="00B050"/>
        </w:rPr>
        <w:tab/>
        <w:t xml:space="preserve">Piontek F, Kohli R, Conlon P, Ellis JJ, Jablonski J, Kini N. Effects of an adverse-drug-event alert system on cost and quality outcomes in community hospitals. Am J Health-Syst Pharm AJHP Off J Am Soc Health-Syst Pharm. 2010 Apr 15;67(8):613–20.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31. </w:t>
      </w:r>
      <w:r w:rsidRPr="008A5FE8">
        <w:rPr>
          <w:rFonts w:ascii="Calibri" w:hAnsi="Calibri"/>
          <w:color w:val="00B050"/>
        </w:rPr>
        <w:tab/>
        <w:t xml:space="preserve">Cohen MM, Kimmel NL, Benage MK, Cox MJ, Sanders N, Spence D, et al. Medication safety program reduces adverse drug events in a community hospital. Qual Saf Health Care. 2005 Jun;14(3):169–74. </w:t>
      </w:r>
    </w:p>
    <w:p w:rsidR="008A5FE8" w:rsidRPr="008A5FE8" w:rsidRDefault="008A5FE8" w:rsidP="008A5FE8">
      <w:pPr>
        <w:rPr>
          <w:color w:val="00B050"/>
        </w:rPr>
      </w:pPr>
    </w:p>
    <w:p w:rsidR="008A5FE8" w:rsidRPr="008A5FE8" w:rsidRDefault="008A5FE8" w:rsidP="008A5FE8">
      <w:pPr>
        <w:pStyle w:val="Bibliography"/>
        <w:ind w:left="0" w:firstLine="0"/>
        <w:rPr>
          <w:rFonts w:ascii="Calibri" w:hAnsi="Calibri"/>
          <w:color w:val="00B050"/>
        </w:rPr>
      </w:pPr>
      <w:r w:rsidRPr="008A5FE8">
        <w:rPr>
          <w:rFonts w:ascii="Calibri" w:hAnsi="Calibri"/>
          <w:color w:val="00B050"/>
        </w:rPr>
        <w:t xml:space="preserve">32. </w:t>
      </w:r>
      <w:r w:rsidRPr="008A5FE8">
        <w:rPr>
          <w:rFonts w:ascii="Calibri" w:hAnsi="Calibri"/>
          <w:color w:val="00B050"/>
        </w:rPr>
        <w:tab/>
        <w:t xml:space="preserve">Garrett PR Jr, Sammer C, Nelson A, Paisley KA, Jones C, Shapiro E, et al. Developing and implementing a standardized process for global trigger tool application across a large health system. Jt Comm J Qual Patient Saf Jt Comm Resour. 2013 Jul;39(7):292–7. </w:t>
      </w:r>
    </w:p>
    <w:p w:rsidR="00676BD4" w:rsidRDefault="008A5FE8" w:rsidP="008A5FE8">
      <w:pPr>
        <w:ind w:left="0" w:firstLine="0"/>
        <w:rPr>
          <w:i/>
          <w:iCs/>
          <w:highlight w:val="green"/>
          <w:u w:val="single"/>
        </w:rPr>
      </w:pPr>
      <w:r w:rsidRPr="008A5FE8">
        <w:rPr>
          <w:rFonts w:cs="Times New Roman"/>
          <w:color w:val="00B050"/>
        </w:rPr>
        <w:fldChar w:fldCharType="end"/>
      </w:r>
    </w:p>
    <w:p w:rsidR="008A5FE8" w:rsidRDefault="008A5FE8" w:rsidP="002E2177">
      <w:pPr>
        <w:ind w:left="0" w:firstLine="0"/>
        <w:rPr>
          <w:i/>
          <w:iCs/>
          <w:highlight w:val="green"/>
          <w:u w:val="single"/>
        </w:rPr>
      </w:pPr>
    </w:p>
    <w:p w:rsidR="00C41794" w:rsidRDefault="002B06BD" w:rsidP="00C41794">
      <w:pPr>
        <w:ind w:left="0" w:firstLine="0"/>
        <w:rPr>
          <w:b/>
          <w:iCs/>
        </w:rPr>
      </w:pPr>
      <w:bookmarkStart w:id="6" w:name="Section1a3"/>
      <w:bookmarkEnd w:id="6"/>
      <w:r w:rsidRPr="003B1CC5">
        <w:rPr>
          <w:b/>
          <w:iCs/>
          <w:color w:val="0000FF"/>
        </w:rPr>
        <w:lastRenderedPageBreak/>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rsidR="008A5FE8" w:rsidRPr="008A5FE8" w:rsidRDefault="008A5FE8" w:rsidP="008A5FE8">
      <w:r w:rsidRPr="00A9146E">
        <w:rPr>
          <w:color w:val="00B050"/>
        </w:rPr>
        <w:t>Not applicable.</w:t>
      </w:r>
    </w:p>
    <w:p w:rsidR="00496AF8" w:rsidRDefault="00496AF8" w:rsidP="002E2177">
      <w:pPr>
        <w:ind w:left="0" w:firstLine="0"/>
        <w:rPr>
          <w:i/>
          <w:iCs/>
        </w:rPr>
      </w:pPr>
    </w:p>
    <w:p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rsidR="008A5FE8" w:rsidRPr="008A5FE8" w:rsidRDefault="008A5FE8" w:rsidP="008A5FE8">
      <w:r w:rsidRPr="00A9146E">
        <w:rPr>
          <w:color w:val="00B050"/>
        </w:rPr>
        <w:t>Not applicable.</w:t>
      </w:r>
    </w:p>
    <w:p w:rsidR="00A9011D" w:rsidRDefault="00A9011D" w:rsidP="002E2177">
      <w:pPr>
        <w:ind w:left="0" w:firstLine="0"/>
        <w:rPr>
          <w:i/>
          <w:iCs/>
        </w:rPr>
      </w:pPr>
    </w:p>
    <w:p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rsidTr="00F90F82">
        <w:tc>
          <w:tcPr>
            <w:tcW w:w="4068" w:type="dxa"/>
          </w:tcPr>
          <w:p w:rsidR="00AB4ECE" w:rsidRPr="00AB4ECE" w:rsidRDefault="00AB4ECE" w:rsidP="002E2177">
            <w:pPr>
              <w:ind w:left="0" w:firstLine="0"/>
              <w:rPr>
                <w:b/>
              </w:rPr>
            </w:pPr>
            <w:r w:rsidRPr="00AB4ECE">
              <w:rPr>
                <w:b/>
              </w:rPr>
              <w:t>Source of Systematic Review:</w:t>
            </w:r>
          </w:p>
          <w:p w:rsidR="00AB4ECE" w:rsidRPr="00AB4ECE" w:rsidRDefault="00AB4ECE" w:rsidP="00AB4ECE">
            <w:pPr>
              <w:pStyle w:val="ListParagraph"/>
              <w:numPr>
                <w:ilvl w:val="0"/>
                <w:numId w:val="9"/>
              </w:numPr>
              <w:rPr>
                <w:b/>
              </w:rPr>
            </w:pPr>
            <w:r w:rsidRPr="00AB4ECE">
              <w:rPr>
                <w:b/>
              </w:rPr>
              <w:t>Title</w:t>
            </w:r>
          </w:p>
          <w:p w:rsidR="00AB4ECE" w:rsidRPr="00AB4ECE" w:rsidRDefault="00AB4ECE" w:rsidP="00AB4ECE">
            <w:pPr>
              <w:pStyle w:val="ListParagraph"/>
              <w:numPr>
                <w:ilvl w:val="0"/>
                <w:numId w:val="9"/>
              </w:numPr>
              <w:rPr>
                <w:b/>
              </w:rPr>
            </w:pPr>
            <w:r w:rsidRPr="00AB4ECE">
              <w:rPr>
                <w:b/>
              </w:rPr>
              <w:t>Author</w:t>
            </w:r>
          </w:p>
          <w:p w:rsidR="00AB4ECE" w:rsidRPr="00AB4ECE" w:rsidRDefault="00AB4ECE" w:rsidP="00AB4ECE">
            <w:pPr>
              <w:pStyle w:val="ListParagraph"/>
              <w:numPr>
                <w:ilvl w:val="0"/>
                <w:numId w:val="9"/>
              </w:numPr>
              <w:rPr>
                <w:b/>
              </w:rPr>
            </w:pPr>
            <w:r w:rsidRPr="00AB4ECE">
              <w:rPr>
                <w:b/>
              </w:rPr>
              <w:t>Date</w:t>
            </w:r>
          </w:p>
          <w:p w:rsidR="00AB4ECE" w:rsidRPr="00AB4ECE" w:rsidRDefault="00AB4ECE" w:rsidP="00AB4ECE">
            <w:pPr>
              <w:pStyle w:val="ListParagraph"/>
              <w:numPr>
                <w:ilvl w:val="0"/>
                <w:numId w:val="9"/>
              </w:numPr>
              <w:rPr>
                <w:b/>
              </w:rPr>
            </w:pPr>
            <w:r w:rsidRPr="00AB4ECE">
              <w:rPr>
                <w:b/>
              </w:rPr>
              <w:t>Citation, including page number</w:t>
            </w:r>
          </w:p>
          <w:p w:rsidR="00AB4ECE" w:rsidRPr="00AB4ECE" w:rsidRDefault="00AB4ECE" w:rsidP="00AB4ECE">
            <w:pPr>
              <w:pStyle w:val="ListParagraph"/>
              <w:numPr>
                <w:ilvl w:val="0"/>
                <w:numId w:val="9"/>
              </w:numPr>
              <w:rPr>
                <w:b/>
              </w:rPr>
            </w:pPr>
            <w:r w:rsidRPr="00AB4ECE">
              <w:rPr>
                <w:b/>
              </w:rPr>
              <w:t>URL</w:t>
            </w:r>
          </w:p>
        </w:tc>
        <w:tc>
          <w:tcPr>
            <w:tcW w:w="5130" w:type="dxa"/>
          </w:tcPr>
          <w:p w:rsidR="00AB4ECE" w:rsidRPr="00AB4ECE" w:rsidRDefault="00AB4ECE" w:rsidP="002E2177">
            <w:pPr>
              <w:ind w:left="0" w:firstLine="0"/>
              <w:rPr>
                <w:b/>
              </w:rPr>
            </w:pPr>
          </w:p>
        </w:tc>
      </w:tr>
      <w:tr w:rsidR="00AB4ECE" w:rsidTr="00F90F82">
        <w:tc>
          <w:tcPr>
            <w:tcW w:w="4068" w:type="dxa"/>
          </w:tcPr>
          <w:p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Provide all other grades and definitions from the evidence grading system</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Provide all other grades and definitions from the recommendation grading system</w:t>
            </w:r>
          </w:p>
        </w:tc>
        <w:tc>
          <w:tcPr>
            <w:tcW w:w="5130" w:type="dxa"/>
          </w:tcPr>
          <w:p w:rsidR="00AB4ECE" w:rsidRDefault="00AB4ECE" w:rsidP="002E2177">
            <w:pPr>
              <w:ind w:left="0" w:firstLine="0"/>
            </w:pPr>
          </w:p>
        </w:tc>
      </w:tr>
      <w:tr w:rsidR="00AB4ECE" w:rsidTr="00F90F82">
        <w:tc>
          <w:tcPr>
            <w:tcW w:w="4068" w:type="dxa"/>
          </w:tcPr>
          <w:p w:rsidR="00AB4ECE" w:rsidRDefault="000E5C93" w:rsidP="002E2177">
            <w:pPr>
              <w:ind w:left="0" w:firstLine="0"/>
            </w:pPr>
            <w:r>
              <w:t>Body of evidence:</w:t>
            </w:r>
          </w:p>
          <w:p w:rsidR="000E5C93" w:rsidRDefault="000E5C93" w:rsidP="000E5C93">
            <w:pPr>
              <w:pStyle w:val="ListParagraph"/>
              <w:numPr>
                <w:ilvl w:val="0"/>
                <w:numId w:val="10"/>
              </w:numPr>
            </w:pPr>
            <w:r>
              <w:t>Quantity – how many studies?</w:t>
            </w:r>
          </w:p>
          <w:p w:rsidR="000E5C93" w:rsidRDefault="000E5C93" w:rsidP="000E5C93">
            <w:pPr>
              <w:pStyle w:val="ListParagraph"/>
              <w:numPr>
                <w:ilvl w:val="0"/>
                <w:numId w:val="10"/>
              </w:numPr>
            </w:pPr>
            <w:r>
              <w:t>Quality – what type of studies?</w:t>
            </w:r>
          </w:p>
        </w:tc>
        <w:tc>
          <w:tcPr>
            <w:tcW w:w="5130" w:type="dxa"/>
          </w:tcPr>
          <w:p w:rsidR="00AB4ECE" w:rsidRDefault="00AB4ECE" w:rsidP="002E2177">
            <w:pPr>
              <w:ind w:left="0" w:firstLine="0"/>
            </w:pPr>
          </w:p>
        </w:tc>
      </w:tr>
      <w:tr w:rsidR="00AB4ECE" w:rsidTr="00F90F82">
        <w:tc>
          <w:tcPr>
            <w:tcW w:w="4068" w:type="dxa"/>
          </w:tcPr>
          <w:p w:rsidR="00AB4ECE" w:rsidRDefault="000E5C93" w:rsidP="002E2177">
            <w:pPr>
              <w:ind w:left="0" w:firstLine="0"/>
            </w:pPr>
            <w:r>
              <w:t xml:space="preserve">Estimates of benefit and consistency </w:t>
            </w:r>
            <w:r>
              <w:lastRenderedPageBreak/>
              <w:t xml:space="preserve">across studies </w:t>
            </w:r>
          </w:p>
        </w:tc>
        <w:tc>
          <w:tcPr>
            <w:tcW w:w="5130" w:type="dxa"/>
          </w:tcPr>
          <w:p w:rsidR="00AB4ECE" w:rsidRDefault="00AB4ECE" w:rsidP="002E2177">
            <w:pPr>
              <w:ind w:left="0" w:firstLine="0"/>
            </w:pPr>
          </w:p>
        </w:tc>
      </w:tr>
      <w:tr w:rsidR="000E5C93" w:rsidTr="00F90F82">
        <w:tc>
          <w:tcPr>
            <w:tcW w:w="4068" w:type="dxa"/>
          </w:tcPr>
          <w:p w:rsidR="000E5C93" w:rsidRDefault="000E5C93" w:rsidP="002E2177">
            <w:pPr>
              <w:ind w:left="0" w:firstLine="0"/>
            </w:pPr>
            <w:r>
              <w:lastRenderedPageBreak/>
              <w:t>What harms were identified?</w:t>
            </w:r>
          </w:p>
        </w:tc>
        <w:tc>
          <w:tcPr>
            <w:tcW w:w="5130" w:type="dxa"/>
          </w:tcPr>
          <w:p w:rsidR="000E5C93" w:rsidRDefault="000E5C93" w:rsidP="002E2177">
            <w:pPr>
              <w:ind w:left="0" w:firstLine="0"/>
            </w:pPr>
          </w:p>
        </w:tc>
      </w:tr>
      <w:tr w:rsidR="000E5C93" w:rsidTr="00F90F82">
        <w:tc>
          <w:tcPr>
            <w:tcW w:w="4068" w:type="dxa"/>
          </w:tcPr>
          <w:p w:rsidR="000E5C93" w:rsidRDefault="000E5C93" w:rsidP="000E5C93">
            <w:pPr>
              <w:ind w:left="0" w:firstLine="0"/>
            </w:pPr>
            <w:r>
              <w:t>Identify any new studies conducted since the SR. Do the new studies change the conclusions from the SR?</w:t>
            </w:r>
          </w:p>
        </w:tc>
        <w:tc>
          <w:tcPr>
            <w:tcW w:w="5130" w:type="dxa"/>
          </w:tcPr>
          <w:p w:rsidR="000E5C93" w:rsidRDefault="000E5C93" w:rsidP="002E2177">
            <w:pPr>
              <w:ind w:left="0" w:firstLine="0"/>
            </w:pPr>
          </w:p>
        </w:tc>
      </w:tr>
    </w:tbl>
    <w:p w:rsidR="007C1887" w:rsidRPr="003B1CC5" w:rsidRDefault="007C1887" w:rsidP="002E2177">
      <w:pPr>
        <w:ind w:left="0" w:firstLine="0"/>
      </w:pPr>
    </w:p>
    <w:p w:rsidR="0094689F" w:rsidRPr="003B1CC5" w:rsidRDefault="00925F11" w:rsidP="002E2177">
      <w:pPr>
        <w:ind w:left="0" w:firstLine="0"/>
        <w:rPr>
          <w:b/>
          <w:color w:val="0070C0"/>
        </w:rPr>
      </w:pPr>
      <w:r w:rsidRPr="003B1CC5">
        <w:rPr>
          <w:b/>
          <w:iCs/>
          <w:caps/>
        </w:rPr>
        <w:t>________________________</w:t>
      </w:r>
    </w:p>
    <w:p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A5FE8" w:rsidRPr="008A5FE8" w:rsidRDefault="008A5FE8" w:rsidP="008A5FE8">
      <w:r w:rsidRPr="00A9146E">
        <w:rPr>
          <w:color w:val="00B050"/>
        </w:rPr>
        <w:t>Not applicable.</w:t>
      </w:r>
    </w:p>
    <w:p w:rsidR="00837121" w:rsidRPr="003B1CC5" w:rsidRDefault="00837121" w:rsidP="002E2177">
      <w:pPr>
        <w:ind w:left="0" w:firstLine="0"/>
      </w:pPr>
    </w:p>
    <w:p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rsidR="008A5FE8" w:rsidRPr="008A5FE8" w:rsidRDefault="008A5FE8" w:rsidP="008A5FE8">
      <w:r w:rsidRPr="00A9146E">
        <w:rPr>
          <w:color w:val="00B050"/>
        </w:rPr>
        <w:t>Not applicable.</w:t>
      </w:r>
    </w:p>
    <w:p w:rsidR="000E5C93" w:rsidRDefault="000E5C93" w:rsidP="002E2177">
      <w:pPr>
        <w:ind w:left="0" w:firstLine="0"/>
        <w:rPr>
          <w:b/>
        </w:rPr>
      </w:pPr>
    </w:p>
    <w:p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rsidR="008A5FE8" w:rsidRPr="008A5FE8" w:rsidRDefault="008A5FE8" w:rsidP="008A5FE8">
      <w:r w:rsidRPr="00A9146E">
        <w:rPr>
          <w:color w:val="00B050"/>
        </w:rPr>
        <w:t>Not applicable.</w:t>
      </w:r>
    </w:p>
    <w:p w:rsidR="00837121" w:rsidRPr="003B1CC5" w:rsidRDefault="00837121" w:rsidP="002E2177">
      <w:pPr>
        <w:ind w:left="0" w:firstLine="0"/>
      </w:pPr>
    </w:p>
    <w:p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rsidR="008A5FE8" w:rsidRPr="008A5FE8" w:rsidRDefault="008A5FE8" w:rsidP="008A5FE8">
      <w:r w:rsidRPr="00A9146E">
        <w:rPr>
          <w:color w:val="00B050"/>
        </w:rPr>
        <w:t>Not applicable.</w:t>
      </w:r>
    </w:p>
    <w:p w:rsidR="008A5FE8" w:rsidRPr="001B772D" w:rsidRDefault="008A5FE8" w:rsidP="002E2177">
      <w:pPr>
        <w:ind w:left="0" w:firstLine="0"/>
      </w:pPr>
    </w:p>
    <w:sectPr w:rsidR="008A5FE8"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30E" w:rsidRDefault="0040230E" w:rsidP="007E37A5">
      <w:r>
        <w:separator/>
      </w:r>
    </w:p>
  </w:endnote>
  <w:endnote w:type="continuationSeparator" w:id="0">
    <w:p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w:t>
    </w:r>
    <w:proofErr w:type="gramStart"/>
    <w:r w:rsidR="004E7215">
      <w:t>7.0</w:t>
    </w:r>
    <w:r w:rsidR="00F63E8D">
      <w:t xml:space="preserve"> </w:t>
    </w:r>
    <w:r w:rsidRPr="00395263">
      <w:t xml:space="preserve"> </w:t>
    </w:r>
    <w:r w:rsidR="00DE1F5D">
      <w:t>8</w:t>
    </w:r>
    <w:proofErr w:type="gramEnd"/>
    <w:r w:rsidR="00DE1F5D">
      <w:t>/</w:t>
    </w:r>
    <w:r w:rsidR="004E7215">
      <w:t>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C7EDF">
      <w:rPr>
        <w:noProof/>
      </w:rPr>
      <w:t>8</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30E" w:rsidRDefault="0040230E" w:rsidP="007E37A5">
      <w:r>
        <w:separator/>
      </w:r>
    </w:p>
  </w:footnote>
  <w:footnote w:type="continuationSeparator" w:id="0">
    <w:p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8"/>
  </w:num>
  <w:num w:numId="8">
    <w:abstractNumId w:val="7"/>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a Winkler">
    <w15:presenceInfo w15:providerId="AD" w15:userId="S-1-5-21-1708537768-2111687655-682003330-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0230E"/>
    <w:rsid w:val="0041662F"/>
    <w:rsid w:val="00422917"/>
    <w:rsid w:val="00440687"/>
    <w:rsid w:val="0044131D"/>
    <w:rsid w:val="00441ADA"/>
    <w:rsid w:val="00457E46"/>
    <w:rsid w:val="00496AF8"/>
    <w:rsid w:val="004A575D"/>
    <w:rsid w:val="004B65C6"/>
    <w:rsid w:val="004D1DC7"/>
    <w:rsid w:val="004E7215"/>
    <w:rsid w:val="004F7D7E"/>
    <w:rsid w:val="00500B0C"/>
    <w:rsid w:val="00537150"/>
    <w:rsid w:val="00540984"/>
    <w:rsid w:val="0054319F"/>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2CC0"/>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0E8D"/>
    <w:rsid w:val="00851466"/>
    <w:rsid w:val="00863E43"/>
    <w:rsid w:val="008647C3"/>
    <w:rsid w:val="008659ED"/>
    <w:rsid w:val="00870987"/>
    <w:rsid w:val="0087564A"/>
    <w:rsid w:val="00881160"/>
    <w:rsid w:val="0088371C"/>
    <w:rsid w:val="008A45F3"/>
    <w:rsid w:val="008A5FE8"/>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A0E45"/>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C7EDF"/>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Bibliography">
    <w:name w:val="Bibliography"/>
    <w:basedOn w:val="Normal"/>
    <w:next w:val="Normal"/>
    <w:uiPriority w:val="37"/>
    <w:semiHidden/>
    <w:unhideWhenUsed/>
    <w:rsid w:val="008A5F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Bibliography">
    <w:name w:val="Bibliography"/>
    <w:basedOn w:val="Normal"/>
    <w:next w:val="Normal"/>
    <w:uiPriority w:val="37"/>
    <w:semiHidden/>
    <w:unhideWhenUsed/>
    <w:rsid w:val="008A5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image" Target="cid:image001.png@01D22AE1.304DF7F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6B423-92AD-4311-8B16-428159D2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124EB4A7-4021-47AD-B47F-D9B55F3B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20524</Words>
  <Characters>116988</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user</cp:lastModifiedBy>
  <cp:revision>4</cp:revision>
  <dcterms:created xsi:type="dcterms:W3CDTF">2017-02-01T21:23:00Z</dcterms:created>
  <dcterms:modified xsi:type="dcterms:W3CDTF">2017-02-01T21:41:00Z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