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3189CA6E" w14:textId="77777777" w:rsidR="0019056F" w:rsidRPr="003B1CC5" w:rsidRDefault="0019056F" w:rsidP="0019056F">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2119483796"/>
          <w:placeholder>
            <w:docPart w:val="164CE6F648CA43F48877223EBA552F2D"/>
          </w:placeholder>
        </w:sdtPr>
        <w:sdtEndPr>
          <w:rPr>
            <w:rStyle w:val="DefaultParagraphFont"/>
            <w:rFonts w:cstheme="minorHAnsi"/>
            <w:b/>
            <w:noProof/>
            <w:color w:val="auto"/>
          </w:rPr>
        </w:sdtEndPr>
        <w:sdtContent>
          <w:r w:rsidRPr="000953E9">
            <w:rPr>
              <w:rStyle w:val="Style1"/>
            </w:rPr>
            <w:t xml:space="preserve">NQF </w:t>
          </w:r>
          <w:r>
            <w:rPr>
              <w:rStyle w:val="Style1"/>
            </w:rPr>
            <w:t>3175</w:t>
          </w:r>
        </w:sdtContent>
      </w:sdt>
    </w:p>
    <w:p w14:paraId="0E279975" w14:textId="77777777" w:rsidR="0019056F" w:rsidRPr="003B1CC5" w:rsidRDefault="0019056F" w:rsidP="0019056F">
      <w:pPr>
        <w:ind w:left="0" w:firstLine="0"/>
        <w:rPr>
          <w:noProof/>
        </w:rPr>
      </w:pPr>
      <w:r w:rsidRPr="003B1CC5">
        <w:rPr>
          <w:b/>
          <w:noProof/>
        </w:rPr>
        <w:t>Measure Title</w:t>
      </w:r>
      <w:r w:rsidRPr="003B1CC5">
        <w:rPr>
          <w:noProof/>
        </w:rPr>
        <w:t xml:space="preserve">:  </w:t>
      </w:r>
      <w:sdt>
        <w:sdtPr>
          <w:rPr>
            <w:rStyle w:val="Style1"/>
          </w:rPr>
          <w:id w:val="-882640736"/>
          <w:placeholder>
            <w:docPart w:val="DB8075621DDA4830885C99508C3E0B0E"/>
          </w:placeholder>
        </w:sdtPr>
        <w:sdtEndPr>
          <w:rPr>
            <w:rStyle w:val="DefaultParagraphFont"/>
            <w:noProof/>
            <w:color w:val="auto"/>
          </w:rPr>
        </w:sdtEndPr>
        <w:sdtContent>
          <w:r w:rsidRPr="007A2BFF">
            <w:rPr>
              <w:rStyle w:val="InternetLink"/>
              <w:rFonts w:ascii="Trebuchet MS" w:eastAsia="Trebuchet MS" w:hAnsi="Trebuchet MS" w:cs="Trebuchet MS"/>
              <w:color w:val="0000FF"/>
              <w:sz w:val="20"/>
              <w:szCs w:val="20"/>
            </w:rPr>
            <w:t xml:space="preserve">Continuity of Pharmacotherapy for </w:t>
          </w:r>
          <w:r>
            <w:rPr>
              <w:rStyle w:val="InternetLink"/>
              <w:rFonts w:ascii="Trebuchet MS" w:eastAsia="Trebuchet MS" w:hAnsi="Trebuchet MS" w:cs="Trebuchet MS"/>
              <w:color w:val="0000FF"/>
              <w:sz w:val="20"/>
              <w:szCs w:val="20"/>
            </w:rPr>
            <w:t>Opioid</w:t>
          </w:r>
          <w:r w:rsidRPr="007A2BFF">
            <w:rPr>
              <w:rStyle w:val="InternetLink"/>
              <w:rFonts w:ascii="Trebuchet MS" w:eastAsia="Trebuchet MS" w:hAnsi="Trebuchet MS" w:cs="Trebuchet MS"/>
              <w:color w:val="0000FF"/>
              <w:sz w:val="20"/>
              <w:szCs w:val="20"/>
            </w:rPr>
            <w:t xml:space="preserve"> Use Disorder</w:t>
          </w:r>
        </w:sdtContent>
      </w:sdt>
    </w:p>
    <w:p w14:paraId="2036D986" w14:textId="77777777" w:rsidR="0019056F" w:rsidRPr="003B1CC5" w:rsidRDefault="0019056F" w:rsidP="0019056F">
      <w:pPr>
        <w:ind w:left="0" w:firstLine="0"/>
        <w:rPr>
          <w:b/>
          <w:noProof/>
        </w:rPr>
      </w:pPr>
      <w:r w:rsidRPr="003B1CC5">
        <w:rPr>
          <w:i/>
          <w:noProof/>
        </w:rPr>
        <w:t xml:space="preserve"> </w:t>
      </w:r>
      <w:r w:rsidRPr="003B1CC5">
        <w:rPr>
          <w:b/>
          <w:noProof/>
        </w:rPr>
        <w:t>IF the measure is a component in a composite performance measure, provide the title of the Composite Measure here:</w:t>
      </w:r>
      <w:r w:rsidRPr="003B1CC5">
        <w:rPr>
          <w:noProof/>
        </w:rPr>
        <w:t xml:space="preserve"> </w:t>
      </w:r>
      <w:sdt>
        <w:sdtPr>
          <w:rPr>
            <w:rStyle w:val="Style1"/>
          </w:rPr>
          <w:id w:val="474719354"/>
          <w:placeholder>
            <w:docPart w:val="4B0E6ACE4EAE4A88A291D2F69D9896B1"/>
          </w:placeholder>
          <w:showingPlcHdr/>
        </w:sdtPr>
        <w:sdtEndPr>
          <w:rPr>
            <w:rStyle w:val="DefaultParagraphFont"/>
            <w:noProof/>
            <w:color w:val="auto"/>
          </w:rPr>
        </w:sdtEndPr>
        <w:sdtContent>
          <w:r w:rsidRPr="003B1CC5">
            <w:rPr>
              <w:rStyle w:val="PlaceholderText"/>
              <w:rFonts w:cstheme="minorHAnsi"/>
              <w:color w:val="A6A6A6" w:themeColor="background1" w:themeShade="A6"/>
            </w:rPr>
            <w:t>Click here to enter composite measure #/ title</w:t>
          </w:r>
        </w:sdtContent>
      </w:sdt>
    </w:p>
    <w:p w14:paraId="7343B01C" w14:textId="0C77B594" w:rsidR="0019056F" w:rsidRPr="003B1CC5" w:rsidRDefault="0019056F" w:rsidP="0019056F">
      <w:pPr>
        <w:ind w:left="0" w:firstLine="0"/>
        <w:rPr>
          <w:rStyle w:val="Style2"/>
        </w:rPr>
      </w:pPr>
      <w:r w:rsidRPr="003B1CC5">
        <w:rPr>
          <w:b/>
          <w:noProof/>
        </w:rPr>
        <w:t>Date of Submission</w:t>
      </w:r>
      <w:r w:rsidRPr="003B1CC5">
        <w:rPr>
          <w:noProof/>
        </w:rPr>
        <w:t xml:space="preserve">:  </w:t>
      </w:r>
      <w:sdt>
        <w:sdtPr>
          <w:rPr>
            <w:rStyle w:val="Style2"/>
          </w:rPr>
          <w:id w:val="1792703458"/>
          <w:placeholder>
            <w:docPart w:val="6FEF808E6E44497AB7701BC9FE834714"/>
          </w:placeholder>
          <w:date w:fullDate="2021-04-14T00:00:00Z">
            <w:dateFormat w:val="M/d/yyyy"/>
            <w:lid w:val="en-US"/>
            <w:storeMappedDataAs w:val="dateTime"/>
            <w:calendar w:val="gregorian"/>
          </w:date>
        </w:sdtPr>
        <w:sdtEndPr>
          <w:rPr>
            <w:rStyle w:val="DefaultParagraphFont"/>
            <w:noProof/>
            <w:color w:val="auto"/>
            <w:u w:val="none"/>
          </w:rPr>
        </w:sdtEndPr>
        <w:sdtContent>
          <w:r>
            <w:rPr>
              <w:rStyle w:val="Style2"/>
            </w:rPr>
            <w:t>4/14/2021</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715298B" w14:textId="77777777" w:rsidR="0019056F" w:rsidRPr="003B1CC5" w:rsidRDefault="0019056F" w:rsidP="0019056F">
      <w:pPr>
        <w:ind w:left="0" w:firstLine="0"/>
        <w:rPr>
          <w:bCs/>
          <w:i/>
        </w:rPr>
      </w:pPr>
      <w:r w:rsidRPr="003B1CC5">
        <w:rPr>
          <w:b/>
          <w:bCs/>
          <w:color w:val="0000FF"/>
        </w:rPr>
        <w:t>1a.1.</w:t>
      </w:r>
      <w:r w:rsidRPr="008F6F51">
        <w:rPr>
          <w:b/>
          <w:bCs/>
        </w:rPr>
        <w:t>This is a measure</w:t>
      </w:r>
      <w:r w:rsidRPr="003B1CC5">
        <w:rPr>
          <w:b/>
          <w:bCs/>
        </w:rPr>
        <w:t xml:space="preserve"> of</w:t>
      </w:r>
      <w:r w:rsidRPr="003B1CC5">
        <w:rPr>
          <w:bCs/>
        </w:rPr>
        <w:t>: (</w:t>
      </w:r>
      <w:r w:rsidRPr="003B1CC5">
        <w:rPr>
          <w:bCs/>
          <w:i/>
        </w:rPr>
        <w:t>should be consistent with type of measure entered in De.1</w:t>
      </w:r>
      <w:r w:rsidRPr="003B1CC5">
        <w:rPr>
          <w:bCs/>
        </w:rPr>
        <w:t xml:space="preserve">) </w:t>
      </w:r>
    </w:p>
    <w:p w14:paraId="61E79A3A" w14:textId="77777777" w:rsidR="0019056F" w:rsidRPr="003B1CC5" w:rsidRDefault="0019056F" w:rsidP="0019056F">
      <w:pPr>
        <w:ind w:left="432" w:hanging="432"/>
        <w:rPr>
          <w:rFonts w:cs="Calibri"/>
          <w:bCs/>
        </w:rPr>
      </w:pPr>
      <w:r w:rsidRPr="003B1CC5">
        <w:rPr>
          <w:rFonts w:cs="Calibri"/>
          <w:bCs/>
        </w:rPr>
        <w:t>Outcome</w:t>
      </w:r>
    </w:p>
    <w:p w14:paraId="0D149005" w14:textId="77777777" w:rsidR="0019056F" w:rsidRPr="003B1CC5" w:rsidRDefault="009924C9" w:rsidP="0019056F">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rPr>
            <w:bCs w:val="0"/>
          </w:rPr>
        </w:sdtEndPr>
        <w:sdtContent>
          <w:r w:rsidR="0019056F" w:rsidRPr="00BD0AAB">
            <w:rPr>
              <w:rFonts w:ascii="MS Gothic" w:hAnsi="MS Gothic" w:hint="eastAsia"/>
              <w:color w:val="0000FF"/>
            </w:rPr>
            <w:t>☐</w:t>
          </w:r>
        </w:sdtContent>
      </w:sdt>
      <w:r w:rsidR="0019056F" w:rsidRPr="003B1CC5">
        <w:rPr>
          <w:bCs/>
          <w:color w:val="0000FF"/>
        </w:rPr>
        <w:t xml:space="preserve"> </w:t>
      </w:r>
      <w:r w:rsidR="0019056F" w:rsidRPr="003B1CC5">
        <w:rPr>
          <w:bCs/>
        </w:rPr>
        <w:t xml:space="preserve">Health outcome: </w:t>
      </w:r>
      <w:sdt>
        <w:sdtPr>
          <w:rPr>
            <w:rStyle w:val="Style2"/>
            <w:rFonts w:cstheme="minorHAnsi"/>
          </w:rPr>
          <w:id w:val="-768232283"/>
          <w:showingPlcHdr/>
        </w:sdtPr>
        <w:sdtEndPr>
          <w:rPr>
            <w:rStyle w:val="DefaultParagraphFont"/>
            <w:rFonts w:cstheme="minorBidi"/>
            <w:color w:val="auto"/>
            <w:u w:val="none"/>
          </w:rPr>
        </w:sdtEndPr>
        <w:sdtContent>
          <w:r w:rsidR="0019056F" w:rsidRPr="003B1CC5">
            <w:rPr>
              <w:color w:val="A6A6A6" w:themeColor="background1" w:themeShade="A6"/>
            </w:rPr>
            <w:t>Click here to n</w:t>
          </w:r>
          <w:r w:rsidR="0019056F" w:rsidRPr="003B1CC5">
            <w:rPr>
              <w:rStyle w:val="PlaceholderText"/>
              <w:rFonts w:cstheme="minorHAnsi"/>
              <w:color w:val="A6A6A6" w:themeColor="background1" w:themeShade="A6"/>
            </w:rPr>
            <w:t>ame the health outcome</w:t>
          </w:r>
        </w:sdtContent>
      </w:sdt>
    </w:p>
    <w:p w14:paraId="68E5C756" w14:textId="77777777" w:rsidR="0019056F" w:rsidRPr="003B1CC5" w:rsidRDefault="009924C9" w:rsidP="0019056F">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19056F">
            <w:rPr>
              <w:rFonts w:ascii="MS Gothic" w:eastAsia="MS Gothic" w:hAnsi="MS Gothic" w:hint="eastAsia"/>
              <w:bCs/>
              <w:color w:val="0000FF"/>
            </w:rPr>
            <w:t>☐</w:t>
          </w:r>
        </w:sdtContent>
      </w:sdt>
      <w:r w:rsidR="0019056F" w:rsidRPr="001E6153">
        <w:rPr>
          <w:bCs/>
        </w:rPr>
        <w:t>Patient-reported outcome (PRO)</w:t>
      </w:r>
      <w:r w:rsidR="0019056F"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19056F" w:rsidRPr="003B1CC5">
            <w:rPr>
              <w:color w:val="A6A6A6" w:themeColor="background1" w:themeShade="A6"/>
            </w:rPr>
            <w:t>Click here to n</w:t>
          </w:r>
          <w:r w:rsidR="0019056F" w:rsidRPr="003B1CC5">
            <w:rPr>
              <w:rStyle w:val="PlaceholderText"/>
              <w:rFonts w:cstheme="minorHAnsi"/>
              <w:color w:val="A6A6A6" w:themeColor="background1" w:themeShade="A6"/>
            </w:rPr>
            <w:t xml:space="preserve">ame the </w:t>
          </w:r>
          <w:r w:rsidR="0019056F">
            <w:rPr>
              <w:rStyle w:val="PlaceholderText"/>
              <w:rFonts w:cstheme="minorHAnsi"/>
              <w:color w:val="A6A6A6" w:themeColor="background1" w:themeShade="A6"/>
            </w:rPr>
            <w:t>PRO</w:t>
          </w:r>
        </w:sdtContent>
      </w:sdt>
    </w:p>
    <w:p w14:paraId="521D1EEF" w14:textId="77777777" w:rsidR="0019056F" w:rsidRPr="0061327A" w:rsidRDefault="0019056F" w:rsidP="0019056F">
      <w:pPr>
        <w:ind w:left="720" w:firstLine="0"/>
        <w:rPr>
          <w:rFonts w:eastAsia="MS Gothic" w:cs="MS Gothic"/>
          <w:bCs/>
          <w:i/>
          <w:color w:val="0000FF"/>
        </w:rPr>
      </w:pPr>
      <w:r w:rsidRPr="003B1CC5">
        <w:rPr>
          <w:bCs/>
          <w:i/>
        </w:rPr>
        <w:t>PROs include HRQoL/functional status, symptom/</w:t>
      </w:r>
      <w:r>
        <w:rPr>
          <w:bCs/>
          <w:i/>
        </w:rPr>
        <w:t xml:space="preserve">symptom </w:t>
      </w:r>
      <w:r w:rsidRPr="003B1CC5">
        <w:rPr>
          <w:bCs/>
          <w:i/>
        </w:rPr>
        <w:t>burden, experience with care, health-related behaviors</w:t>
      </w:r>
      <w:r w:rsidRPr="0061327A">
        <w:rPr>
          <w:bCs/>
          <w:i/>
        </w:rPr>
        <w:t>.</w:t>
      </w:r>
      <w:r w:rsidRPr="0061327A">
        <w:rPr>
          <w:rFonts w:eastAsia="Calibri" w:cs="Calibri"/>
          <w:sz w:val="20"/>
          <w:szCs w:val="20"/>
        </w:rPr>
        <w:t xml:space="preserve"> </w:t>
      </w:r>
      <w:r w:rsidRPr="0061327A">
        <w:rPr>
          <w:rFonts w:eastAsia="Calibri" w:cs="Calibri"/>
        </w:rPr>
        <w:t>(</w:t>
      </w:r>
      <w:r w:rsidRPr="0061327A">
        <w:rPr>
          <w:rFonts w:eastAsia="Calibri" w:cs="Calibri"/>
          <w:i/>
        </w:rPr>
        <w:t>A PRO</w:t>
      </w:r>
      <w:r>
        <w:rPr>
          <w:rFonts w:eastAsia="Calibri" w:cs="Calibri"/>
          <w:i/>
        </w:rPr>
        <w:t>-based performance</w:t>
      </w:r>
      <w:r w:rsidRPr="0061327A">
        <w:rPr>
          <w:rFonts w:eastAsia="Calibri" w:cs="Calibri"/>
          <w:i/>
        </w:rPr>
        <w:t xml:space="preserve"> measure is not a survey instrument. Data may be collected using a survey instrument to construct a PRO measure.)</w:t>
      </w:r>
    </w:p>
    <w:p w14:paraId="423897DB" w14:textId="77777777" w:rsidR="0019056F" w:rsidRPr="003B1CC5" w:rsidRDefault="009924C9" w:rsidP="0019056F">
      <w:pPr>
        <w:rPr>
          <w:bCs/>
        </w:rPr>
      </w:pPr>
      <w:sdt>
        <w:sdtPr>
          <w:rPr>
            <w:bCs/>
            <w:color w:val="0000FF"/>
          </w:rPr>
          <w:id w:val="-720977531"/>
          <w14:checkbox>
            <w14:checked w14:val="0"/>
            <w14:checkedState w14:val="2612" w14:font="MS Gothic"/>
            <w14:uncheckedState w14:val="2610" w14:font="MS Gothic"/>
          </w14:checkbox>
        </w:sdtPr>
        <w:sdtEndPr/>
        <w:sdtContent>
          <w:r w:rsidR="0019056F" w:rsidRPr="00D73685">
            <w:rPr>
              <w:rFonts w:ascii="Segoe UI Symbol" w:hAnsi="Segoe UI Symbol" w:cs="Segoe UI Symbol"/>
              <w:bCs/>
              <w:color w:val="0000FF"/>
            </w:rPr>
            <w:t>☐</w:t>
          </w:r>
        </w:sdtContent>
      </w:sdt>
      <w:r w:rsidR="0019056F" w:rsidRPr="00D73685" w:rsidDel="00D73685">
        <w:rPr>
          <w:bCs/>
          <w:color w:val="0000FF"/>
        </w:rPr>
        <w:t xml:space="preserve"> </w:t>
      </w:r>
      <w:r w:rsidR="0019056F" w:rsidRPr="003B1CC5">
        <w:rPr>
          <w:bCs/>
        </w:rPr>
        <w:t>Intermediate clinical outcome (</w:t>
      </w:r>
      <w:r w:rsidR="0019056F" w:rsidRPr="003B1CC5">
        <w:rPr>
          <w:bCs/>
          <w:i/>
        </w:rPr>
        <w:t>e.g., lab value</w:t>
      </w:r>
      <w:r w:rsidR="0019056F"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19056F" w:rsidRPr="003B1CC5">
            <w:rPr>
              <w:rStyle w:val="PlaceholderText"/>
              <w:rFonts w:cstheme="minorHAnsi"/>
              <w:color w:val="A6A6A6" w:themeColor="background1" w:themeShade="A6"/>
            </w:rPr>
            <w:t>Click here to name the intermediate outcome</w:t>
          </w:r>
        </w:sdtContent>
      </w:sdt>
    </w:p>
    <w:p w14:paraId="10268F05" w14:textId="77777777" w:rsidR="0019056F" w:rsidRDefault="009924C9" w:rsidP="0019056F">
      <w:pPr>
        <w:ind w:left="432" w:hanging="432"/>
        <w:rPr>
          <w:bCs/>
        </w:rPr>
      </w:pPr>
      <w:sdt>
        <w:sdtPr>
          <w:rPr>
            <w:bCs/>
            <w:color w:val="0000FF"/>
          </w:rPr>
          <w:id w:val="1804500686"/>
          <w14:checkbox>
            <w14:checked w14:val="1"/>
            <w14:checkedState w14:val="2612" w14:font="MS Gothic"/>
            <w14:uncheckedState w14:val="2610" w14:font="MS Gothic"/>
          </w14:checkbox>
        </w:sdtPr>
        <w:sdtEndPr/>
        <w:sdtContent>
          <w:r w:rsidR="0019056F" w:rsidRPr="00296690">
            <w:rPr>
              <w:rFonts w:ascii="MS Gothic" w:eastAsia="MS Gothic" w:hAnsi="MS Gothic" w:hint="eastAsia"/>
              <w:bCs/>
              <w:color w:val="0000FF"/>
            </w:rPr>
            <w:t>☒</w:t>
          </w:r>
        </w:sdtContent>
      </w:sdt>
      <w:r w:rsidR="0019056F" w:rsidRPr="003B1CC5">
        <w:rPr>
          <w:bCs/>
        </w:rPr>
        <w:t xml:space="preserve"> Process:</w:t>
      </w:r>
      <w:r w:rsidR="0019056F">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1"/>
              </w:rPr>
              <w:id w:val="1333026392"/>
            </w:sdtPr>
            <w:sdtEndPr>
              <w:rPr>
                <w:rStyle w:val="DefaultParagraphFont"/>
                <w:noProof/>
                <w:color w:val="auto"/>
              </w:rPr>
            </w:sdtEndPr>
            <w:sdtContent>
              <w:r w:rsidR="0019056F" w:rsidRPr="00C85142">
                <w:rPr>
                  <w:rStyle w:val="InternetLink"/>
                  <w:rFonts w:ascii="Trebuchet MS" w:eastAsia="Trebuchet MS" w:hAnsi="Trebuchet MS" w:cs="Trebuchet MS"/>
                  <w:color w:val="0000FF"/>
                  <w:sz w:val="20"/>
                  <w:szCs w:val="20"/>
                </w:rPr>
                <w:t>Continuity of Pharmacotherapy for Opioid Use Disorder</w:t>
              </w:r>
            </w:sdtContent>
          </w:sdt>
        </w:sdtContent>
      </w:sdt>
      <w:r w:rsidR="0019056F" w:rsidDel="008428D7">
        <w:rPr>
          <w:rStyle w:val="Style2"/>
          <w:rFonts w:cstheme="minorHAnsi"/>
        </w:rPr>
        <w:t xml:space="preserve"> </w:t>
      </w:r>
    </w:p>
    <w:p w14:paraId="324959DB" w14:textId="77777777" w:rsidR="0019056F" w:rsidRPr="004E7215" w:rsidRDefault="0019056F" w:rsidP="0019056F">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06887886"/>
          <w14:checkbox>
            <w14:checked w14:val="1"/>
            <w14:checkedState w14:val="2612" w14:font="MS Gothic"/>
            <w14:uncheckedState w14:val="2610" w14:font="MS Gothic"/>
          </w14:checkbox>
        </w:sdtPr>
        <w:sdtEndPr/>
        <w:sdtContent>
          <w:r>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Pr="00D73685">
        <w:rPr>
          <w:bCs/>
        </w:rPr>
        <w:t xml:space="preserve"> </w:t>
      </w:r>
      <w:r w:rsidRPr="00D73685">
        <w:rPr>
          <w:rStyle w:val="Style2"/>
          <w:rFonts w:cstheme="minorHAnsi"/>
        </w:rPr>
        <w:t xml:space="preserve"> </w:t>
      </w:r>
      <w:sdt>
        <w:sdtPr>
          <w:rPr>
            <w:rStyle w:val="Style2"/>
            <w:rFonts w:cstheme="minorHAnsi"/>
          </w:rPr>
          <w:id w:val="-2123911889"/>
        </w:sdtPr>
        <w:sdtEndPr>
          <w:rPr>
            <w:rStyle w:val="DefaultParagraphFont"/>
            <w:rFonts w:cstheme="minorBidi"/>
            <w:bCs/>
            <w:color w:val="auto"/>
            <w:u w:val="none"/>
          </w:rPr>
        </w:sdtEndPr>
        <w:sdtContent>
          <w:r w:rsidRPr="00C85142">
            <w:rPr>
              <w:rStyle w:val="Style2"/>
              <w:rFonts w:ascii="Trebuchet MS" w:hAnsi="Trebuchet MS" w:cstheme="minorHAnsi"/>
              <w:sz w:val="20"/>
              <w:szCs w:val="20"/>
              <w:u w:val="none"/>
            </w:rPr>
            <w:t>Continuous pharmacotherapy for opioid use disorder without a gap of more than 7 days</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4308F263" w14:textId="77777777" w:rsidR="0019056F" w:rsidRPr="003B1CC5" w:rsidRDefault="009924C9" w:rsidP="0019056F">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9056F">
            <w:rPr>
              <w:rFonts w:ascii="MS Gothic" w:eastAsia="MS Gothic" w:hAnsi="MS Gothic" w:hint="eastAsia"/>
              <w:bCs/>
              <w:color w:val="0000FF"/>
            </w:rPr>
            <w:t>☐</w:t>
          </w:r>
        </w:sdtContent>
      </w:sdt>
      <w:r w:rsidR="0019056F" w:rsidRPr="003B1CC5">
        <w:rPr>
          <w:bCs/>
        </w:rPr>
        <w:t xml:space="preserve"> Structure:  </w:t>
      </w:r>
      <w:sdt>
        <w:sdtPr>
          <w:rPr>
            <w:rStyle w:val="Style2"/>
            <w:rFonts w:cstheme="minorHAnsi"/>
          </w:rPr>
          <w:id w:val="399486169"/>
          <w:showingPlcHdr/>
        </w:sdtPr>
        <w:sdtEndPr>
          <w:rPr>
            <w:rStyle w:val="DefaultParagraphFont"/>
            <w:rFonts w:cstheme="minorBidi"/>
            <w:bCs/>
            <w:color w:val="auto"/>
            <w:u w:val="none"/>
          </w:rPr>
        </w:sdtEndPr>
        <w:sdtContent>
          <w:r w:rsidR="0019056F" w:rsidRPr="003B1CC5">
            <w:rPr>
              <w:rStyle w:val="PlaceholderText"/>
              <w:rFonts w:cstheme="minorHAnsi"/>
              <w:color w:val="A6A6A6" w:themeColor="background1" w:themeShade="A6"/>
            </w:rPr>
            <w:t>Click here to name the structure</w:t>
          </w:r>
        </w:sdtContent>
      </w:sdt>
    </w:p>
    <w:p w14:paraId="494792E9" w14:textId="77777777" w:rsidR="0019056F" w:rsidRPr="003B1CC5" w:rsidRDefault="009924C9" w:rsidP="0019056F">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9056F" w:rsidRPr="003B1CC5">
            <w:rPr>
              <w:rFonts w:ascii="MS Gothic" w:eastAsia="MS Gothic" w:hAnsi="MS Gothic" w:cs="MS Gothic" w:hint="eastAsia"/>
              <w:bCs/>
              <w:color w:val="0000FF"/>
            </w:rPr>
            <w:t>☐</w:t>
          </w:r>
        </w:sdtContent>
      </w:sdt>
      <w:r w:rsidR="0019056F" w:rsidRPr="003B1CC5">
        <w:rPr>
          <w:bCs/>
        </w:rPr>
        <w:t xml:space="preserve"> </w:t>
      </w:r>
      <w:r w:rsidR="0019056F">
        <w:rPr>
          <w:bCs/>
        </w:rPr>
        <w:t>Composite</w:t>
      </w:r>
      <w:r w:rsidR="0019056F"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19056F"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527F0ECB" w:rsidR="002B06BD" w:rsidRPr="003B1CC5" w:rsidRDefault="0019056F" w:rsidP="002E2177">
      <w:pPr>
        <w:ind w:left="432" w:hanging="432"/>
        <w:rPr>
          <w:color w:val="0000FF"/>
        </w:rPr>
      </w:pPr>
      <w:r>
        <w:rPr>
          <w:b/>
          <w:noProof/>
          <w:color w:val="0000FF"/>
        </w:rPr>
        <w:lastRenderedPageBreak/>
        <w:drawing>
          <wp:inline distT="0" distB="0" distL="0" distR="0" wp14:anchorId="6F675943" wp14:editId="46ACBCAD">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ioid Process Outcome Diagram 1-7-17.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666FC768" w:rsidR="00676BD4" w:rsidRDefault="0019056F" w:rsidP="002E2177">
      <w:pPr>
        <w:ind w:left="432" w:hanging="432"/>
        <w:rPr>
          <w:b/>
          <w:color w:val="0000FF"/>
        </w:rPr>
      </w:pPr>
      <w:r>
        <w:rPr>
          <w:b/>
          <w:color w:val="0000FF"/>
        </w:rPr>
        <w:t>N/A</w:t>
      </w: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lastRenderedPageBreak/>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2D5B905F" w14:textId="77777777" w:rsidR="0019056F" w:rsidRPr="00A9011D" w:rsidRDefault="0019056F" w:rsidP="0019056F">
      <w:pPr>
        <w:ind w:left="0" w:firstLine="0"/>
        <w:rPr>
          <w:rFonts w:ascii="Calibri" w:eastAsia="Calibri" w:hAnsi="Calibri" w:cs="Times New Roman"/>
        </w:rPr>
      </w:pPr>
      <w:r w:rsidRPr="00296690">
        <w:rPr>
          <w:rFonts w:ascii="Trebuchet MS" w:eastAsia="Arial Unicode MS" w:hAnsi="Trebuchet MS" w:cs="Mangal"/>
          <w:color w:val="0000FF"/>
          <w:kern w:val="1"/>
          <w:sz w:val="20"/>
          <w:szCs w:val="20"/>
          <w:lang w:eastAsia="hi-IN" w:bidi="hi-IN"/>
        </w:rPr>
        <w:t>X</w:t>
      </w:r>
      <w:r>
        <w:rPr>
          <w:rFonts w:ascii="Times New Roman" w:eastAsia="Arial Unicode MS" w:hAnsi="Times New Roman" w:cs="Mangal"/>
          <w:color w:val="0000FF"/>
          <w:kern w:val="1"/>
          <w:sz w:val="24"/>
          <w:szCs w:val="24"/>
          <w:lang w:eastAsia="hi-IN" w:bidi="hi-IN"/>
        </w:rPr>
        <w:t xml:space="preserve"> </w:t>
      </w:r>
      <w:r w:rsidRPr="00A9011D">
        <w:rPr>
          <w:rFonts w:ascii="Calibri" w:eastAsia="Calibri" w:hAnsi="Calibri" w:cs="Times New Roman"/>
        </w:rPr>
        <w:t>Clinical Practice Guideline recommendation</w:t>
      </w:r>
      <w:r>
        <w:rPr>
          <w:rFonts w:ascii="Calibri" w:eastAsia="Calibri" w:hAnsi="Calibri" w:cs="Times New Roman"/>
        </w:rPr>
        <w:t xml:space="preserve"> (with evidence review)</w:t>
      </w:r>
    </w:p>
    <w:p w14:paraId="2CBE659A" w14:textId="77777777" w:rsidR="0019056F" w:rsidRPr="00A9011D" w:rsidRDefault="0019056F" w:rsidP="0019056F">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1F4C9DAA" w14:textId="77777777" w:rsidR="0019056F" w:rsidRPr="00A9011D" w:rsidRDefault="0019056F" w:rsidP="0019056F">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94938A1" w14:textId="77777777" w:rsidR="0019056F" w:rsidRDefault="0019056F" w:rsidP="0019056F">
      <w:pPr>
        <w:ind w:left="0" w:firstLine="0"/>
        <w:rPr>
          <w:rFonts w:ascii="Times New Roman" w:eastAsia="Arial Unicode MS" w:hAnsi="Times New Roman" w:cs="Mangal"/>
          <w:color w:val="0000FF"/>
          <w:kern w:val="1"/>
          <w:sz w:val="24"/>
          <w:szCs w:val="24"/>
          <w:lang w:eastAsia="hi-IN" w:bidi="hi-IN"/>
        </w:rPr>
      </w:pPr>
    </w:p>
    <w:p w14:paraId="690E6954" w14:textId="77777777" w:rsidR="0019056F" w:rsidRPr="000F4A7F" w:rsidRDefault="0019056F" w:rsidP="0019056F">
      <w:pPr>
        <w:ind w:left="810" w:hanging="810"/>
        <w:rPr>
          <w:rFonts w:ascii="Calibri" w:eastAsia="Calibri" w:hAnsi="Calibri" w:cs="Times New Roman"/>
        </w:rPr>
      </w:pPr>
      <w:r>
        <w:rPr>
          <w:rFonts w:eastAsia="Arial Unicode MS" w:cs="Mangal"/>
          <w:color w:val="0000FF"/>
          <w:kern w:val="1"/>
          <w:sz w:val="24"/>
          <w:szCs w:val="24"/>
          <w:lang w:eastAsia="hi-IN" w:bidi="hi-IN"/>
        </w:rPr>
        <w:t>X</w:t>
      </w:r>
      <w:r w:rsidRPr="00A9011D">
        <w:rPr>
          <w:rFonts w:ascii="Calibri" w:eastAsia="Calibri" w:hAnsi="Calibri" w:cs="Times New Roman"/>
        </w:rPr>
        <w:t xml:space="preserve"> Other</w:t>
      </w:r>
      <w:r>
        <w:rPr>
          <w:rFonts w:ascii="Calibri" w:eastAsia="Calibri" w:hAnsi="Calibri" w:cs="Times New Roman"/>
        </w:rPr>
        <w:t>:</w:t>
      </w:r>
      <w:r w:rsidRPr="00A9011D">
        <w:rPr>
          <w:rFonts w:ascii="Calibri" w:eastAsia="Calibri" w:hAnsi="Calibri" w:cs="Times New Roman"/>
        </w:rPr>
        <w:t xml:space="preserve"> </w:t>
      </w:r>
      <w:r w:rsidRPr="00800051">
        <w:rPr>
          <w:rFonts w:ascii="Calibri" w:eastAsia="Calibri" w:hAnsi="Calibri" w:cs="Times New Roman"/>
          <w:color w:val="0000FF"/>
        </w:rPr>
        <w:t xml:space="preserve">See the </w:t>
      </w:r>
      <w:r>
        <w:rPr>
          <w:rFonts w:ascii="Calibri" w:eastAsia="Calibri" w:hAnsi="Calibri" w:cs="Times New Roman"/>
          <w:color w:val="0000FF"/>
        </w:rPr>
        <w:t xml:space="preserve">sections on “Mortality Risk” and </w:t>
      </w:r>
      <w:r w:rsidRPr="00800051">
        <w:rPr>
          <w:rFonts w:ascii="Calibri" w:eastAsia="Calibri" w:hAnsi="Calibri" w:cs="Times New Roman"/>
          <w:color w:val="0000FF"/>
        </w:rPr>
        <w:t>“Justification of Measure Definition” in Section 1a.4 at the end of this file.</w:t>
      </w:r>
    </w:p>
    <w:p w14:paraId="68EBAA7B" w14:textId="77777777" w:rsidR="0019056F" w:rsidRDefault="0019056F" w:rsidP="0019056F">
      <w:pPr>
        <w:ind w:left="0" w:firstLine="0"/>
        <w:rPr>
          <w:iCs/>
        </w:rPr>
      </w:pPr>
    </w:p>
    <w:p w14:paraId="33F83143" w14:textId="77777777" w:rsidR="0019056F" w:rsidRPr="009A7695" w:rsidRDefault="0019056F" w:rsidP="0019056F">
      <w:pPr>
        <w:ind w:left="0" w:firstLine="0"/>
        <w:rPr>
          <w:iCs/>
          <w:color w:val="0000FF"/>
        </w:rPr>
      </w:pPr>
      <w:r w:rsidRPr="00502933">
        <w:rPr>
          <w:iCs/>
          <w:color w:val="0000FF"/>
        </w:rPr>
        <w:t xml:space="preserve">On the following pages, we </w:t>
      </w:r>
      <w:r>
        <w:rPr>
          <w:iCs/>
          <w:color w:val="0000FF"/>
        </w:rPr>
        <w:t xml:space="preserve">present six tables (Exhibits 1-6) to summarize the evidence </w:t>
      </w:r>
      <w:r w:rsidRPr="00502933">
        <w:rPr>
          <w:iCs/>
          <w:color w:val="0000FF"/>
        </w:rPr>
        <w:t xml:space="preserve">cited by the VA/DoD 2015 Guideline </w:t>
      </w:r>
      <w:r w:rsidRPr="00975080">
        <w:rPr>
          <w:iCs/>
          <w:color w:val="0000FF"/>
        </w:rPr>
        <w:t xml:space="preserve">on Management of Substance Use Disorders </w:t>
      </w:r>
      <w:r w:rsidRPr="00502933">
        <w:rPr>
          <w:iCs/>
          <w:color w:val="0000FF"/>
        </w:rPr>
        <w:t>to support the recommendations rel</w:t>
      </w:r>
      <w:r>
        <w:rPr>
          <w:iCs/>
          <w:color w:val="0000FF"/>
        </w:rPr>
        <w:t>ated</w:t>
      </w:r>
      <w:r w:rsidRPr="00502933">
        <w:rPr>
          <w:iCs/>
          <w:color w:val="0000FF"/>
        </w:rPr>
        <w:t xml:space="preserve"> to treatment of </w:t>
      </w:r>
      <w:r>
        <w:rPr>
          <w:iCs/>
          <w:color w:val="0000FF"/>
        </w:rPr>
        <w:t>opioid</w:t>
      </w:r>
      <w:r w:rsidRPr="00502933">
        <w:rPr>
          <w:iCs/>
          <w:color w:val="0000FF"/>
        </w:rPr>
        <w:t xml:space="preserve"> use disorder with pharmacotherapy</w:t>
      </w:r>
      <w:r>
        <w:rPr>
          <w:iCs/>
          <w:color w:val="0000FF"/>
        </w:rPr>
        <w:t>. The tables contain paraphrased and verbatim excerpts from</w:t>
      </w:r>
      <w:r w:rsidRPr="00502933">
        <w:rPr>
          <w:iCs/>
          <w:color w:val="0000FF"/>
        </w:rPr>
        <w:t xml:space="preserve"> the </w:t>
      </w:r>
      <w:r>
        <w:rPr>
          <w:iCs/>
          <w:color w:val="0000FF"/>
        </w:rPr>
        <w:t>systematic reviews, meta-analyses, and other studies, and</w:t>
      </w:r>
      <w:r w:rsidRPr="00502933">
        <w:rPr>
          <w:iCs/>
          <w:color w:val="0000FF"/>
        </w:rPr>
        <w:t xml:space="preserve"> </w:t>
      </w:r>
      <w:r>
        <w:rPr>
          <w:iCs/>
          <w:color w:val="0000FF"/>
        </w:rPr>
        <w:t>are</w:t>
      </w:r>
      <w:r w:rsidRPr="00502933">
        <w:rPr>
          <w:iCs/>
          <w:color w:val="0000FF"/>
        </w:rPr>
        <w:t xml:space="preserve"> </w:t>
      </w:r>
      <w:r>
        <w:rPr>
          <w:iCs/>
          <w:color w:val="0000FF"/>
        </w:rPr>
        <w:t xml:space="preserve">organized </w:t>
      </w:r>
      <w:r w:rsidRPr="00502933">
        <w:rPr>
          <w:iCs/>
          <w:color w:val="0000FF"/>
        </w:rPr>
        <w:t xml:space="preserve">by </w:t>
      </w:r>
      <w:r>
        <w:rPr>
          <w:iCs/>
          <w:color w:val="0000FF"/>
        </w:rPr>
        <w:t>type of medication</w:t>
      </w:r>
      <w:r w:rsidRPr="009A7695">
        <w:rPr>
          <w:iCs/>
          <w:color w:val="0000FF"/>
        </w:rPr>
        <w:t xml:space="preserve">: </w:t>
      </w:r>
    </w:p>
    <w:p w14:paraId="5386A57D" w14:textId="77777777" w:rsidR="0019056F" w:rsidRPr="009A7695" w:rsidRDefault="0019056F" w:rsidP="0019056F">
      <w:pPr>
        <w:ind w:left="0" w:firstLine="0"/>
        <w:rPr>
          <w:iCs/>
          <w:color w:val="0000FF"/>
        </w:rPr>
      </w:pPr>
    </w:p>
    <w:p w14:paraId="6F87978E" w14:textId="77777777" w:rsidR="0019056F" w:rsidRPr="009A7695" w:rsidRDefault="0019056F" w:rsidP="0019056F">
      <w:pPr>
        <w:numPr>
          <w:ilvl w:val="0"/>
          <w:numId w:val="12"/>
        </w:numPr>
        <w:spacing w:line="276" w:lineRule="auto"/>
        <w:contextualSpacing/>
        <w:rPr>
          <w:color w:val="0000FF"/>
        </w:rPr>
      </w:pPr>
      <w:r w:rsidRPr="009A7695">
        <w:rPr>
          <w:color w:val="0000FF"/>
        </w:rPr>
        <w:t xml:space="preserve">Exhibit 1: </w:t>
      </w:r>
      <w:r>
        <w:rPr>
          <w:color w:val="0000FF"/>
        </w:rPr>
        <w:t>Buprenorphine</w:t>
      </w:r>
      <w:r w:rsidRPr="009A7695">
        <w:rPr>
          <w:color w:val="0000FF"/>
        </w:rPr>
        <w:t xml:space="preserve"> (</w:t>
      </w:r>
      <w:r>
        <w:rPr>
          <w:color w:val="0000FF"/>
        </w:rPr>
        <w:t xml:space="preserve">meta-analysis; </w:t>
      </w:r>
      <w:r w:rsidRPr="00005FB2">
        <w:rPr>
          <w:color w:val="0000FF"/>
        </w:rPr>
        <w:t>Fareed et al., 2012</w:t>
      </w:r>
      <w:r w:rsidRPr="009A7695">
        <w:rPr>
          <w:color w:val="0000FF"/>
        </w:rPr>
        <w:t>)</w:t>
      </w:r>
    </w:p>
    <w:p w14:paraId="3FCE190C" w14:textId="77777777" w:rsidR="0019056F" w:rsidRPr="009A7695" w:rsidRDefault="0019056F" w:rsidP="0019056F">
      <w:pPr>
        <w:numPr>
          <w:ilvl w:val="0"/>
          <w:numId w:val="12"/>
        </w:numPr>
        <w:spacing w:line="276" w:lineRule="auto"/>
        <w:contextualSpacing/>
        <w:rPr>
          <w:color w:val="0000FF"/>
        </w:rPr>
      </w:pPr>
      <w:r w:rsidRPr="009A7695">
        <w:rPr>
          <w:color w:val="0000FF"/>
        </w:rPr>
        <w:t xml:space="preserve">Exhibit 2: </w:t>
      </w:r>
      <w:r w:rsidRPr="00005FB2">
        <w:rPr>
          <w:color w:val="0000FF"/>
        </w:rPr>
        <w:t>Buprenorphine</w:t>
      </w:r>
      <w:r w:rsidRPr="009A7695">
        <w:rPr>
          <w:color w:val="0000FF"/>
        </w:rPr>
        <w:t xml:space="preserve"> (</w:t>
      </w:r>
      <w:r w:rsidRPr="00005FB2">
        <w:rPr>
          <w:color w:val="0000FF"/>
        </w:rPr>
        <w:t>systematic review</w:t>
      </w:r>
      <w:r>
        <w:rPr>
          <w:color w:val="0000FF"/>
        </w:rPr>
        <w:t xml:space="preserve">; </w:t>
      </w:r>
      <w:r w:rsidRPr="00005FB2">
        <w:rPr>
          <w:color w:val="0000FF"/>
        </w:rPr>
        <w:t>Mattick et al., 2014)</w:t>
      </w:r>
    </w:p>
    <w:p w14:paraId="60A3C1F1" w14:textId="77777777" w:rsidR="0019056F" w:rsidRPr="009A7695" w:rsidRDefault="0019056F" w:rsidP="0019056F">
      <w:pPr>
        <w:numPr>
          <w:ilvl w:val="0"/>
          <w:numId w:val="12"/>
        </w:numPr>
        <w:spacing w:line="276" w:lineRule="auto"/>
        <w:contextualSpacing/>
        <w:rPr>
          <w:color w:val="0000FF"/>
        </w:rPr>
      </w:pPr>
      <w:r w:rsidRPr="009A7695">
        <w:rPr>
          <w:color w:val="0000FF"/>
        </w:rPr>
        <w:t xml:space="preserve">Exhibit 3: </w:t>
      </w:r>
      <w:r w:rsidRPr="00005FB2">
        <w:rPr>
          <w:color w:val="0000FF"/>
        </w:rPr>
        <w:t>Methadone (</w:t>
      </w:r>
      <w:r>
        <w:rPr>
          <w:color w:val="0000FF"/>
        </w:rPr>
        <w:t xml:space="preserve">meta-analysis; </w:t>
      </w:r>
      <w:r w:rsidRPr="00005FB2">
        <w:rPr>
          <w:color w:val="0000FF"/>
        </w:rPr>
        <w:t xml:space="preserve">Bao et al., 2009) </w:t>
      </w:r>
    </w:p>
    <w:p w14:paraId="05541990" w14:textId="77777777" w:rsidR="0019056F" w:rsidRPr="009A7695" w:rsidRDefault="0019056F" w:rsidP="0019056F">
      <w:pPr>
        <w:pStyle w:val="ListParagraph"/>
        <w:numPr>
          <w:ilvl w:val="0"/>
          <w:numId w:val="12"/>
        </w:numPr>
        <w:spacing w:after="0"/>
        <w:rPr>
          <w:iCs/>
          <w:color w:val="0000FF"/>
        </w:rPr>
      </w:pPr>
      <w:r w:rsidRPr="009A7695">
        <w:rPr>
          <w:color w:val="0000FF"/>
        </w:rPr>
        <w:t xml:space="preserve">Exhibit 4: </w:t>
      </w:r>
      <w:r w:rsidRPr="00C17EDF">
        <w:rPr>
          <w:color w:val="0000FF"/>
        </w:rPr>
        <w:t>Methadone (systematic review; Mattick et al., 2009)</w:t>
      </w:r>
    </w:p>
    <w:p w14:paraId="06656915" w14:textId="77777777" w:rsidR="0019056F" w:rsidRPr="009A7695" w:rsidRDefault="0019056F" w:rsidP="0019056F">
      <w:pPr>
        <w:pStyle w:val="ListParagraph"/>
        <w:numPr>
          <w:ilvl w:val="0"/>
          <w:numId w:val="12"/>
        </w:numPr>
        <w:spacing w:after="0"/>
        <w:rPr>
          <w:iCs/>
          <w:color w:val="0000FF"/>
        </w:rPr>
      </w:pPr>
      <w:r w:rsidRPr="009A7695">
        <w:rPr>
          <w:color w:val="0000FF"/>
        </w:rPr>
        <w:t xml:space="preserve">Exhibit 5: </w:t>
      </w:r>
      <w:r w:rsidRPr="000A5529">
        <w:rPr>
          <w:color w:val="0000FF"/>
        </w:rPr>
        <w:t>Extended-Release Injectable Naltrexone (</w:t>
      </w:r>
      <w:r>
        <w:rPr>
          <w:color w:val="0000FF"/>
        </w:rPr>
        <w:t xml:space="preserve">randomized controlled trial; </w:t>
      </w:r>
      <w:r w:rsidRPr="000A5529">
        <w:rPr>
          <w:color w:val="0000FF"/>
        </w:rPr>
        <w:t>Krupitsky et al., 2011)</w:t>
      </w:r>
    </w:p>
    <w:p w14:paraId="7B7CEDD8" w14:textId="77777777" w:rsidR="0019056F" w:rsidRPr="009A7695" w:rsidRDefault="0019056F" w:rsidP="0019056F">
      <w:pPr>
        <w:pStyle w:val="ListParagraph"/>
        <w:numPr>
          <w:ilvl w:val="0"/>
          <w:numId w:val="12"/>
        </w:numPr>
        <w:spacing w:after="0"/>
        <w:rPr>
          <w:iCs/>
          <w:color w:val="0000FF"/>
        </w:rPr>
      </w:pPr>
      <w:r w:rsidRPr="009A7695">
        <w:rPr>
          <w:color w:val="0000FF"/>
        </w:rPr>
        <w:t xml:space="preserve">Exhibit </w:t>
      </w:r>
      <w:r>
        <w:rPr>
          <w:color w:val="0000FF"/>
        </w:rPr>
        <w:t>6</w:t>
      </w:r>
      <w:r w:rsidRPr="009A7695">
        <w:rPr>
          <w:color w:val="0000FF"/>
        </w:rPr>
        <w:t xml:space="preserve">: </w:t>
      </w:r>
      <w:r w:rsidRPr="000A5529">
        <w:rPr>
          <w:color w:val="0000FF"/>
        </w:rPr>
        <w:t>Oral Naltrexone (</w:t>
      </w:r>
      <w:r>
        <w:rPr>
          <w:color w:val="0000FF"/>
        </w:rPr>
        <w:t xml:space="preserve">systematic review; </w:t>
      </w:r>
      <w:r w:rsidRPr="000A5529">
        <w:rPr>
          <w:color w:val="0000FF"/>
        </w:rPr>
        <w:t>Minozzi et al., 2011)</w:t>
      </w:r>
    </w:p>
    <w:p w14:paraId="20CBC247" w14:textId="77777777" w:rsidR="0019056F" w:rsidRDefault="0019056F" w:rsidP="0019056F">
      <w:pPr>
        <w:ind w:left="0" w:firstLine="0"/>
        <w:rPr>
          <w:iCs/>
          <w:color w:val="76923C" w:themeColor="accent3" w:themeShade="BF"/>
        </w:rPr>
      </w:pPr>
    </w:p>
    <w:p w14:paraId="635EB8B8" w14:textId="67A0D9AD" w:rsidR="0019056F" w:rsidRPr="009542B2" w:rsidRDefault="0019056F" w:rsidP="0019056F">
      <w:pPr>
        <w:ind w:left="0" w:firstLine="0"/>
        <w:rPr>
          <w:iCs/>
          <w:color w:val="76923C" w:themeColor="accent3" w:themeShade="BF"/>
        </w:rPr>
      </w:pPr>
      <w:r w:rsidRPr="009542B2">
        <w:rPr>
          <w:iCs/>
          <w:color w:val="76923C" w:themeColor="accent3" w:themeShade="BF"/>
        </w:rPr>
        <w:t xml:space="preserve">For the maintenance evaluation, we scanned the literature and identified the following two new guidelines on pharmacotherapy for OUD, which reaffirm rather than change the </w:t>
      </w:r>
      <w:r>
        <w:rPr>
          <w:iCs/>
          <w:color w:val="76923C" w:themeColor="accent3" w:themeShade="BF"/>
        </w:rPr>
        <w:t xml:space="preserve">empirical </w:t>
      </w:r>
      <w:r w:rsidRPr="009542B2">
        <w:rPr>
          <w:iCs/>
          <w:color w:val="76923C" w:themeColor="accent3" w:themeShade="BF"/>
        </w:rPr>
        <w:t xml:space="preserve">basis for our measure. We abstracted the two systematic reviews that were used in both guidelines in Exhibits 7 (Sordo, 2017) and 8 (Nielsen,2016). </w:t>
      </w:r>
    </w:p>
    <w:p w14:paraId="43E16191" w14:textId="77777777" w:rsidR="0019056F" w:rsidRPr="009542B2" w:rsidRDefault="0019056F" w:rsidP="0019056F">
      <w:pPr>
        <w:pStyle w:val="ListParagraph"/>
        <w:keepNext/>
        <w:keepLines/>
        <w:numPr>
          <w:ilvl w:val="0"/>
          <w:numId w:val="14"/>
        </w:numPr>
        <w:spacing w:before="200" w:after="0"/>
        <w:outlineLvl w:val="1"/>
        <w:rPr>
          <w:rFonts w:asciiTheme="majorHAnsi" w:eastAsia="Times New Roman" w:hAnsiTheme="majorHAnsi" w:cstheme="majorBidi"/>
          <w:b/>
          <w:bCs/>
          <w:color w:val="76923C" w:themeColor="accent3" w:themeShade="BF"/>
          <w:sz w:val="24"/>
          <w:szCs w:val="24"/>
        </w:rPr>
      </w:pPr>
      <w:r w:rsidRPr="009542B2">
        <w:rPr>
          <w:color w:val="76923C" w:themeColor="accent3" w:themeShade="BF"/>
          <w:sz w:val="24"/>
          <w:szCs w:val="24"/>
        </w:rPr>
        <w:t>TREATMENT IMPROVEMENT PROTOCOL (TIP) 63: Medications for Opioid Use Disorder. For Healthcare and Addiction Professionals, Policymakers, Patients, and Families. Substance Abuse and Mental Health Services Administration (SAMHSA), June 2019.</w:t>
      </w:r>
    </w:p>
    <w:p w14:paraId="3868DD6E" w14:textId="77777777" w:rsidR="0019056F" w:rsidRPr="009542B2" w:rsidRDefault="009924C9" w:rsidP="0019056F">
      <w:pPr>
        <w:pStyle w:val="ListParagraph"/>
        <w:keepNext/>
        <w:keepLines/>
        <w:spacing w:before="200"/>
        <w:ind w:firstLine="0"/>
        <w:outlineLvl w:val="1"/>
        <w:rPr>
          <w:rStyle w:val="Hyperlink"/>
          <w:color w:val="76923C" w:themeColor="accent3" w:themeShade="BF"/>
        </w:rPr>
      </w:pPr>
      <w:hyperlink r:id="rId17" w:history="1">
        <w:r w:rsidR="0019056F" w:rsidRPr="009542B2">
          <w:rPr>
            <w:rStyle w:val="Hyperlink"/>
            <w:color w:val="76923C" w:themeColor="accent3" w:themeShade="BF"/>
          </w:rPr>
          <w:t>https://store.samhsa.gov/system/files/sma18-5063fulldoc_0.pdf</w:t>
        </w:r>
      </w:hyperlink>
    </w:p>
    <w:p w14:paraId="2A039210" w14:textId="77777777" w:rsidR="0019056F" w:rsidRPr="009542B2" w:rsidRDefault="0019056F" w:rsidP="0019056F">
      <w:pPr>
        <w:pStyle w:val="ListParagraph"/>
        <w:keepNext/>
        <w:keepLines/>
        <w:numPr>
          <w:ilvl w:val="0"/>
          <w:numId w:val="14"/>
        </w:numPr>
        <w:spacing w:before="200" w:after="0"/>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sz w:val="24"/>
          <w:szCs w:val="24"/>
        </w:rPr>
        <w:t>Canadian Research Initiative in Substance Misuse (CRISM). National Injectable Opioid Agonist Treatment for Opioid Use Disorder Clinical Guideline. Published September 23, 2019.</w:t>
      </w:r>
      <w:r w:rsidRPr="009542B2">
        <w:rPr>
          <w:color w:val="76923C" w:themeColor="accent3" w:themeShade="BF"/>
        </w:rPr>
        <w:t xml:space="preserve"> </w:t>
      </w:r>
      <w:hyperlink r:id="rId18" w:history="1">
        <w:r w:rsidRPr="009542B2">
          <w:rPr>
            <w:rStyle w:val="Hyperlink"/>
            <w:color w:val="76923C" w:themeColor="accent3" w:themeShade="BF"/>
          </w:rPr>
          <w:t>https://crism.ca/wp-content/uploads/2019/09/CRISM_National_IOAT_Clinical_Guideline-10Sep2019-English-FINAL.pdf</w:t>
        </w:r>
      </w:hyperlink>
    </w:p>
    <w:p w14:paraId="66074621" w14:textId="77777777" w:rsidR="0019056F" w:rsidRPr="009542B2" w:rsidRDefault="0019056F" w:rsidP="0019056F">
      <w:pPr>
        <w:pStyle w:val="ListParagraph"/>
        <w:keepNext/>
        <w:keepLines/>
        <w:spacing w:before="200"/>
        <w:ind w:firstLine="0"/>
        <w:outlineLvl w:val="1"/>
        <w:rPr>
          <w:color w:val="76923C" w:themeColor="accent3" w:themeShade="BF"/>
        </w:rPr>
      </w:pPr>
    </w:p>
    <w:p w14:paraId="401A436B" w14:textId="77777777" w:rsidR="0019056F" w:rsidRPr="009542B2" w:rsidRDefault="0019056F" w:rsidP="0019056F">
      <w:pPr>
        <w:ind w:left="0" w:firstLine="0"/>
        <w:rPr>
          <w:iCs/>
          <w:color w:val="76923C" w:themeColor="accent3" w:themeShade="BF"/>
        </w:rPr>
      </w:pPr>
    </w:p>
    <w:p w14:paraId="4A993B22" w14:textId="77777777" w:rsidR="0019056F" w:rsidRPr="009542B2" w:rsidRDefault="0019056F" w:rsidP="0019056F">
      <w:pPr>
        <w:ind w:left="0" w:firstLine="0"/>
        <w:rPr>
          <w:iCs/>
          <w:color w:val="76923C" w:themeColor="accent3" w:themeShade="BF"/>
        </w:rPr>
      </w:pPr>
      <w:r w:rsidRPr="009542B2">
        <w:rPr>
          <w:iCs/>
          <w:color w:val="76923C" w:themeColor="accent3" w:themeShade="BF"/>
        </w:rPr>
        <w:t xml:space="preserve"> </w:t>
      </w:r>
    </w:p>
    <w:p w14:paraId="737E6A54" w14:textId="77777777" w:rsidR="0019056F" w:rsidRDefault="0019056F" w:rsidP="0019056F">
      <w:pPr>
        <w:ind w:left="0" w:firstLine="0"/>
        <w:rPr>
          <w:iCs/>
          <w:color w:val="0000FF"/>
        </w:rPr>
      </w:pPr>
    </w:p>
    <w:p w14:paraId="53C216B2" w14:textId="77777777" w:rsidR="0019056F" w:rsidRDefault="0019056F" w:rsidP="0019056F">
      <w:pPr>
        <w:ind w:left="0" w:firstLine="0"/>
        <w:rPr>
          <w:iCs/>
          <w:color w:val="0000FF"/>
        </w:rPr>
      </w:pPr>
      <w:r>
        <w:rPr>
          <w:iCs/>
          <w:color w:val="0000FF"/>
        </w:rPr>
        <w:t>In Section 1a.4 (</w:t>
      </w:r>
      <w:r w:rsidRPr="00D75D49">
        <w:rPr>
          <w:iCs/>
          <w:color w:val="0000FF"/>
        </w:rPr>
        <w:t xml:space="preserve">Other Source </w:t>
      </w:r>
      <w:r>
        <w:rPr>
          <w:iCs/>
          <w:color w:val="0000FF"/>
        </w:rPr>
        <w:t>o</w:t>
      </w:r>
      <w:r w:rsidRPr="00D75D49">
        <w:rPr>
          <w:iCs/>
          <w:color w:val="0000FF"/>
        </w:rPr>
        <w:t>f Evidence</w:t>
      </w:r>
      <w:r>
        <w:rPr>
          <w:iCs/>
          <w:color w:val="0000FF"/>
        </w:rPr>
        <w:t>) at the end of this file, we include two other sources of evidence, under the headings, “Mortality Risk” and “Justification of Measure Definition”.</w:t>
      </w:r>
    </w:p>
    <w:p w14:paraId="57ED8002" w14:textId="5080C8D0" w:rsidR="0019056F" w:rsidRDefault="0019056F" w:rsidP="0019056F">
      <w:pPr>
        <w:pStyle w:val="ListParagraph"/>
        <w:numPr>
          <w:ilvl w:val="0"/>
          <w:numId w:val="13"/>
        </w:numPr>
        <w:rPr>
          <w:iCs/>
          <w:color w:val="0000FF"/>
        </w:rPr>
      </w:pPr>
      <w:r w:rsidRPr="000C19BF">
        <w:rPr>
          <w:b/>
          <w:iCs/>
          <w:color w:val="0000FF"/>
        </w:rPr>
        <w:t>Mortality Risk</w:t>
      </w:r>
      <w:r>
        <w:rPr>
          <w:iCs/>
          <w:color w:val="0000FF"/>
        </w:rPr>
        <w:t>: Under this heading, w</w:t>
      </w:r>
      <w:r w:rsidRPr="00D75D49">
        <w:rPr>
          <w:iCs/>
          <w:color w:val="0000FF"/>
        </w:rPr>
        <w:t xml:space="preserve">e include a table, Exhibit </w:t>
      </w:r>
      <w:r>
        <w:rPr>
          <w:iCs/>
          <w:color w:val="0000FF"/>
        </w:rPr>
        <w:t>9</w:t>
      </w:r>
      <w:r w:rsidRPr="00D75D49">
        <w:rPr>
          <w:iCs/>
          <w:color w:val="0000FF"/>
        </w:rPr>
        <w:t>, which summarizes findings from multiple studies that report on the mortality risk during transition of care phases (i.e., treatment initiation and cessation) for use of pharmacotherapy for OUD.</w:t>
      </w:r>
    </w:p>
    <w:p w14:paraId="4D54A24B" w14:textId="77777777" w:rsidR="0019056F" w:rsidRPr="00D75D49" w:rsidRDefault="0019056F" w:rsidP="0019056F">
      <w:pPr>
        <w:pStyle w:val="ListParagraph"/>
        <w:numPr>
          <w:ilvl w:val="0"/>
          <w:numId w:val="13"/>
        </w:numPr>
        <w:rPr>
          <w:iCs/>
          <w:color w:val="0000FF"/>
        </w:rPr>
      </w:pPr>
      <w:r w:rsidRPr="000C19BF">
        <w:rPr>
          <w:b/>
          <w:iCs/>
          <w:color w:val="0000FF"/>
        </w:rPr>
        <w:t>Justification of Measure Definition</w:t>
      </w:r>
      <w:r>
        <w:rPr>
          <w:iCs/>
          <w:color w:val="0000FF"/>
        </w:rPr>
        <w:t>: Under this heading, w</w:t>
      </w:r>
      <w:r w:rsidRPr="00D75D49">
        <w:rPr>
          <w:iCs/>
          <w:color w:val="0000FF"/>
        </w:rPr>
        <w:t>e include</w:t>
      </w:r>
      <w:r>
        <w:rPr>
          <w:iCs/>
          <w:color w:val="0000FF"/>
        </w:rPr>
        <w:t xml:space="preserve"> a summary of evidence that supports the measure definition. This material also appears in Section </w:t>
      </w:r>
      <w:r w:rsidRPr="00C10FBE">
        <w:rPr>
          <w:iCs/>
          <w:color w:val="0000FF"/>
        </w:rPr>
        <w:t xml:space="preserve">S.5. </w:t>
      </w:r>
      <w:r>
        <w:rPr>
          <w:iCs/>
          <w:color w:val="0000FF"/>
        </w:rPr>
        <w:t>(</w:t>
      </w:r>
      <w:r w:rsidRPr="00C10FBE">
        <w:rPr>
          <w:iCs/>
          <w:color w:val="0000FF"/>
        </w:rPr>
        <w:t>Numerator Details</w:t>
      </w:r>
      <w:r>
        <w:rPr>
          <w:iCs/>
          <w:color w:val="0000FF"/>
        </w:rPr>
        <w:t>)</w:t>
      </w:r>
      <w:r w:rsidRPr="00C10FBE">
        <w:rPr>
          <w:iCs/>
          <w:color w:val="0000FF"/>
        </w:rPr>
        <w:t xml:space="preserve"> </w:t>
      </w:r>
      <w:r>
        <w:rPr>
          <w:iCs/>
          <w:color w:val="0000FF"/>
        </w:rPr>
        <w:t xml:space="preserve">of the Measure Information Form (MIF).  </w:t>
      </w:r>
    </w:p>
    <w:p w14:paraId="55B8DA6D" w14:textId="77777777" w:rsidR="00A9011D" w:rsidRDefault="00A9011D" w:rsidP="002E2177">
      <w:pPr>
        <w:ind w:left="0" w:firstLine="0"/>
        <w:rPr>
          <w:i/>
          <w:iCs/>
        </w:rPr>
      </w:pPr>
    </w:p>
    <w:p w14:paraId="59518BF7" w14:textId="77777777" w:rsidR="0019056F" w:rsidRDefault="0019056F">
      <w:pPr>
        <w:rPr>
          <w:rFonts w:asciiTheme="majorHAnsi" w:eastAsia="Times New Roman" w:hAnsiTheme="majorHAnsi" w:cstheme="majorBidi"/>
          <w:b/>
          <w:bCs/>
          <w:color w:val="4F81BD" w:themeColor="accent1"/>
          <w:sz w:val="26"/>
          <w:szCs w:val="26"/>
        </w:rPr>
      </w:pPr>
      <w:r>
        <w:rPr>
          <w:rFonts w:asciiTheme="majorHAnsi" w:eastAsia="Times New Roman" w:hAnsiTheme="majorHAnsi" w:cstheme="majorBidi"/>
          <w:b/>
          <w:bCs/>
          <w:color w:val="4F81BD" w:themeColor="accent1"/>
          <w:sz w:val="26"/>
          <w:szCs w:val="26"/>
        </w:rPr>
        <w:br w:type="page"/>
      </w:r>
    </w:p>
    <w:p w14:paraId="6D0846F2" w14:textId="43E8E978" w:rsidR="0019056F" w:rsidRPr="00DB4E2F" w:rsidRDefault="0019056F" w:rsidP="0019056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1</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Meta-Analysis</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Pr>
          <w:rFonts w:asciiTheme="majorHAnsi" w:eastAsia="Times New Roman" w:hAnsiTheme="majorHAnsi" w:cstheme="majorBidi"/>
          <w:b/>
          <w:bCs/>
          <w:color w:val="4F81BD" w:themeColor="accent1"/>
          <w:sz w:val="26"/>
          <w:szCs w:val="26"/>
        </w:rPr>
        <w:t>Buprenorphine 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Fareed</w:t>
      </w:r>
      <w:r w:rsidRPr="00DB4E2F">
        <w:rPr>
          <w:rFonts w:asciiTheme="majorHAnsi" w:eastAsia="Times New Roman" w:hAnsiTheme="majorHAnsi" w:cstheme="majorBidi"/>
          <w:b/>
          <w:bCs/>
          <w:color w:val="4F81BD" w:themeColor="accent1"/>
          <w:sz w:val="26"/>
          <w:szCs w:val="26"/>
        </w:rPr>
        <w:t xml:space="preserve"> et al., 20</w:t>
      </w:r>
      <w:r>
        <w:rPr>
          <w:rFonts w:asciiTheme="majorHAnsi" w:eastAsia="Times New Roman" w:hAnsiTheme="majorHAnsi" w:cstheme="majorBidi"/>
          <w:b/>
          <w:bCs/>
          <w:color w:val="4F81BD" w:themeColor="accent1"/>
          <w:sz w:val="26"/>
          <w:szCs w:val="26"/>
        </w:rPr>
        <w:t>12</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245"/>
        <w:gridCol w:w="7105"/>
      </w:tblGrid>
      <w:tr w:rsidR="0019056F" w14:paraId="1538ADE0" w14:textId="77777777" w:rsidTr="009E73E8">
        <w:tc>
          <w:tcPr>
            <w:tcW w:w="2245" w:type="dxa"/>
          </w:tcPr>
          <w:p w14:paraId="7196A5AD" w14:textId="77777777" w:rsidR="0019056F" w:rsidRPr="000953E9" w:rsidRDefault="0019056F" w:rsidP="009E73E8">
            <w:pPr>
              <w:ind w:left="0" w:firstLine="0"/>
              <w:rPr>
                <w:rFonts w:ascii="Calibri" w:hAnsi="Calibri"/>
                <w:b/>
              </w:rPr>
            </w:pPr>
            <w:r w:rsidRPr="000953E9">
              <w:rPr>
                <w:rFonts w:ascii="Calibri" w:hAnsi="Calibri"/>
                <w:b/>
              </w:rPr>
              <w:t>Source of Systematic Review:</w:t>
            </w:r>
          </w:p>
          <w:p w14:paraId="3B5ED01D" w14:textId="77777777" w:rsidR="0019056F" w:rsidRPr="000953E9" w:rsidRDefault="0019056F" w:rsidP="009E73E8">
            <w:pPr>
              <w:numPr>
                <w:ilvl w:val="0"/>
                <w:numId w:val="9"/>
              </w:numPr>
              <w:contextualSpacing/>
              <w:rPr>
                <w:rFonts w:ascii="Calibri" w:hAnsi="Calibri"/>
                <w:b/>
              </w:rPr>
            </w:pPr>
            <w:r w:rsidRPr="000953E9">
              <w:rPr>
                <w:rFonts w:ascii="Calibri" w:hAnsi="Calibri"/>
                <w:b/>
              </w:rPr>
              <w:t>Title</w:t>
            </w:r>
          </w:p>
          <w:p w14:paraId="3F62C286" w14:textId="77777777" w:rsidR="0019056F" w:rsidRPr="000953E9" w:rsidRDefault="0019056F" w:rsidP="009E73E8">
            <w:pPr>
              <w:numPr>
                <w:ilvl w:val="0"/>
                <w:numId w:val="9"/>
              </w:numPr>
              <w:contextualSpacing/>
              <w:rPr>
                <w:rFonts w:ascii="Calibri" w:hAnsi="Calibri"/>
                <w:b/>
              </w:rPr>
            </w:pPr>
            <w:r w:rsidRPr="000953E9">
              <w:rPr>
                <w:rFonts w:ascii="Calibri" w:hAnsi="Calibri"/>
                <w:b/>
              </w:rPr>
              <w:t>Author</w:t>
            </w:r>
          </w:p>
          <w:p w14:paraId="4ACD6E4A" w14:textId="77777777" w:rsidR="0019056F" w:rsidRPr="000953E9" w:rsidRDefault="0019056F" w:rsidP="009E73E8">
            <w:pPr>
              <w:numPr>
                <w:ilvl w:val="0"/>
                <w:numId w:val="9"/>
              </w:numPr>
              <w:contextualSpacing/>
              <w:rPr>
                <w:rFonts w:ascii="Calibri" w:hAnsi="Calibri"/>
                <w:b/>
              </w:rPr>
            </w:pPr>
            <w:r w:rsidRPr="000953E9">
              <w:rPr>
                <w:rFonts w:ascii="Calibri" w:hAnsi="Calibri"/>
                <w:b/>
              </w:rPr>
              <w:t>Date</w:t>
            </w:r>
          </w:p>
          <w:p w14:paraId="460CDE08" w14:textId="77777777" w:rsidR="0019056F" w:rsidRPr="000953E9" w:rsidRDefault="0019056F" w:rsidP="009E73E8">
            <w:pPr>
              <w:numPr>
                <w:ilvl w:val="0"/>
                <w:numId w:val="9"/>
              </w:numPr>
              <w:contextualSpacing/>
              <w:rPr>
                <w:rFonts w:ascii="Calibri" w:hAnsi="Calibri"/>
                <w:b/>
              </w:rPr>
            </w:pPr>
            <w:r w:rsidRPr="000953E9">
              <w:rPr>
                <w:rFonts w:ascii="Calibri" w:hAnsi="Calibri"/>
                <w:b/>
              </w:rPr>
              <w:t>Citation, including page number</w:t>
            </w:r>
          </w:p>
          <w:p w14:paraId="76AEA7E1" w14:textId="77777777" w:rsidR="0019056F" w:rsidRPr="000953E9" w:rsidRDefault="0019056F" w:rsidP="009E73E8">
            <w:pPr>
              <w:numPr>
                <w:ilvl w:val="0"/>
                <w:numId w:val="9"/>
              </w:numPr>
              <w:contextualSpacing/>
              <w:rPr>
                <w:rFonts w:ascii="Calibri" w:hAnsi="Calibri"/>
                <w:b/>
              </w:rPr>
            </w:pPr>
            <w:r w:rsidRPr="000953E9">
              <w:rPr>
                <w:rFonts w:ascii="Calibri" w:hAnsi="Calibri"/>
                <w:b/>
              </w:rPr>
              <w:t>URL</w:t>
            </w:r>
          </w:p>
        </w:tc>
        <w:tc>
          <w:tcPr>
            <w:tcW w:w="7105" w:type="dxa"/>
          </w:tcPr>
          <w:p w14:paraId="256B4DD0" w14:textId="77777777" w:rsidR="0019056F" w:rsidRPr="00413CBC" w:rsidRDefault="0019056F" w:rsidP="009E73E8">
            <w:pPr>
              <w:ind w:left="0" w:firstLine="0"/>
              <w:rPr>
                <w:rFonts w:ascii="Calibri" w:hAnsi="Calibri"/>
              </w:rPr>
            </w:pPr>
            <w:r w:rsidRPr="00413CBC">
              <w:rPr>
                <w:rFonts w:ascii="Calibri" w:hAnsi="Calibri"/>
              </w:rPr>
              <w:t>Meta-analysis:</w:t>
            </w:r>
          </w:p>
          <w:p w14:paraId="2094EDC5" w14:textId="77777777" w:rsidR="0019056F" w:rsidRPr="00413CBC" w:rsidRDefault="0019056F" w:rsidP="009E73E8">
            <w:pPr>
              <w:ind w:left="0" w:firstLine="0"/>
              <w:rPr>
                <w:rFonts w:ascii="Calibri" w:hAnsi="Calibri"/>
              </w:rPr>
            </w:pPr>
            <w:r w:rsidRPr="00413CBC">
              <w:rPr>
                <w:rFonts w:ascii="Calibri" w:hAnsi="Calibri"/>
              </w:rPr>
              <w:t>Fareed A, Vayalapalli S, Casarella J, Drexler K. Effect of buprenorphine dose on treatment outcome. J Addict Dis. 2012;31(1):8-18.</w:t>
            </w:r>
          </w:p>
          <w:p w14:paraId="0C7263CE" w14:textId="77777777" w:rsidR="0019056F" w:rsidRPr="00413CBC" w:rsidRDefault="0019056F" w:rsidP="009E73E8">
            <w:pPr>
              <w:ind w:left="0" w:firstLine="0"/>
              <w:rPr>
                <w:rFonts w:ascii="Calibri" w:hAnsi="Calibri"/>
              </w:rPr>
            </w:pPr>
          </w:p>
          <w:p w14:paraId="1B6B8305" w14:textId="77777777" w:rsidR="0019056F" w:rsidRPr="00413CBC" w:rsidRDefault="0019056F" w:rsidP="009E73E8">
            <w:pPr>
              <w:ind w:left="0" w:firstLine="0"/>
              <w:rPr>
                <w:rFonts w:ascii="Calibri" w:hAnsi="Calibri"/>
              </w:rPr>
            </w:pPr>
            <w:r w:rsidRPr="00413CBC">
              <w:rPr>
                <w:rFonts w:ascii="Calibri" w:hAnsi="Calibri"/>
              </w:rPr>
              <w:t xml:space="preserve">Cited in support of Recommendation 8 (see below) by: </w:t>
            </w:r>
          </w:p>
          <w:p w14:paraId="068E1E9A" w14:textId="77777777" w:rsidR="0019056F" w:rsidRPr="000953E9" w:rsidRDefault="0019056F" w:rsidP="009E73E8">
            <w:pPr>
              <w:ind w:left="0" w:firstLine="0"/>
              <w:rPr>
                <w:rFonts w:ascii="Calibri" w:hAnsi="Calibri"/>
              </w:rPr>
            </w:pPr>
            <w:r w:rsidRPr="00413CBC">
              <w:rPr>
                <w:rFonts w:ascii="Calibri" w:hAnsi="Calibri"/>
              </w:rPr>
              <w:t>Department of Veteran Affairs, Department of Defense (VA/D</w:t>
            </w:r>
            <w:r>
              <w:rPr>
                <w:rFonts w:ascii="Calibri" w:hAnsi="Calibri"/>
              </w:rPr>
              <w:t>o</w:t>
            </w:r>
            <w:r w:rsidRPr="00413CBC">
              <w:rPr>
                <w:rFonts w:ascii="Calibri" w:hAnsi="Calibri"/>
              </w:rPr>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14:paraId="738ADAA6" w14:textId="77777777" w:rsidTr="009E73E8">
        <w:tc>
          <w:tcPr>
            <w:tcW w:w="2245" w:type="dxa"/>
          </w:tcPr>
          <w:p w14:paraId="3A731922" w14:textId="77777777" w:rsidR="0019056F" w:rsidRPr="000953E9" w:rsidRDefault="0019056F" w:rsidP="009E73E8">
            <w:pPr>
              <w:ind w:left="0" w:firstLine="0"/>
              <w:rPr>
                <w:rFonts w:ascii="Calibri" w:hAnsi="Calibri"/>
              </w:rPr>
            </w:pPr>
            <w:r w:rsidRPr="000953E9">
              <w:rPr>
                <w:rFonts w:ascii="Calibri" w:hAnsi="Calibri"/>
              </w:rPr>
              <w:t>Quote the guideline or recommendation verbatim about the process, structure or intermediate outcome being measured. If not a guideline, summarize the conclusions from the SR.</w:t>
            </w:r>
          </w:p>
        </w:tc>
        <w:tc>
          <w:tcPr>
            <w:tcW w:w="7105" w:type="dxa"/>
          </w:tcPr>
          <w:p w14:paraId="6C97EE03" w14:textId="77777777" w:rsidR="0019056F" w:rsidRPr="00413CBC" w:rsidRDefault="0019056F" w:rsidP="009E73E8">
            <w:pPr>
              <w:autoSpaceDE w:val="0"/>
              <w:autoSpaceDN w:val="0"/>
              <w:adjustRightInd w:val="0"/>
              <w:rPr>
                <w:rFonts w:ascii="Calibri" w:hAnsi="Calibri" w:cs="Calibri"/>
                <w:b/>
                <w:color w:val="000000"/>
              </w:rPr>
            </w:pPr>
            <w:r w:rsidRPr="00413CBC">
              <w:rPr>
                <w:rFonts w:ascii="Calibri" w:hAnsi="Calibri" w:cs="Calibri"/>
                <w:b/>
                <w:color w:val="000000"/>
              </w:rPr>
              <w:t>Recommendation 8 (page 38)</w:t>
            </w:r>
            <w:r>
              <w:rPr>
                <w:rFonts w:ascii="Calibri" w:hAnsi="Calibri" w:cs="Calibri"/>
                <w:b/>
                <w:color w:val="000000"/>
              </w:rPr>
              <w:t xml:space="preserve"> </w:t>
            </w:r>
            <w:r>
              <w:rPr>
                <w:b/>
              </w:rPr>
              <w:t>from 2015 VA/DoD Guideline</w:t>
            </w:r>
          </w:p>
          <w:p w14:paraId="1B92DFEE" w14:textId="77777777" w:rsidR="0019056F" w:rsidRPr="00413CBC" w:rsidRDefault="0019056F" w:rsidP="009E73E8">
            <w:pPr>
              <w:autoSpaceDE w:val="0"/>
              <w:autoSpaceDN w:val="0"/>
              <w:adjustRightInd w:val="0"/>
              <w:rPr>
                <w:rFonts w:ascii="Calibri" w:hAnsi="Calibri" w:cs="Calibri"/>
                <w:color w:val="000000"/>
              </w:rPr>
            </w:pPr>
            <w:r w:rsidRPr="00413CBC">
              <w:rPr>
                <w:rFonts w:ascii="Calibri" w:hAnsi="Calibri" w:cs="Calibri"/>
                <w:color w:val="000000"/>
              </w:rPr>
              <w:t>8. For patients with opioid use disorder, we recommend offering one of the following medications considering patient preferences:</w:t>
            </w:r>
          </w:p>
          <w:p w14:paraId="6CA5643B" w14:textId="77777777" w:rsidR="0019056F" w:rsidRPr="00413CBC" w:rsidRDefault="0019056F" w:rsidP="0019056F">
            <w:pPr>
              <w:numPr>
                <w:ilvl w:val="0"/>
                <w:numId w:val="22"/>
              </w:numPr>
              <w:autoSpaceDE w:val="0"/>
              <w:autoSpaceDN w:val="0"/>
              <w:adjustRightInd w:val="0"/>
              <w:rPr>
                <w:rFonts w:ascii="Calibri" w:hAnsi="Calibri" w:cs="Calibri"/>
                <w:color w:val="000000"/>
              </w:rPr>
            </w:pPr>
            <w:r w:rsidRPr="00413CBC">
              <w:rPr>
                <w:rFonts w:ascii="Calibri" w:hAnsi="Calibri" w:cs="Calibri"/>
                <w:color w:val="000000"/>
              </w:rPr>
              <w:t xml:space="preserve">Buprenorphine/naloxone </w:t>
            </w:r>
          </w:p>
          <w:p w14:paraId="2003232C" w14:textId="77777777" w:rsidR="0019056F" w:rsidRPr="00413CBC" w:rsidRDefault="0019056F" w:rsidP="0019056F">
            <w:pPr>
              <w:numPr>
                <w:ilvl w:val="0"/>
                <w:numId w:val="22"/>
              </w:numPr>
              <w:autoSpaceDE w:val="0"/>
              <w:autoSpaceDN w:val="0"/>
              <w:adjustRightInd w:val="0"/>
              <w:rPr>
                <w:rFonts w:ascii="Calibri" w:hAnsi="Calibri" w:cs="Calibri"/>
                <w:color w:val="000000"/>
              </w:rPr>
            </w:pPr>
            <w:r w:rsidRPr="00413CBC">
              <w:rPr>
                <w:rFonts w:ascii="Calibri" w:hAnsi="Calibri" w:cs="Calibri"/>
                <w:color w:val="000000"/>
              </w:rPr>
              <w:t xml:space="preserve">Methadone in an Opioid Treatment Program </w:t>
            </w:r>
          </w:p>
          <w:p w14:paraId="33690CA7" w14:textId="77777777" w:rsidR="0019056F" w:rsidRPr="00413CBC" w:rsidRDefault="0019056F" w:rsidP="009E73E8">
            <w:pPr>
              <w:autoSpaceDE w:val="0"/>
              <w:autoSpaceDN w:val="0"/>
              <w:adjustRightInd w:val="0"/>
              <w:rPr>
                <w:rFonts w:ascii="Calibri" w:hAnsi="Calibri" w:cs="Calibri"/>
                <w:b/>
                <w:bCs/>
                <w:color w:val="000000"/>
              </w:rPr>
            </w:pPr>
            <w:r w:rsidRPr="00413CBC">
              <w:rPr>
                <w:rFonts w:ascii="Calibri" w:hAnsi="Calibri" w:cs="Calibri"/>
                <w:b/>
                <w:bCs/>
                <w:color w:val="000000"/>
              </w:rPr>
              <w:t xml:space="preserve">(Strong For | Reviewed, New-replaced) </w:t>
            </w:r>
          </w:p>
          <w:p w14:paraId="601728F3" w14:textId="77777777" w:rsidR="0019056F" w:rsidRPr="000953E9" w:rsidRDefault="0019056F" w:rsidP="009E73E8">
            <w:pPr>
              <w:spacing w:after="200" w:line="276" w:lineRule="auto"/>
              <w:ind w:left="0" w:firstLine="0"/>
              <w:rPr>
                <w:rFonts w:ascii="Calibri" w:hAnsi="Calibri"/>
              </w:rPr>
            </w:pPr>
          </w:p>
        </w:tc>
      </w:tr>
      <w:tr w:rsidR="0019056F" w14:paraId="2BE96F86" w14:textId="77777777" w:rsidTr="009E73E8">
        <w:tc>
          <w:tcPr>
            <w:tcW w:w="2245" w:type="dxa"/>
          </w:tcPr>
          <w:p w14:paraId="30F3137B" w14:textId="77777777" w:rsidR="0019056F" w:rsidRPr="000953E9" w:rsidRDefault="0019056F" w:rsidP="009E73E8">
            <w:pPr>
              <w:ind w:left="0" w:firstLine="0"/>
              <w:rPr>
                <w:rFonts w:ascii="Calibri" w:hAnsi="Calibri"/>
              </w:rPr>
            </w:pPr>
            <w:r w:rsidRPr="000953E9">
              <w:rPr>
                <w:rFonts w:ascii="Calibri" w:hAnsi="Calibri"/>
              </w:rPr>
              <w:t xml:space="preserve">Grade assigned to the </w:t>
            </w:r>
            <w:r w:rsidRPr="000953E9">
              <w:rPr>
                <w:rFonts w:ascii="Calibri" w:hAnsi="Calibri"/>
                <w:b/>
              </w:rPr>
              <w:t>evidence</w:t>
            </w:r>
            <w:r w:rsidRPr="000953E9">
              <w:rPr>
                <w:rFonts w:ascii="Calibri" w:hAnsi="Calibri"/>
              </w:rPr>
              <w:t xml:space="preserve"> associated with the recommendation with the definition of the grade</w:t>
            </w:r>
          </w:p>
        </w:tc>
        <w:tc>
          <w:tcPr>
            <w:tcW w:w="7105" w:type="dxa"/>
          </w:tcPr>
          <w:p w14:paraId="783F3537" w14:textId="77777777" w:rsidR="0019056F" w:rsidRPr="000953E9" w:rsidRDefault="0019056F" w:rsidP="009E73E8">
            <w:pPr>
              <w:ind w:left="0" w:firstLine="0"/>
              <w:rPr>
                <w:rFonts w:ascii="Calibri" w:hAnsi="Calibri"/>
              </w:rPr>
            </w:pPr>
            <w:r w:rsidRPr="00413CBC">
              <w:rPr>
                <w:rFonts w:ascii="Calibri" w:hAnsi="Calibri"/>
              </w:rPr>
              <w:t>The meta-analysis did not grade the evidence.</w:t>
            </w:r>
          </w:p>
        </w:tc>
      </w:tr>
      <w:tr w:rsidR="0019056F" w14:paraId="5015C8EC" w14:textId="77777777" w:rsidTr="009E73E8">
        <w:tc>
          <w:tcPr>
            <w:tcW w:w="2245" w:type="dxa"/>
          </w:tcPr>
          <w:p w14:paraId="35683AED" w14:textId="77777777" w:rsidR="0019056F" w:rsidRPr="000953E9" w:rsidRDefault="0019056F" w:rsidP="009E73E8">
            <w:pPr>
              <w:ind w:left="0" w:firstLine="0"/>
              <w:rPr>
                <w:rFonts w:ascii="Calibri" w:hAnsi="Calibri"/>
              </w:rPr>
            </w:pPr>
            <w:r w:rsidRPr="000953E9">
              <w:rPr>
                <w:rFonts w:ascii="Calibri" w:hAnsi="Calibri"/>
              </w:rPr>
              <w:t>Provide all other grades and definitions from the evidence grading system</w:t>
            </w:r>
          </w:p>
        </w:tc>
        <w:tc>
          <w:tcPr>
            <w:tcW w:w="7105" w:type="dxa"/>
          </w:tcPr>
          <w:p w14:paraId="7AA9685E" w14:textId="77777777" w:rsidR="0019056F" w:rsidRPr="000953E9" w:rsidRDefault="0019056F" w:rsidP="009E73E8">
            <w:pPr>
              <w:ind w:left="0" w:firstLine="0"/>
              <w:rPr>
                <w:rFonts w:ascii="Calibri" w:hAnsi="Calibri"/>
              </w:rPr>
            </w:pPr>
            <w:r w:rsidRPr="00413CBC">
              <w:rPr>
                <w:rFonts w:ascii="Calibri" w:hAnsi="Calibri"/>
              </w:rPr>
              <w:t>The meta-analysis did not grade the evidence.</w:t>
            </w:r>
          </w:p>
        </w:tc>
      </w:tr>
      <w:tr w:rsidR="0019056F" w14:paraId="5280C0D8" w14:textId="77777777" w:rsidTr="009E73E8">
        <w:tc>
          <w:tcPr>
            <w:tcW w:w="2245" w:type="dxa"/>
          </w:tcPr>
          <w:p w14:paraId="6EC9D96D" w14:textId="77777777" w:rsidR="0019056F" w:rsidRPr="000953E9" w:rsidRDefault="0019056F" w:rsidP="009E73E8">
            <w:pPr>
              <w:ind w:left="0" w:firstLine="0"/>
              <w:rPr>
                <w:rFonts w:ascii="Calibri" w:hAnsi="Calibri"/>
              </w:rPr>
            </w:pPr>
            <w:r w:rsidRPr="000953E9">
              <w:rPr>
                <w:rFonts w:ascii="Calibri" w:hAnsi="Calibri"/>
              </w:rPr>
              <w:t xml:space="preserve">Grade assigned to the </w:t>
            </w:r>
            <w:r w:rsidRPr="000953E9">
              <w:rPr>
                <w:rFonts w:ascii="Calibri" w:hAnsi="Calibri"/>
                <w:b/>
              </w:rPr>
              <w:t>recommendation</w:t>
            </w:r>
            <w:r w:rsidRPr="000953E9">
              <w:rPr>
                <w:rFonts w:ascii="Calibri" w:hAnsi="Calibri"/>
              </w:rPr>
              <w:t xml:space="preserve"> with definition of the grade</w:t>
            </w:r>
          </w:p>
        </w:tc>
        <w:tc>
          <w:tcPr>
            <w:tcW w:w="7105" w:type="dxa"/>
          </w:tcPr>
          <w:p w14:paraId="50A726AE" w14:textId="77777777" w:rsidR="0019056F" w:rsidRPr="00413CBC" w:rsidRDefault="0019056F" w:rsidP="009E73E8">
            <w:pPr>
              <w:ind w:left="0" w:firstLine="0"/>
              <w:rPr>
                <w:rFonts w:ascii="Calibri" w:hAnsi="Calibri"/>
              </w:rPr>
            </w:pPr>
            <w:r w:rsidRPr="00413CBC">
              <w:rPr>
                <w:rFonts w:ascii="Calibri" w:hAnsi="Calibri"/>
              </w:rPr>
              <w:t>The grade assigned to Recommendation 8 was “Strong For.” “A strong recommendation indicates that the Work Group is highly confident that desirable outcomes outweigh undesirable outcomes.” (page 11)</w:t>
            </w:r>
          </w:p>
          <w:p w14:paraId="3783B342" w14:textId="77777777" w:rsidR="0019056F" w:rsidRPr="000953E9" w:rsidRDefault="0019056F" w:rsidP="009E73E8">
            <w:pPr>
              <w:ind w:left="0" w:firstLine="0"/>
              <w:rPr>
                <w:rFonts w:ascii="Calibri" w:hAnsi="Calibri"/>
              </w:rPr>
            </w:pPr>
            <w:r w:rsidRPr="00413CBC">
              <w:rPr>
                <w:rFonts w:ascii="Calibri" w:hAnsi="Calibri"/>
              </w:rPr>
              <w:t>“Using these elements, the grade of each recommendation is presented as part of a continuum: “Strong For (or “We recommend offering this option …”) “ (page 11)</w:t>
            </w:r>
          </w:p>
        </w:tc>
      </w:tr>
      <w:tr w:rsidR="0019056F" w14:paraId="448EA984" w14:textId="77777777" w:rsidTr="009E73E8">
        <w:tc>
          <w:tcPr>
            <w:tcW w:w="2245" w:type="dxa"/>
          </w:tcPr>
          <w:p w14:paraId="3072FE74" w14:textId="77777777" w:rsidR="0019056F" w:rsidRPr="000953E9" w:rsidRDefault="0019056F" w:rsidP="009E73E8">
            <w:pPr>
              <w:ind w:left="0" w:firstLine="0"/>
              <w:rPr>
                <w:rFonts w:ascii="Calibri" w:hAnsi="Calibri"/>
              </w:rPr>
            </w:pPr>
            <w:r w:rsidRPr="000953E9">
              <w:rPr>
                <w:rFonts w:ascii="Calibri" w:hAnsi="Calibri"/>
              </w:rPr>
              <w:t>Provide all other grades and definitions from the recommendation grading system</w:t>
            </w:r>
          </w:p>
        </w:tc>
        <w:tc>
          <w:tcPr>
            <w:tcW w:w="7105" w:type="dxa"/>
          </w:tcPr>
          <w:p w14:paraId="469875C4" w14:textId="77777777" w:rsidR="0019056F" w:rsidRPr="00413CBC" w:rsidRDefault="0019056F" w:rsidP="009E73E8">
            <w:pPr>
              <w:ind w:left="0" w:firstLine="0"/>
              <w:rPr>
                <w:rFonts w:ascii="Calibri" w:hAnsi="Calibri"/>
              </w:rPr>
            </w:pPr>
            <w:r w:rsidRPr="00413CBC">
              <w:rPr>
                <w:rFonts w:ascii="Calibri" w:hAnsi="Calibri"/>
              </w:rPr>
              <w:t xml:space="preserve">The </w:t>
            </w:r>
            <w:r>
              <w:rPr>
                <w:rFonts w:ascii="Calibri" w:hAnsi="Calibri"/>
              </w:rPr>
              <w:t>[DoD/VA]</w:t>
            </w:r>
            <w:r w:rsidRPr="00413CBC">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61EAC0EF" w14:textId="77777777" w:rsidR="0019056F" w:rsidRPr="00413CBC" w:rsidRDefault="0019056F" w:rsidP="0019056F">
            <w:pPr>
              <w:numPr>
                <w:ilvl w:val="0"/>
                <w:numId w:val="17"/>
              </w:numPr>
              <w:spacing w:after="200" w:line="276" w:lineRule="auto"/>
              <w:contextualSpacing/>
              <w:rPr>
                <w:rFonts w:ascii="Calibri" w:eastAsiaTheme="minorEastAsia" w:hAnsi="Calibri"/>
              </w:rPr>
            </w:pPr>
            <w:r w:rsidRPr="00413CBC">
              <w:rPr>
                <w:rFonts w:ascii="Calibri" w:eastAsiaTheme="minorEastAsia" w:hAnsi="Calibri"/>
              </w:rPr>
              <w:t>Balance of desirable and undesirable outcomes</w:t>
            </w:r>
          </w:p>
          <w:p w14:paraId="05F87DC6" w14:textId="77777777" w:rsidR="0019056F" w:rsidRPr="00413CBC" w:rsidRDefault="0019056F" w:rsidP="0019056F">
            <w:pPr>
              <w:numPr>
                <w:ilvl w:val="0"/>
                <w:numId w:val="17"/>
              </w:numPr>
              <w:spacing w:after="200" w:line="276" w:lineRule="auto"/>
              <w:contextualSpacing/>
              <w:rPr>
                <w:rFonts w:ascii="Calibri" w:eastAsiaTheme="minorEastAsia" w:hAnsi="Calibri"/>
              </w:rPr>
            </w:pPr>
            <w:r w:rsidRPr="00413CBC">
              <w:rPr>
                <w:rFonts w:ascii="Calibri" w:eastAsiaTheme="minorEastAsia" w:hAnsi="Calibri"/>
              </w:rPr>
              <w:lastRenderedPageBreak/>
              <w:t>Confidence in the quality of the evidence</w:t>
            </w:r>
          </w:p>
          <w:p w14:paraId="28FDCC74" w14:textId="77777777" w:rsidR="0019056F" w:rsidRPr="00413CBC" w:rsidRDefault="0019056F" w:rsidP="0019056F">
            <w:pPr>
              <w:numPr>
                <w:ilvl w:val="0"/>
                <w:numId w:val="17"/>
              </w:numPr>
              <w:spacing w:after="200" w:line="276" w:lineRule="auto"/>
              <w:contextualSpacing/>
              <w:rPr>
                <w:rFonts w:ascii="Calibri" w:eastAsiaTheme="minorEastAsia" w:hAnsi="Calibri"/>
              </w:rPr>
            </w:pPr>
            <w:r w:rsidRPr="00413CBC">
              <w:rPr>
                <w:rFonts w:ascii="Calibri" w:eastAsiaTheme="minorEastAsia" w:hAnsi="Calibri"/>
              </w:rPr>
              <w:t>Patient or provider values and preferences</w:t>
            </w:r>
          </w:p>
          <w:p w14:paraId="2B994879" w14:textId="77777777" w:rsidR="0019056F" w:rsidRPr="00413CBC" w:rsidRDefault="0019056F" w:rsidP="0019056F">
            <w:pPr>
              <w:numPr>
                <w:ilvl w:val="0"/>
                <w:numId w:val="16"/>
              </w:numPr>
              <w:spacing w:after="200" w:line="276" w:lineRule="auto"/>
              <w:ind w:left="720"/>
              <w:contextualSpacing/>
              <w:rPr>
                <w:rFonts w:ascii="Calibri" w:eastAsiaTheme="minorEastAsia" w:hAnsi="Calibri"/>
              </w:rPr>
            </w:pPr>
            <w:r w:rsidRPr="00413CBC">
              <w:rPr>
                <w:rFonts w:ascii="Calibri" w:eastAsiaTheme="minorEastAsia" w:hAnsi="Calibri"/>
              </w:rPr>
              <w:t>Other implications, as appropriate, e.g., Resource use, Equity, Acceptability, Feasibility, and Subgroup considerations.</w:t>
            </w:r>
          </w:p>
          <w:p w14:paraId="327E04A1" w14:textId="77777777" w:rsidR="0019056F" w:rsidRPr="00413CBC" w:rsidRDefault="0019056F" w:rsidP="009E73E8">
            <w:pPr>
              <w:ind w:left="0" w:firstLine="0"/>
              <w:rPr>
                <w:rFonts w:ascii="Calibri" w:hAnsi="Calibri"/>
              </w:rPr>
            </w:pPr>
            <w:r w:rsidRPr="00413CBC">
              <w:rPr>
                <w:rFonts w:ascii="Calibri" w:hAnsi="Calibri"/>
              </w:rPr>
              <w:t xml:space="preserve">Using this system, the </w:t>
            </w:r>
            <w:r>
              <w:rPr>
                <w:rFonts w:ascii="Calibri" w:hAnsi="Calibri"/>
              </w:rPr>
              <w:t>[DoD/VA]</w:t>
            </w:r>
            <w:r w:rsidRPr="00413CBC">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27845095" w14:textId="77777777" w:rsidR="0019056F" w:rsidRPr="00413CBC" w:rsidRDefault="0019056F" w:rsidP="009E73E8">
            <w:pPr>
              <w:ind w:left="0" w:firstLine="0"/>
              <w:rPr>
                <w:rFonts w:ascii="Calibri" w:hAnsi="Calibri"/>
              </w:rPr>
            </w:pPr>
          </w:p>
          <w:p w14:paraId="1A143188" w14:textId="77777777" w:rsidR="0019056F" w:rsidRPr="00413CBC" w:rsidRDefault="0019056F" w:rsidP="009E73E8">
            <w:pPr>
              <w:ind w:left="0" w:firstLine="0"/>
              <w:rPr>
                <w:rFonts w:ascii="Calibri" w:hAnsi="Calibri"/>
              </w:rPr>
            </w:pPr>
            <w:r w:rsidRPr="00413CBC">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13BCFA3D" w14:textId="77777777" w:rsidR="0019056F" w:rsidRPr="00413CBC" w:rsidRDefault="0019056F" w:rsidP="009E73E8">
            <w:pPr>
              <w:ind w:left="0" w:firstLine="0"/>
              <w:rPr>
                <w:rFonts w:ascii="Calibri" w:hAnsi="Calibri"/>
              </w:rPr>
            </w:pPr>
          </w:p>
          <w:p w14:paraId="53D8A2BE" w14:textId="77777777" w:rsidR="0019056F" w:rsidRPr="00413CBC" w:rsidRDefault="0019056F" w:rsidP="009E73E8">
            <w:pPr>
              <w:ind w:left="0" w:firstLine="0"/>
              <w:rPr>
                <w:rFonts w:ascii="Calibri" w:hAnsi="Calibri"/>
              </w:rPr>
            </w:pPr>
            <w:r w:rsidRPr="00413CBC">
              <w:rPr>
                <w:rFonts w:ascii="Calibri" w:hAnsi="Calibri"/>
              </w:rPr>
              <w:t>Using these elements, the grade of each recommendation is presented as part of a continuum:</w:t>
            </w:r>
          </w:p>
          <w:p w14:paraId="38E82FC9" w14:textId="77777777" w:rsidR="0019056F" w:rsidRPr="00413CBC" w:rsidRDefault="0019056F" w:rsidP="009E73E8">
            <w:pPr>
              <w:ind w:left="0" w:firstLine="0"/>
              <w:rPr>
                <w:rFonts w:ascii="Calibri" w:hAnsi="Calibri"/>
              </w:rPr>
            </w:pPr>
            <w:r w:rsidRPr="00413CBC">
              <w:rPr>
                <w:rFonts w:ascii="Calibri" w:hAnsi="Calibri"/>
              </w:rPr>
              <w:t>•Strong For (or “We recommend offering this option …”)</w:t>
            </w:r>
          </w:p>
          <w:p w14:paraId="3E7E06EA" w14:textId="77777777" w:rsidR="0019056F" w:rsidRPr="00413CBC" w:rsidRDefault="0019056F" w:rsidP="009E73E8">
            <w:pPr>
              <w:ind w:left="0" w:firstLine="0"/>
              <w:rPr>
                <w:rFonts w:ascii="Calibri" w:hAnsi="Calibri"/>
              </w:rPr>
            </w:pPr>
            <w:r w:rsidRPr="00413CBC">
              <w:rPr>
                <w:rFonts w:ascii="Calibri" w:hAnsi="Calibri"/>
              </w:rPr>
              <w:t>•Weak For (or “We suggest offering this option …”)</w:t>
            </w:r>
          </w:p>
          <w:p w14:paraId="03DC1122" w14:textId="77777777" w:rsidR="0019056F" w:rsidRPr="00413CBC" w:rsidRDefault="0019056F" w:rsidP="009E73E8">
            <w:pPr>
              <w:ind w:left="0" w:firstLine="0"/>
              <w:rPr>
                <w:rFonts w:ascii="Calibri" w:hAnsi="Calibri"/>
              </w:rPr>
            </w:pPr>
            <w:r w:rsidRPr="00413CBC">
              <w:rPr>
                <w:rFonts w:ascii="Calibri" w:hAnsi="Calibri"/>
              </w:rPr>
              <w:t>•Weak Against (or “We suggest not offering this option …”)</w:t>
            </w:r>
          </w:p>
          <w:p w14:paraId="2C89FBD3" w14:textId="77777777" w:rsidR="0019056F" w:rsidRPr="000953E9" w:rsidRDefault="0019056F" w:rsidP="009E73E8">
            <w:pPr>
              <w:ind w:left="0" w:firstLine="0"/>
              <w:rPr>
                <w:rFonts w:ascii="Calibri" w:hAnsi="Calibri"/>
              </w:rPr>
            </w:pPr>
            <w:r w:rsidRPr="00413CBC">
              <w:rPr>
                <w:rFonts w:ascii="Calibri" w:hAnsi="Calibri"/>
              </w:rPr>
              <w:t>•Strong Against (or “We recommend against offering this option …”)</w:t>
            </w:r>
          </w:p>
        </w:tc>
      </w:tr>
      <w:tr w:rsidR="0019056F" w14:paraId="7F36364E" w14:textId="77777777" w:rsidTr="009E73E8">
        <w:tc>
          <w:tcPr>
            <w:tcW w:w="2245" w:type="dxa"/>
          </w:tcPr>
          <w:p w14:paraId="3009FAF4" w14:textId="77777777" w:rsidR="0019056F" w:rsidRPr="000953E9" w:rsidRDefault="0019056F" w:rsidP="009E73E8">
            <w:pPr>
              <w:ind w:left="0" w:firstLine="0"/>
              <w:rPr>
                <w:rFonts w:ascii="Calibri" w:hAnsi="Calibri"/>
              </w:rPr>
            </w:pPr>
            <w:r w:rsidRPr="000953E9">
              <w:rPr>
                <w:rFonts w:ascii="Calibri" w:hAnsi="Calibri"/>
              </w:rPr>
              <w:lastRenderedPageBreak/>
              <w:t>Body of evidence:</w:t>
            </w:r>
          </w:p>
          <w:p w14:paraId="09ED3FDB" w14:textId="77777777" w:rsidR="0019056F" w:rsidRPr="000953E9" w:rsidRDefault="0019056F" w:rsidP="009E73E8">
            <w:pPr>
              <w:numPr>
                <w:ilvl w:val="0"/>
                <w:numId w:val="10"/>
              </w:numPr>
              <w:spacing w:after="200" w:line="276" w:lineRule="auto"/>
              <w:contextualSpacing/>
              <w:rPr>
                <w:rFonts w:ascii="Calibri" w:hAnsi="Calibri"/>
              </w:rPr>
            </w:pPr>
            <w:r w:rsidRPr="000953E9">
              <w:rPr>
                <w:rFonts w:ascii="Calibri" w:hAnsi="Calibri"/>
              </w:rPr>
              <w:t>Quantity – how many studies?</w:t>
            </w:r>
          </w:p>
          <w:p w14:paraId="6DB76689" w14:textId="77777777" w:rsidR="0019056F" w:rsidRPr="000953E9" w:rsidRDefault="0019056F" w:rsidP="009E73E8">
            <w:pPr>
              <w:numPr>
                <w:ilvl w:val="0"/>
                <w:numId w:val="10"/>
              </w:numPr>
              <w:spacing w:after="200" w:line="276" w:lineRule="auto"/>
              <w:contextualSpacing/>
              <w:rPr>
                <w:rFonts w:ascii="Calibri" w:hAnsi="Calibri"/>
              </w:rPr>
            </w:pPr>
            <w:r w:rsidRPr="000953E9">
              <w:rPr>
                <w:rFonts w:ascii="Calibri" w:hAnsi="Calibri"/>
              </w:rPr>
              <w:t>Quality – what type of studies?</w:t>
            </w:r>
          </w:p>
        </w:tc>
        <w:tc>
          <w:tcPr>
            <w:tcW w:w="7105" w:type="dxa"/>
          </w:tcPr>
          <w:p w14:paraId="2FE57587" w14:textId="77777777" w:rsidR="0019056F" w:rsidRPr="00413CBC" w:rsidRDefault="0019056F" w:rsidP="009E73E8">
            <w:pPr>
              <w:ind w:left="0" w:firstLine="0"/>
              <w:rPr>
                <w:rFonts w:ascii="Calibri" w:hAnsi="Calibri"/>
              </w:rPr>
            </w:pPr>
            <w:r w:rsidRPr="00413CBC">
              <w:rPr>
                <w:rFonts w:ascii="Calibri" w:hAnsi="Calibri"/>
              </w:rPr>
              <w:t xml:space="preserve">Quantity of studies included: Meta-analysis of 21 randomized, controlled, or double-blind clinical trials. A total of 2,703 participants were included in those studies. </w:t>
            </w:r>
          </w:p>
          <w:p w14:paraId="10DA9B48" w14:textId="77777777" w:rsidR="0019056F" w:rsidRPr="00413CBC" w:rsidRDefault="0019056F" w:rsidP="009E73E8">
            <w:pPr>
              <w:ind w:left="0" w:firstLine="0"/>
              <w:rPr>
                <w:rFonts w:ascii="Calibri" w:hAnsi="Calibri"/>
              </w:rPr>
            </w:pPr>
          </w:p>
          <w:p w14:paraId="2D83C777" w14:textId="77777777" w:rsidR="0019056F" w:rsidRPr="00413CBC" w:rsidRDefault="0019056F" w:rsidP="009E73E8">
            <w:pPr>
              <w:ind w:left="0" w:firstLine="0"/>
              <w:rPr>
                <w:rFonts w:ascii="Calibri" w:hAnsi="Calibri"/>
              </w:rPr>
            </w:pPr>
            <w:r w:rsidRPr="00413CBC">
              <w:rPr>
                <w:rFonts w:ascii="Calibri" w:hAnsi="Calibri"/>
              </w:rPr>
              <w:t>Quality of studies included: A scale designed to rate the quality of randomized clinical trials (Jadad et al., 1996) was used “to evaluate the quality of the selected studies. The scale is widely used to assess the quality of clinical trials. It is a five-question scale to assess randomization, blindness, and description of participant withdrawals. Studies with a score of 3 or more were included in the meta-analysis” (Fareed et al., 2012).</w:t>
            </w:r>
          </w:p>
          <w:p w14:paraId="3387DD73" w14:textId="77777777" w:rsidR="0019056F" w:rsidRPr="00413CBC" w:rsidRDefault="0019056F" w:rsidP="009E73E8">
            <w:pPr>
              <w:ind w:left="0" w:firstLine="0"/>
              <w:rPr>
                <w:rFonts w:ascii="Calibri" w:hAnsi="Calibri"/>
              </w:rPr>
            </w:pPr>
          </w:p>
          <w:p w14:paraId="7E47479C" w14:textId="77777777" w:rsidR="0019056F" w:rsidRPr="00413CBC" w:rsidRDefault="0019056F" w:rsidP="009E73E8">
            <w:pPr>
              <w:ind w:left="0" w:firstLine="0"/>
              <w:rPr>
                <w:rFonts w:ascii="Calibri" w:hAnsi="Calibri"/>
              </w:rPr>
            </w:pPr>
            <w:r w:rsidRPr="00413CBC">
              <w:rPr>
                <w:rFonts w:ascii="Calibri" w:hAnsi="Calibri"/>
              </w:rPr>
              <w:t>Citations:</w:t>
            </w:r>
          </w:p>
          <w:p w14:paraId="0F932CC7" w14:textId="77777777" w:rsidR="0019056F" w:rsidRPr="00413CBC" w:rsidRDefault="0019056F" w:rsidP="009E73E8">
            <w:pPr>
              <w:ind w:left="366" w:hanging="366"/>
              <w:rPr>
                <w:rFonts w:ascii="Calibri" w:hAnsi="Calibri"/>
              </w:rPr>
            </w:pPr>
            <w:r w:rsidRPr="00413CBC">
              <w:rPr>
                <w:rFonts w:ascii="Calibri" w:hAnsi="Calibri"/>
              </w:rPr>
              <w:t>Fareed A, Vayalapalli S, Casarella J, Drexler K. Effect of buprenorphine dose on treatment outcome. J Addict Dis. 2012;31(1):8-18.</w:t>
            </w:r>
          </w:p>
          <w:p w14:paraId="1C298093" w14:textId="77777777" w:rsidR="0019056F" w:rsidRPr="000953E9" w:rsidRDefault="0019056F" w:rsidP="009E73E8">
            <w:pPr>
              <w:ind w:left="366" w:hanging="366"/>
              <w:rPr>
                <w:rFonts w:ascii="Calibri" w:hAnsi="Calibri"/>
              </w:rPr>
            </w:pPr>
            <w:r w:rsidRPr="00413CBC">
              <w:rPr>
                <w:rFonts w:ascii="Calibri" w:hAnsi="Calibri"/>
              </w:rPr>
              <w:t>Jadad AR; Moore RA, Carroll D, et al. Assessing the quality of reports of randomized clinical trials: is blinding necessary? Control Clin Trials 1996; 17(1):1–12. doi:10.1016/0197-2456(95)00134-4.</w:t>
            </w:r>
          </w:p>
        </w:tc>
      </w:tr>
      <w:tr w:rsidR="0019056F" w14:paraId="7A82ED7E" w14:textId="77777777" w:rsidTr="009E73E8">
        <w:tc>
          <w:tcPr>
            <w:tcW w:w="2245" w:type="dxa"/>
          </w:tcPr>
          <w:p w14:paraId="5DCE434C" w14:textId="77777777" w:rsidR="0019056F" w:rsidRPr="000953E9" w:rsidRDefault="0019056F" w:rsidP="009E73E8">
            <w:pPr>
              <w:ind w:left="0" w:firstLine="0"/>
              <w:rPr>
                <w:rFonts w:ascii="Calibri" w:hAnsi="Calibri"/>
              </w:rPr>
            </w:pPr>
            <w:r w:rsidRPr="000953E9">
              <w:rPr>
                <w:rFonts w:ascii="Calibri" w:hAnsi="Calibri"/>
              </w:rPr>
              <w:t xml:space="preserve">Estimates of benefit and consistency across studies </w:t>
            </w:r>
          </w:p>
        </w:tc>
        <w:tc>
          <w:tcPr>
            <w:tcW w:w="7105" w:type="dxa"/>
          </w:tcPr>
          <w:p w14:paraId="4CF8A947" w14:textId="77777777" w:rsidR="0019056F" w:rsidRPr="000953E9" w:rsidRDefault="0019056F" w:rsidP="009E73E8">
            <w:pPr>
              <w:ind w:left="0" w:firstLine="0"/>
              <w:rPr>
                <w:rFonts w:ascii="Calibri" w:hAnsi="Calibri"/>
              </w:rPr>
            </w:pPr>
            <w:r w:rsidRPr="00413CBC">
              <w:rPr>
                <w:rFonts w:ascii="Calibri" w:hAnsi="Calibri"/>
              </w:rPr>
              <w:t>Higher buprenorphine doses of 16-32 mg per day predicted better retention in treatment compared with the lower doses of less than 16 mg per day (univariate analysis: 69% v. 51%; p=0.006). Buprenorphine dose was a significant predictor for retention status in an analysis of predictor variables (univariate analysis: p</w:t>
            </w:r>
            <w:r>
              <w:rPr>
                <w:rFonts w:ascii="Calibri" w:hAnsi="Calibri"/>
              </w:rPr>
              <w:t>&lt;0.00001</w:t>
            </w:r>
            <w:r w:rsidRPr="00413CBC">
              <w:rPr>
                <w:rFonts w:ascii="Calibri" w:hAnsi="Calibri"/>
              </w:rPr>
              <w:t>; R</w:t>
            </w:r>
            <w:r w:rsidRPr="00413CBC">
              <w:rPr>
                <w:rFonts w:ascii="Calibri" w:hAnsi="Calibri"/>
                <w:vertAlign w:val="superscript"/>
              </w:rPr>
              <w:t>2</w:t>
            </w:r>
            <w:r w:rsidRPr="00413CBC">
              <w:rPr>
                <w:rFonts w:ascii="Calibri" w:hAnsi="Calibri"/>
              </w:rPr>
              <w:t xml:space="preserve"> =0.</w:t>
            </w:r>
            <w:r>
              <w:rPr>
                <w:rFonts w:ascii="Calibri" w:hAnsi="Calibri"/>
              </w:rPr>
              <w:t>44</w:t>
            </w:r>
            <w:r w:rsidRPr="00413CBC">
              <w:rPr>
                <w:rFonts w:ascii="Calibri" w:hAnsi="Calibri"/>
              </w:rPr>
              <w:t>).  In a multivariate analysis, buprenorphine dose show</w:t>
            </w:r>
            <w:r>
              <w:rPr>
                <w:rFonts w:ascii="Calibri" w:hAnsi="Calibri"/>
              </w:rPr>
              <w:t>ed</w:t>
            </w:r>
            <w:r w:rsidRPr="00413CBC">
              <w:rPr>
                <w:rFonts w:ascii="Calibri" w:hAnsi="Calibri"/>
              </w:rPr>
              <w:t xml:space="preserve"> significant positive correlation with retention in </w:t>
            </w:r>
            <w:r w:rsidRPr="00413CBC">
              <w:rPr>
                <w:rFonts w:ascii="Calibri" w:hAnsi="Calibri"/>
              </w:rPr>
              <w:lastRenderedPageBreak/>
              <w:t xml:space="preserve">treatment (p=0.009, </w:t>
            </w:r>
            <w:r>
              <w:rPr>
                <w:rFonts w:ascii="Calibri" w:hAnsi="Calibri"/>
              </w:rPr>
              <w:t xml:space="preserve">adjusted </w:t>
            </w:r>
            <w:r w:rsidRPr="00413CBC">
              <w:rPr>
                <w:rFonts w:ascii="Calibri" w:hAnsi="Calibri"/>
              </w:rPr>
              <w:t>R</w:t>
            </w:r>
            <w:r w:rsidRPr="00413CBC">
              <w:rPr>
                <w:rFonts w:ascii="Calibri" w:hAnsi="Calibri"/>
                <w:vertAlign w:val="superscript"/>
              </w:rPr>
              <w:t>2</w:t>
            </w:r>
            <w:r w:rsidRPr="00413CBC">
              <w:rPr>
                <w:rFonts w:ascii="Calibri" w:hAnsi="Calibri"/>
              </w:rPr>
              <w:t xml:space="preserve"> =0.40). Higher buprenorphine dose predicted less illicit opioid use compared with lower dose (p=0.0019; R</w:t>
            </w:r>
            <w:r w:rsidRPr="00413CBC">
              <w:rPr>
                <w:rFonts w:ascii="Calibri" w:hAnsi="Calibri"/>
                <w:vertAlign w:val="superscript"/>
              </w:rPr>
              <w:t>2</w:t>
            </w:r>
            <w:r w:rsidRPr="00413CBC">
              <w:rPr>
                <w:rFonts w:ascii="Calibri" w:hAnsi="Calibri"/>
              </w:rPr>
              <w:t xml:space="preserve"> =0.29). In a multivariate analysis, buprenorphine dose did not show a significant correlation with illicit opioid use. </w:t>
            </w:r>
            <w:r>
              <w:rPr>
                <w:rFonts w:ascii="Calibri" w:hAnsi="Calibri"/>
              </w:rPr>
              <w:t>“</w:t>
            </w:r>
            <w:r w:rsidRPr="00413CBC">
              <w:rPr>
                <w:rFonts w:ascii="Calibri" w:hAnsi="Calibri"/>
              </w:rPr>
              <w:t>Strong evidence exists based on 21 randomized clinical trials that the higher buprenorphine dose may improve retention in buprenorphine maintenance treatment.</w:t>
            </w:r>
            <w:r>
              <w:rPr>
                <w:rFonts w:ascii="Calibri" w:hAnsi="Calibri"/>
              </w:rPr>
              <w:t>”</w:t>
            </w:r>
          </w:p>
        </w:tc>
      </w:tr>
      <w:tr w:rsidR="0019056F" w14:paraId="3D8C8609" w14:textId="77777777" w:rsidTr="009E73E8">
        <w:tc>
          <w:tcPr>
            <w:tcW w:w="2245" w:type="dxa"/>
          </w:tcPr>
          <w:p w14:paraId="0BDDFFC6" w14:textId="77777777" w:rsidR="0019056F" w:rsidRPr="000953E9" w:rsidRDefault="0019056F" w:rsidP="009E73E8">
            <w:pPr>
              <w:ind w:left="0" w:firstLine="0"/>
              <w:rPr>
                <w:rFonts w:ascii="Calibri" w:hAnsi="Calibri"/>
              </w:rPr>
            </w:pPr>
            <w:r w:rsidRPr="000953E9">
              <w:rPr>
                <w:rFonts w:ascii="Calibri" w:hAnsi="Calibri"/>
              </w:rPr>
              <w:lastRenderedPageBreak/>
              <w:t>What harms were identified?</w:t>
            </w:r>
          </w:p>
        </w:tc>
        <w:tc>
          <w:tcPr>
            <w:tcW w:w="7105" w:type="dxa"/>
          </w:tcPr>
          <w:p w14:paraId="5EAA124A" w14:textId="77777777" w:rsidR="0019056F" w:rsidRPr="000953E9" w:rsidRDefault="0019056F" w:rsidP="009E73E8">
            <w:pPr>
              <w:ind w:left="0" w:firstLine="0"/>
              <w:rPr>
                <w:rFonts w:ascii="Calibri" w:hAnsi="Calibri"/>
              </w:rPr>
            </w:pPr>
            <w:r w:rsidRPr="00413CBC">
              <w:rPr>
                <w:rFonts w:ascii="Calibri" w:hAnsi="Calibri"/>
              </w:rPr>
              <w:t>No harms were identified in the meta-analysis</w:t>
            </w:r>
            <w:r>
              <w:rPr>
                <w:rFonts w:ascii="Calibri" w:hAnsi="Calibri"/>
              </w:rPr>
              <w:t xml:space="preserve"> article</w:t>
            </w:r>
            <w:r w:rsidRPr="00413CBC">
              <w:rPr>
                <w:rFonts w:ascii="Calibri" w:hAnsi="Calibri"/>
              </w:rPr>
              <w:t xml:space="preserve">. </w:t>
            </w:r>
          </w:p>
        </w:tc>
      </w:tr>
      <w:tr w:rsidR="0019056F" w14:paraId="0E4A77D6" w14:textId="77777777" w:rsidTr="009E73E8">
        <w:tc>
          <w:tcPr>
            <w:tcW w:w="2245" w:type="dxa"/>
          </w:tcPr>
          <w:p w14:paraId="52FEE95A" w14:textId="77777777" w:rsidR="0019056F" w:rsidRPr="000953E9" w:rsidRDefault="0019056F" w:rsidP="009E73E8">
            <w:pPr>
              <w:ind w:left="0" w:firstLine="0"/>
              <w:rPr>
                <w:rFonts w:ascii="Calibri" w:hAnsi="Calibri"/>
              </w:rPr>
            </w:pPr>
            <w:r w:rsidRPr="000953E9">
              <w:rPr>
                <w:rFonts w:ascii="Calibri" w:hAnsi="Calibri"/>
              </w:rPr>
              <w:t>Identify any new studies conducted since the SR. Do the new studies change the conclusions from the SR?</w:t>
            </w:r>
          </w:p>
        </w:tc>
        <w:tc>
          <w:tcPr>
            <w:tcW w:w="7105" w:type="dxa"/>
          </w:tcPr>
          <w:p w14:paraId="184AF29F" w14:textId="77777777" w:rsidR="0019056F" w:rsidRPr="000953E9" w:rsidRDefault="0019056F" w:rsidP="009E73E8">
            <w:pPr>
              <w:ind w:left="0" w:firstLine="0"/>
              <w:rPr>
                <w:rFonts w:ascii="Calibri" w:hAnsi="Calibri"/>
              </w:rPr>
            </w:pPr>
            <w:r>
              <w:rPr>
                <w:rFonts w:ascii="Calibri" w:hAnsi="Calibri"/>
              </w:rPr>
              <w:t>No new studies were identified.</w:t>
            </w:r>
          </w:p>
        </w:tc>
      </w:tr>
    </w:tbl>
    <w:p w14:paraId="59E3F773" w14:textId="77777777" w:rsidR="0019056F" w:rsidRDefault="0019056F" w:rsidP="0019056F">
      <w:pPr>
        <w:ind w:left="0" w:firstLine="0"/>
        <w:rPr>
          <w:i/>
          <w:iCs/>
        </w:rPr>
      </w:pPr>
    </w:p>
    <w:p w14:paraId="1998E526" w14:textId="77777777" w:rsidR="0019056F" w:rsidRDefault="0019056F" w:rsidP="0019056F">
      <w:pPr>
        <w:rPr>
          <w:i/>
          <w:iCs/>
        </w:rPr>
      </w:pPr>
      <w:r>
        <w:rPr>
          <w:i/>
          <w:iCs/>
        </w:rPr>
        <w:br w:type="page"/>
      </w:r>
    </w:p>
    <w:p w14:paraId="199BABA3" w14:textId="77777777" w:rsidR="0019056F" w:rsidRPr="00DB4E2F" w:rsidRDefault="0019056F" w:rsidP="0019056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2</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Systematic Review</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Pr>
          <w:rFonts w:asciiTheme="majorHAnsi" w:eastAsia="Times New Roman" w:hAnsiTheme="majorHAnsi" w:cstheme="majorBidi"/>
          <w:b/>
          <w:bCs/>
          <w:color w:val="4F81BD" w:themeColor="accent1"/>
          <w:sz w:val="26"/>
          <w:szCs w:val="26"/>
        </w:rPr>
        <w:t>Buprenorphine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Mattick</w:t>
      </w:r>
      <w:r w:rsidRPr="00DB4E2F">
        <w:rPr>
          <w:rFonts w:asciiTheme="majorHAnsi" w:eastAsia="Times New Roman" w:hAnsiTheme="majorHAnsi" w:cstheme="majorBidi"/>
          <w:b/>
          <w:bCs/>
          <w:color w:val="4F81BD" w:themeColor="accent1"/>
          <w:sz w:val="26"/>
          <w:szCs w:val="26"/>
        </w:rPr>
        <w:t xml:space="preserve"> et al., 201</w:t>
      </w:r>
      <w:r>
        <w:rPr>
          <w:rFonts w:asciiTheme="majorHAnsi" w:eastAsia="Times New Roman" w:hAnsiTheme="majorHAnsi" w:cstheme="majorBidi"/>
          <w:b/>
          <w:bCs/>
          <w:color w:val="4F81BD" w:themeColor="accent1"/>
          <w:sz w:val="26"/>
          <w:szCs w:val="26"/>
        </w:rPr>
        <w:t>4</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065"/>
        <w:gridCol w:w="7285"/>
      </w:tblGrid>
      <w:tr w:rsidR="0019056F" w:rsidRPr="00A85EF6" w14:paraId="2806510A" w14:textId="77777777" w:rsidTr="009E73E8">
        <w:tc>
          <w:tcPr>
            <w:tcW w:w="2065" w:type="dxa"/>
          </w:tcPr>
          <w:p w14:paraId="041454F9" w14:textId="77777777" w:rsidR="0019056F" w:rsidRPr="00A85EF6" w:rsidRDefault="0019056F" w:rsidP="009E73E8">
            <w:pPr>
              <w:ind w:left="0" w:firstLine="0"/>
              <w:rPr>
                <w:rFonts w:ascii="Calibri" w:hAnsi="Calibri"/>
                <w:b/>
              </w:rPr>
            </w:pPr>
            <w:r w:rsidRPr="00A85EF6">
              <w:rPr>
                <w:rFonts w:ascii="Calibri" w:hAnsi="Calibri"/>
                <w:b/>
              </w:rPr>
              <w:t>Source of Systematic Review:</w:t>
            </w:r>
          </w:p>
          <w:p w14:paraId="1B0C963F"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Title</w:t>
            </w:r>
          </w:p>
          <w:p w14:paraId="4CECB4CB"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Author</w:t>
            </w:r>
          </w:p>
          <w:p w14:paraId="2FE0BBA5"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Date</w:t>
            </w:r>
          </w:p>
          <w:p w14:paraId="5B8B71FF"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Citation, including page number</w:t>
            </w:r>
          </w:p>
          <w:p w14:paraId="0FA1214D"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URL</w:t>
            </w:r>
          </w:p>
        </w:tc>
        <w:tc>
          <w:tcPr>
            <w:tcW w:w="7285" w:type="dxa"/>
          </w:tcPr>
          <w:p w14:paraId="33873C66" w14:textId="77777777" w:rsidR="0019056F" w:rsidRPr="00A85EF6" w:rsidRDefault="0019056F" w:rsidP="009E73E8">
            <w:pPr>
              <w:ind w:left="0" w:firstLine="0"/>
              <w:rPr>
                <w:rFonts w:ascii="Calibri" w:hAnsi="Calibri"/>
              </w:rPr>
            </w:pPr>
            <w:r w:rsidRPr="00A85EF6">
              <w:rPr>
                <w:rFonts w:ascii="Calibri" w:hAnsi="Calibri"/>
              </w:rPr>
              <w:t xml:space="preserve">Systematic review: </w:t>
            </w:r>
          </w:p>
          <w:p w14:paraId="6624DC16" w14:textId="77777777" w:rsidR="0019056F" w:rsidRPr="00A85EF6" w:rsidRDefault="0019056F" w:rsidP="009E73E8">
            <w:pPr>
              <w:ind w:left="0" w:firstLine="0"/>
              <w:rPr>
                <w:rFonts w:ascii="Calibri" w:hAnsi="Calibri"/>
              </w:rPr>
            </w:pPr>
            <w:r w:rsidRPr="00A85EF6">
              <w:rPr>
                <w:rFonts w:ascii="Calibri" w:hAnsi="Calibri"/>
              </w:rPr>
              <w:t xml:space="preserve">Mattick RP, Breen C, Kimber J, Davoli M. Buprenorphine maintenance versus placebo or methadone maintenance for opioid dependence. Cochrane Database Syst Rev. 2014;2:Cd002207. </w:t>
            </w:r>
          </w:p>
          <w:p w14:paraId="2F1C1953" w14:textId="77777777" w:rsidR="0019056F" w:rsidRPr="00A85EF6" w:rsidRDefault="0019056F" w:rsidP="009E73E8">
            <w:pPr>
              <w:ind w:left="0" w:firstLine="0"/>
              <w:rPr>
                <w:rFonts w:ascii="Calibri" w:hAnsi="Calibri"/>
              </w:rPr>
            </w:pPr>
          </w:p>
          <w:p w14:paraId="64045D1E" w14:textId="77777777" w:rsidR="0019056F" w:rsidRPr="00A85EF6" w:rsidRDefault="0019056F" w:rsidP="009E73E8">
            <w:pPr>
              <w:ind w:left="0" w:firstLine="0"/>
              <w:rPr>
                <w:rFonts w:ascii="Calibri" w:hAnsi="Calibri"/>
              </w:rPr>
            </w:pPr>
            <w:r w:rsidRPr="00A85EF6">
              <w:rPr>
                <w:rFonts w:ascii="Calibri" w:hAnsi="Calibri"/>
              </w:rPr>
              <w:t xml:space="preserve">Cited in support of Recommendation 8 (see below) by: </w:t>
            </w:r>
          </w:p>
          <w:p w14:paraId="16752B2E" w14:textId="77777777" w:rsidR="0019056F" w:rsidRPr="00A85EF6" w:rsidRDefault="0019056F" w:rsidP="009E73E8">
            <w:pPr>
              <w:ind w:left="0" w:firstLine="0"/>
              <w:rPr>
                <w:rFonts w:ascii="Calibri" w:hAnsi="Calibri"/>
              </w:rPr>
            </w:pPr>
            <w:r w:rsidRPr="00A85EF6">
              <w:rPr>
                <w:rFonts w:ascii="Calibri" w:hAnsi="Calibri"/>
              </w:rPr>
              <w:t>Department of Veteran Affairs, Department of Defense (VA/D</w:t>
            </w:r>
            <w:r>
              <w:rPr>
                <w:rFonts w:ascii="Calibri" w:hAnsi="Calibri"/>
              </w:rPr>
              <w:t>o</w:t>
            </w:r>
            <w:r w:rsidRPr="00A85EF6">
              <w:rPr>
                <w:rFonts w:ascii="Calibri" w:hAnsi="Calibri"/>
              </w:rPr>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rsidRPr="00A85EF6" w14:paraId="2D65A9F0" w14:textId="77777777" w:rsidTr="009E73E8">
        <w:tc>
          <w:tcPr>
            <w:tcW w:w="2065" w:type="dxa"/>
          </w:tcPr>
          <w:p w14:paraId="155FB17F" w14:textId="77777777" w:rsidR="0019056F" w:rsidRPr="00A85EF6" w:rsidRDefault="0019056F" w:rsidP="009E73E8">
            <w:pPr>
              <w:ind w:left="0" w:firstLine="0"/>
              <w:rPr>
                <w:rFonts w:ascii="Calibri" w:hAnsi="Calibri"/>
              </w:rPr>
            </w:pPr>
            <w:r w:rsidRPr="00A85EF6">
              <w:rPr>
                <w:rFonts w:ascii="Calibri" w:hAnsi="Calibri"/>
              </w:rPr>
              <w:t>Quote the guideline or recommendation verbatim about the process, structure or intermediate outcome being measured. If not a guideline, summarize the conclusions from the SR.</w:t>
            </w:r>
          </w:p>
        </w:tc>
        <w:tc>
          <w:tcPr>
            <w:tcW w:w="7285" w:type="dxa"/>
          </w:tcPr>
          <w:p w14:paraId="132905D8" w14:textId="77777777" w:rsidR="0019056F" w:rsidRPr="00A85EF6" w:rsidRDefault="0019056F" w:rsidP="009E73E8">
            <w:pPr>
              <w:autoSpaceDE w:val="0"/>
              <w:autoSpaceDN w:val="0"/>
              <w:adjustRightInd w:val="0"/>
              <w:rPr>
                <w:rFonts w:ascii="Calibri" w:hAnsi="Calibri" w:cs="Calibri"/>
                <w:b/>
                <w:color w:val="000000"/>
              </w:rPr>
            </w:pPr>
            <w:r w:rsidRPr="00A85EF6">
              <w:rPr>
                <w:rFonts w:ascii="Calibri" w:hAnsi="Calibri" w:cs="Calibri"/>
                <w:b/>
                <w:color w:val="000000"/>
              </w:rPr>
              <w:t>Recommendation 8 (page 38)</w:t>
            </w:r>
            <w:r>
              <w:rPr>
                <w:rFonts w:ascii="Calibri" w:hAnsi="Calibri" w:cs="Calibri"/>
                <w:b/>
                <w:color w:val="000000"/>
              </w:rPr>
              <w:t xml:space="preserve"> </w:t>
            </w:r>
            <w:r>
              <w:rPr>
                <w:b/>
              </w:rPr>
              <w:t>from 2015 VA/DoD Guideline</w:t>
            </w:r>
          </w:p>
          <w:p w14:paraId="27D1E57E" w14:textId="77777777" w:rsidR="0019056F" w:rsidRPr="00A85EF6" w:rsidRDefault="0019056F" w:rsidP="009E73E8">
            <w:pPr>
              <w:autoSpaceDE w:val="0"/>
              <w:autoSpaceDN w:val="0"/>
              <w:adjustRightInd w:val="0"/>
              <w:rPr>
                <w:rFonts w:ascii="Calibri" w:hAnsi="Calibri" w:cs="Calibri"/>
                <w:color w:val="000000"/>
              </w:rPr>
            </w:pPr>
            <w:r w:rsidRPr="00A85EF6">
              <w:rPr>
                <w:rFonts w:ascii="Calibri" w:hAnsi="Calibri" w:cs="Calibri"/>
                <w:color w:val="000000"/>
              </w:rPr>
              <w:t>8. For patients with opioid use disorder, we recommend offering one of the following medications considering patient preferences:</w:t>
            </w:r>
          </w:p>
          <w:p w14:paraId="3A5DEB31" w14:textId="77777777" w:rsidR="0019056F" w:rsidRPr="00A85EF6" w:rsidRDefault="0019056F" w:rsidP="0019056F">
            <w:pPr>
              <w:numPr>
                <w:ilvl w:val="0"/>
                <w:numId w:val="25"/>
              </w:numPr>
              <w:autoSpaceDE w:val="0"/>
              <w:autoSpaceDN w:val="0"/>
              <w:adjustRightInd w:val="0"/>
              <w:rPr>
                <w:rFonts w:ascii="Calibri" w:hAnsi="Calibri" w:cs="Calibri"/>
                <w:color w:val="000000"/>
              </w:rPr>
            </w:pPr>
            <w:r w:rsidRPr="00A85EF6">
              <w:rPr>
                <w:rFonts w:ascii="Calibri" w:hAnsi="Calibri" w:cs="Calibri"/>
                <w:color w:val="000000"/>
              </w:rPr>
              <w:t xml:space="preserve">Buprenorphine/naloxone </w:t>
            </w:r>
          </w:p>
          <w:p w14:paraId="4014772A" w14:textId="77777777" w:rsidR="0019056F" w:rsidRPr="00A85EF6" w:rsidRDefault="0019056F" w:rsidP="0019056F">
            <w:pPr>
              <w:numPr>
                <w:ilvl w:val="0"/>
                <w:numId w:val="25"/>
              </w:numPr>
              <w:autoSpaceDE w:val="0"/>
              <w:autoSpaceDN w:val="0"/>
              <w:adjustRightInd w:val="0"/>
              <w:rPr>
                <w:rFonts w:ascii="Calibri" w:hAnsi="Calibri" w:cs="Calibri"/>
                <w:color w:val="000000"/>
              </w:rPr>
            </w:pPr>
            <w:r w:rsidRPr="00A85EF6">
              <w:rPr>
                <w:rFonts w:ascii="Calibri" w:hAnsi="Calibri" w:cs="Calibri"/>
                <w:color w:val="000000"/>
              </w:rPr>
              <w:t xml:space="preserve">Methadone in an Opioid Treatment Program </w:t>
            </w:r>
          </w:p>
          <w:p w14:paraId="6C2C6138" w14:textId="77777777" w:rsidR="0019056F" w:rsidRPr="00A85EF6" w:rsidRDefault="0019056F" w:rsidP="009E73E8">
            <w:pPr>
              <w:autoSpaceDE w:val="0"/>
              <w:autoSpaceDN w:val="0"/>
              <w:adjustRightInd w:val="0"/>
              <w:rPr>
                <w:rFonts w:ascii="Calibri" w:hAnsi="Calibri" w:cs="Calibri"/>
                <w:b/>
                <w:bCs/>
                <w:color w:val="000000"/>
              </w:rPr>
            </w:pPr>
            <w:r w:rsidRPr="00A85EF6">
              <w:rPr>
                <w:rFonts w:ascii="Calibri" w:hAnsi="Calibri" w:cs="Calibri"/>
                <w:b/>
                <w:bCs/>
                <w:color w:val="000000"/>
              </w:rPr>
              <w:t xml:space="preserve">(Strong For | Reviewed, New-replaced) </w:t>
            </w:r>
          </w:p>
          <w:p w14:paraId="7D9A8ED0" w14:textId="77777777" w:rsidR="0019056F" w:rsidRPr="00A85EF6" w:rsidRDefault="0019056F" w:rsidP="009E73E8">
            <w:pPr>
              <w:spacing w:after="200" w:line="276" w:lineRule="auto"/>
              <w:ind w:left="0" w:firstLine="0"/>
              <w:rPr>
                <w:rFonts w:ascii="Calibri" w:hAnsi="Calibri"/>
              </w:rPr>
            </w:pPr>
          </w:p>
        </w:tc>
      </w:tr>
      <w:tr w:rsidR="0019056F" w:rsidRPr="00A85EF6" w14:paraId="490280E4" w14:textId="77777777" w:rsidTr="009E73E8">
        <w:tc>
          <w:tcPr>
            <w:tcW w:w="2065" w:type="dxa"/>
          </w:tcPr>
          <w:p w14:paraId="30353714" w14:textId="77777777" w:rsidR="0019056F" w:rsidRPr="00A85EF6" w:rsidRDefault="0019056F" w:rsidP="009E73E8">
            <w:pPr>
              <w:ind w:left="0" w:firstLine="0"/>
              <w:rPr>
                <w:rFonts w:ascii="Calibri" w:hAnsi="Calibri"/>
              </w:rPr>
            </w:pPr>
            <w:r w:rsidRPr="00A85EF6">
              <w:rPr>
                <w:rFonts w:ascii="Calibri" w:hAnsi="Calibri"/>
              </w:rPr>
              <w:t xml:space="preserve">Grade assigned to the </w:t>
            </w:r>
            <w:r w:rsidRPr="00A85EF6">
              <w:rPr>
                <w:rFonts w:ascii="Calibri" w:hAnsi="Calibri"/>
                <w:b/>
              </w:rPr>
              <w:t>evidence</w:t>
            </w:r>
            <w:r w:rsidRPr="00A85EF6">
              <w:rPr>
                <w:rFonts w:ascii="Calibri" w:hAnsi="Calibri"/>
              </w:rPr>
              <w:t xml:space="preserve"> associated with the recommendation with the definition of the grade</w:t>
            </w:r>
          </w:p>
        </w:tc>
        <w:tc>
          <w:tcPr>
            <w:tcW w:w="7285" w:type="dxa"/>
          </w:tcPr>
          <w:p w14:paraId="048EBA68" w14:textId="77777777" w:rsidR="0019056F" w:rsidRPr="00A85EF6" w:rsidRDefault="0019056F" w:rsidP="009E73E8">
            <w:pPr>
              <w:ind w:left="6" w:hanging="6"/>
              <w:contextualSpacing/>
              <w:rPr>
                <w:rFonts w:ascii="Calibri" w:hAnsi="Calibri"/>
              </w:rPr>
            </w:pPr>
            <w:r w:rsidRPr="00A85EF6">
              <w:rPr>
                <w:rFonts w:ascii="Calibri" w:hAnsi="Calibri"/>
              </w:rPr>
              <w:t xml:space="preserve">The systematic review graded the evidence as follows: </w:t>
            </w:r>
          </w:p>
          <w:p w14:paraId="7291EDD6" w14:textId="77777777" w:rsidR="0019056F" w:rsidRPr="00A85EF6" w:rsidRDefault="0019056F" w:rsidP="009E73E8">
            <w:pPr>
              <w:ind w:left="6" w:hanging="6"/>
              <w:contextualSpacing/>
              <w:rPr>
                <w:rFonts w:ascii="Calibri" w:hAnsi="Calibri"/>
              </w:rPr>
            </w:pPr>
            <w:r w:rsidRPr="00A85EF6">
              <w:rPr>
                <w:rFonts w:ascii="Calibri" w:hAnsi="Calibri"/>
              </w:rPr>
              <w:t>Fixed-dose buprenorphine maintenance vs. placebo medication:</w:t>
            </w:r>
          </w:p>
          <w:p w14:paraId="635E2493" w14:textId="77777777" w:rsidR="0019056F" w:rsidRPr="00A85EF6" w:rsidRDefault="0019056F" w:rsidP="0019056F">
            <w:pPr>
              <w:numPr>
                <w:ilvl w:val="0"/>
                <w:numId w:val="23"/>
              </w:numPr>
              <w:spacing w:after="200" w:line="276" w:lineRule="auto"/>
              <w:contextualSpacing/>
              <w:rPr>
                <w:rFonts w:ascii="Calibri" w:eastAsiaTheme="minorEastAsia" w:hAnsi="Calibri"/>
              </w:rPr>
            </w:pPr>
            <w:r w:rsidRPr="00A85EF6">
              <w:rPr>
                <w:rFonts w:ascii="Calibri" w:eastAsiaTheme="minorEastAsia" w:hAnsi="Calibri"/>
              </w:rPr>
              <w:t>Retention in treatment: high quality</w:t>
            </w:r>
          </w:p>
          <w:p w14:paraId="2DAE02BB" w14:textId="77777777" w:rsidR="0019056F" w:rsidRPr="00A85EF6" w:rsidRDefault="0019056F" w:rsidP="0019056F">
            <w:pPr>
              <w:numPr>
                <w:ilvl w:val="0"/>
                <w:numId w:val="23"/>
              </w:numPr>
              <w:spacing w:after="200" w:line="276" w:lineRule="auto"/>
              <w:contextualSpacing/>
              <w:rPr>
                <w:rFonts w:ascii="Calibri" w:eastAsiaTheme="minorEastAsia" w:hAnsi="Calibri"/>
              </w:rPr>
            </w:pPr>
            <w:r w:rsidRPr="00A85EF6">
              <w:rPr>
                <w:rFonts w:ascii="Calibri" w:eastAsiaTheme="minorEastAsia" w:hAnsi="Calibri"/>
              </w:rPr>
              <w:t>Illicit opioid use measured by urinalysis: moderate quality</w:t>
            </w:r>
          </w:p>
          <w:p w14:paraId="07AB85EC" w14:textId="77777777" w:rsidR="0019056F" w:rsidRPr="00A85EF6" w:rsidRDefault="0019056F" w:rsidP="009E73E8">
            <w:pPr>
              <w:ind w:left="6" w:hanging="6"/>
              <w:contextualSpacing/>
              <w:rPr>
                <w:rFonts w:ascii="Calibri" w:hAnsi="Calibri"/>
              </w:rPr>
            </w:pPr>
          </w:p>
          <w:p w14:paraId="5A3D54DF" w14:textId="77777777" w:rsidR="0019056F" w:rsidRPr="00A85EF6" w:rsidRDefault="0019056F" w:rsidP="009E73E8">
            <w:pPr>
              <w:ind w:left="6" w:hanging="6"/>
              <w:contextualSpacing/>
              <w:rPr>
                <w:rFonts w:ascii="Calibri" w:hAnsi="Calibri"/>
              </w:rPr>
            </w:pPr>
            <w:r w:rsidRPr="00A85EF6">
              <w:rPr>
                <w:rFonts w:ascii="Calibri" w:hAnsi="Calibri"/>
              </w:rPr>
              <w:t xml:space="preserve">Fixed-dose buprenorphine maintenance vs. fixed-dose methadone maintenance: </w:t>
            </w:r>
          </w:p>
          <w:p w14:paraId="7DEDDA4E" w14:textId="77777777" w:rsidR="0019056F" w:rsidRPr="00A85EF6" w:rsidRDefault="0019056F" w:rsidP="0019056F">
            <w:pPr>
              <w:numPr>
                <w:ilvl w:val="0"/>
                <w:numId w:val="24"/>
              </w:numPr>
              <w:spacing w:after="200" w:line="276" w:lineRule="auto"/>
              <w:contextualSpacing/>
              <w:rPr>
                <w:rFonts w:ascii="Calibri" w:eastAsiaTheme="minorEastAsia" w:hAnsi="Calibri"/>
              </w:rPr>
            </w:pPr>
            <w:r w:rsidRPr="00A85EF6">
              <w:rPr>
                <w:rFonts w:ascii="Calibri" w:eastAsiaTheme="minorEastAsia" w:hAnsi="Calibri"/>
              </w:rPr>
              <w:t>Retention in treatment: high quality</w:t>
            </w:r>
          </w:p>
          <w:p w14:paraId="28DCE6BC" w14:textId="77777777" w:rsidR="0019056F" w:rsidRPr="00A85EF6" w:rsidRDefault="0019056F" w:rsidP="0019056F">
            <w:pPr>
              <w:numPr>
                <w:ilvl w:val="0"/>
                <w:numId w:val="24"/>
              </w:numPr>
              <w:spacing w:after="200" w:line="276" w:lineRule="auto"/>
              <w:contextualSpacing/>
              <w:rPr>
                <w:rFonts w:ascii="Calibri" w:eastAsiaTheme="minorEastAsia" w:hAnsi="Calibri"/>
              </w:rPr>
            </w:pPr>
            <w:r w:rsidRPr="00A85EF6">
              <w:rPr>
                <w:rFonts w:ascii="Calibri" w:eastAsiaTheme="minorEastAsia" w:hAnsi="Calibri"/>
              </w:rPr>
              <w:t xml:space="preserve">Illicit opioid use measured by urinalysis: moderate quality </w:t>
            </w:r>
          </w:p>
          <w:p w14:paraId="3D8C92A3" w14:textId="77777777" w:rsidR="0019056F" w:rsidRPr="00A85EF6" w:rsidRDefault="0019056F" w:rsidP="009E73E8">
            <w:pPr>
              <w:contextualSpacing/>
              <w:rPr>
                <w:rFonts w:ascii="Calibri" w:hAnsi="Calibri"/>
              </w:rPr>
            </w:pPr>
          </w:p>
          <w:p w14:paraId="54E256F9" w14:textId="77777777" w:rsidR="0019056F" w:rsidRPr="00A85EF6" w:rsidRDefault="0019056F" w:rsidP="009E73E8">
            <w:pPr>
              <w:ind w:left="6" w:hanging="6"/>
              <w:contextualSpacing/>
              <w:rPr>
                <w:rFonts w:ascii="Calibri" w:hAnsi="Calibri"/>
                <w:b/>
              </w:rPr>
            </w:pPr>
            <w:r w:rsidRPr="00A85EF6">
              <w:rPr>
                <w:rFonts w:ascii="Calibri" w:hAnsi="Calibri"/>
                <w:b/>
              </w:rPr>
              <w:t>GRADE Working Group Grades of Evidence</w:t>
            </w:r>
          </w:p>
          <w:p w14:paraId="0A2F6D8B" w14:textId="77777777" w:rsidR="0019056F" w:rsidRPr="00A85EF6" w:rsidRDefault="0019056F" w:rsidP="009E73E8">
            <w:pPr>
              <w:ind w:left="6" w:hanging="6"/>
              <w:contextualSpacing/>
              <w:rPr>
                <w:rFonts w:ascii="Calibri" w:hAnsi="Calibri"/>
              </w:rPr>
            </w:pPr>
            <w:r w:rsidRPr="00A85EF6">
              <w:rPr>
                <w:rFonts w:ascii="Calibri" w:hAnsi="Calibri"/>
                <w:b/>
              </w:rPr>
              <w:t>High quality:</w:t>
            </w:r>
            <w:r w:rsidRPr="00A85EF6">
              <w:rPr>
                <w:rFonts w:ascii="Calibri" w:hAnsi="Calibri"/>
              </w:rPr>
              <w:t xml:space="preserve"> Further research is very unlikely to change our confidence in the estimate of effect.</w:t>
            </w:r>
          </w:p>
          <w:p w14:paraId="588A343A" w14:textId="77777777" w:rsidR="0019056F" w:rsidRPr="00A85EF6" w:rsidRDefault="0019056F" w:rsidP="009E73E8">
            <w:pPr>
              <w:ind w:left="0" w:firstLine="0"/>
              <w:rPr>
                <w:rFonts w:ascii="Calibri" w:hAnsi="Calibri"/>
              </w:rPr>
            </w:pPr>
            <w:r w:rsidRPr="00A85EF6">
              <w:rPr>
                <w:rFonts w:ascii="Calibri" w:hAnsi="Calibri"/>
                <w:b/>
              </w:rPr>
              <w:t>Moderate quality:</w:t>
            </w:r>
            <w:r w:rsidRPr="00A85EF6">
              <w:rPr>
                <w:rFonts w:ascii="Calibri" w:hAnsi="Calibri"/>
              </w:rPr>
              <w:t xml:space="preserve"> Further research is likely to have an important impact on our confidence in the estimate of effect and may change the estimate.</w:t>
            </w:r>
          </w:p>
        </w:tc>
      </w:tr>
      <w:tr w:rsidR="0019056F" w:rsidRPr="00A85EF6" w14:paraId="2B57A0B9" w14:textId="77777777" w:rsidTr="009E73E8">
        <w:tc>
          <w:tcPr>
            <w:tcW w:w="2065" w:type="dxa"/>
          </w:tcPr>
          <w:p w14:paraId="00179348" w14:textId="77777777" w:rsidR="0019056F" w:rsidRPr="00A85EF6" w:rsidRDefault="0019056F" w:rsidP="009E73E8">
            <w:pPr>
              <w:ind w:left="0" w:firstLine="0"/>
              <w:rPr>
                <w:rFonts w:ascii="Calibri" w:hAnsi="Calibri"/>
              </w:rPr>
            </w:pPr>
            <w:r w:rsidRPr="00A85EF6">
              <w:rPr>
                <w:rFonts w:ascii="Calibri" w:hAnsi="Calibri"/>
              </w:rPr>
              <w:t>Provide all other grades and definitions from the evidence grading system</w:t>
            </w:r>
          </w:p>
        </w:tc>
        <w:tc>
          <w:tcPr>
            <w:tcW w:w="7285" w:type="dxa"/>
          </w:tcPr>
          <w:p w14:paraId="2379EC94" w14:textId="77777777" w:rsidR="0019056F" w:rsidRPr="00A85EF6" w:rsidRDefault="0019056F" w:rsidP="009E73E8">
            <w:pPr>
              <w:ind w:left="6" w:hanging="6"/>
              <w:contextualSpacing/>
              <w:rPr>
                <w:rFonts w:ascii="Calibri" w:hAnsi="Calibri"/>
              </w:rPr>
            </w:pPr>
            <w:r w:rsidRPr="00A85EF6">
              <w:rPr>
                <w:rFonts w:ascii="Calibri" w:hAnsi="Calibri"/>
                <w:b/>
              </w:rPr>
              <w:t>Low quality:</w:t>
            </w:r>
            <w:r w:rsidRPr="00A85EF6">
              <w:rPr>
                <w:rFonts w:ascii="Calibri" w:hAnsi="Calibri"/>
              </w:rPr>
              <w:t xml:space="preserve"> Further research is very likely to have an important impact on our confidence in the estimate of effect and is likely to change the estimate.</w:t>
            </w:r>
          </w:p>
          <w:p w14:paraId="17759ED2" w14:textId="77777777" w:rsidR="0019056F" w:rsidRPr="00A85EF6" w:rsidRDefault="0019056F" w:rsidP="009E73E8">
            <w:pPr>
              <w:ind w:left="6" w:hanging="6"/>
              <w:contextualSpacing/>
              <w:rPr>
                <w:rFonts w:ascii="Calibri" w:hAnsi="Calibri"/>
              </w:rPr>
            </w:pPr>
          </w:p>
          <w:p w14:paraId="165A901F" w14:textId="77777777" w:rsidR="0019056F" w:rsidRPr="00A85EF6" w:rsidRDefault="0019056F" w:rsidP="009E73E8">
            <w:pPr>
              <w:ind w:left="0" w:firstLine="0"/>
              <w:rPr>
                <w:rFonts w:ascii="Calibri" w:hAnsi="Calibri"/>
              </w:rPr>
            </w:pPr>
            <w:r w:rsidRPr="00A85EF6">
              <w:rPr>
                <w:rFonts w:ascii="Calibri" w:hAnsi="Calibri"/>
                <w:b/>
              </w:rPr>
              <w:t>Very low quality:</w:t>
            </w:r>
            <w:r w:rsidRPr="00A85EF6">
              <w:rPr>
                <w:rFonts w:ascii="Calibri" w:hAnsi="Calibri"/>
              </w:rPr>
              <w:t xml:space="preserve"> We are very uncertain about the estimate.</w:t>
            </w:r>
          </w:p>
        </w:tc>
      </w:tr>
      <w:tr w:rsidR="0019056F" w:rsidRPr="00A85EF6" w14:paraId="30AF1784" w14:textId="77777777" w:rsidTr="009E73E8">
        <w:tc>
          <w:tcPr>
            <w:tcW w:w="2065" w:type="dxa"/>
          </w:tcPr>
          <w:p w14:paraId="5BBD9A2B" w14:textId="77777777" w:rsidR="0019056F" w:rsidRPr="00A85EF6" w:rsidRDefault="0019056F" w:rsidP="009E73E8">
            <w:pPr>
              <w:ind w:left="0" w:firstLine="0"/>
              <w:rPr>
                <w:rFonts w:ascii="Calibri" w:hAnsi="Calibri"/>
              </w:rPr>
            </w:pPr>
            <w:r w:rsidRPr="00A85EF6">
              <w:rPr>
                <w:rFonts w:ascii="Calibri" w:hAnsi="Calibri"/>
              </w:rPr>
              <w:lastRenderedPageBreak/>
              <w:t xml:space="preserve">Grade assigned to the </w:t>
            </w:r>
            <w:r w:rsidRPr="00A85EF6">
              <w:rPr>
                <w:rFonts w:ascii="Calibri" w:hAnsi="Calibri"/>
                <w:b/>
              </w:rPr>
              <w:t>recommendation</w:t>
            </w:r>
            <w:r w:rsidRPr="00A85EF6">
              <w:rPr>
                <w:rFonts w:ascii="Calibri" w:hAnsi="Calibri"/>
              </w:rPr>
              <w:t xml:space="preserve"> with definition of the grade</w:t>
            </w:r>
          </w:p>
        </w:tc>
        <w:tc>
          <w:tcPr>
            <w:tcW w:w="7285" w:type="dxa"/>
          </w:tcPr>
          <w:p w14:paraId="13D04FF8" w14:textId="77777777" w:rsidR="0019056F" w:rsidRPr="00A85EF6" w:rsidRDefault="0019056F" w:rsidP="009E73E8">
            <w:pPr>
              <w:ind w:left="0" w:firstLine="0"/>
              <w:rPr>
                <w:rFonts w:ascii="Calibri" w:hAnsi="Calibri"/>
              </w:rPr>
            </w:pPr>
            <w:r w:rsidRPr="00A85EF6">
              <w:rPr>
                <w:rFonts w:ascii="Calibri" w:hAnsi="Calibri"/>
              </w:rPr>
              <w:t>The grade assigned to Recommendation 8 was “Strong For.” “A strong recommendation indicates that the Work Group is highly confident that desirable outcomes outweigh undesirable outcomes.” (page 11)</w:t>
            </w:r>
          </w:p>
          <w:p w14:paraId="3998A999" w14:textId="77777777" w:rsidR="0019056F" w:rsidRPr="00A85EF6" w:rsidRDefault="0019056F" w:rsidP="009E73E8">
            <w:pPr>
              <w:ind w:left="0" w:firstLine="0"/>
              <w:rPr>
                <w:rFonts w:ascii="Calibri" w:hAnsi="Calibri"/>
              </w:rPr>
            </w:pPr>
            <w:r w:rsidRPr="00A85EF6">
              <w:rPr>
                <w:rFonts w:ascii="Calibri" w:hAnsi="Calibri"/>
              </w:rPr>
              <w:t>“Using these elements, the grade of each recommendation is presented as part of a continuum: “Strong For (or “We recommend offering this option …”) “ (page 11)</w:t>
            </w:r>
          </w:p>
        </w:tc>
      </w:tr>
      <w:tr w:rsidR="0019056F" w:rsidRPr="00A85EF6" w14:paraId="08191301" w14:textId="77777777" w:rsidTr="009E73E8">
        <w:tc>
          <w:tcPr>
            <w:tcW w:w="2065" w:type="dxa"/>
          </w:tcPr>
          <w:p w14:paraId="482600FD" w14:textId="77777777" w:rsidR="0019056F" w:rsidRPr="00A85EF6" w:rsidRDefault="0019056F" w:rsidP="009E73E8">
            <w:pPr>
              <w:ind w:left="0" w:firstLine="0"/>
              <w:rPr>
                <w:rFonts w:ascii="Calibri" w:hAnsi="Calibri"/>
              </w:rPr>
            </w:pPr>
            <w:r w:rsidRPr="00A85EF6">
              <w:rPr>
                <w:rFonts w:ascii="Calibri" w:hAnsi="Calibri"/>
              </w:rPr>
              <w:t>Provide all other grades and definitions from the recommendation grading system</w:t>
            </w:r>
          </w:p>
        </w:tc>
        <w:tc>
          <w:tcPr>
            <w:tcW w:w="7285" w:type="dxa"/>
          </w:tcPr>
          <w:p w14:paraId="7500C22C" w14:textId="77777777" w:rsidR="0019056F" w:rsidRPr="00A85EF6" w:rsidRDefault="0019056F" w:rsidP="009E73E8">
            <w:pPr>
              <w:ind w:left="0" w:firstLine="0"/>
              <w:rPr>
                <w:rFonts w:ascii="Calibri" w:hAnsi="Calibri"/>
              </w:rPr>
            </w:pPr>
            <w:r w:rsidRPr="00A85EF6">
              <w:rPr>
                <w:rFonts w:ascii="Calibri" w:hAnsi="Calibri"/>
              </w:rPr>
              <w:t xml:space="preserve">The </w:t>
            </w:r>
            <w:r>
              <w:rPr>
                <w:rFonts w:ascii="Calibri" w:hAnsi="Calibri"/>
              </w:rPr>
              <w:t>[DoD/VA]</w:t>
            </w:r>
            <w:r w:rsidRPr="00A85EF6">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39261123"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Balance of desirable and undesirable outcomes</w:t>
            </w:r>
          </w:p>
          <w:p w14:paraId="046C4F00"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Confidence in the quality of the evidence</w:t>
            </w:r>
          </w:p>
          <w:p w14:paraId="4A1F59F6"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Patient or provider values and preferences</w:t>
            </w:r>
          </w:p>
          <w:p w14:paraId="2FCB1D97" w14:textId="77777777" w:rsidR="0019056F" w:rsidRPr="00A85EF6" w:rsidRDefault="0019056F" w:rsidP="0019056F">
            <w:pPr>
              <w:numPr>
                <w:ilvl w:val="0"/>
                <w:numId w:val="16"/>
              </w:numPr>
              <w:spacing w:after="200" w:line="276" w:lineRule="auto"/>
              <w:ind w:left="720"/>
              <w:contextualSpacing/>
              <w:rPr>
                <w:rFonts w:ascii="Calibri" w:eastAsiaTheme="minorEastAsia" w:hAnsi="Calibri"/>
              </w:rPr>
            </w:pPr>
            <w:r w:rsidRPr="00A85EF6">
              <w:rPr>
                <w:rFonts w:ascii="Calibri" w:eastAsiaTheme="minorEastAsia" w:hAnsi="Calibri"/>
              </w:rPr>
              <w:t>Other implications, as appropriate, e.g., Resource use, Equity, Acceptability, Feasibility, and Subgroup considerations.</w:t>
            </w:r>
          </w:p>
          <w:p w14:paraId="1E3B00ED" w14:textId="77777777" w:rsidR="0019056F" w:rsidRPr="00A85EF6" w:rsidRDefault="0019056F" w:rsidP="009E73E8">
            <w:pPr>
              <w:ind w:left="0" w:firstLine="0"/>
              <w:rPr>
                <w:rFonts w:ascii="Calibri" w:hAnsi="Calibri"/>
              </w:rPr>
            </w:pPr>
            <w:r w:rsidRPr="00A85EF6">
              <w:rPr>
                <w:rFonts w:ascii="Calibri" w:hAnsi="Calibri"/>
              </w:rPr>
              <w:t xml:space="preserve">Using this system, the </w:t>
            </w:r>
            <w:r>
              <w:rPr>
                <w:rFonts w:ascii="Calibri" w:hAnsi="Calibri"/>
              </w:rPr>
              <w:t>[DoD/VA]</w:t>
            </w:r>
            <w:r w:rsidRPr="00A85EF6">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589F3A1F" w14:textId="77777777" w:rsidR="0019056F" w:rsidRPr="00A85EF6" w:rsidRDefault="0019056F" w:rsidP="009E73E8">
            <w:pPr>
              <w:ind w:left="0" w:firstLine="0"/>
              <w:rPr>
                <w:rFonts w:ascii="Calibri" w:hAnsi="Calibri"/>
              </w:rPr>
            </w:pPr>
          </w:p>
          <w:p w14:paraId="6F858FAD" w14:textId="77777777" w:rsidR="0019056F" w:rsidRPr="00A85EF6" w:rsidRDefault="0019056F" w:rsidP="009E73E8">
            <w:pPr>
              <w:ind w:left="0" w:firstLine="0"/>
              <w:rPr>
                <w:rFonts w:ascii="Calibri" w:hAnsi="Calibri"/>
              </w:rPr>
            </w:pPr>
            <w:r w:rsidRPr="00A85EF6">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71E5C692" w14:textId="77777777" w:rsidR="0019056F" w:rsidRPr="00A85EF6" w:rsidRDefault="0019056F" w:rsidP="009E73E8">
            <w:pPr>
              <w:ind w:left="0" w:firstLine="0"/>
              <w:rPr>
                <w:rFonts w:ascii="Calibri" w:hAnsi="Calibri"/>
              </w:rPr>
            </w:pPr>
          </w:p>
          <w:p w14:paraId="16FFD071" w14:textId="77777777" w:rsidR="0019056F" w:rsidRPr="00A85EF6" w:rsidRDefault="0019056F" w:rsidP="009E73E8">
            <w:pPr>
              <w:ind w:left="0" w:firstLine="0"/>
              <w:rPr>
                <w:rFonts w:ascii="Calibri" w:hAnsi="Calibri"/>
              </w:rPr>
            </w:pPr>
            <w:r w:rsidRPr="00A85EF6">
              <w:rPr>
                <w:rFonts w:ascii="Calibri" w:hAnsi="Calibri"/>
              </w:rPr>
              <w:t>Using these elements, the grade of each recommendation is presented as part of a continuum:</w:t>
            </w:r>
          </w:p>
          <w:p w14:paraId="6EEC4D33" w14:textId="77777777" w:rsidR="0019056F" w:rsidRPr="00A85EF6" w:rsidRDefault="0019056F" w:rsidP="009E73E8">
            <w:pPr>
              <w:ind w:left="0" w:firstLine="0"/>
              <w:rPr>
                <w:rFonts w:ascii="Calibri" w:hAnsi="Calibri"/>
              </w:rPr>
            </w:pPr>
            <w:r w:rsidRPr="00A85EF6">
              <w:rPr>
                <w:rFonts w:ascii="Calibri" w:hAnsi="Calibri"/>
              </w:rPr>
              <w:t>•Strong For (or “We recommend offering this option …”)</w:t>
            </w:r>
          </w:p>
          <w:p w14:paraId="7A5A88AC" w14:textId="77777777" w:rsidR="0019056F" w:rsidRPr="00A85EF6" w:rsidRDefault="0019056F" w:rsidP="009E73E8">
            <w:pPr>
              <w:ind w:left="0" w:firstLine="0"/>
              <w:rPr>
                <w:rFonts w:ascii="Calibri" w:hAnsi="Calibri"/>
              </w:rPr>
            </w:pPr>
            <w:r w:rsidRPr="00A85EF6">
              <w:rPr>
                <w:rFonts w:ascii="Calibri" w:hAnsi="Calibri"/>
              </w:rPr>
              <w:t>•Weak For (or “We suggest offering this option …”)</w:t>
            </w:r>
          </w:p>
          <w:p w14:paraId="7E3A2518" w14:textId="77777777" w:rsidR="0019056F" w:rsidRPr="00A85EF6" w:rsidRDefault="0019056F" w:rsidP="009E73E8">
            <w:pPr>
              <w:ind w:left="0" w:firstLine="0"/>
              <w:rPr>
                <w:rFonts w:ascii="Calibri" w:hAnsi="Calibri"/>
              </w:rPr>
            </w:pPr>
            <w:r w:rsidRPr="00A85EF6">
              <w:rPr>
                <w:rFonts w:ascii="Calibri" w:hAnsi="Calibri"/>
              </w:rPr>
              <w:t>•Weak Against (or “We suggest not offering this option …”)</w:t>
            </w:r>
          </w:p>
          <w:p w14:paraId="17ADF83E" w14:textId="77777777" w:rsidR="0019056F" w:rsidRPr="00A85EF6" w:rsidRDefault="0019056F" w:rsidP="009E73E8">
            <w:pPr>
              <w:ind w:left="0" w:firstLine="0"/>
              <w:rPr>
                <w:rFonts w:ascii="Calibri" w:hAnsi="Calibri"/>
              </w:rPr>
            </w:pPr>
            <w:r w:rsidRPr="00A85EF6">
              <w:rPr>
                <w:rFonts w:ascii="Calibri" w:hAnsi="Calibri"/>
              </w:rPr>
              <w:t>•Strong Against (or “We recommend against offering this option …”)</w:t>
            </w:r>
          </w:p>
        </w:tc>
      </w:tr>
      <w:tr w:rsidR="0019056F" w:rsidRPr="00A85EF6" w14:paraId="0AE82812" w14:textId="77777777" w:rsidTr="009E73E8">
        <w:tc>
          <w:tcPr>
            <w:tcW w:w="2065" w:type="dxa"/>
          </w:tcPr>
          <w:p w14:paraId="44FAD4D8" w14:textId="77777777" w:rsidR="0019056F" w:rsidRPr="00A85EF6" w:rsidRDefault="0019056F" w:rsidP="009E73E8">
            <w:pPr>
              <w:ind w:left="0" w:firstLine="0"/>
              <w:rPr>
                <w:rFonts w:ascii="Calibri" w:hAnsi="Calibri"/>
              </w:rPr>
            </w:pPr>
            <w:r w:rsidRPr="00A85EF6">
              <w:rPr>
                <w:rFonts w:ascii="Calibri" w:hAnsi="Calibri"/>
              </w:rPr>
              <w:t>Body of evidence:</w:t>
            </w:r>
          </w:p>
          <w:p w14:paraId="65C4473F" w14:textId="77777777" w:rsidR="0019056F" w:rsidRPr="00A85EF6" w:rsidRDefault="0019056F" w:rsidP="009E73E8">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Quantity – how many studies?</w:t>
            </w:r>
          </w:p>
          <w:p w14:paraId="35EE217E" w14:textId="77777777" w:rsidR="0019056F" w:rsidRPr="00A85EF6" w:rsidRDefault="0019056F" w:rsidP="009E73E8">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Quality – what type of studies?</w:t>
            </w:r>
          </w:p>
        </w:tc>
        <w:tc>
          <w:tcPr>
            <w:tcW w:w="7285" w:type="dxa"/>
          </w:tcPr>
          <w:p w14:paraId="0B879DF1" w14:textId="77777777" w:rsidR="0019056F" w:rsidRPr="00A85EF6" w:rsidRDefault="0019056F" w:rsidP="009E73E8">
            <w:pPr>
              <w:ind w:left="6" w:hanging="6"/>
              <w:contextualSpacing/>
              <w:rPr>
                <w:rFonts w:ascii="Calibri" w:hAnsi="Calibri"/>
              </w:rPr>
            </w:pPr>
            <w:r w:rsidRPr="00A85EF6">
              <w:rPr>
                <w:rFonts w:ascii="Calibri" w:hAnsi="Calibri"/>
              </w:rPr>
              <w:t>Quantity of studies: The results are based on 5430 patients in 31 RCTs.</w:t>
            </w:r>
          </w:p>
          <w:p w14:paraId="6CC2DEBF" w14:textId="77777777" w:rsidR="0019056F" w:rsidRPr="00A85EF6" w:rsidRDefault="0019056F" w:rsidP="009E73E8">
            <w:pPr>
              <w:ind w:left="6" w:hanging="6"/>
              <w:contextualSpacing/>
              <w:rPr>
                <w:rFonts w:ascii="Calibri" w:hAnsi="Calibri"/>
              </w:rPr>
            </w:pPr>
            <w:r w:rsidRPr="00A85EF6">
              <w:rPr>
                <w:rFonts w:ascii="Calibri" w:hAnsi="Calibri"/>
              </w:rPr>
              <w:t xml:space="preserve">Quality of studies: “The clinical trials represented in this review are of reasonable quality, and whilst many of them did not fully explain how randomization was concealed, they appear to have used doses which are clinically relevant and to have treated participants for significant periods of time. Moreover, despite the tendency of randomised studies to include selected populations, characteristics of drug users enrolled in the studies included in this review appear to be heterogeneous enough to allow generalisability of the results across different clinical and cultural settings. Based on the nature of the trials, it would appear the external validity or generalisability of the results is quite good, particularly from those trials which have used large sample sizes and adequate doses.”  “Thirteen studies provided </w:t>
            </w:r>
            <w:r w:rsidRPr="00A85EF6">
              <w:rPr>
                <w:rFonts w:ascii="Calibri" w:hAnsi="Calibri"/>
              </w:rPr>
              <w:lastRenderedPageBreak/>
              <w:t>an adequate sequence generation for the randomisation process.” “Of the 31 studies included in this review, 22 were reportedly conducted under double-blind conditions.” “All the studies have been judged to be at low risk of bias because all used the intention-to-treat (ITT) principle.”</w:t>
            </w:r>
            <w:r w:rsidRPr="00A85EF6" w:rsidDel="004C2F33">
              <w:rPr>
                <w:rFonts w:ascii="Calibri" w:hAnsi="Calibri"/>
              </w:rPr>
              <w:t xml:space="preserve"> </w:t>
            </w:r>
          </w:p>
        </w:tc>
      </w:tr>
      <w:tr w:rsidR="0019056F" w:rsidRPr="00A85EF6" w14:paraId="6813D258" w14:textId="77777777" w:rsidTr="009E73E8">
        <w:tc>
          <w:tcPr>
            <w:tcW w:w="2065" w:type="dxa"/>
          </w:tcPr>
          <w:p w14:paraId="0755F68F" w14:textId="77777777" w:rsidR="0019056F" w:rsidRPr="00A85EF6" w:rsidRDefault="0019056F" w:rsidP="009E73E8">
            <w:pPr>
              <w:ind w:left="0" w:firstLine="0"/>
              <w:rPr>
                <w:rFonts w:ascii="Calibri" w:hAnsi="Calibri"/>
              </w:rPr>
            </w:pPr>
            <w:r w:rsidRPr="00A85EF6">
              <w:rPr>
                <w:rFonts w:ascii="Calibri" w:hAnsi="Calibri"/>
              </w:rPr>
              <w:lastRenderedPageBreak/>
              <w:t xml:space="preserve">Estimates of benefit and consistency across studies </w:t>
            </w:r>
          </w:p>
        </w:tc>
        <w:tc>
          <w:tcPr>
            <w:tcW w:w="7285" w:type="dxa"/>
          </w:tcPr>
          <w:p w14:paraId="07E09263" w14:textId="77777777" w:rsidR="0019056F" w:rsidRPr="00A85EF6" w:rsidRDefault="0019056F" w:rsidP="009E73E8">
            <w:pPr>
              <w:ind w:left="6" w:hanging="6"/>
              <w:contextualSpacing/>
              <w:rPr>
                <w:rFonts w:ascii="Calibri" w:hAnsi="Calibri"/>
              </w:rPr>
            </w:pPr>
            <w:r w:rsidRPr="00A85EF6">
              <w:rPr>
                <w:rFonts w:ascii="Calibri" w:hAnsi="Calibri"/>
              </w:rPr>
              <w:t xml:space="preserve">The results are based on 5430 patients in 31 RCTs. </w:t>
            </w:r>
          </w:p>
          <w:p w14:paraId="4D5C898D" w14:textId="77777777" w:rsidR="0019056F" w:rsidRPr="00A85EF6" w:rsidRDefault="0019056F" w:rsidP="009E73E8">
            <w:pPr>
              <w:ind w:left="6" w:hanging="6"/>
              <w:contextualSpacing/>
              <w:rPr>
                <w:rFonts w:ascii="Calibri" w:hAnsi="Calibri"/>
              </w:rPr>
            </w:pPr>
            <w:r w:rsidRPr="008113B8">
              <w:rPr>
                <w:rFonts w:ascii="Calibri" w:hAnsi="Calibri"/>
                <w:b/>
              </w:rPr>
              <w:t>Fixed-dose studies of buprenorphine vs. placebo:</w:t>
            </w:r>
            <w:r w:rsidRPr="00A85EF6">
              <w:rPr>
                <w:rFonts w:ascii="Calibri" w:hAnsi="Calibri"/>
              </w:rPr>
              <w:t xml:space="preserve"> “There is high quality of evidence that buprenorphine was superior to placebo medication in retention of participants in treatment at all doses examined. Specifically, buprenorphine retained participants better than placebo: at low doses (2 - 6 mg), 5 studies, 1131 participants, risk ratio (RR) 1.50; 95% confidence interval (CI) 1.19 to 1.88; at medium doses (7 - 15 mg), 4 studies, 887 participants, RR 1.74; 95% CI 1.06 to 2.87; and at high doses (≥ 16 mg), 5 studies, 1001 participants, RR 1.82; 95% CI 1.15 to 2.90. However, there is moderate quality of evidence that only high-dose buprenorphine (≥ 16 mg) was more effective than placebo in suppressing illicit opioid use measured by urinanalysis in the trials, 3 studies, 729 participants, standardised mean difference (SMD) -1.17; 95% CI -1.85 to -0.49, notably, low-dose, (2 studies, 487 participants, SMD 0.10; 95% CI -0.80 to 1.01), and medium-dose, (2 studies, 463 participants, SMD -0.08; 95% CI -0.78 to 0.62) buprenorphine did not suppress illicit opioid use measured by urinanalysis better than placebo.”</w:t>
            </w:r>
          </w:p>
          <w:p w14:paraId="7215B8CA" w14:textId="77777777" w:rsidR="0019056F" w:rsidRPr="00A85EF6" w:rsidRDefault="0019056F" w:rsidP="009E73E8">
            <w:pPr>
              <w:ind w:left="6" w:hanging="6"/>
              <w:contextualSpacing/>
              <w:rPr>
                <w:rFonts w:ascii="Calibri" w:hAnsi="Calibri"/>
              </w:rPr>
            </w:pPr>
          </w:p>
          <w:p w14:paraId="465F2407" w14:textId="77777777" w:rsidR="0019056F" w:rsidRDefault="0019056F" w:rsidP="009E73E8">
            <w:pPr>
              <w:ind w:left="6" w:hanging="6"/>
              <w:contextualSpacing/>
              <w:rPr>
                <w:rFonts w:ascii="Calibri" w:hAnsi="Calibri"/>
              </w:rPr>
            </w:pPr>
            <w:r w:rsidRPr="008113B8">
              <w:rPr>
                <w:rFonts w:ascii="Calibri" w:hAnsi="Calibri"/>
                <w:b/>
              </w:rPr>
              <w:t>Flexible-dose studies of buprenorphine vs. methadone:</w:t>
            </w:r>
            <w:r w:rsidRPr="00A85EF6">
              <w:rPr>
                <w:rFonts w:ascii="Calibri" w:hAnsi="Calibri"/>
              </w:rPr>
              <w:t xml:space="preserve"> </w:t>
            </w:r>
            <w:r>
              <w:rPr>
                <w:rFonts w:ascii="Calibri" w:hAnsi="Calibri"/>
              </w:rPr>
              <w:t>“</w:t>
            </w:r>
            <w:r w:rsidRPr="008113B8">
              <w:rPr>
                <w:rFonts w:ascii="Calibri" w:hAnsi="Calibri"/>
              </w:rPr>
              <w:t>There is high quality of evidence that buprenorphine in flexible doses adjusted to participant need,was less effective than methadone</w:t>
            </w:r>
            <w:r>
              <w:rPr>
                <w:rFonts w:ascii="Calibri" w:hAnsi="Calibri"/>
              </w:rPr>
              <w:t xml:space="preserve"> </w:t>
            </w:r>
            <w:r w:rsidRPr="008113B8">
              <w:rPr>
                <w:rFonts w:ascii="Calibri" w:hAnsi="Calibri"/>
              </w:rPr>
              <w:t>in retaining participants, 5 studies, 788 participants, RR 0.83; 95% CI 0.72 to 0.95. For those retained in treatment, no difference</w:t>
            </w:r>
            <w:r>
              <w:rPr>
                <w:rFonts w:ascii="Calibri" w:hAnsi="Calibri"/>
              </w:rPr>
              <w:t xml:space="preserve"> </w:t>
            </w:r>
            <w:r w:rsidRPr="008113B8">
              <w:rPr>
                <w:rFonts w:ascii="Calibri" w:hAnsi="Calibri"/>
              </w:rPr>
              <w:t>was observed in suppression of opioid use as measured by urinalysis, 8 studies, 1027 participants, SMD -0.11; 95% CI -0.23 to 0.02</w:t>
            </w:r>
            <w:r>
              <w:rPr>
                <w:rFonts w:ascii="Calibri" w:hAnsi="Calibri"/>
              </w:rPr>
              <w:t xml:space="preserve"> </w:t>
            </w:r>
            <w:r w:rsidRPr="008113B8">
              <w:rPr>
                <w:rFonts w:ascii="Calibri" w:hAnsi="Calibri"/>
              </w:rPr>
              <w:t>or self report, 4 studies, 501 participants, SMD -0.11; 95% CI -0.28 to 0.07, with moderate quality of evidence.</w:t>
            </w:r>
            <w:r>
              <w:rPr>
                <w:rFonts w:ascii="Calibri" w:hAnsi="Calibri"/>
              </w:rPr>
              <w:t>”</w:t>
            </w:r>
          </w:p>
          <w:p w14:paraId="4AF60A1E" w14:textId="77777777" w:rsidR="0019056F" w:rsidRDefault="0019056F" w:rsidP="009E73E8">
            <w:pPr>
              <w:ind w:left="6" w:hanging="6"/>
              <w:contextualSpacing/>
              <w:rPr>
                <w:rFonts w:ascii="Calibri" w:hAnsi="Calibri"/>
              </w:rPr>
            </w:pPr>
          </w:p>
          <w:p w14:paraId="5BEEF81D" w14:textId="77777777" w:rsidR="0019056F" w:rsidRDefault="0019056F" w:rsidP="009E73E8">
            <w:pPr>
              <w:ind w:left="6" w:hanging="6"/>
              <w:contextualSpacing/>
              <w:rPr>
                <w:rFonts w:ascii="Calibri" w:hAnsi="Calibri"/>
              </w:rPr>
            </w:pPr>
            <w:r w:rsidRPr="008113B8">
              <w:rPr>
                <w:rFonts w:ascii="Calibri" w:hAnsi="Calibri"/>
                <w:b/>
              </w:rPr>
              <w:t>Fixed-dose studies of buprenorphine vs. methadone:</w:t>
            </w:r>
            <w:r w:rsidRPr="00A85EF6">
              <w:rPr>
                <w:rFonts w:ascii="Calibri" w:hAnsi="Calibri"/>
              </w:rPr>
              <w:t xml:space="preserve"> “Consistent with the results in the flexible-dose studies, in low fixed-dose studies, methadone (≤ 40 mg) was more likely to retain participants than low-dose buprenorphine (2 - 6 mg), (3 studies, 253 participants, RR 0.67; 95% CI: 0.52 to 0.87). However, we found contrary results at medium dose and high dose: there was no difference between medium-dose buprenorphine (7 - 15 mg) and medium-dose methadone (40 - 85 mg) in retention, (7 studies, 780 participants, RR 0.87; 95% CI 0.69 to 1.10) or in suppression of illicit opioid use as measured by urines, (4 studies, 476 participants, SMD0.25; 95%CI -0.08 to 0.58) or self-report of illicit opioid use, (2 studies, 174 participants, SMD -0.82; 95% CI -1.83 to 0.19). Similarly, there was no difference between high-dose buprenorphine (≥ 16 mg) and high-dose methadone (≥ 85 mg) in retention (RR 0.79; 95% CI 0.20 to 3.16) or suppression of self-reported heroin use (SMD -0.73; 95% CI -1.08 to -0.37) (1 study, 134 participants).”</w:t>
            </w:r>
          </w:p>
          <w:p w14:paraId="79B15ADB" w14:textId="77777777" w:rsidR="0019056F" w:rsidRDefault="0019056F" w:rsidP="009E73E8">
            <w:pPr>
              <w:ind w:left="6" w:hanging="6"/>
              <w:contextualSpacing/>
              <w:rPr>
                <w:rFonts w:ascii="Calibri" w:hAnsi="Calibri"/>
              </w:rPr>
            </w:pPr>
          </w:p>
          <w:p w14:paraId="23F77A19" w14:textId="77777777" w:rsidR="0019056F" w:rsidRPr="00A85EF6" w:rsidRDefault="0019056F" w:rsidP="009E73E8">
            <w:pPr>
              <w:ind w:left="6" w:hanging="6"/>
              <w:contextualSpacing/>
              <w:rPr>
                <w:rFonts w:ascii="Calibri" w:hAnsi="Calibri"/>
              </w:rPr>
            </w:pPr>
            <w:r w:rsidRPr="008113B8">
              <w:rPr>
                <w:rFonts w:ascii="Calibri" w:hAnsi="Calibri"/>
              </w:rPr>
              <w:t>RR=relative risk; SMD</w:t>
            </w:r>
            <w:r>
              <w:rPr>
                <w:rFonts w:ascii="Calibri" w:hAnsi="Calibri"/>
              </w:rPr>
              <w:t>=</w:t>
            </w:r>
            <w:r>
              <w:t xml:space="preserve"> </w:t>
            </w:r>
            <w:r w:rsidRPr="008113B8">
              <w:rPr>
                <w:rFonts w:ascii="Calibri" w:hAnsi="Calibri"/>
              </w:rPr>
              <w:t>standardised mean difference</w:t>
            </w:r>
          </w:p>
        </w:tc>
      </w:tr>
      <w:tr w:rsidR="0019056F" w:rsidRPr="00A85EF6" w14:paraId="2DB4082E" w14:textId="77777777" w:rsidTr="009E73E8">
        <w:tc>
          <w:tcPr>
            <w:tcW w:w="2065" w:type="dxa"/>
          </w:tcPr>
          <w:p w14:paraId="5B795BD3" w14:textId="77777777" w:rsidR="0019056F" w:rsidRPr="00A85EF6" w:rsidRDefault="0019056F" w:rsidP="009E73E8">
            <w:pPr>
              <w:ind w:left="0" w:firstLine="0"/>
              <w:rPr>
                <w:rFonts w:ascii="Calibri" w:hAnsi="Calibri"/>
              </w:rPr>
            </w:pPr>
            <w:r w:rsidRPr="00A85EF6">
              <w:rPr>
                <w:rFonts w:ascii="Calibri" w:hAnsi="Calibri"/>
              </w:rPr>
              <w:t>What harms were identified?</w:t>
            </w:r>
          </w:p>
        </w:tc>
        <w:tc>
          <w:tcPr>
            <w:tcW w:w="7285" w:type="dxa"/>
          </w:tcPr>
          <w:p w14:paraId="59C49008" w14:textId="77777777" w:rsidR="0019056F" w:rsidRPr="00A85EF6" w:rsidRDefault="0019056F" w:rsidP="009E73E8">
            <w:pPr>
              <w:ind w:left="6" w:hanging="6"/>
              <w:contextualSpacing/>
              <w:rPr>
                <w:rFonts w:ascii="Calibri" w:hAnsi="Calibri"/>
              </w:rPr>
            </w:pPr>
            <w:r w:rsidRPr="00A85EF6">
              <w:rPr>
                <w:rFonts w:ascii="Calibri" w:hAnsi="Calibri"/>
              </w:rPr>
              <w:t>Ten studies collected data on a wide range of adverse events or side effects, but not</w:t>
            </w:r>
            <w:r>
              <w:rPr>
                <w:rFonts w:ascii="Calibri" w:hAnsi="Calibri"/>
              </w:rPr>
              <w:t xml:space="preserve"> all</w:t>
            </w:r>
            <w:r w:rsidRPr="00A85EF6">
              <w:rPr>
                <w:rFonts w:ascii="Calibri" w:hAnsi="Calibri"/>
              </w:rPr>
              <w:t xml:space="preserve"> report</w:t>
            </w:r>
            <w:r>
              <w:rPr>
                <w:rFonts w:ascii="Calibri" w:hAnsi="Calibri"/>
              </w:rPr>
              <w:t>ed</w:t>
            </w:r>
            <w:r w:rsidRPr="00A85EF6">
              <w:rPr>
                <w:rFonts w:ascii="Calibri" w:hAnsi="Calibri"/>
              </w:rPr>
              <w:t xml:space="preserve"> them. </w:t>
            </w:r>
          </w:p>
          <w:p w14:paraId="64D66FB3" w14:textId="77777777" w:rsidR="0019056F" w:rsidRPr="00A85EF6" w:rsidRDefault="0019056F" w:rsidP="009E73E8">
            <w:pPr>
              <w:ind w:left="6" w:hanging="6"/>
              <w:contextualSpacing/>
              <w:rPr>
                <w:rFonts w:ascii="Calibri" w:hAnsi="Calibri"/>
              </w:rPr>
            </w:pPr>
            <w:r w:rsidRPr="00A85EF6">
              <w:rPr>
                <w:rFonts w:ascii="Calibri" w:hAnsi="Calibri"/>
              </w:rPr>
              <w:lastRenderedPageBreak/>
              <w:t>“[T]wo studies compared adverse events statistically, finding no difference between methadone and buprenorphine, except for a single result indicating more sedation among those using methadone.” Adverse events reported by the two studies included</w:t>
            </w:r>
            <w:r>
              <w:rPr>
                <w:rFonts w:ascii="Calibri" w:hAnsi="Calibri"/>
              </w:rPr>
              <w:t>,</w:t>
            </w:r>
            <w:r w:rsidRPr="00A85EF6">
              <w:rPr>
                <w:rFonts w:ascii="Calibri" w:hAnsi="Calibri"/>
              </w:rPr>
              <w:t xml:space="preserve"> but were not limited to: sedation, insomnia, headache, depression, sweating, and dyspepsia.</w:t>
            </w:r>
          </w:p>
          <w:p w14:paraId="11881C58" w14:textId="77777777" w:rsidR="0019056F" w:rsidRPr="00A85EF6" w:rsidRDefault="0019056F" w:rsidP="009E73E8">
            <w:pPr>
              <w:ind w:left="0" w:firstLine="0"/>
              <w:rPr>
                <w:rFonts w:ascii="Calibri" w:hAnsi="Calibri"/>
              </w:rPr>
            </w:pPr>
          </w:p>
        </w:tc>
      </w:tr>
      <w:tr w:rsidR="0019056F" w:rsidRPr="00A85EF6" w14:paraId="39CE3529" w14:textId="77777777" w:rsidTr="009E73E8">
        <w:tc>
          <w:tcPr>
            <w:tcW w:w="2065" w:type="dxa"/>
          </w:tcPr>
          <w:p w14:paraId="6EAA86A1" w14:textId="77777777" w:rsidR="0019056F" w:rsidRPr="00A85EF6" w:rsidRDefault="0019056F" w:rsidP="009E73E8">
            <w:pPr>
              <w:ind w:left="0" w:firstLine="0"/>
              <w:rPr>
                <w:rFonts w:ascii="Calibri" w:hAnsi="Calibri"/>
              </w:rPr>
            </w:pPr>
            <w:r w:rsidRPr="00A85EF6">
              <w:rPr>
                <w:rFonts w:ascii="Calibri" w:hAnsi="Calibri"/>
              </w:rPr>
              <w:lastRenderedPageBreak/>
              <w:t>Identify any new studies conducted since the SR. Do the new studies change the conclusions from the SR?</w:t>
            </w:r>
          </w:p>
        </w:tc>
        <w:tc>
          <w:tcPr>
            <w:tcW w:w="7285" w:type="dxa"/>
          </w:tcPr>
          <w:p w14:paraId="1EFBB7FD" w14:textId="77777777" w:rsidR="0019056F" w:rsidRPr="00A85EF6" w:rsidRDefault="0019056F" w:rsidP="009E73E8">
            <w:pPr>
              <w:ind w:left="0" w:firstLine="0"/>
              <w:rPr>
                <w:rFonts w:ascii="Calibri" w:hAnsi="Calibri"/>
              </w:rPr>
            </w:pPr>
            <w:r>
              <w:rPr>
                <w:rFonts w:ascii="Calibri" w:hAnsi="Calibri"/>
              </w:rPr>
              <w:t>No new studies were identified.</w:t>
            </w:r>
          </w:p>
        </w:tc>
      </w:tr>
    </w:tbl>
    <w:p w14:paraId="36DA2DFA" w14:textId="77777777" w:rsidR="0019056F" w:rsidRDefault="0019056F" w:rsidP="0019056F">
      <w:pPr>
        <w:ind w:left="0" w:firstLine="0"/>
        <w:rPr>
          <w:i/>
          <w:iCs/>
        </w:rPr>
      </w:pPr>
    </w:p>
    <w:p w14:paraId="6B229F9E" w14:textId="77777777" w:rsidR="0019056F" w:rsidRDefault="0019056F" w:rsidP="0019056F">
      <w:pPr>
        <w:rPr>
          <w:i/>
          <w:iCs/>
        </w:rPr>
      </w:pPr>
      <w:r>
        <w:rPr>
          <w:i/>
          <w:iCs/>
        </w:rPr>
        <w:br w:type="page"/>
      </w:r>
    </w:p>
    <w:p w14:paraId="2A525B66" w14:textId="77777777" w:rsidR="0019056F" w:rsidRPr="00DB4E2F" w:rsidRDefault="0019056F" w:rsidP="0019056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3</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Meta-Analysis</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Pr>
          <w:rFonts w:asciiTheme="majorHAnsi" w:eastAsia="Times New Roman" w:hAnsiTheme="majorHAnsi" w:cstheme="majorBidi"/>
          <w:b/>
          <w:bCs/>
          <w:color w:val="4F81BD" w:themeColor="accent1"/>
          <w:sz w:val="26"/>
          <w:szCs w:val="26"/>
        </w:rPr>
        <w:t>Methadone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Bao</w:t>
      </w:r>
      <w:r w:rsidRPr="00DB4E2F">
        <w:rPr>
          <w:rFonts w:asciiTheme="majorHAnsi" w:eastAsia="Times New Roman" w:hAnsiTheme="majorHAnsi" w:cstheme="majorBidi"/>
          <w:b/>
          <w:bCs/>
          <w:color w:val="4F81BD" w:themeColor="accent1"/>
          <w:sz w:val="26"/>
          <w:szCs w:val="26"/>
        </w:rPr>
        <w:t xml:space="preserve"> et al., 20</w:t>
      </w:r>
      <w:r>
        <w:rPr>
          <w:rFonts w:asciiTheme="majorHAnsi" w:eastAsia="Times New Roman" w:hAnsiTheme="majorHAnsi" w:cstheme="majorBidi"/>
          <w:b/>
          <w:bCs/>
          <w:color w:val="4F81BD" w:themeColor="accent1"/>
          <w:sz w:val="26"/>
          <w:szCs w:val="26"/>
        </w:rPr>
        <w:t>09</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065"/>
        <w:gridCol w:w="7285"/>
      </w:tblGrid>
      <w:tr w:rsidR="0019056F" w:rsidRPr="00A85EF6" w14:paraId="07402F91" w14:textId="77777777" w:rsidTr="009E73E8">
        <w:tc>
          <w:tcPr>
            <w:tcW w:w="2065" w:type="dxa"/>
          </w:tcPr>
          <w:p w14:paraId="34891A38" w14:textId="77777777" w:rsidR="0019056F" w:rsidRPr="00A85EF6" w:rsidRDefault="0019056F" w:rsidP="009E73E8">
            <w:pPr>
              <w:ind w:left="0" w:firstLine="0"/>
              <w:rPr>
                <w:rFonts w:ascii="Calibri" w:hAnsi="Calibri"/>
                <w:b/>
              </w:rPr>
            </w:pPr>
            <w:r w:rsidRPr="00A85EF6">
              <w:rPr>
                <w:rFonts w:ascii="Calibri" w:hAnsi="Calibri"/>
                <w:b/>
              </w:rPr>
              <w:t>Source of Systematic Review:</w:t>
            </w:r>
          </w:p>
          <w:p w14:paraId="0ABF98BC"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Title</w:t>
            </w:r>
          </w:p>
          <w:p w14:paraId="73531539"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Author</w:t>
            </w:r>
          </w:p>
          <w:p w14:paraId="55621CFF"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Date</w:t>
            </w:r>
          </w:p>
          <w:p w14:paraId="2FFF550E"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Citation, including page number</w:t>
            </w:r>
          </w:p>
          <w:p w14:paraId="716EBB92" w14:textId="77777777" w:rsidR="0019056F" w:rsidRPr="00A85EF6" w:rsidRDefault="0019056F" w:rsidP="009E73E8">
            <w:pPr>
              <w:numPr>
                <w:ilvl w:val="0"/>
                <w:numId w:val="9"/>
              </w:numPr>
              <w:contextualSpacing/>
              <w:rPr>
                <w:rFonts w:ascii="Calibri" w:eastAsiaTheme="minorEastAsia" w:hAnsi="Calibri"/>
                <w:b/>
              </w:rPr>
            </w:pPr>
            <w:r w:rsidRPr="00A85EF6">
              <w:rPr>
                <w:rFonts w:ascii="Calibri" w:eastAsiaTheme="minorEastAsia" w:hAnsi="Calibri"/>
                <w:b/>
              </w:rPr>
              <w:t>URL</w:t>
            </w:r>
          </w:p>
        </w:tc>
        <w:tc>
          <w:tcPr>
            <w:tcW w:w="7285" w:type="dxa"/>
          </w:tcPr>
          <w:p w14:paraId="401EC6CD" w14:textId="77777777" w:rsidR="0019056F" w:rsidRPr="00A85EF6" w:rsidRDefault="0019056F" w:rsidP="009E73E8">
            <w:pPr>
              <w:ind w:left="0" w:firstLine="0"/>
              <w:rPr>
                <w:rFonts w:ascii="Calibri" w:hAnsi="Calibri"/>
              </w:rPr>
            </w:pPr>
            <w:r w:rsidRPr="00A85EF6">
              <w:rPr>
                <w:rFonts w:ascii="Calibri" w:hAnsi="Calibri"/>
              </w:rPr>
              <w:t>Meta-analysis:</w:t>
            </w:r>
          </w:p>
          <w:p w14:paraId="77BD7C90" w14:textId="77777777" w:rsidR="0019056F" w:rsidRPr="00A85EF6" w:rsidRDefault="0019056F" w:rsidP="009E73E8">
            <w:pPr>
              <w:ind w:left="0" w:firstLine="0"/>
              <w:rPr>
                <w:rFonts w:ascii="Calibri" w:hAnsi="Calibri"/>
              </w:rPr>
            </w:pPr>
            <w:r w:rsidRPr="00A85EF6">
              <w:rPr>
                <w:rFonts w:ascii="Calibri" w:hAnsi="Calibri"/>
              </w:rPr>
              <w:t xml:space="preserve">Bao YP, Liu ZM, Epstein DH, Du C, Shi J, Lu L. A meta-analysis of retention in methadone maintenance by dose and dosing strategy. Am J Drug Alcohol Abuse. 2009;35(1):28-33.  </w:t>
            </w:r>
          </w:p>
          <w:p w14:paraId="3B609534" w14:textId="77777777" w:rsidR="0019056F" w:rsidRPr="00A85EF6" w:rsidRDefault="0019056F" w:rsidP="009E73E8">
            <w:pPr>
              <w:ind w:left="0" w:firstLine="0"/>
              <w:rPr>
                <w:rFonts w:ascii="Calibri" w:hAnsi="Calibri"/>
              </w:rPr>
            </w:pPr>
          </w:p>
          <w:p w14:paraId="0348AD28" w14:textId="77777777" w:rsidR="0019056F" w:rsidRPr="00A85EF6" w:rsidRDefault="0019056F" w:rsidP="009E73E8">
            <w:pPr>
              <w:ind w:left="0" w:firstLine="0"/>
              <w:rPr>
                <w:rFonts w:ascii="Calibri" w:hAnsi="Calibri"/>
              </w:rPr>
            </w:pPr>
            <w:r w:rsidRPr="00A85EF6">
              <w:rPr>
                <w:rFonts w:ascii="Calibri" w:hAnsi="Calibri"/>
              </w:rPr>
              <w:t xml:space="preserve">Cited in support of Recommendation 8 (see below) by: </w:t>
            </w:r>
          </w:p>
          <w:p w14:paraId="16279307" w14:textId="77777777" w:rsidR="0019056F" w:rsidRPr="00A85EF6" w:rsidRDefault="0019056F" w:rsidP="009E73E8">
            <w:pPr>
              <w:ind w:left="0" w:firstLine="0"/>
              <w:rPr>
                <w:rFonts w:ascii="Calibri" w:hAnsi="Calibri"/>
              </w:rPr>
            </w:pPr>
            <w:r w:rsidRPr="00A85EF6">
              <w:rPr>
                <w:rFonts w:ascii="Calibri" w:hAnsi="Calibri"/>
              </w:rPr>
              <w:t>Department of Veteran Affairs, Department of Defense (VA/D</w:t>
            </w:r>
            <w:r>
              <w:rPr>
                <w:rFonts w:ascii="Calibri" w:hAnsi="Calibri"/>
              </w:rPr>
              <w:t>o</w:t>
            </w:r>
            <w:r w:rsidRPr="00A85EF6">
              <w:rPr>
                <w:rFonts w:ascii="Calibri" w:hAnsi="Calibri"/>
              </w:rPr>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rsidRPr="00A85EF6" w14:paraId="27373AEA" w14:textId="77777777" w:rsidTr="009E73E8">
        <w:tc>
          <w:tcPr>
            <w:tcW w:w="2065" w:type="dxa"/>
          </w:tcPr>
          <w:p w14:paraId="446D84C0" w14:textId="77777777" w:rsidR="0019056F" w:rsidRPr="00A85EF6" w:rsidRDefault="0019056F" w:rsidP="009E73E8">
            <w:pPr>
              <w:ind w:left="0" w:firstLine="0"/>
              <w:rPr>
                <w:rFonts w:ascii="Calibri" w:hAnsi="Calibri"/>
              </w:rPr>
            </w:pPr>
            <w:r w:rsidRPr="00A85EF6">
              <w:rPr>
                <w:rFonts w:ascii="Calibri" w:hAnsi="Calibri"/>
              </w:rPr>
              <w:t>Quote the guideline or recommendation verbatim about the process, structure or intermediate outcome being measured. If not a guideline, summarize the conclusions from the SR.</w:t>
            </w:r>
          </w:p>
        </w:tc>
        <w:tc>
          <w:tcPr>
            <w:tcW w:w="7285" w:type="dxa"/>
          </w:tcPr>
          <w:p w14:paraId="388A80A2" w14:textId="77777777" w:rsidR="0019056F" w:rsidRPr="00A85EF6" w:rsidRDefault="0019056F" w:rsidP="009E73E8">
            <w:pPr>
              <w:autoSpaceDE w:val="0"/>
              <w:autoSpaceDN w:val="0"/>
              <w:adjustRightInd w:val="0"/>
              <w:rPr>
                <w:rFonts w:ascii="Calibri" w:hAnsi="Calibri" w:cs="Calibri"/>
                <w:b/>
                <w:color w:val="000000"/>
              </w:rPr>
            </w:pPr>
            <w:r w:rsidRPr="00A85EF6">
              <w:rPr>
                <w:rFonts w:ascii="Calibri" w:hAnsi="Calibri" w:cs="Calibri"/>
                <w:b/>
                <w:color w:val="000000"/>
              </w:rPr>
              <w:t>Recommendation 8 (page 38)</w:t>
            </w:r>
            <w:r>
              <w:rPr>
                <w:rFonts w:ascii="Calibri" w:hAnsi="Calibri" w:cs="Calibri"/>
                <w:b/>
                <w:color w:val="000000"/>
              </w:rPr>
              <w:t xml:space="preserve"> </w:t>
            </w:r>
            <w:r>
              <w:rPr>
                <w:b/>
              </w:rPr>
              <w:t>from 2015 VA/DoD Guideline</w:t>
            </w:r>
          </w:p>
          <w:p w14:paraId="34759A3F" w14:textId="77777777" w:rsidR="0019056F" w:rsidRPr="00A85EF6" w:rsidRDefault="0019056F" w:rsidP="009E73E8">
            <w:pPr>
              <w:autoSpaceDE w:val="0"/>
              <w:autoSpaceDN w:val="0"/>
              <w:adjustRightInd w:val="0"/>
              <w:rPr>
                <w:rFonts w:ascii="Calibri" w:hAnsi="Calibri" w:cs="Calibri"/>
                <w:color w:val="000000"/>
              </w:rPr>
            </w:pPr>
            <w:r w:rsidRPr="00A85EF6">
              <w:rPr>
                <w:rFonts w:ascii="Calibri" w:hAnsi="Calibri" w:cs="Calibri"/>
                <w:color w:val="000000"/>
              </w:rPr>
              <w:t>8. For patients with opioid use disorder, we recommend offering one of the following medications considering patient preferences:</w:t>
            </w:r>
          </w:p>
          <w:p w14:paraId="1EAB4319" w14:textId="77777777" w:rsidR="0019056F" w:rsidRPr="00A85EF6" w:rsidRDefault="0019056F" w:rsidP="0019056F">
            <w:pPr>
              <w:numPr>
                <w:ilvl w:val="0"/>
                <w:numId w:val="26"/>
              </w:numPr>
              <w:autoSpaceDE w:val="0"/>
              <w:autoSpaceDN w:val="0"/>
              <w:adjustRightInd w:val="0"/>
              <w:rPr>
                <w:rFonts w:ascii="Calibri" w:hAnsi="Calibri" w:cs="Calibri"/>
                <w:color w:val="000000"/>
              </w:rPr>
            </w:pPr>
            <w:r w:rsidRPr="00A85EF6">
              <w:rPr>
                <w:rFonts w:ascii="Calibri" w:hAnsi="Calibri" w:cs="Calibri"/>
                <w:color w:val="000000"/>
              </w:rPr>
              <w:t xml:space="preserve">Buprenorphine/naloxone </w:t>
            </w:r>
          </w:p>
          <w:p w14:paraId="2B39D240" w14:textId="77777777" w:rsidR="0019056F" w:rsidRPr="00A85EF6" w:rsidRDefault="0019056F" w:rsidP="0019056F">
            <w:pPr>
              <w:numPr>
                <w:ilvl w:val="0"/>
                <w:numId w:val="26"/>
              </w:numPr>
              <w:autoSpaceDE w:val="0"/>
              <w:autoSpaceDN w:val="0"/>
              <w:adjustRightInd w:val="0"/>
              <w:rPr>
                <w:rFonts w:ascii="Calibri" w:hAnsi="Calibri" w:cs="Calibri"/>
                <w:color w:val="000000"/>
              </w:rPr>
            </w:pPr>
            <w:r w:rsidRPr="00A85EF6">
              <w:rPr>
                <w:rFonts w:ascii="Calibri" w:hAnsi="Calibri" w:cs="Calibri"/>
                <w:color w:val="000000"/>
              </w:rPr>
              <w:t xml:space="preserve">Methadone in an Opioid Treatment Program </w:t>
            </w:r>
          </w:p>
          <w:p w14:paraId="6443B59E" w14:textId="77777777" w:rsidR="0019056F" w:rsidRPr="00A85EF6" w:rsidRDefault="0019056F" w:rsidP="009E73E8">
            <w:pPr>
              <w:autoSpaceDE w:val="0"/>
              <w:autoSpaceDN w:val="0"/>
              <w:adjustRightInd w:val="0"/>
              <w:rPr>
                <w:rFonts w:ascii="Calibri" w:hAnsi="Calibri" w:cs="Calibri"/>
                <w:b/>
                <w:bCs/>
                <w:color w:val="000000"/>
              </w:rPr>
            </w:pPr>
            <w:r w:rsidRPr="00A85EF6">
              <w:rPr>
                <w:rFonts w:ascii="Calibri" w:hAnsi="Calibri" w:cs="Calibri"/>
                <w:b/>
                <w:bCs/>
                <w:color w:val="000000"/>
              </w:rPr>
              <w:t xml:space="preserve">(Strong For | Reviewed, New-replaced) </w:t>
            </w:r>
          </w:p>
          <w:p w14:paraId="149B5C79" w14:textId="77777777" w:rsidR="0019056F" w:rsidRPr="00A85EF6" w:rsidRDefault="0019056F" w:rsidP="009E73E8">
            <w:pPr>
              <w:spacing w:after="200" w:line="276" w:lineRule="auto"/>
              <w:ind w:left="0" w:firstLine="0"/>
              <w:rPr>
                <w:rFonts w:ascii="Calibri" w:hAnsi="Calibri"/>
              </w:rPr>
            </w:pPr>
          </w:p>
        </w:tc>
      </w:tr>
      <w:tr w:rsidR="0019056F" w:rsidRPr="00A85EF6" w14:paraId="48EDF921" w14:textId="77777777" w:rsidTr="009E73E8">
        <w:tc>
          <w:tcPr>
            <w:tcW w:w="2065" w:type="dxa"/>
          </w:tcPr>
          <w:p w14:paraId="0CDBFC40" w14:textId="77777777" w:rsidR="0019056F" w:rsidRPr="00A85EF6" w:rsidRDefault="0019056F" w:rsidP="009E73E8">
            <w:pPr>
              <w:ind w:left="0" w:firstLine="0"/>
              <w:rPr>
                <w:rFonts w:ascii="Calibri" w:hAnsi="Calibri"/>
              </w:rPr>
            </w:pPr>
            <w:r w:rsidRPr="00A85EF6">
              <w:rPr>
                <w:rFonts w:ascii="Calibri" w:hAnsi="Calibri"/>
              </w:rPr>
              <w:t xml:space="preserve">Grade assigned to the </w:t>
            </w:r>
            <w:r w:rsidRPr="00A85EF6">
              <w:rPr>
                <w:rFonts w:ascii="Calibri" w:hAnsi="Calibri"/>
                <w:b/>
              </w:rPr>
              <w:t>evidence</w:t>
            </w:r>
            <w:r w:rsidRPr="00A85EF6">
              <w:rPr>
                <w:rFonts w:ascii="Calibri" w:hAnsi="Calibri"/>
              </w:rPr>
              <w:t xml:space="preserve"> associated with the recommendation with the definition of the grade</w:t>
            </w:r>
          </w:p>
        </w:tc>
        <w:tc>
          <w:tcPr>
            <w:tcW w:w="7285" w:type="dxa"/>
          </w:tcPr>
          <w:p w14:paraId="6E68E389" w14:textId="77777777" w:rsidR="0019056F" w:rsidRPr="00A85EF6" w:rsidRDefault="0019056F" w:rsidP="009E73E8">
            <w:pPr>
              <w:ind w:left="0" w:firstLine="0"/>
              <w:rPr>
                <w:rFonts w:ascii="Calibri" w:hAnsi="Calibri"/>
              </w:rPr>
            </w:pPr>
            <w:r w:rsidRPr="00A85EF6">
              <w:rPr>
                <w:rFonts w:ascii="Calibri" w:hAnsi="Calibri"/>
              </w:rPr>
              <w:t>The meta-analysis did not grade the evidence.</w:t>
            </w:r>
          </w:p>
        </w:tc>
      </w:tr>
      <w:tr w:rsidR="0019056F" w:rsidRPr="00A85EF6" w14:paraId="7246B889" w14:textId="77777777" w:rsidTr="009E73E8">
        <w:tc>
          <w:tcPr>
            <w:tcW w:w="2065" w:type="dxa"/>
          </w:tcPr>
          <w:p w14:paraId="6C7B324A" w14:textId="77777777" w:rsidR="0019056F" w:rsidRPr="00A85EF6" w:rsidRDefault="0019056F" w:rsidP="009E73E8">
            <w:pPr>
              <w:ind w:left="0" w:firstLine="0"/>
              <w:rPr>
                <w:rFonts w:ascii="Calibri" w:hAnsi="Calibri"/>
              </w:rPr>
            </w:pPr>
            <w:r w:rsidRPr="00A85EF6">
              <w:rPr>
                <w:rFonts w:ascii="Calibri" w:hAnsi="Calibri"/>
              </w:rPr>
              <w:t>Provide all other grades and definitions from the evidence grading system</w:t>
            </w:r>
          </w:p>
        </w:tc>
        <w:tc>
          <w:tcPr>
            <w:tcW w:w="7285" w:type="dxa"/>
          </w:tcPr>
          <w:p w14:paraId="4D452FC7" w14:textId="77777777" w:rsidR="0019056F" w:rsidRPr="00A85EF6" w:rsidRDefault="0019056F" w:rsidP="009E73E8">
            <w:pPr>
              <w:ind w:left="0" w:firstLine="0"/>
              <w:rPr>
                <w:rFonts w:ascii="Calibri" w:hAnsi="Calibri"/>
              </w:rPr>
            </w:pPr>
            <w:r w:rsidRPr="00A85EF6">
              <w:rPr>
                <w:rFonts w:ascii="Calibri" w:hAnsi="Calibri"/>
              </w:rPr>
              <w:t>The meta-analysis did not grade the evidence.</w:t>
            </w:r>
          </w:p>
        </w:tc>
      </w:tr>
      <w:tr w:rsidR="0019056F" w:rsidRPr="00A85EF6" w14:paraId="1D7FD2C5" w14:textId="77777777" w:rsidTr="009E73E8">
        <w:tc>
          <w:tcPr>
            <w:tcW w:w="2065" w:type="dxa"/>
          </w:tcPr>
          <w:p w14:paraId="1E225868" w14:textId="77777777" w:rsidR="0019056F" w:rsidRPr="00A85EF6" w:rsidRDefault="0019056F" w:rsidP="009E73E8">
            <w:pPr>
              <w:ind w:left="0" w:firstLine="0"/>
              <w:rPr>
                <w:rFonts w:ascii="Calibri" w:hAnsi="Calibri"/>
              </w:rPr>
            </w:pPr>
            <w:r w:rsidRPr="00A85EF6">
              <w:rPr>
                <w:rFonts w:ascii="Calibri" w:hAnsi="Calibri"/>
              </w:rPr>
              <w:t xml:space="preserve">Grade assigned to the </w:t>
            </w:r>
            <w:r w:rsidRPr="00A85EF6">
              <w:rPr>
                <w:rFonts w:ascii="Calibri" w:hAnsi="Calibri"/>
                <w:b/>
              </w:rPr>
              <w:t>recommendation</w:t>
            </w:r>
            <w:r w:rsidRPr="00A85EF6">
              <w:rPr>
                <w:rFonts w:ascii="Calibri" w:hAnsi="Calibri"/>
              </w:rPr>
              <w:t xml:space="preserve"> with definition of the grade</w:t>
            </w:r>
          </w:p>
        </w:tc>
        <w:tc>
          <w:tcPr>
            <w:tcW w:w="7285" w:type="dxa"/>
          </w:tcPr>
          <w:p w14:paraId="26A65258" w14:textId="77777777" w:rsidR="0019056F" w:rsidRPr="00A85EF6" w:rsidRDefault="0019056F" w:rsidP="009E73E8">
            <w:pPr>
              <w:ind w:left="0" w:firstLine="0"/>
              <w:rPr>
                <w:rFonts w:ascii="Calibri" w:hAnsi="Calibri"/>
              </w:rPr>
            </w:pPr>
            <w:r w:rsidRPr="00A85EF6">
              <w:rPr>
                <w:rFonts w:ascii="Calibri" w:hAnsi="Calibri"/>
              </w:rPr>
              <w:t>The grade assigned to Recommendation 8 was “Strong For.” “A strong recommendation indicates that the Work Group is highly confident that desirable outcomes outweigh undesirable outcomes.” (page 11)</w:t>
            </w:r>
          </w:p>
          <w:p w14:paraId="55B1B529" w14:textId="77777777" w:rsidR="0019056F" w:rsidRPr="00A85EF6" w:rsidRDefault="0019056F" w:rsidP="009E73E8">
            <w:pPr>
              <w:ind w:left="0" w:firstLine="0"/>
              <w:rPr>
                <w:rFonts w:ascii="Calibri" w:hAnsi="Calibri"/>
              </w:rPr>
            </w:pPr>
            <w:r w:rsidRPr="00A85EF6">
              <w:rPr>
                <w:rFonts w:ascii="Calibri" w:hAnsi="Calibri"/>
              </w:rPr>
              <w:t>“Using these elements, the grade of each recommendation is presented as part of a continuum: “Strong For (or “We recommend offering this option …”) “ (page 11)</w:t>
            </w:r>
          </w:p>
        </w:tc>
      </w:tr>
      <w:tr w:rsidR="0019056F" w:rsidRPr="00A85EF6" w14:paraId="37ABE96A" w14:textId="77777777" w:rsidTr="009E73E8">
        <w:tc>
          <w:tcPr>
            <w:tcW w:w="2065" w:type="dxa"/>
          </w:tcPr>
          <w:p w14:paraId="4BC5801F" w14:textId="77777777" w:rsidR="0019056F" w:rsidRPr="00A85EF6" w:rsidRDefault="0019056F" w:rsidP="009E73E8">
            <w:pPr>
              <w:ind w:left="0" w:firstLine="0"/>
              <w:rPr>
                <w:rFonts w:ascii="Calibri" w:hAnsi="Calibri"/>
              </w:rPr>
            </w:pPr>
            <w:r w:rsidRPr="00A85EF6">
              <w:rPr>
                <w:rFonts w:ascii="Calibri" w:hAnsi="Calibri"/>
              </w:rPr>
              <w:t xml:space="preserve">Provide all other grades and definitions from the </w:t>
            </w:r>
            <w:r w:rsidRPr="00A85EF6">
              <w:rPr>
                <w:rFonts w:ascii="Calibri" w:hAnsi="Calibri"/>
              </w:rPr>
              <w:lastRenderedPageBreak/>
              <w:t>recommendation grading system</w:t>
            </w:r>
          </w:p>
        </w:tc>
        <w:tc>
          <w:tcPr>
            <w:tcW w:w="7285" w:type="dxa"/>
          </w:tcPr>
          <w:p w14:paraId="72D0F3B5" w14:textId="77777777" w:rsidR="0019056F" w:rsidRPr="00A85EF6" w:rsidRDefault="0019056F" w:rsidP="009E73E8">
            <w:pPr>
              <w:ind w:left="0" w:firstLine="0"/>
              <w:rPr>
                <w:rFonts w:ascii="Calibri" w:hAnsi="Calibri"/>
              </w:rPr>
            </w:pPr>
            <w:r w:rsidRPr="00A85EF6">
              <w:rPr>
                <w:rFonts w:ascii="Calibri" w:hAnsi="Calibri"/>
              </w:rPr>
              <w:lastRenderedPageBreak/>
              <w:t xml:space="preserve">The </w:t>
            </w:r>
            <w:r>
              <w:rPr>
                <w:rFonts w:ascii="Calibri" w:hAnsi="Calibri"/>
              </w:rPr>
              <w:t>[DoD/VA]</w:t>
            </w:r>
            <w:r w:rsidRPr="00A85EF6">
              <w:rPr>
                <w:rFonts w:ascii="Calibri" w:hAnsi="Calibri"/>
              </w:rPr>
              <w:t xml:space="preserve"> Work Group used the Grading of Recommendations Assessment, Development and Evaluation (GRADE) system to assess the quality of the evidence base and assign a grade for the strength for each </w:t>
            </w:r>
            <w:r w:rsidRPr="00A85EF6">
              <w:rPr>
                <w:rFonts w:ascii="Calibri" w:hAnsi="Calibri"/>
              </w:rPr>
              <w:lastRenderedPageBreak/>
              <w:t>recommendation. The GRADE system uses the following four domains to assess the strength of each recommendation:</w:t>
            </w:r>
          </w:p>
          <w:p w14:paraId="55226DC6"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Balance of desirable and undesirable outcomes</w:t>
            </w:r>
          </w:p>
          <w:p w14:paraId="24DA2B0F"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Confidence in the quality of the evidence</w:t>
            </w:r>
          </w:p>
          <w:p w14:paraId="60B2A807" w14:textId="77777777" w:rsidR="0019056F" w:rsidRPr="00A85EF6" w:rsidRDefault="0019056F" w:rsidP="0019056F">
            <w:pPr>
              <w:numPr>
                <w:ilvl w:val="0"/>
                <w:numId w:val="17"/>
              </w:numPr>
              <w:spacing w:after="200" w:line="276" w:lineRule="auto"/>
              <w:contextualSpacing/>
              <w:rPr>
                <w:rFonts w:ascii="Calibri" w:eastAsiaTheme="minorEastAsia" w:hAnsi="Calibri"/>
              </w:rPr>
            </w:pPr>
            <w:r w:rsidRPr="00A85EF6">
              <w:rPr>
                <w:rFonts w:ascii="Calibri" w:eastAsiaTheme="minorEastAsia" w:hAnsi="Calibri"/>
              </w:rPr>
              <w:t>Patient or provider values and preferences</w:t>
            </w:r>
          </w:p>
          <w:p w14:paraId="40E4FC9E" w14:textId="77777777" w:rsidR="0019056F" w:rsidRPr="00A85EF6" w:rsidRDefault="0019056F" w:rsidP="0019056F">
            <w:pPr>
              <w:numPr>
                <w:ilvl w:val="0"/>
                <w:numId w:val="16"/>
              </w:numPr>
              <w:spacing w:after="200" w:line="276" w:lineRule="auto"/>
              <w:ind w:left="720"/>
              <w:contextualSpacing/>
              <w:rPr>
                <w:rFonts w:ascii="Calibri" w:eastAsiaTheme="minorEastAsia" w:hAnsi="Calibri"/>
              </w:rPr>
            </w:pPr>
            <w:r w:rsidRPr="00A85EF6">
              <w:rPr>
                <w:rFonts w:ascii="Calibri" w:eastAsiaTheme="minorEastAsia" w:hAnsi="Calibri"/>
              </w:rPr>
              <w:t>Other implications, as appropriate, e.g., Resource use, Equity, Acceptability, Feasibility, and Subgroup considerations.</w:t>
            </w:r>
          </w:p>
          <w:p w14:paraId="2BBC1EB4" w14:textId="77777777" w:rsidR="0019056F" w:rsidRPr="00A85EF6" w:rsidRDefault="0019056F" w:rsidP="009E73E8">
            <w:pPr>
              <w:ind w:left="0" w:firstLine="0"/>
              <w:rPr>
                <w:rFonts w:ascii="Calibri" w:hAnsi="Calibri"/>
              </w:rPr>
            </w:pPr>
            <w:r w:rsidRPr="00A85EF6">
              <w:rPr>
                <w:rFonts w:ascii="Calibri" w:hAnsi="Calibri"/>
              </w:rPr>
              <w:t xml:space="preserve">Using this system, the </w:t>
            </w:r>
            <w:r>
              <w:rPr>
                <w:rFonts w:ascii="Calibri" w:hAnsi="Calibri"/>
              </w:rPr>
              <w:t>[DoD/VA]</w:t>
            </w:r>
            <w:r w:rsidRPr="00A85EF6">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6AF2A90B" w14:textId="77777777" w:rsidR="0019056F" w:rsidRPr="00A85EF6" w:rsidRDefault="0019056F" w:rsidP="009E73E8">
            <w:pPr>
              <w:ind w:left="0" w:firstLine="0"/>
              <w:rPr>
                <w:rFonts w:ascii="Calibri" w:hAnsi="Calibri"/>
              </w:rPr>
            </w:pPr>
          </w:p>
          <w:p w14:paraId="7A4BFA09" w14:textId="77777777" w:rsidR="0019056F" w:rsidRPr="00A85EF6" w:rsidRDefault="0019056F" w:rsidP="009E73E8">
            <w:pPr>
              <w:ind w:left="0" w:firstLine="0"/>
              <w:rPr>
                <w:rFonts w:ascii="Calibri" w:hAnsi="Calibri"/>
              </w:rPr>
            </w:pPr>
            <w:r w:rsidRPr="00A85EF6">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4FC432F7" w14:textId="77777777" w:rsidR="0019056F" w:rsidRPr="00A85EF6" w:rsidRDefault="0019056F" w:rsidP="009E73E8">
            <w:pPr>
              <w:ind w:left="0" w:firstLine="0"/>
              <w:rPr>
                <w:rFonts w:ascii="Calibri" w:hAnsi="Calibri"/>
              </w:rPr>
            </w:pPr>
          </w:p>
          <w:p w14:paraId="34E405C6" w14:textId="77777777" w:rsidR="0019056F" w:rsidRPr="00A85EF6" w:rsidRDefault="0019056F" w:rsidP="009E73E8">
            <w:pPr>
              <w:ind w:left="0" w:firstLine="0"/>
              <w:rPr>
                <w:rFonts w:ascii="Calibri" w:hAnsi="Calibri"/>
              </w:rPr>
            </w:pPr>
            <w:r w:rsidRPr="00A85EF6">
              <w:rPr>
                <w:rFonts w:ascii="Calibri" w:hAnsi="Calibri"/>
              </w:rPr>
              <w:t>Using these elements, the grade of each recommendation is presented as part of a continuum:</w:t>
            </w:r>
          </w:p>
          <w:p w14:paraId="2ABE40D1" w14:textId="77777777" w:rsidR="0019056F" w:rsidRPr="00A85EF6" w:rsidRDefault="0019056F" w:rsidP="009E73E8">
            <w:pPr>
              <w:ind w:left="0" w:firstLine="0"/>
              <w:rPr>
                <w:rFonts w:ascii="Calibri" w:hAnsi="Calibri"/>
              </w:rPr>
            </w:pPr>
            <w:r w:rsidRPr="00A85EF6">
              <w:rPr>
                <w:rFonts w:ascii="Calibri" w:hAnsi="Calibri"/>
              </w:rPr>
              <w:t>•Strong For (or “We recommend offering this option …”)</w:t>
            </w:r>
          </w:p>
          <w:p w14:paraId="5FC95B21" w14:textId="77777777" w:rsidR="0019056F" w:rsidRPr="00A85EF6" w:rsidRDefault="0019056F" w:rsidP="009E73E8">
            <w:pPr>
              <w:ind w:left="0" w:firstLine="0"/>
              <w:rPr>
                <w:rFonts w:ascii="Calibri" w:hAnsi="Calibri"/>
              </w:rPr>
            </w:pPr>
            <w:r w:rsidRPr="00A85EF6">
              <w:rPr>
                <w:rFonts w:ascii="Calibri" w:hAnsi="Calibri"/>
              </w:rPr>
              <w:t>•Weak For (or “We suggest offering this option …”)</w:t>
            </w:r>
          </w:p>
          <w:p w14:paraId="4AB9EC96" w14:textId="77777777" w:rsidR="0019056F" w:rsidRPr="00A85EF6" w:rsidRDefault="0019056F" w:rsidP="009E73E8">
            <w:pPr>
              <w:ind w:left="0" w:firstLine="0"/>
              <w:rPr>
                <w:rFonts w:ascii="Calibri" w:hAnsi="Calibri"/>
              </w:rPr>
            </w:pPr>
            <w:r w:rsidRPr="00A85EF6">
              <w:rPr>
                <w:rFonts w:ascii="Calibri" w:hAnsi="Calibri"/>
              </w:rPr>
              <w:t>•Weak Against (or “We suggest not offering this option …”)</w:t>
            </w:r>
          </w:p>
          <w:p w14:paraId="59B60A09" w14:textId="77777777" w:rsidR="0019056F" w:rsidRPr="00A85EF6" w:rsidRDefault="0019056F" w:rsidP="009E73E8">
            <w:pPr>
              <w:ind w:left="0" w:firstLine="0"/>
              <w:rPr>
                <w:rFonts w:ascii="Calibri" w:hAnsi="Calibri"/>
              </w:rPr>
            </w:pPr>
            <w:r w:rsidRPr="00A85EF6">
              <w:rPr>
                <w:rFonts w:ascii="Calibri" w:hAnsi="Calibri"/>
              </w:rPr>
              <w:t>•Strong Against (or “We recommend against offering this option …”)</w:t>
            </w:r>
          </w:p>
        </w:tc>
      </w:tr>
      <w:tr w:rsidR="0019056F" w:rsidRPr="00A85EF6" w14:paraId="126F7856" w14:textId="77777777" w:rsidTr="009E73E8">
        <w:tc>
          <w:tcPr>
            <w:tcW w:w="2065" w:type="dxa"/>
          </w:tcPr>
          <w:p w14:paraId="592661CC" w14:textId="77777777" w:rsidR="0019056F" w:rsidRPr="00A85EF6" w:rsidRDefault="0019056F" w:rsidP="009E73E8">
            <w:pPr>
              <w:ind w:left="0" w:firstLine="0"/>
              <w:rPr>
                <w:rFonts w:ascii="Calibri" w:hAnsi="Calibri"/>
              </w:rPr>
            </w:pPr>
            <w:r w:rsidRPr="00A85EF6">
              <w:rPr>
                <w:rFonts w:ascii="Calibri" w:hAnsi="Calibri"/>
              </w:rPr>
              <w:lastRenderedPageBreak/>
              <w:t>Body of evidence:</w:t>
            </w:r>
          </w:p>
          <w:p w14:paraId="3082A43B" w14:textId="77777777" w:rsidR="0019056F" w:rsidRPr="00A85EF6" w:rsidRDefault="0019056F" w:rsidP="009E73E8">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Quantity – how many studies?</w:t>
            </w:r>
          </w:p>
          <w:p w14:paraId="1EE32C19" w14:textId="77777777" w:rsidR="0019056F" w:rsidRPr="00A85EF6" w:rsidRDefault="0019056F" w:rsidP="009E73E8">
            <w:pPr>
              <w:numPr>
                <w:ilvl w:val="0"/>
                <w:numId w:val="10"/>
              </w:numPr>
              <w:spacing w:after="200" w:line="276" w:lineRule="auto"/>
              <w:contextualSpacing/>
              <w:rPr>
                <w:rFonts w:ascii="Calibri" w:eastAsiaTheme="minorEastAsia" w:hAnsi="Calibri"/>
              </w:rPr>
            </w:pPr>
            <w:r w:rsidRPr="00A85EF6">
              <w:rPr>
                <w:rFonts w:ascii="Calibri" w:eastAsiaTheme="minorEastAsia" w:hAnsi="Calibri"/>
              </w:rPr>
              <w:t>Quality – what type of studies?</w:t>
            </w:r>
          </w:p>
        </w:tc>
        <w:tc>
          <w:tcPr>
            <w:tcW w:w="7285" w:type="dxa"/>
          </w:tcPr>
          <w:p w14:paraId="0C1F8B8F" w14:textId="77777777" w:rsidR="0019056F" w:rsidRPr="00A85EF6" w:rsidRDefault="0019056F" w:rsidP="009E73E8">
            <w:pPr>
              <w:ind w:left="0" w:firstLine="0"/>
              <w:rPr>
                <w:rFonts w:ascii="Calibri" w:hAnsi="Calibri"/>
              </w:rPr>
            </w:pPr>
            <w:r w:rsidRPr="00A85EF6">
              <w:rPr>
                <w:rFonts w:ascii="Calibri" w:hAnsi="Calibri"/>
              </w:rPr>
              <w:t>Quantity of studies: 18 studies with 2831 participants.</w:t>
            </w:r>
          </w:p>
          <w:p w14:paraId="3139A393" w14:textId="77777777" w:rsidR="0019056F" w:rsidRPr="00A85EF6" w:rsidRDefault="0019056F" w:rsidP="009E73E8">
            <w:pPr>
              <w:ind w:left="0" w:firstLine="0"/>
              <w:rPr>
                <w:rFonts w:ascii="Calibri" w:hAnsi="Calibri"/>
              </w:rPr>
            </w:pPr>
          </w:p>
          <w:p w14:paraId="0B4501D7" w14:textId="77777777" w:rsidR="0019056F" w:rsidRPr="00A85EF6" w:rsidRDefault="0019056F" w:rsidP="009E73E8">
            <w:pPr>
              <w:ind w:left="0" w:firstLine="0"/>
              <w:rPr>
                <w:rFonts w:ascii="Calibri" w:hAnsi="Calibri"/>
              </w:rPr>
            </w:pPr>
            <w:r w:rsidRPr="00A85EF6">
              <w:rPr>
                <w:rFonts w:ascii="Calibri" w:hAnsi="Calibri"/>
              </w:rPr>
              <w:t>Quality of studies: All 18 studies were randomized, controlled, double-blind clinical trials with methadone maintenance treatment (MMT) as at least one of the treatments. These study design characteristics were part of the criteria for selecting studies for inclusion.</w:t>
            </w:r>
          </w:p>
          <w:p w14:paraId="71645ADC" w14:textId="77777777" w:rsidR="0019056F" w:rsidRPr="00A85EF6" w:rsidRDefault="0019056F" w:rsidP="009E73E8">
            <w:pPr>
              <w:ind w:left="0" w:firstLine="0"/>
              <w:rPr>
                <w:rFonts w:ascii="Calibri" w:hAnsi="Calibri"/>
              </w:rPr>
            </w:pPr>
          </w:p>
          <w:p w14:paraId="31FEAE3F" w14:textId="77777777" w:rsidR="0019056F" w:rsidRPr="00A85EF6" w:rsidRDefault="0019056F" w:rsidP="009E73E8">
            <w:pPr>
              <w:ind w:left="0" w:firstLine="0"/>
              <w:rPr>
                <w:rFonts w:ascii="Calibri" w:hAnsi="Calibri"/>
              </w:rPr>
            </w:pPr>
          </w:p>
        </w:tc>
      </w:tr>
      <w:tr w:rsidR="0019056F" w:rsidRPr="00A85EF6" w14:paraId="0809033A" w14:textId="77777777" w:rsidTr="009E73E8">
        <w:tc>
          <w:tcPr>
            <w:tcW w:w="2065" w:type="dxa"/>
          </w:tcPr>
          <w:p w14:paraId="59683FBA" w14:textId="77777777" w:rsidR="0019056F" w:rsidRPr="00A85EF6" w:rsidRDefault="0019056F" w:rsidP="009E73E8">
            <w:pPr>
              <w:ind w:left="0" w:firstLine="0"/>
              <w:rPr>
                <w:rFonts w:ascii="Calibri" w:hAnsi="Calibri"/>
              </w:rPr>
            </w:pPr>
            <w:r w:rsidRPr="00A85EF6">
              <w:rPr>
                <w:rFonts w:ascii="Calibri" w:hAnsi="Calibri"/>
              </w:rPr>
              <w:t xml:space="preserve">Estimates of benefit and consistency across studies </w:t>
            </w:r>
          </w:p>
        </w:tc>
        <w:tc>
          <w:tcPr>
            <w:tcW w:w="7285" w:type="dxa"/>
          </w:tcPr>
          <w:p w14:paraId="0F619D29" w14:textId="77777777" w:rsidR="0019056F" w:rsidRDefault="0019056F" w:rsidP="009E73E8">
            <w:pPr>
              <w:ind w:left="0" w:firstLine="0"/>
              <w:rPr>
                <w:rFonts w:ascii="Calibri" w:hAnsi="Calibri"/>
              </w:rPr>
            </w:pPr>
            <w:r w:rsidRPr="00A85EF6">
              <w:rPr>
                <w:rFonts w:ascii="Calibri" w:hAnsi="Calibri"/>
              </w:rPr>
              <w:t xml:space="preserve">In univariate analyses, doses of MMT greater than or equal to 60 mg/day were associated with greater retention than doses less than 60 mg/day at 3-6 months (62.5% vs. 50.6%; p=0.0005) and 6-12 months (57.0% vs. 42.5%; p&lt;0.0001). Flexible dosing was associated with greater retention than fixed dosing strategies at 3-6 months (61.0% vs. 49.9%; p=0.0007) and 6-12 months (61.7% vs. 45.9%; p&lt;0.0001). In multilevel analyses (follow-up duration, dose, and dosing strategy), retention was greater with methadone doses ≥ 60 mg/day than with doses &lt;60 mg/day (OR: 1.74, 95% CI: 1.43–2.11). Similarly, retention was greater with flexible-dose strategies than with fixed-dose strategies (OR: 1.72, 95% CI: 1.41–2.11).  </w:t>
            </w:r>
          </w:p>
          <w:p w14:paraId="2ED6F886" w14:textId="77777777" w:rsidR="0019056F" w:rsidRPr="00A85EF6" w:rsidRDefault="0019056F" w:rsidP="009E73E8">
            <w:pPr>
              <w:ind w:left="0" w:firstLine="0"/>
              <w:rPr>
                <w:rFonts w:ascii="Calibri" w:hAnsi="Calibri"/>
              </w:rPr>
            </w:pPr>
            <w:r>
              <w:rPr>
                <w:rFonts w:ascii="Calibri" w:hAnsi="Calibri"/>
              </w:rPr>
              <w:t>OR=odds ratio</w:t>
            </w:r>
          </w:p>
        </w:tc>
      </w:tr>
      <w:tr w:rsidR="0019056F" w:rsidRPr="00A85EF6" w14:paraId="15F37B47" w14:textId="77777777" w:rsidTr="009E73E8">
        <w:tc>
          <w:tcPr>
            <w:tcW w:w="2065" w:type="dxa"/>
          </w:tcPr>
          <w:p w14:paraId="5CCD73AD" w14:textId="77777777" w:rsidR="0019056F" w:rsidRPr="00A85EF6" w:rsidRDefault="0019056F" w:rsidP="009E73E8">
            <w:pPr>
              <w:ind w:left="0" w:firstLine="0"/>
              <w:rPr>
                <w:rFonts w:ascii="Calibri" w:hAnsi="Calibri"/>
              </w:rPr>
            </w:pPr>
            <w:r w:rsidRPr="00A85EF6">
              <w:rPr>
                <w:rFonts w:ascii="Calibri" w:hAnsi="Calibri"/>
              </w:rPr>
              <w:t>What harms were identified?</w:t>
            </w:r>
          </w:p>
        </w:tc>
        <w:tc>
          <w:tcPr>
            <w:tcW w:w="7285" w:type="dxa"/>
          </w:tcPr>
          <w:p w14:paraId="50DBA91C" w14:textId="77777777" w:rsidR="0019056F" w:rsidRPr="00A85EF6" w:rsidRDefault="0019056F" w:rsidP="009E73E8">
            <w:pPr>
              <w:ind w:left="0" w:firstLine="0"/>
              <w:rPr>
                <w:rFonts w:ascii="Calibri" w:hAnsi="Calibri"/>
              </w:rPr>
            </w:pPr>
            <w:r w:rsidRPr="00A85EF6">
              <w:rPr>
                <w:rFonts w:ascii="Calibri" w:hAnsi="Calibri"/>
              </w:rPr>
              <w:t>Adverse events or harms were not identified in the systematic review.</w:t>
            </w:r>
          </w:p>
        </w:tc>
      </w:tr>
      <w:tr w:rsidR="0019056F" w:rsidRPr="00A85EF6" w14:paraId="0188B471" w14:textId="77777777" w:rsidTr="009E73E8">
        <w:tc>
          <w:tcPr>
            <w:tcW w:w="2065" w:type="dxa"/>
          </w:tcPr>
          <w:p w14:paraId="38CD200B" w14:textId="77777777" w:rsidR="0019056F" w:rsidRPr="00A85EF6" w:rsidRDefault="0019056F" w:rsidP="009E73E8">
            <w:pPr>
              <w:ind w:left="0" w:firstLine="0"/>
              <w:rPr>
                <w:rFonts w:ascii="Calibri" w:hAnsi="Calibri"/>
              </w:rPr>
            </w:pPr>
            <w:r w:rsidRPr="00A85EF6">
              <w:rPr>
                <w:rFonts w:ascii="Calibri" w:hAnsi="Calibri"/>
              </w:rPr>
              <w:lastRenderedPageBreak/>
              <w:t>Identify any new studies conducted since the SR. Do the new studies change the conclusions from the SR?</w:t>
            </w:r>
          </w:p>
        </w:tc>
        <w:tc>
          <w:tcPr>
            <w:tcW w:w="7285" w:type="dxa"/>
          </w:tcPr>
          <w:p w14:paraId="30532A40" w14:textId="77777777" w:rsidR="0019056F" w:rsidRPr="00A85EF6" w:rsidRDefault="0019056F" w:rsidP="009E73E8">
            <w:pPr>
              <w:ind w:left="0" w:firstLine="0"/>
              <w:rPr>
                <w:rFonts w:ascii="Calibri" w:hAnsi="Calibri"/>
              </w:rPr>
            </w:pPr>
            <w:r>
              <w:rPr>
                <w:rFonts w:ascii="Calibri" w:hAnsi="Calibri"/>
              </w:rPr>
              <w:t>No new studies were identified.</w:t>
            </w:r>
          </w:p>
        </w:tc>
      </w:tr>
    </w:tbl>
    <w:p w14:paraId="747F08B2" w14:textId="77777777" w:rsidR="0019056F" w:rsidRDefault="0019056F" w:rsidP="0019056F">
      <w:pPr>
        <w:ind w:left="0" w:firstLine="0"/>
        <w:rPr>
          <w:i/>
          <w:iCs/>
        </w:rPr>
      </w:pPr>
    </w:p>
    <w:p w14:paraId="487D96F7" w14:textId="77777777" w:rsidR="0019056F" w:rsidRDefault="0019056F" w:rsidP="0019056F">
      <w:pPr>
        <w:rPr>
          <w:i/>
          <w:iCs/>
        </w:rPr>
      </w:pPr>
      <w:r>
        <w:rPr>
          <w:i/>
          <w:iCs/>
        </w:rPr>
        <w:br w:type="page"/>
      </w:r>
    </w:p>
    <w:p w14:paraId="15156251" w14:textId="77777777" w:rsidR="0019056F" w:rsidRPr="00DB4E2F" w:rsidRDefault="0019056F" w:rsidP="0019056F">
      <w:pPr>
        <w:keepNext/>
        <w:keepLines/>
        <w:spacing w:before="200" w:line="276" w:lineRule="auto"/>
        <w:ind w:left="0" w:firstLine="0"/>
        <w:outlineLvl w:val="1"/>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4</w:t>
      </w:r>
      <w:r w:rsidRPr="00DB4E2F">
        <w:rPr>
          <w:rFonts w:asciiTheme="majorHAnsi" w:eastAsia="Times New Roman" w:hAnsiTheme="majorHAnsi" w:cstheme="majorBidi"/>
          <w:b/>
          <w:bCs/>
          <w:color w:val="4F81BD" w:themeColor="accent1"/>
          <w:sz w:val="26"/>
          <w:szCs w:val="26"/>
        </w:rPr>
        <w:t>. Systematic Review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Pr>
          <w:rFonts w:asciiTheme="majorHAnsi" w:eastAsia="Times New Roman" w:hAnsiTheme="majorHAnsi" w:cstheme="majorBidi"/>
          <w:b/>
          <w:bCs/>
          <w:color w:val="4F81BD" w:themeColor="accent1"/>
          <w:sz w:val="26"/>
          <w:szCs w:val="26"/>
        </w:rPr>
        <w:t>Methadone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Mattick</w:t>
      </w:r>
      <w:r w:rsidRPr="00DB4E2F">
        <w:rPr>
          <w:rFonts w:asciiTheme="majorHAnsi" w:eastAsia="Times New Roman" w:hAnsiTheme="majorHAnsi" w:cstheme="majorBidi"/>
          <w:b/>
          <w:bCs/>
          <w:color w:val="4F81BD" w:themeColor="accent1"/>
          <w:sz w:val="26"/>
          <w:szCs w:val="26"/>
        </w:rPr>
        <w:t xml:space="preserve"> et al., 20</w:t>
      </w:r>
      <w:r>
        <w:rPr>
          <w:rFonts w:asciiTheme="majorHAnsi" w:eastAsia="Times New Roman" w:hAnsiTheme="majorHAnsi" w:cstheme="majorBidi"/>
          <w:b/>
          <w:bCs/>
          <w:color w:val="4F81BD" w:themeColor="accent1"/>
          <w:sz w:val="26"/>
          <w:szCs w:val="26"/>
        </w:rPr>
        <w:t>09</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335"/>
        <w:gridCol w:w="7015"/>
      </w:tblGrid>
      <w:tr w:rsidR="0019056F" w:rsidRPr="00D326BC" w14:paraId="313CD11B" w14:textId="77777777" w:rsidTr="009E73E8">
        <w:tc>
          <w:tcPr>
            <w:tcW w:w="2335" w:type="dxa"/>
          </w:tcPr>
          <w:p w14:paraId="70697612" w14:textId="77777777" w:rsidR="0019056F" w:rsidRPr="00D326BC" w:rsidRDefault="0019056F" w:rsidP="009E73E8">
            <w:pPr>
              <w:ind w:left="0" w:firstLine="0"/>
              <w:rPr>
                <w:rFonts w:ascii="Calibri" w:hAnsi="Calibri"/>
                <w:b/>
              </w:rPr>
            </w:pPr>
            <w:r w:rsidRPr="00D326BC">
              <w:rPr>
                <w:rFonts w:ascii="Calibri" w:hAnsi="Calibri"/>
                <w:b/>
              </w:rPr>
              <w:t>Source of Systematic Review:</w:t>
            </w:r>
          </w:p>
          <w:p w14:paraId="18E376AB" w14:textId="77777777" w:rsidR="0019056F" w:rsidRPr="00D326BC" w:rsidRDefault="0019056F" w:rsidP="009E73E8">
            <w:pPr>
              <w:numPr>
                <w:ilvl w:val="0"/>
                <w:numId w:val="9"/>
              </w:numPr>
              <w:contextualSpacing/>
              <w:rPr>
                <w:rFonts w:ascii="Calibri" w:eastAsiaTheme="minorEastAsia" w:hAnsi="Calibri"/>
                <w:b/>
              </w:rPr>
            </w:pPr>
            <w:r w:rsidRPr="00D326BC">
              <w:rPr>
                <w:rFonts w:ascii="Calibri" w:eastAsiaTheme="minorEastAsia" w:hAnsi="Calibri"/>
                <w:b/>
              </w:rPr>
              <w:t>Title</w:t>
            </w:r>
          </w:p>
          <w:p w14:paraId="694C47C6" w14:textId="77777777" w:rsidR="0019056F" w:rsidRPr="00D326BC" w:rsidRDefault="0019056F" w:rsidP="009E73E8">
            <w:pPr>
              <w:numPr>
                <w:ilvl w:val="0"/>
                <w:numId w:val="9"/>
              </w:numPr>
              <w:contextualSpacing/>
              <w:rPr>
                <w:rFonts w:ascii="Calibri" w:eastAsiaTheme="minorEastAsia" w:hAnsi="Calibri"/>
                <w:b/>
              </w:rPr>
            </w:pPr>
            <w:r w:rsidRPr="00D326BC">
              <w:rPr>
                <w:rFonts w:ascii="Calibri" w:eastAsiaTheme="minorEastAsia" w:hAnsi="Calibri"/>
                <w:b/>
              </w:rPr>
              <w:t>Author</w:t>
            </w:r>
          </w:p>
          <w:p w14:paraId="2E6A65FA" w14:textId="77777777" w:rsidR="0019056F" w:rsidRPr="00D326BC" w:rsidRDefault="0019056F" w:rsidP="009E73E8">
            <w:pPr>
              <w:numPr>
                <w:ilvl w:val="0"/>
                <w:numId w:val="9"/>
              </w:numPr>
              <w:contextualSpacing/>
              <w:rPr>
                <w:rFonts w:ascii="Calibri" w:eastAsiaTheme="minorEastAsia" w:hAnsi="Calibri"/>
                <w:b/>
              </w:rPr>
            </w:pPr>
            <w:r w:rsidRPr="00D326BC">
              <w:rPr>
                <w:rFonts w:ascii="Calibri" w:eastAsiaTheme="minorEastAsia" w:hAnsi="Calibri"/>
                <w:b/>
              </w:rPr>
              <w:t>Date</w:t>
            </w:r>
          </w:p>
          <w:p w14:paraId="42D6E2A4" w14:textId="77777777" w:rsidR="0019056F" w:rsidRPr="00D326BC" w:rsidRDefault="0019056F" w:rsidP="009E73E8">
            <w:pPr>
              <w:numPr>
                <w:ilvl w:val="0"/>
                <w:numId w:val="9"/>
              </w:numPr>
              <w:contextualSpacing/>
              <w:rPr>
                <w:rFonts w:ascii="Calibri" w:eastAsiaTheme="minorEastAsia" w:hAnsi="Calibri"/>
                <w:b/>
              </w:rPr>
            </w:pPr>
            <w:r w:rsidRPr="00D326BC">
              <w:rPr>
                <w:rFonts w:ascii="Calibri" w:eastAsiaTheme="minorEastAsia" w:hAnsi="Calibri"/>
                <w:b/>
              </w:rPr>
              <w:t>Citation, including page number</w:t>
            </w:r>
          </w:p>
          <w:p w14:paraId="48C1779B" w14:textId="77777777" w:rsidR="0019056F" w:rsidRPr="00D326BC" w:rsidRDefault="0019056F" w:rsidP="009E73E8">
            <w:pPr>
              <w:numPr>
                <w:ilvl w:val="0"/>
                <w:numId w:val="9"/>
              </w:numPr>
              <w:contextualSpacing/>
              <w:rPr>
                <w:rFonts w:ascii="Calibri" w:eastAsiaTheme="minorEastAsia" w:hAnsi="Calibri"/>
                <w:b/>
              </w:rPr>
            </w:pPr>
            <w:r w:rsidRPr="00D326BC">
              <w:rPr>
                <w:rFonts w:ascii="Calibri" w:eastAsiaTheme="minorEastAsia" w:hAnsi="Calibri"/>
                <w:b/>
              </w:rPr>
              <w:t>URL</w:t>
            </w:r>
          </w:p>
        </w:tc>
        <w:tc>
          <w:tcPr>
            <w:tcW w:w="7015" w:type="dxa"/>
          </w:tcPr>
          <w:p w14:paraId="411660D5" w14:textId="77777777" w:rsidR="0019056F" w:rsidRPr="00D326BC" w:rsidRDefault="0019056F" w:rsidP="009E73E8">
            <w:pPr>
              <w:ind w:left="0" w:firstLine="0"/>
              <w:rPr>
                <w:rFonts w:ascii="Calibri" w:hAnsi="Calibri"/>
              </w:rPr>
            </w:pPr>
            <w:r w:rsidRPr="00D326BC">
              <w:rPr>
                <w:rFonts w:ascii="Calibri" w:hAnsi="Calibri"/>
              </w:rPr>
              <w:t>Systematic review:</w:t>
            </w:r>
          </w:p>
          <w:p w14:paraId="128D97F5" w14:textId="77777777" w:rsidR="0019056F" w:rsidRPr="00D326BC" w:rsidRDefault="0019056F" w:rsidP="009E73E8">
            <w:pPr>
              <w:ind w:left="0" w:firstLine="0"/>
              <w:rPr>
                <w:rFonts w:ascii="Calibri" w:hAnsi="Calibri"/>
              </w:rPr>
            </w:pPr>
            <w:r w:rsidRPr="00D326BC">
              <w:rPr>
                <w:rFonts w:ascii="Calibri" w:hAnsi="Calibri"/>
              </w:rPr>
              <w:t>Mattick RP, Breen C, Kimber J, Davoli M. Methadone maintenance therapy versus no opioid replacement therapy for opioid dependence. Cochrane Database Syst Rev. 2009(3):Cd002209.</w:t>
            </w:r>
          </w:p>
          <w:p w14:paraId="5D0B5DE8" w14:textId="77777777" w:rsidR="0019056F" w:rsidRPr="00D326BC" w:rsidRDefault="0019056F" w:rsidP="009E73E8">
            <w:pPr>
              <w:ind w:left="0" w:firstLine="0"/>
              <w:rPr>
                <w:rFonts w:ascii="Calibri" w:hAnsi="Calibri"/>
              </w:rPr>
            </w:pPr>
          </w:p>
          <w:p w14:paraId="181E6733" w14:textId="77777777" w:rsidR="0019056F" w:rsidRPr="00D326BC" w:rsidRDefault="0019056F" w:rsidP="009E73E8">
            <w:pPr>
              <w:ind w:left="0" w:firstLine="0"/>
              <w:rPr>
                <w:rFonts w:ascii="Calibri" w:hAnsi="Calibri"/>
              </w:rPr>
            </w:pPr>
            <w:r w:rsidRPr="00D326BC">
              <w:rPr>
                <w:rFonts w:ascii="Calibri" w:hAnsi="Calibri"/>
              </w:rPr>
              <w:t xml:space="preserve">Cited in support of Recommendation 8 (see below) by: </w:t>
            </w:r>
          </w:p>
          <w:p w14:paraId="6169C1CD" w14:textId="77777777" w:rsidR="0019056F" w:rsidRPr="00D326BC" w:rsidRDefault="0019056F" w:rsidP="009E73E8">
            <w:pPr>
              <w:ind w:left="0" w:firstLine="0"/>
              <w:rPr>
                <w:rFonts w:ascii="Calibri" w:hAnsi="Calibri"/>
              </w:rPr>
            </w:pPr>
            <w:r w:rsidRPr="00D326BC">
              <w:rPr>
                <w:rFonts w:ascii="Calibri" w:hAnsi="Calibri"/>
              </w:rPr>
              <w:t>Department of Veteran Affairs, Department of Defense (VA/D</w:t>
            </w:r>
            <w:r>
              <w:rPr>
                <w:rFonts w:ascii="Calibri" w:hAnsi="Calibri"/>
              </w:rPr>
              <w:t>o</w:t>
            </w:r>
            <w:r w:rsidRPr="00D326BC">
              <w:rPr>
                <w:rFonts w:ascii="Calibri" w:hAnsi="Calibri"/>
              </w:rPr>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rsidRPr="00D326BC" w14:paraId="0AC707B6" w14:textId="77777777" w:rsidTr="009E73E8">
        <w:tc>
          <w:tcPr>
            <w:tcW w:w="2335" w:type="dxa"/>
          </w:tcPr>
          <w:p w14:paraId="052EC76A" w14:textId="77777777" w:rsidR="0019056F" w:rsidRPr="00D326BC" w:rsidRDefault="0019056F" w:rsidP="009E73E8">
            <w:pPr>
              <w:ind w:left="0" w:firstLine="0"/>
              <w:rPr>
                <w:rFonts w:ascii="Calibri" w:hAnsi="Calibri"/>
              </w:rPr>
            </w:pPr>
            <w:r w:rsidRPr="00D326BC">
              <w:rPr>
                <w:rFonts w:ascii="Calibri" w:hAnsi="Calibri"/>
              </w:rPr>
              <w:t>Quote the guideline or recommendation verbatim about the process, structure or intermediate outcome being measured. If not a guideline, summarize the conclusions from the SR.</w:t>
            </w:r>
          </w:p>
        </w:tc>
        <w:tc>
          <w:tcPr>
            <w:tcW w:w="7015" w:type="dxa"/>
          </w:tcPr>
          <w:p w14:paraId="6EA4CF5F" w14:textId="77777777" w:rsidR="0019056F" w:rsidRPr="00D326BC" w:rsidRDefault="0019056F" w:rsidP="009E73E8">
            <w:pPr>
              <w:autoSpaceDE w:val="0"/>
              <w:autoSpaceDN w:val="0"/>
              <w:adjustRightInd w:val="0"/>
              <w:rPr>
                <w:rFonts w:ascii="Calibri" w:hAnsi="Calibri" w:cs="Calibri"/>
                <w:b/>
              </w:rPr>
            </w:pPr>
            <w:r w:rsidRPr="00D326BC">
              <w:rPr>
                <w:rFonts w:ascii="Calibri" w:hAnsi="Calibri" w:cs="Calibri"/>
                <w:b/>
              </w:rPr>
              <w:t>Recommendation 8 (page 38)</w:t>
            </w:r>
            <w:r>
              <w:rPr>
                <w:rFonts w:ascii="Calibri" w:hAnsi="Calibri" w:cs="Calibri"/>
                <w:b/>
              </w:rPr>
              <w:t xml:space="preserve"> </w:t>
            </w:r>
            <w:r>
              <w:rPr>
                <w:b/>
              </w:rPr>
              <w:t>from 2015 VA/DoD Guideline</w:t>
            </w:r>
          </w:p>
          <w:p w14:paraId="43B4739C" w14:textId="77777777" w:rsidR="0019056F" w:rsidRPr="00D326BC" w:rsidRDefault="0019056F" w:rsidP="009E73E8">
            <w:pPr>
              <w:autoSpaceDE w:val="0"/>
              <w:autoSpaceDN w:val="0"/>
              <w:adjustRightInd w:val="0"/>
              <w:rPr>
                <w:rFonts w:ascii="Calibri" w:hAnsi="Calibri" w:cs="Calibri"/>
              </w:rPr>
            </w:pPr>
            <w:r w:rsidRPr="00D326BC">
              <w:rPr>
                <w:rFonts w:ascii="Calibri" w:hAnsi="Calibri" w:cs="Calibri"/>
              </w:rPr>
              <w:t>8. For patients with opioid use disorder, we recommend offering one of the following medications considering patient preferences:</w:t>
            </w:r>
          </w:p>
          <w:p w14:paraId="7CC40A80" w14:textId="77777777" w:rsidR="0019056F" w:rsidRPr="00D326BC" w:rsidRDefault="0019056F" w:rsidP="0019056F">
            <w:pPr>
              <w:numPr>
                <w:ilvl w:val="0"/>
                <w:numId w:val="21"/>
              </w:numPr>
              <w:autoSpaceDE w:val="0"/>
              <w:autoSpaceDN w:val="0"/>
              <w:adjustRightInd w:val="0"/>
              <w:rPr>
                <w:rFonts w:ascii="Calibri" w:hAnsi="Calibri" w:cs="Calibri"/>
              </w:rPr>
            </w:pPr>
            <w:r w:rsidRPr="00D326BC">
              <w:rPr>
                <w:rFonts w:ascii="Calibri" w:hAnsi="Calibri" w:cs="Calibri"/>
              </w:rPr>
              <w:t xml:space="preserve">Buprenorphine/naloxone </w:t>
            </w:r>
          </w:p>
          <w:p w14:paraId="07D3C0BF" w14:textId="77777777" w:rsidR="0019056F" w:rsidRPr="00D326BC" w:rsidRDefault="0019056F" w:rsidP="0019056F">
            <w:pPr>
              <w:numPr>
                <w:ilvl w:val="0"/>
                <w:numId w:val="21"/>
              </w:numPr>
              <w:autoSpaceDE w:val="0"/>
              <w:autoSpaceDN w:val="0"/>
              <w:adjustRightInd w:val="0"/>
              <w:rPr>
                <w:rFonts w:ascii="Calibri" w:hAnsi="Calibri" w:cs="Calibri"/>
              </w:rPr>
            </w:pPr>
            <w:r w:rsidRPr="00D326BC">
              <w:rPr>
                <w:rFonts w:ascii="Calibri" w:hAnsi="Calibri" w:cs="Calibri"/>
              </w:rPr>
              <w:t xml:space="preserve">Methadone in an Opioid Treatment Program </w:t>
            </w:r>
          </w:p>
          <w:p w14:paraId="619616C2" w14:textId="77777777" w:rsidR="0019056F" w:rsidRPr="00D326BC" w:rsidRDefault="0019056F" w:rsidP="009E73E8">
            <w:pPr>
              <w:autoSpaceDE w:val="0"/>
              <w:autoSpaceDN w:val="0"/>
              <w:adjustRightInd w:val="0"/>
              <w:rPr>
                <w:rFonts w:ascii="Calibri" w:hAnsi="Calibri" w:cs="Calibri"/>
                <w:b/>
                <w:bCs/>
              </w:rPr>
            </w:pPr>
            <w:r w:rsidRPr="00D326BC">
              <w:rPr>
                <w:rFonts w:ascii="Calibri" w:hAnsi="Calibri" w:cs="Calibri"/>
                <w:b/>
                <w:bCs/>
              </w:rPr>
              <w:t xml:space="preserve">(Strong For | Reviewed, New-replaced) </w:t>
            </w:r>
          </w:p>
          <w:p w14:paraId="55F3F33B" w14:textId="77777777" w:rsidR="0019056F" w:rsidRPr="00D326BC" w:rsidRDefault="0019056F" w:rsidP="009E73E8">
            <w:pPr>
              <w:spacing w:after="200" w:line="276" w:lineRule="auto"/>
              <w:ind w:left="0" w:firstLine="0"/>
              <w:rPr>
                <w:rFonts w:ascii="Calibri" w:hAnsi="Calibri"/>
              </w:rPr>
            </w:pPr>
          </w:p>
        </w:tc>
      </w:tr>
      <w:tr w:rsidR="0019056F" w:rsidRPr="00D326BC" w14:paraId="39075FA2" w14:textId="77777777" w:rsidTr="009E73E8">
        <w:tc>
          <w:tcPr>
            <w:tcW w:w="2335" w:type="dxa"/>
          </w:tcPr>
          <w:p w14:paraId="107F8C77" w14:textId="77777777" w:rsidR="0019056F" w:rsidRPr="00D326BC" w:rsidRDefault="0019056F" w:rsidP="009E73E8">
            <w:pPr>
              <w:ind w:left="0" w:firstLine="0"/>
              <w:rPr>
                <w:rFonts w:ascii="Calibri" w:hAnsi="Calibri"/>
              </w:rPr>
            </w:pPr>
            <w:r w:rsidRPr="00D326BC">
              <w:rPr>
                <w:rFonts w:ascii="Calibri" w:hAnsi="Calibri"/>
              </w:rPr>
              <w:t xml:space="preserve">Grade assigned to the </w:t>
            </w:r>
            <w:r w:rsidRPr="00D326BC">
              <w:rPr>
                <w:rFonts w:ascii="Calibri" w:hAnsi="Calibri"/>
                <w:b/>
              </w:rPr>
              <w:t>evidence</w:t>
            </w:r>
            <w:r w:rsidRPr="00D326BC">
              <w:rPr>
                <w:rFonts w:ascii="Calibri" w:hAnsi="Calibri"/>
              </w:rPr>
              <w:t xml:space="preserve"> associated with the recommendation with the definition of the grade</w:t>
            </w:r>
          </w:p>
        </w:tc>
        <w:tc>
          <w:tcPr>
            <w:tcW w:w="7015" w:type="dxa"/>
          </w:tcPr>
          <w:p w14:paraId="083C5F51" w14:textId="77777777" w:rsidR="0019056F" w:rsidRPr="00D326BC" w:rsidRDefault="0019056F" w:rsidP="009E73E8">
            <w:pPr>
              <w:ind w:left="6" w:hanging="6"/>
              <w:contextualSpacing/>
              <w:rPr>
                <w:rFonts w:ascii="Calibri" w:hAnsi="Calibri"/>
              </w:rPr>
            </w:pPr>
            <w:r w:rsidRPr="00D326BC">
              <w:rPr>
                <w:rFonts w:ascii="Calibri" w:hAnsi="Calibri"/>
              </w:rPr>
              <w:t xml:space="preserve">The systematic review graded the evidence as follows: </w:t>
            </w:r>
          </w:p>
          <w:p w14:paraId="0F214EBE" w14:textId="77777777" w:rsidR="0019056F" w:rsidRPr="00D326BC" w:rsidRDefault="0019056F" w:rsidP="009E73E8">
            <w:pPr>
              <w:ind w:left="6" w:hanging="6"/>
              <w:contextualSpacing/>
              <w:rPr>
                <w:rFonts w:ascii="Calibri" w:hAnsi="Calibri"/>
              </w:rPr>
            </w:pPr>
            <w:r w:rsidRPr="00D326BC">
              <w:rPr>
                <w:rFonts w:ascii="Calibri" w:hAnsi="Calibri"/>
              </w:rPr>
              <w:t>Methadone maintenance treatment vs. No methadone maintenance treatment:</w:t>
            </w:r>
          </w:p>
          <w:p w14:paraId="0BD677DD" w14:textId="77777777" w:rsidR="0019056F" w:rsidRPr="00D326BC" w:rsidRDefault="0019056F" w:rsidP="0019056F">
            <w:pPr>
              <w:numPr>
                <w:ilvl w:val="0"/>
                <w:numId w:val="20"/>
              </w:numPr>
              <w:spacing w:after="200" w:line="276" w:lineRule="auto"/>
              <w:contextualSpacing/>
              <w:rPr>
                <w:rFonts w:ascii="Calibri" w:eastAsiaTheme="minorEastAsia" w:hAnsi="Calibri"/>
              </w:rPr>
            </w:pPr>
            <w:r w:rsidRPr="00D326BC">
              <w:rPr>
                <w:rFonts w:ascii="Calibri" w:eastAsiaTheme="minorEastAsia" w:hAnsi="Calibri"/>
              </w:rPr>
              <w:t>Retention in treatment -Old studies (pre 2000): high quality</w:t>
            </w:r>
          </w:p>
          <w:p w14:paraId="3DC10C89" w14:textId="77777777" w:rsidR="0019056F" w:rsidRPr="00D326BC" w:rsidRDefault="0019056F" w:rsidP="0019056F">
            <w:pPr>
              <w:numPr>
                <w:ilvl w:val="0"/>
                <w:numId w:val="20"/>
              </w:numPr>
              <w:spacing w:after="200" w:line="276" w:lineRule="auto"/>
              <w:contextualSpacing/>
              <w:rPr>
                <w:rFonts w:ascii="Calibri" w:eastAsiaTheme="minorEastAsia" w:hAnsi="Calibri"/>
              </w:rPr>
            </w:pPr>
            <w:r w:rsidRPr="00D326BC">
              <w:rPr>
                <w:rFonts w:ascii="Calibri" w:eastAsiaTheme="minorEastAsia" w:hAnsi="Calibri"/>
              </w:rPr>
              <w:t>Retention in treatment - New studies: high quality</w:t>
            </w:r>
          </w:p>
          <w:p w14:paraId="320AC6E7" w14:textId="77777777" w:rsidR="0019056F" w:rsidRPr="00D326BC" w:rsidRDefault="0019056F" w:rsidP="0019056F">
            <w:pPr>
              <w:numPr>
                <w:ilvl w:val="0"/>
                <w:numId w:val="20"/>
              </w:numPr>
              <w:spacing w:after="200" w:line="276" w:lineRule="auto"/>
              <w:contextualSpacing/>
              <w:rPr>
                <w:rFonts w:ascii="Calibri" w:eastAsiaTheme="minorEastAsia" w:hAnsi="Calibri"/>
              </w:rPr>
            </w:pPr>
            <w:r w:rsidRPr="00D326BC">
              <w:rPr>
                <w:rFonts w:ascii="Calibri" w:eastAsiaTheme="minorEastAsia" w:hAnsi="Calibri"/>
              </w:rPr>
              <w:t>Morphine positive urine or hair analysis: high quality</w:t>
            </w:r>
          </w:p>
          <w:p w14:paraId="627D4B4E" w14:textId="77777777" w:rsidR="0019056F" w:rsidRPr="00D326BC" w:rsidRDefault="0019056F" w:rsidP="0019056F">
            <w:pPr>
              <w:numPr>
                <w:ilvl w:val="0"/>
                <w:numId w:val="20"/>
              </w:numPr>
              <w:spacing w:after="200" w:line="276" w:lineRule="auto"/>
              <w:contextualSpacing/>
              <w:rPr>
                <w:rFonts w:ascii="Calibri" w:eastAsiaTheme="minorEastAsia" w:hAnsi="Calibri"/>
              </w:rPr>
            </w:pPr>
            <w:r w:rsidRPr="00D326BC">
              <w:rPr>
                <w:rFonts w:ascii="Calibri" w:eastAsiaTheme="minorEastAsia" w:hAnsi="Calibri"/>
              </w:rPr>
              <w:t>Criminal activity: moderate quality</w:t>
            </w:r>
          </w:p>
          <w:p w14:paraId="7BBEE2CC" w14:textId="77777777" w:rsidR="0019056F" w:rsidRPr="00D326BC" w:rsidRDefault="0019056F" w:rsidP="009E73E8">
            <w:pPr>
              <w:contextualSpacing/>
              <w:rPr>
                <w:rFonts w:ascii="Calibri" w:hAnsi="Calibri"/>
              </w:rPr>
            </w:pPr>
          </w:p>
          <w:p w14:paraId="650FA8CA" w14:textId="77777777" w:rsidR="0019056F" w:rsidRPr="00D326BC" w:rsidRDefault="0019056F" w:rsidP="009E73E8">
            <w:pPr>
              <w:ind w:left="6" w:hanging="6"/>
              <w:contextualSpacing/>
              <w:rPr>
                <w:rFonts w:ascii="Calibri" w:hAnsi="Calibri"/>
                <w:b/>
              </w:rPr>
            </w:pPr>
            <w:r w:rsidRPr="00D326BC">
              <w:rPr>
                <w:rFonts w:ascii="Calibri" w:hAnsi="Calibri"/>
                <w:b/>
              </w:rPr>
              <w:t>GRADE Working Group Grades of Evidence</w:t>
            </w:r>
          </w:p>
          <w:p w14:paraId="24CB30D1" w14:textId="77777777" w:rsidR="0019056F" w:rsidRPr="00D326BC" w:rsidRDefault="0019056F" w:rsidP="009E73E8">
            <w:pPr>
              <w:ind w:left="6" w:hanging="6"/>
              <w:contextualSpacing/>
              <w:rPr>
                <w:rFonts w:ascii="Calibri" w:hAnsi="Calibri"/>
              </w:rPr>
            </w:pPr>
            <w:r w:rsidRPr="00D326BC">
              <w:rPr>
                <w:rFonts w:ascii="Calibri" w:hAnsi="Calibri"/>
                <w:b/>
              </w:rPr>
              <w:t>High quality:</w:t>
            </w:r>
            <w:r w:rsidRPr="00D326BC">
              <w:rPr>
                <w:rFonts w:ascii="Calibri" w:hAnsi="Calibri"/>
              </w:rPr>
              <w:t xml:space="preserve"> Further research is very unlikely to change our confidence in the estimate of effect.</w:t>
            </w:r>
          </w:p>
          <w:p w14:paraId="221C76D4" w14:textId="77777777" w:rsidR="0019056F" w:rsidRPr="00D326BC" w:rsidRDefault="0019056F" w:rsidP="009E73E8">
            <w:pPr>
              <w:ind w:left="0" w:firstLine="0"/>
              <w:rPr>
                <w:rFonts w:ascii="Calibri" w:hAnsi="Calibri"/>
              </w:rPr>
            </w:pPr>
            <w:r w:rsidRPr="00D326BC">
              <w:rPr>
                <w:rFonts w:ascii="Calibri" w:hAnsi="Calibri"/>
                <w:b/>
              </w:rPr>
              <w:t>Moderate quality:</w:t>
            </w:r>
            <w:r w:rsidRPr="00D326BC">
              <w:rPr>
                <w:rFonts w:ascii="Calibri" w:hAnsi="Calibri"/>
              </w:rPr>
              <w:t xml:space="preserve"> Further research is likely to have an important impact on our confidence in the estimate of effect and may change the estimate.</w:t>
            </w:r>
          </w:p>
        </w:tc>
      </w:tr>
      <w:tr w:rsidR="0019056F" w:rsidRPr="00D326BC" w14:paraId="2A882074" w14:textId="77777777" w:rsidTr="009E73E8">
        <w:tc>
          <w:tcPr>
            <w:tcW w:w="2335" w:type="dxa"/>
          </w:tcPr>
          <w:p w14:paraId="6AECA1AA" w14:textId="77777777" w:rsidR="0019056F" w:rsidRPr="00D326BC" w:rsidRDefault="0019056F" w:rsidP="009E73E8">
            <w:pPr>
              <w:ind w:left="0" w:firstLine="0"/>
              <w:rPr>
                <w:rFonts w:ascii="Calibri" w:hAnsi="Calibri"/>
              </w:rPr>
            </w:pPr>
            <w:r w:rsidRPr="00D326BC">
              <w:rPr>
                <w:rFonts w:ascii="Calibri" w:hAnsi="Calibri"/>
              </w:rPr>
              <w:t>Provide all other grades and definitions from the evidence grading system</w:t>
            </w:r>
          </w:p>
        </w:tc>
        <w:tc>
          <w:tcPr>
            <w:tcW w:w="7015" w:type="dxa"/>
          </w:tcPr>
          <w:p w14:paraId="1302F278" w14:textId="77777777" w:rsidR="0019056F" w:rsidRPr="00D326BC" w:rsidRDefault="0019056F" w:rsidP="009E73E8">
            <w:pPr>
              <w:ind w:left="6" w:hanging="6"/>
              <w:contextualSpacing/>
              <w:rPr>
                <w:rFonts w:ascii="Calibri" w:hAnsi="Calibri"/>
              </w:rPr>
            </w:pPr>
            <w:r w:rsidRPr="00D326BC">
              <w:rPr>
                <w:rFonts w:ascii="Calibri" w:hAnsi="Calibri"/>
                <w:b/>
              </w:rPr>
              <w:t>Low quality:</w:t>
            </w:r>
            <w:r w:rsidRPr="00D326BC">
              <w:rPr>
                <w:rFonts w:ascii="Calibri" w:hAnsi="Calibri"/>
              </w:rPr>
              <w:t xml:space="preserve"> Further research is very likely to have an important impact on our confidence in the estimate of effect and is likely to change the estimate.</w:t>
            </w:r>
          </w:p>
          <w:p w14:paraId="731C94DF" w14:textId="77777777" w:rsidR="0019056F" w:rsidRPr="00D326BC" w:rsidRDefault="0019056F" w:rsidP="009E73E8">
            <w:pPr>
              <w:ind w:left="0" w:firstLine="0"/>
              <w:rPr>
                <w:rFonts w:ascii="Calibri" w:hAnsi="Calibri"/>
              </w:rPr>
            </w:pPr>
            <w:r w:rsidRPr="00D326BC">
              <w:rPr>
                <w:rFonts w:ascii="Calibri" w:hAnsi="Calibri"/>
                <w:b/>
              </w:rPr>
              <w:t>Very low quality:</w:t>
            </w:r>
            <w:r w:rsidRPr="00D326BC">
              <w:rPr>
                <w:rFonts w:ascii="Calibri" w:hAnsi="Calibri"/>
              </w:rPr>
              <w:t xml:space="preserve"> We are very uncertain about the estimate.</w:t>
            </w:r>
          </w:p>
        </w:tc>
      </w:tr>
      <w:tr w:rsidR="0019056F" w:rsidRPr="00D326BC" w14:paraId="3BB4E050" w14:textId="77777777" w:rsidTr="009E73E8">
        <w:tc>
          <w:tcPr>
            <w:tcW w:w="2335" w:type="dxa"/>
          </w:tcPr>
          <w:p w14:paraId="4351DC48" w14:textId="77777777" w:rsidR="0019056F" w:rsidRPr="00D326BC" w:rsidRDefault="0019056F" w:rsidP="009E73E8">
            <w:pPr>
              <w:ind w:left="0" w:firstLine="0"/>
              <w:rPr>
                <w:rFonts w:ascii="Calibri" w:hAnsi="Calibri"/>
              </w:rPr>
            </w:pPr>
            <w:r w:rsidRPr="00D326BC">
              <w:rPr>
                <w:rFonts w:ascii="Calibri" w:hAnsi="Calibri"/>
              </w:rPr>
              <w:t xml:space="preserve">Grade assigned to the </w:t>
            </w:r>
            <w:r w:rsidRPr="00D326BC">
              <w:rPr>
                <w:rFonts w:ascii="Calibri" w:hAnsi="Calibri"/>
                <w:b/>
              </w:rPr>
              <w:t>recommendation</w:t>
            </w:r>
            <w:r w:rsidRPr="00D326BC">
              <w:rPr>
                <w:rFonts w:ascii="Calibri" w:hAnsi="Calibri"/>
              </w:rPr>
              <w:t xml:space="preserve"> with definition of the grade</w:t>
            </w:r>
          </w:p>
        </w:tc>
        <w:tc>
          <w:tcPr>
            <w:tcW w:w="7015" w:type="dxa"/>
          </w:tcPr>
          <w:p w14:paraId="367C7D57" w14:textId="77777777" w:rsidR="0019056F" w:rsidRPr="00D326BC" w:rsidRDefault="0019056F" w:rsidP="009E73E8">
            <w:pPr>
              <w:ind w:left="0" w:firstLine="0"/>
              <w:rPr>
                <w:rFonts w:ascii="Calibri" w:hAnsi="Calibri"/>
              </w:rPr>
            </w:pPr>
            <w:r w:rsidRPr="00D326BC">
              <w:rPr>
                <w:rFonts w:ascii="Calibri" w:hAnsi="Calibri"/>
              </w:rPr>
              <w:t>The grade assigned to Recommendation 8 was “Strong For.” “A strong recommendation indicates that the Work Group is highly confident that desirable outcomes outweigh undesirable outcomes.” (page 11)</w:t>
            </w:r>
          </w:p>
          <w:p w14:paraId="60E13B82" w14:textId="77777777" w:rsidR="0019056F" w:rsidRPr="00D326BC" w:rsidRDefault="0019056F" w:rsidP="009E73E8">
            <w:pPr>
              <w:ind w:left="0" w:firstLine="0"/>
              <w:rPr>
                <w:rFonts w:ascii="Calibri" w:hAnsi="Calibri"/>
              </w:rPr>
            </w:pPr>
            <w:r w:rsidRPr="00D326BC">
              <w:rPr>
                <w:rFonts w:ascii="Calibri" w:hAnsi="Calibri"/>
              </w:rPr>
              <w:lastRenderedPageBreak/>
              <w:t>“Using these elements, the grade of each recommendation is presented as part of a continuum: “Strong For (or “We recommend offering this option …”) “ (page 11)</w:t>
            </w:r>
          </w:p>
        </w:tc>
      </w:tr>
      <w:tr w:rsidR="0019056F" w:rsidRPr="00D326BC" w14:paraId="6F80D03A" w14:textId="77777777" w:rsidTr="009E73E8">
        <w:tc>
          <w:tcPr>
            <w:tcW w:w="2335" w:type="dxa"/>
          </w:tcPr>
          <w:p w14:paraId="250E4118" w14:textId="77777777" w:rsidR="0019056F" w:rsidRPr="00D326BC" w:rsidRDefault="0019056F" w:rsidP="009E73E8">
            <w:pPr>
              <w:ind w:left="0" w:firstLine="0"/>
              <w:rPr>
                <w:rFonts w:ascii="Calibri" w:hAnsi="Calibri"/>
              </w:rPr>
            </w:pPr>
            <w:r w:rsidRPr="00D326BC">
              <w:rPr>
                <w:rFonts w:ascii="Calibri" w:hAnsi="Calibri"/>
              </w:rPr>
              <w:lastRenderedPageBreak/>
              <w:t>Provide all other grades and definitions from the recommendation grading system</w:t>
            </w:r>
          </w:p>
        </w:tc>
        <w:tc>
          <w:tcPr>
            <w:tcW w:w="7015" w:type="dxa"/>
          </w:tcPr>
          <w:p w14:paraId="2EE3FC01" w14:textId="77777777" w:rsidR="0019056F" w:rsidRPr="00D326BC" w:rsidRDefault="0019056F" w:rsidP="009E73E8">
            <w:pPr>
              <w:ind w:left="0" w:firstLine="0"/>
              <w:rPr>
                <w:rFonts w:ascii="Calibri" w:hAnsi="Calibri"/>
              </w:rPr>
            </w:pPr>
            <w:r w:rsidRPr="00D326BC">
              <w:rPr>
                <w:rFonts w:ascii="Calibri" w:hAnsi="Calibri"/>
              </w:rPr>
              <w:t xml:space="preserve">The </w:t>
            </w:r>
            <w:r>
              <w:rPr>
                <w:rFonts w:ascii="Calibri" w:hAnsi="Calibri"/>
              </w:rPr>
              <w:t>[DoD/VA]</w:t>
            </w:r>
            <w:r w:rsidRPr="00D326BC">
              <w:rPr>
                <w:rFonts w:ascii="Calibri" w:hAnsi="Calibri"/>
              </w:rPr>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7B47745F" w14:textId="77777777" w:rsidR="0019056F" w:rsidRPr="00D326BC" w:rsidRDefault="0019056F" w:rsidP="0019056F">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Balance of desirable and undesirable outcomes</w:t>
            </w:r>
          </w:p>
          <w:p w14:paraId="7F4861AF" w14:textId="77777777" w:rsidR="0019056F" w:rsidRPr="00D326BC" w:rsidRDefault="0019056F" w:rsidP="0019056F">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Confidence in the quality of the evidence</w:t>
            </w:r>
          </w:p>
          <w:p w14:paraId="16D87C79" w14:textId="77777777" w:rsidR="0019056F" w:rsidRPr="00D326BC" w:rsidRDefault="0019056F" w:rsidP="0019056F">
            <w:pPr>
              <w:numPr>
                <w:ilvl w:val="0"/>
                <w:numId w:val="17"/>
              </w:numPr>
              <w:spacing w:after="200" w:line="276" w:lineRule="auto"/>
              <w:contextualSpacing/>
              <w:rPr>
                <w:rFonts w:ascii="Calibri" w:eastAsiaTheme="minorEastAsia" w:hAnsi="Calibri"/>
              </w:rPr>
            </w:pPr>
            <w:r w:rsidRPr="00D326BC">
              <w:rPr>
                <w:rFonts w:ascii="Calibri" w:eastAsiaTheme="minorEastAsia" w:hAnsi="Calibri"/>
              </w:rPr>
              <w:t>Patient or provider values and preferences</w:t>
            </w:r>
          </w:p>
          <w:p w14:paraId="0A2BF837" w14:textId="77777777" w:rsidR="0019056F" w:rsidRPr="00D326BC" w:rsidRDefault="0019056F" w:rsidP="0019056F">
            <w:pPr>
              <w:numPr>
                <w:ilvl w:val="0"/>
                <w:numId w:val="16"/>
              </w:numPr>
              <w:spacing w:after="200" w:line="276" w:lineRule="auto"/>
              <w:ind w:left="720"/>
              <w:contextualSpacing/>
              <w:rPr>
                <w:rFonts w:ascii="Calibri" w:eastAsiaTheme="minorEastAsia" w:hAnsi="Calibri"/>
              </w:rPr>
            </w:pPr>
            <w:r w:rsidRPr="00D326BC">
              <w:rPr>
                <w:rFonts w:ascii="Calibri" w:eastAsiaTheme="minorEastAsia" w:hAnsi="Calibri"/>
              </w:rPr>
              <w:t>Other implications, as appropriate, e.g., Resource use, Equity, Acceptability, Feasibility, and Subgroup considerations.</w:t>
            </w:r>
          </w:p>
          <w:p w14:paraId="53DE09AE" w14:textId="77777777" w:rsidR="0019056F" w:rsidRPr="00D326BC" w:rsidRDefault="0019056F" w:rsidP="009E73E8">
            <w:pPr>
              <w:ind w:left="0" w:firstLine="0"/>
              <w:rPr>
                <w:rFonts w:ascii="Calibri" w:hAnsi="Calibri"/>
              </w:rPr>
            </w:pPr>
            <w:r w:rsidRPr="00D326BC">
              <w:rPr>
                <w:rFonts w:ascii="Calibri" w:hAnsi="Calibri"/>
              </w:rPr>
              <w:t xml:space="preserve">Using this system, the </w:t>
            </w:r>
            <w:r>
              <w:rPr>
                <w:rFonts w:ascii="Calibri" w:hAnsi="Calibri"/>
              </w:rPr>
              <w:t>[DoD/VA]</w:t>
            </w:r>
            <w:r w:rsidRPr="00D326BC">
              <w:rPr>
                <w:rFonts w:ascii="Calibri" w:hAnsi="Calibri"/>
              </w:rPr>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08263ECB" w14:textId="77777777" w:rsidR="0019056F" w:rsidRPr="00D326BC" w:rsidRDefault="0019056F" w:rsidP="009E73E8">
            <w:pPr>
              <w:ind w:left="0" w:firstLine="0"/>
              <w:rPr>
                <w:rFonts w:ascii="Calibri" w:hAnsi="Calibri"/>
              </w:rPr>
            </w:pPr>
          </w:p>
          <w:p w14:paraId="3E439869" w14:textId="77777777" w:rsidR="0019056F" w:rsidRPr="00D326BC" w:rsidRDefault="0019056F" w:rsidP="009E73E8">
            <w:pPr>
              <w:ind w:left="0" w:firstLine="0"/>
              <w:rPr>
                <w:rFonts w:ascii="Calibri" w:hAnsi="Calibri"/>
              </w:rPr>
            </w:pPr>
            <w:r w:rsidRPr="00D326BC">
              <w:rPr>
                <w:rFonts w:ascii="Calibri" w:hAnsi="Calibri"/>
              </w:rPr>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423AC37E" w14:textId="77777777" w:rsidR="0019056F" w:rsidRPr="00D326BC" w:rsidRDefault="0019056F" w:rsidP="009E73E8">
            <w:pPr>
              <w:ind w:left="0" w:firstLine="0"/>
              <w:rPr>
                <w:rFonts w:ascii="Calibri" w:hAnsi="Calibri"/>
              </w:rPr>
            </w:pPr>
          </w:p>
          <w:p w14:paraId="636AA053" w14:textId="77777777" w:rsidR="0019056F" w:rsidRPr="00D326BC" w:rsidRDefault="0019056F" w:rsidP="009E73E8">
            <w:pPr>
              <w:ind w:left="0" w:firstLine="0"/>
              <w:rPr>
                <w:rFonts w:ascii="Calibri" w:hAnsi="Calibri"/>
              </w:rPr>
            </w:pPr>
            <w:r w:rsidRPr="00D326BC">
              <w:rPr>
                <w:rFonts w:ascii="Calibri" w:hAnsi="Calibri"/>
              </w:rPr>
              <w:t>Using these elements, the grade of each recommendation is presented as part of a continuum:</w:t>
            </w:r>
          </w:p>
          <w:p w14:paraId="0C956B0B" w14:textId="77777777" w:rsidR="0019056F" w:rsidRPr="00D326BC" w:rsidRDefault="0019056F" w:rsidP="009E73E8">
            <w:pPr>
              <w:ind w:left="0" w:firstLine="0"/>
              <w:rPr>
                <w:rFonts w:ascii="Calibri" w:hAnsi="Calibri"/>
              </w:rPr>
            </w:pPr>
            <w:r w:rsidRPr="00D326BC">
              <w:rPr>
                <w:rFonts w:ascii="Calibri" w:hAnsi="Calibri"/>
              </w:rPr>
              <w:t>•Strong For (or “We recommend offering this option …”)</w:t>
            </w:r>
          </w:p>
          <w:p w14:paraId="5B384522" w14:textId="77777777" w:rsidR="0019056F" w:rsidRPr="00D326BC" w:rsidRDefault="0019056F" w:rsidP="009E73E8">
            <w:pPr>
              <w:ind w:left="0" w:firstLine="0"/>
              <w:rPr>
                <w:rFonts w:ascii="Calibri" w:hAnsi="Calibri"/>
              </w:rPr>
            </w:pPr>
            <w:r w:rsidRPr="00D326BC">
              <w:rPr>
                <w:rFonts w:ascii="Calibri" w:hAnsi="Calibri"/>
              </w:rPr>
              <w:t>•Weak For (or “We suggest offering this option …”)</w:t>
            </w:r>
          </w:p>
          <w:p w14:paraId="18C115C7" w14:textId="77777777" w:rsidR="0019056F" w:rsidRPr="00D326BC" w:rsidRDefault="0019056F" w:rsidP="009E73E8">
            <w:pPr>
              <w:ind w:left="0" w:firstLine="0"/>
              <w:rPr>
                <w:rFonts w:ascii="Calibri" w:hAnsi="Calibri"/>
              </w:rPr>
            </w:pPr>
            <w:r w:rsidRPr="00D326BC">
              <w:rPr>
                <w:rFonts w:ascii="Calibri" w:hAnsi="Calibri"/>
              </w:rPr>
              <w:t>•Weak Against (or “We suggest not offering this option …”)</w:t>
            </w:r>
          </w:p>
          <w:p w14:paraId="426D2066" w14:textId="77777777" w:rsidR="0019056F" w:rsidRPr="00D326BC" w:rsidRDefault="0019056F" w:rsidP="009E73E8">
            <w:pPr>
              <w:ind w:left="0" w:firstLine="0"/>
              <w:rPr>
                <w:rFonts w:ascii="Calibri" w:hAnsi="Calibri"/>
              </w:rPr>
            </w:pPr>
            <w:r w:rsidRPr="00D326BC">
              <w:rPr>
                <w:rFonts w:ascii="Calibri" w:hAnsi="Calibri"/>
              </w:rPr>
              <w:t>•Strong Against (or “We recommend against offering this option …”)</w:t>
            </w:r>
          </w:p>
        </w:tc>
      </w:tr>
      <w:tr w:rsidR="0019056F" w:rsidRPr="00D326BC" w14:paraId="0141661D" w14:textId="77777777" w:rsidTr="009E73E8">
        <w:tc>
          <w:tcPr>
            <w:tcW w:w="2335" w:type="dxa"/>
          </w:tcPr>
          <w:p w14:paraId="3BC145D8" w14:textId="77777777" w:rsidR="0019056F" w:rsidRPr="00D326BC" w:rsidRDefault="0019056F" w:rsidP="009E73E8">
            <w:pPr>
              <w:ind w:left="0" w:firstLine="0"/>
              <w:rPr>
                <w:rFonts w:ascii="Calibri" w:hAnsi="Calibri"/>
              </w:rPr>
            </w:pPr>
            <w:r w:rsidRPr="00D326BC">
              <w:rPr>
                <w:rFonts w:ascii="Calibri" w:hAnsi="Calibri"/>
              </w:rPr>
              <w:t>Body of evidence:</w:t>
            </w:r>
          </w:p>
          <w:p w14:paraId="00A14438" w14:textId="77777777" w:rsidR="0019056F" w:rsidRPr="00D326BC" w:rsidRDefault="0019056F" w:rsidP="009E73E8">
            <w:pPr>
              <w:numPr>
                <w:ilvl w:val="0"/>
                <w:numId w:val="10"/>
              </w:numPr>
              <w:spacing w:after="200" w:line="276" w:lineRule="auto"/>
              <w:contextualSpacing/>
              <w:rPr>
                <w:rFonts w:ascii="Calibri" w:eastAsiaTheme="minorEastAsia" w:hAnsi="Calibri"/>
              </w:rPr>
            </w:pPr>
            <w:r w:rsidRPr="00D326BC">
              <w:rPr>
                <w:rFonts w:ascii="Calibri" w:eastAsiaTheme="minorEastAsia" w:hAnsi="Calibri"/>
              </w:rPr>
              <w:t>Quantity – how many studies?</w:t>
            </w:r>
          </w:p>
          <w:p w14:paraId="45C2B62A" w14:textId="77777777" w:rsidR="0019056F" w:rsidRPr="00D326BC" w:rsidRDefault="0019056F" w:rsidP="009E73E8">
            <w:pPr>
              <w:numPr>
                <w:ilvl w:val="0"/>
                <w:numId w:val="10"/>
              </w:numPr>
              <w:spacing w:after="200" w:line="276" w:lineRule="auto"/>
              <w:contextualSpacing/>
              <w:rPr>
                <w:rFonts w:ascii="Calibri" w:eastAsiaTheme="minorEastAsia" w:hAnsi="Calibri"/>
              </w:rPr>
            </w:pPr>
            <w:r w:rsidRPr="00D326BC">
              <w:rPr>
                <w:rFonts w:ascii="Calibri" w:eastAsiaTheme="minorEastAsia" w:hAnsi="Calibri"/>
              </w:rPr>
              <w:t>Quality – what type of studies?</w:t>
            </w:r>
          </w:p>
        </w:tc>
        <w:tc>
          <w:tcPr>
            <w:tcW w:w="7015" w:type="dxa"/>
          </w:tcPr>
          <w:p w14:paraId="59D34E56" w14:textId="77777777" w:rsidR="0019056F" w:rsidRPr="00D326BC" w:rsidRDefault="0019056F" w:rsidP="009E73E8">
            <w:pPr>
              <w:ind w:left="6" w:hanging="6"/>
              <w:contextualSpacing/>
              <w:rPr>
                <w:rFonts w:ascii="Calibri" w:hAnsi="Calibri"/>
              </w:rPr>
            </w:pPr>
            <w:r w:rsidRPr="00D326BC">
              <w:rPr>
                <w:rFonts w:ascii="Calibri" w:hAnsi="Calibri"/>
              </w:rPr>
              <w:t xml:space="preserve">Quantity of studies: </w:t>
            </w:r>
          </w:p>
          <w:p w14:paraId="1A711FD2" w14:textId="77777777" w:rsidR="0019056F" w:rsidRPr="00D326BC" w:rsidRDefault="0019056F" w:rsidP="009E73E8">
            <w:pPr>
              <w:ind w:left="6" w:hanging="6"/>
              <w:contextualSpacing/>
              <w:rPr>
                <w:rFonts w:ascii="Calibri" w:hAnsi="Calibri"/>
              </w:rPr>
            </w:pPr>
            <w:r w:rsidRPr="00D326BC">
              <w:rPr>
                <w:rFonts w:ascii="Calibri" w:hAnsi="Calibri"/>
                <w:noProof/>
              </w:rPr>
              <w:t>Eleven randomized clinical trials were included in the review</w:t>
            </w:r>
            <w:r w:rsidRPr="00D326BC">
              <w:rPr>
                <w:rFonts w:ascii="Calibri" w:hAnsi="Calibri"/>
              </w:rPr>
              <w:t xml:space="preserve"> from 1969 to 2008</w:t>
            </w:r>
          </w:p>
          <w:p w14:paraId="00DE8852" w14:textId="77777777" w:rsidR="0019056F" w:rsidRPr="00D326BC" w:rsidRDefault="0019056F" w:rsidP="009E73E8">
            <w:pPr>
              <w:ind w:left="6" w:hanging="6"/>
              <w:contextualSpacing/>
              <w:rPr>
                <w:rFonts w:ascii="Calibri" w:hAnsi="Calibri"/>
              </w:rPr>
            </w:pPr>
          </w:p>
          <w:p w14:paraId="74205AC6" w14:textId="77777777" w:rsidR="0019056F" w:rsidRPr="00D326BC" w:rsidRDefault="0019056F" w:rsidP="009E73E8">
            <w:pPr>
              <w:ind w:left="6" w:hanging="6"/>
              <w:contextualSpacing/>
              <w:rPr>
                <w:rFonts w:ascii="Calibri" w:hAnsi="Calibri"/>
              </w:rPr>
            </w:pPr>
            <w:r w:rsidRPr="00D326BC">
              <w:rPr>
                <w:rFonts w:ascii="Calibri" w:hAnsi="Calibri"/>
              </w:rPr>
              <w:t xml:space="preserve">Quality of studies: </w:t>
            </w:r>
          </w:p>
          <w:p w14:paraId="1847457C" w14:textId="77777777" w:rsidR="0019056F" w:rsidRPr="00D326BC" w:rsidRDefault="0019056F" w:rsidP="009E73E8">
            <w:pPr>
              <w:ind w:left="6" w:hanging="6"/>
              <w:contextualSpacing/>
              <w:rPr>
                <w:rFonts w:ascii="Calibri" w:hAnsi="Calibri"/>
              </w:rPr>
            </w:pPr>
            <w:r>
              <w:rPr>
                <w:rFonts w:ascii="Calibri" w:hAnsi="Calibri"/>
              </w:rPr>
              <w:t>“</w:t>
            </w:r>
            <w:r w:rsidRPr="004C4046">
              <w:rPr>
                <w:rFonts w:ascii="Calibri" w:hAnsi="Calibri"/>
              </w:rPr>
              <w:t xml:space="preserve">Eleven studies met the criteria for inclusion in this review, all were randomised clinical trials, two were double-blind. </w:t>
            </w:r>
            <w:r>
              <w:rPr>
                <w:rFonts w:ascii="Calibri" w:hAnsi="Calibri"/>
              </w:rPr>
              <w:t xml:space="preserve">… </w:t>
            </w:r>
            <w:r w:rsidRPr="004C4046">
              <w:rPr>
                <w:rFonts w:ascii="Calibri" w:hAnsi="Calibri"/>
              </w:rPr>
              <w:t>The sequence generation was inadequate in one study, adequate in five studies and unclear in</w:t>
            </w:r>
            <w:r>
              <w:rPr>
                <w:rFonts w:ascii="Calibri" w:hAnsi="Calibri"/>
              </w:rPr>
              <w:t xml:space="preserve"> </w:t>
            </w:r>
            <w:r w:rsidRPr="004C4046">
              <w:rPr>
                <w:rFonts w:ascii="Calibri" w:hAnsi="Calibri"/>
              </w:rPr>
              <w:t>the remaining studies. The allocation of concealment was adequate in three studies and unclear in the remaining studies.</w:t>
            </w:r>
            <w:r>
              <w:rPr>
                <w:rFonts w:ascii="Calibri" w:hAnsi="Calibri"/>
              </w:rPr>
              <w:t>”</w:t>
            </w:r>
          </w:p>
        </w:tc>
      </w:tr>
      <w:tr w:rsidR="0019056F" w:rsidRPr="00D326BC" w14:paraId="50B8714D" w14:textId="77777777" w:rsidTr="009E73E8">
        <w:tc>
          <w:tcPr>
            <w:tcW w:w="2335" w:type="dxa"/>
          </w:tcPr>
          <w:p w14:paraId="44F725A0" w14:textId="77777777" w:rsidR="0019056F" w:rsidRPr="00D326BC" w:rsidRDefault="0019056F" w:rsidP="009E73E8">
            <w:pPr>
              <w:ind w:left="0" w:firstLine="0"/>
              <w:rPr>
                <w:rFonts w:ascii="Calibri" w:hAnsi="Calibri"/>
              </w:rPr>
            </w:pPr>
            <w:r w:rsidRPr="00D326BC">
              <w:rPr>
                <w:rFonts w:ascii="Calibri" w:hAnsi="Calibri"/>
              </w:rPr>
              <w:t xml:space="preserve">Estimates of benefit and consistency across studies </w:t>
            </w:r>
          </w:p>
        </w:tc>
        <w:tc>
          <w:tcPr>
            <w:tcW w:w="7015" w:type="dxa"/>
          </w:tcPr>
          <w:p w14:paraId="586B42B7" w14:textId="77777777" w:rsidR="0019056F" w:rsidRDefault="0019056F" w:rsidP="009E73E8">
            <w:pPr>
              <w:ind w:left="0" w:firstLine="0"/>
              <w:rPr>
                <w:rFonts w:ascii="Calibri" w:hAnsi="Calibri"/>
              </w:rPr>
            </w:pPr>
            <w:r w:rsidRPr="00D326BC">
              <w:rPr>
                <w:rFonts w:ascii="Calibri" w:hAnsi="Calibri"/>
              </w:rPr>
              <w:t xml:space="preserve">The results are based on 1969 patients in 11 randomized clinical trials. “Methadone appeared statistically significantly more effective than non-pharmacological approaches in retaining patients in treatment and in the suppression of heroin use as measured by self report and urine/hair </w:t>
            </w:r>
            <w:r w:rsidRPr="00D326BC">
              <w:rPr>
                <w:rFonts w:ascii="Calibri" w:hAnsi="Calibri"/>
              </w:rPr>
              <w:lastRenderedPageBreak/>
              <w:t>analysis (6 RCTs, RR = 0.66</w:t>
            </w:r>
            <w:r>
              <w:rPr>
                <w:rFonts w:ascii="Calibri" w:hAnsi="Calibri"/>
              </w:rPr>
              <w:t>;</w:t>
            </w:r>
            <w:r w:rsidRPr="00D326BC">
              <w:rPr>
                <w:rFonts w:ascii="Calibri" w:hAnsi="Calibri"/>
              </w:rPr>
              <w:t xml:space="preserve"> 95%</w:t>
            </w:r>
            <w:r>
              <w:rPr>
                <w:rFonts w:ascii="Calibri" w:hAnsi="Calibri"/>
              </w:rPr>
              <w:t xml:space="preserve"> </w:t>
            </w:r>
            <w:r w:rsidRPr="00D326BC">
              <w:rPr>
                <w:rFonts w:ascii="Calibri" w:hAnsi="Calibri"/>
              </w:rPr>
              <w:t>CI 0.56-0.78), but not statistically different in criminal activity (3 RCTs, RR=0.39; 95%</w:t>
            </w:r>
            <w:r>
              <w:rPr>
                <w:rFonts w:ascii="Calibri" w:hAnsi="Calibri"/>
              </w:rPr>
              <w:t xml:space="preserve"> </w:t>
            </w:r>
            <w:r w:rsidRPr="00D326BC">
              <w:rPr>
                <w:rFonts w:ascii="Calibri" w:hAnsi="Calibri"/>
              </w:rPr>
              <w:t>CI 0.12-1.25) or mortality (4 RCTs, RR=0.48; 95%</w:t>
            </w:r>
            <w:r>
              <w:rPr>
                <w:rFonts w:ascii="Calibri" w:hAnsi="Calibri"/>
              </w:rPr>
              <w:t xml:space="preserve"> </w:t>
            </w:r>
            <w:r w:rsidRPr="00D326BC">
              <w:rPr>
                <w:rFonts w:ascii="Calibri" w:hAnsi="Calibri"/>
              </w:rPr>
              <w:t xml:space="preserve">CI: 0.10-2.39).” </w:t>
            </w:r>
          </w:p>
          <w:p w14:paraId="25EB58BF" w14:textId="77777777" w:rsidR="0019056F" w:rsidRPr="00D326BC" w:rsidRDefault="0019056F" w:rsidP="009E73E8">
            <w:pPr>
              <w:ind w:left="0" w:firstLine="0"/>
              <w:rPr>
                <w:rFonts w:ascii="Calibri" w:hAnsi="Calibri"/>
              </w:rPr>
            </w:pPr>
            <w:r w:rsidRPr="00D326BC">
              <w:rPr>
                <w:rFonts w:ascii="Calibri" w:hAnsi="Calibri"/>
              </w:rPr>
              <w:t>RR=risk ratio</w:t>
            </w:r>
          </w:p>
        </w:tc>
      </w:tr>
      <w:tr w:rsidR="0019056F" w:rsidRPr="00D326BC" w14:paraId="105711F0" w14:textId="77777777" w:rsidTr="009E73E8">
        <w:tc>
          <w:tcPr>
            <w:tcW w:w="2335" w:type="dxa"/>
          </w:tcPr>
          <w:p w14:paraId="4EDF6F9D" w14:textId="77777777" w:rsidR="0019056F" w:rsidRPr="00D326BC" w:rsidRDefault="0019056F" w:rsidP="009E73E8">
            <w:pPr>
              <w:ind w:left="0" w:firstLine="0"/>
              <w:rPr>
                <w:rFonts w:ascii="Calibri" w:hAnsi="Calibri"/>
              </w:rPr>
            </w:pPr>
            <w:r w:rsidRPr="00D326BC">
              <w:rPr>
                <w:rFonts w:ascii="Calibri" w:hAnsi="Calibri"/>
              </w:rPr>
              <w:lastRenderedPageBreak/>
              <w:t>What harms were identified?</w:t>
            </w:r>
          </w:p>
        </w:tc>
        <w:tc>
          <w:tcPr>
            <w:tcW w:w="7015" w:type="dxa"/>
          </w:tcPr>
          <w:p w14:paraId="6CC9AF4D" w14:textId="77777777" w:rsidR="0019056F" w:rsidRPr="00D326BC" w:rsidRDefault="0019056F" w:rsidP="009E73E8">
            <w:pPr>
              <w:ind w:left="0" w:firstLine="0"/>
              <w:rPr>
                <w:rFonts w:ascii="Calibri" w:hAnsi="Calibri"/>
              </w:rPr>
            </w:pPr>
            <w:r w:rsidRPr="00D326BC">
              <w:rPr>
                <w:rFonts w:ascii="Calibri" w:hAnsi="Calibri"/>
              </w:rPr>
              <w:t>No harms were discussed in the systematic review</w:t>
            </w:r>
          </w:p>
        </w:tc>
      </w:tr>
      <w:tr w:rsidR="0019056F" w:rsidRPr="00D326BC" w14:paraId="5E5260F4" w14:textId="77777777" w:rsidTr="009E73E8">
        <w:tc>
          <w:tcPr>
            <w:tcW w:w="2335" w:type="dxa"/>
          </w:tcPr>
          <w:p w14:paraId="7757EC7E" w14:textId="77777777" w:rsidR="0019056F" w:rsidRPr="00D326BC" w:rsidRDefault="0019056F" w:rsidP="009E73E8">
            <w:pPr>
              <w:ind w:left="0" w:firstLine="0"/>
              <w:rPr>
                <w:rFonts w:ascii="Calibri" w:hAnsi="Calibri"/>
              </w:rPr>
            </w:pPr>
            <w:r w:rsidRPr="00D326BC">
              <w:rPr>
                <w:rFonts w:ascii="Calibri" w:hAnsi="Calibri"/>
              </w:rPr>
              <w:t>Identify any new studies conducted since the SR. Do the new studies change the conclusions from the SR?</w:t>
            </w:r>
          </w:p>
        </w:tc>
        <w:tc>
          <w:tcPr>
            <w:tcW w:w="7015" w:type="dxa"/>
          </w:tcPr>
          <w:p w14:paraId="0318827B" w14:textId="77777777" w:rsidR="0019056F" w:rsidRPr="00D326BC" w:rsidRDefault="0019056F" w:rsidP="009E73E8">
            <w:pPr>
              <w:ind w:left="0" w:firstLine="0"/>
              <w:rPr>
                <w:rFonts w:ascii="Calibri" w:hAnsi="Calibri"/>
              </w:rPr>
            </w:pPr>
            <w:r>
              <w:rPr>
                <w:rFonts w:ascii="Calibri" w:hAnsi="Calibri"/>
              </w:rPr>
              <w:t>No new studies were identified.</w:t>
            </w:r>
          </w:p>
        </w:tc>
      </w:tr>
    </w:tbl>
    <w:p w14:paraId="195E5A4B" w14:textId="77777777" w:rsidR="0019056F" w:rsidRDefault="0019056F" w:rsidP="0019056F">
      <w:pPr>
        <w:ind w:left="0" w:firstLine="0"/>
        <w:rPr>
          <w:i/>
          <w:iCs/>
        </w:rPr>
      </w:pPr>
    </w:p>
    <w:p w14:paraId="53BABE12" w14:textId="77777777" w:rsidR="0019056F" w:rsidRDefault="0019056F" w:rsidP="0019056F">
      <w:pPr>
        <w:rPr>
          <w:i/>
          <w:iCs/>
        </w:rPr>
      </w:pPr>
      <w:r>
        <w:rPr>
          <w:i/>
          <w:iCs/>
        </w:rPr>
        <w:br w:type="page"/>
      </w:r>
    </w:p>
    <w:p w14:paraId="3E1A95AD" w14:textId="77777777" w:rsidR="0019056F" w:rsidRDefault="0019056F" w:rsidP="0019056F">
      <w:pPr>
        <w:keepNext/>
        <w:keepLines/>
        <w:spacing w:before="200" w:line="276" w:lineRule="auto"/>
        <w:ind w:left="0" w:firstLine="0"/>
        <w:outlineLvl w:val="1"/>
        <w:rPr>
          <w:i/>
          <w:iCs/>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5</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Randomized Controlled Trial</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Pr="00056C63">
        <w:rPr>
          <w:rFonts w:asciiTheme="majorHAnsi" w:eastAsia="Times New Roman" w:hAnsiTheme="majorHAnsi" w:cstheme="majorBidi"/>
          <w:b/>
          <w:bCs/>
          <w:color w:val="4F81BD" w:themeColor="accent1"/>
          <w:sz w:val="26"/>
          <w:szCs w:val="26"/>
        </w:rPr>
        <w:t>Extended-Release Injectable Naltrexone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Krupitsky</w:t>
      </w:r>
      <w:r w:rsidRPr="00C21784">
        <w:rPr>
          <w:rFonts w:asciiTheme="majorHAnsi" w:eastAsia="Times New Roman" w:hAnsiTheme="majorHAnsi" w:cstheme="majorBidi"/>
          <w:b/>
          <w:bCs/>
          <w:color w:val="4F81BD" w:themeColor="accent1"/>
          <w:sz w:val="26"/>
          <w:szCs w:val="26"/>
        </w:rPr>
        <w:t xml:space="preserve"> et al., 2011</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065"/>
        <w:gridCol w:w="7285"/>
      </w:tblGrid>
      <w:tr w:rsidR="0019056F" w:rsidRPr="00056C63" w14:paraId="77687DD7" w14:textId="77777777" w:rsidTr="009E73E8">
        <w:tc>
          <w:tcPr>
            <w:tcW w:w="2065" w:type="dxa"/>
          </w:tcPr>
          <w:p w14:paraId="1CECDF39" w14:textId="77777777" w:rsidR="0019056F" w:rsidRPr="00056C63" w:rsidRDefault="0019056F" w:rsidP="009E73E8">
            <w:pPr>
              <w:ind w:left="0" w:firstLine="0"/>
              <w:rPr>
                <w:b/>
              </w:rPr>
            </w:pPr>
            <w:r w:rsidRPr="00056C63">
              <w:rPr>
                <w:b/>
              </w:rPr>
              <w:t>Source of Systematic Review:</w:t>
            </w:r>
          </w:p>
          <w:p w14:paraId="463C4B39" w14:textId="77777777" w:rsidR="0019056F" w:rsidRPr="00056C63" w:rsidRDefault="0019056F" w:rsidP="009E73E8">
            <w:pPr>
              <w:numPr>
                <w:ilvl w:val="0"/>
                <w:numId w:val="9"/>
              </w:numPr>
              <w:contextualSpacing/>
              <w:rPr>
                <w:rFonts w:eastAsiaTheme="minorEastAsia"/>
                <w:b/>
              </w:rPr>
            </w:pPr>
            <w:r w:rsidRPr="00056C63">
              <w:rPr>
                <w:rFonts w:eastAsiaTheme="minorEastAsia"/>
                <w:b/>
              </w:rPr>
              <w:t>Title</w:t>
            </w:r>
          </w:p>
          <w:p w14:paraId="121EA86B" w14:textId="77777777" w:rsidR="0019056F" w:rsidRPr="00056C63" w:rsidRDefault="0019056F" w:rsidP="009E73E8">
            <w:pPr>
              <w:numPr>
                <w:ilvl w:val="0"/>
                <w:numId w:val="9"/>
              </w:numPr>
              <w:contextualSpacing/>
              <w:rPr>
                <w:rFonts w:eastAsiaTheme="minorEastAsia"/>
                <w:b/>
              </w:rPr>
            </w:pPr>
            <w:r w:rsidRPr="00056C63">
              <w:rPr>
                <w:rFonts w:eastAsiaTheme="minorEastAsia"/>
                <w:b/>
              </w:rPr>
              <w:t>Author</w:t>
            </w:r>
          </w:p>
          <w:p w14:paraId="3D2FDB20" w14:textId="77777777" w:rsidR="0019056F" w:rsidRPr="00056C63" w:rsidRDefault="0019056F" w:rsidP="009E73E8">
            <w:pPr>
              <w:numPr>
                <w:ilvl w:val="0"/>
                <w:numId w:val="9"/>
              </w:numPr>
              <w:contextualSpacing/>
              <w:rPr>
                <w:rFonts w:eastAsiaTheme="minorEastAsia"/>
                <w:b/>
              </w:rPr>
            </w:pPr>
            <w:r w:rsidRPr="00056C63">
              <w:rPr>
                <w:rFonts w:eastAsiaTheme="minorEastAsia"/>
                <w:b/>
              </w:rPr>
              <w:t>Date</w:t>
            </w:r>
          </w:p>
          <w:p w14:paraId="6FF634B0" w14:textId="77777777" w:rsidR="0019056F" w:rsidRPr="00056C63" w:rsidRDefault="0019056F" w:rsidP="009E73E8">
            <w:pPr>
              <w:numPr>
                <w:ilvl w:val="0"/>
                <w:numId w:val="9"/>
              </w:numPr>
              <w:contextualSpacing/>
              <w:rPr>
                <w:rFonts w:eastAsiaTheme="minorEastAsia"/>
                <w:b/>
              </w:rPr>
            </w:pPr>
            <w:r w:rsidRPr="00056C63">
              <w:rPr>
                <w:rFonts w:eastAsiaTheme="minorEastAsia"/>
                <w:b/>
              </w:rPr>
              <w:t>Citation, including page number</w:t>
            </w:r>
          </w:p>
          <w:p w14:paraId="53502A83" w14:textId="77777777" w:rsidR="0019056F" w:rsidRPr="00056C63" w:rsidRDefault="0019056F" w:rsidP="009E73E8">
            <w:pPr>
              <w:numPr>
                <w:ilvl w:val="0"/>
                <w:numId w:val="9"/>
              </w:numPr>
              <w:contextualSpacing/>
              <w:rPr>
                <w:rFonts w:eastAsiaTheme="minorEastAsia"/>
                <w:b/>
              </w:rPr>
            </w:pPr>
            <w:r w:rsidRPr="00056C63">
              <w:rPr>
                <w:rFonts w:eastAsiaTheme="minorEastAsia"/>
                <w:b/>
              </w:rPr>
              <w:t>URL</w:t>
            </w:r>
          </w:p>
        </w:tc>
        <w:tc>
          <w:tcPr>
            <w:tcW w:w="7285" w:type="dxa"/>
          </w:tcPr>
          <w:p w14:paraId="457BD70E" w14:textId="77777777" w:rsidR="0019056F" w:rsidRPr="00056C63" w:rsidRDefault="0019056F" w:rsidP="009E73E8">
            <w:pPr>
              <w:ind w:left="0" w:firstLine="0"/>
            </w:pPr>
            <w:r w:rsidRPr="00056C63">
              <w:t>Randomized controlled trial:</w:t>
            </w:r>
          </w:p>
          <w:p w14:paraId="3AF60A67" w14:textId="77777777" w:rsidR="0019056F" w:rsidRPr="00056C63" w:rsidRDefault="0019056F" w:rsidP="009E73E8">
            <w:pPr>
              <w:ind w:left="0" w:firstLine="0"/>
            </w:pPr>
            <w:r w:rsidRPr="0056478B">
              <w:rPr>
                <w:lang w:val="de-DE"/>
              </w:rPr>
              <w:t xml:space="preserve">Krupitsky E, Nunes EV, Ling W, Illeperuma A, Gastfriend DR, Silverman BL. </w:t>
            </w:r>
            <w:r w:rsidRPr="00056C63">
              <w:t>Injectable extended-release naltrexone for opioid dependence: A double-blind, placebo-controlled, multicentre randomised trial. Lancet. Apr 30 2011;377(9776):1506-1513.</w:t>
            </w:r>
          </w:p>
          <w:p w14:paraId="0BF9F4DA" w14:textId="77777777" w:rsidR="0019056F" w:rsidRPr="00056C63" w:rsidRDefault="0019056F" w:rsidP="009E73E8">
            <w:pPr>
              <w:ind w:left="0" w:firstLine="0"/>
            </w:pPr>
          </w:p>
          <w:p w14:paraId="0F330419" w14:textId="77777777" w:rsidR="0019056F" w:rsidRDefault="0019056F" w:rsidP="009E73E8">
            <w:pPr>
              <w:ind w:left="0" w:firstLine="0"/>
            </w:pPr>
            <w:r w:rsidRPr="00056C63">
              <w:t>Cited in support of Recommendation 11 (see below)</w:t>
            </w:r>
            <w:r>
              <w:t xml:space="preserve"> </w:t>
            </w:r>
            <w:r w:rsidRPr="00056C63">
              <w:t xml:space="preserve">by: </w:t>
            </w:r>
          </w:p>
          <w:p w14:paraId="3330EFB3" w14:textId="77777777" w:rsidR="0019056F" w:rsidRPr="00056C63" w:rsidRDefault="0019056F" w:rsidP="009E73E8">
            <w:pPr>
              <w:ind w:left="0" w:firstLine="0"/>
            </w:pPr>
            <w:r w:rsidRPr="00056C63">
              <w:t>Department of Veteran Affairs, Department of Defense (VA/D</w:t>
            </w:r>
            <w:r>
              <w:t>o</w:t>
            </w:r>
            <w:r w:rsidRPr="00056C63">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rsidRPr="00056C63" w14:paraId="465809F8" w14:textId="77777777" w:rsidTr="009E73E8">
        <w:tc>
          <w:tcPr>
            <w:tcW w:w="2065" w:type="dxa"/>
          </w:tcPr>
          <w:p w14:paraId="7EB09CCF" w14:textId="77777777" w:rsidR="0019056F" w:rsidRPr="00056C63" w:rsidRDefault="0019056F" w:rsidP="009E73E8">
            <w:pPr>
              <w:ind w:left="0" w:firstLine="0"/>
            </w:pPr>
            <w:r w:rsidRPr="00056C63">
              <w:t>Quote the guideline or recommendation verbatim about the process, structure or intermediate outcome being measured. If not a guideline, summarize the conclusions from the SR.</w:t>
            </w:r>
          </w:p>
        </w:tc>
        <w:tc>
          <w:tcPr>
            <w:tcW w:w="7285" w:type="dxa"/>
          </w:tcPr>
          <w:p w14:paraId="587CAD34" w14:textId="77777777" w:rsidR="0019056F" w:rsidRPr="00056C63" w:rsidRDefault="0019056F" w:rsidP="009E73E8">
            <w:pPr>
              <w:autoSpaceDE w:val="0"/>
              <w:autoSpaceDN w:val="0"/>
              <w:adjustRightInd w:val="0"/>
              <w:rPr>
                <w:rFonts w:ascii="Calibri" w:hAnsi="Calibri" w:cs="Calibri"/>
                <w:b/>
                <w:color w:val="000000"/>
              </w:rPr>
            </w:pPr>
            <w:r w:rsidRPr="00056C63">
              <w:rPr>
                <w:rFonts w:ascii="Calibri" w:hAnsi="Calibri" w:cs="Calibri"/>
                <w:b/>
                <w:color w:val="000000"/>
              </w:rPr>
              <w:t>Recommendation 11 (page 38)</w:t>
            </w:r>
            <w:r>
              <w:rPr>
                <w:rFonts w:ascii="Calibri" w:hAnsi="Calibri" w:cs="Calibri"/>
                <w:b/>
                <w:color w:val="000000"/>
              </w:rPr>
              <w:t xml:space="preserve"> </w:t>
            </w:r>
            <w:r>
              <w:rPr>
                <w:b/>
              </w:rPr>
              <w:t>from 2015 VA/DoD Guideline</w:t>
            </w:r>
          </w:p>
          <w:p w14:paraId="420D9568" w14:textId="77777777" w:rsidR="0019056F" w:rsidRPr="00056C63" w:rsidRDefault="0019056F" w:rsidP="009E73E8">
            <w:pPr>
              <w:autoSpaceDE w:val="0"/>
              <w:autoSpaceDN w:val="0"/>
              <w:adjustRightInd w:val="0"/>
              <w:rPr>
                <w:rFonts w:ascii="Calibri" w:hAnsi="Calibri" w:cs="Calibri"/>
                <w:color w:val="000000"/>
              </w:rPr>
            </w:pPr>
            <w:r w:rsidRPr="00056C63">
              <w:rPr>
                <w:rFonts w:ascii="Calibri" w:hAnsi="Calibri" w:cs="Calibri"/>
                <w:color w:val="000000"/>
              </w:rPr>
              <w:t>11.For patients with opioid use disorder for whom opioid agonist treatment is contraindicated, unacceptable, unavailable, or discontinued and who have established abstinence for a sufficient period of time (see narrative), we recommend offering:</w:t>
            </w:r>
          </w:p>
          <w:p w14:paraId="1E2997BE" w14:textId="77777777" w:rsidR="0019056F" w:rsidRPr="00056C63" w:rsidRDefault="0019056F" w:rsidP="009E73E8">
            <w:pPr>
              <w:autoSpaceDE w:val="0"/>
              <w:autoSpaceDN w:val="0"/>
              <w:adjustRightInd w:val="0"/>
              <w:rPr>
                <w:rFonts w:ascii="Calibri" w:hAnsi="Calibri" w:cs="Calibri"/>
                <w:color w:val="000000"/>
              </w:rPr>
            </w:pPr>
            <w:r w:rsidRPr="00056C63">
              <w:rPr>
                <w:rFonts w:ascii="Wingdings 2" w:hAnsi="Wingdings 2" w:cs="Wingdings 2"/>
                <w:color w:val="000000"/>
              </w:rPr>
              <w:t></w:t>
            </w:r>
            <w:r w:rsidRPr="00056C63">
              <w:rPr>
                <w:rFonts w:ascii="Wingdings 2" w:hAnsi="Wingdings 2" w:cs="Wingdings 2"/>
                <w:color w:val="000000"/>
              </w:rPr>
              <w:t></w:t>
            </w:r>
            <w:r w:rsidRPr="00056C63">
              <w:rPr>
                <w:rFonts w:ascii="Calibri" w:hAnsi="Calibri" w:cs="Calibri"/>
                <w:color w:val="000000"/>
              </w:rPr>
              <w:t xml:space="preserve">Extended-release injectable naltrexone </w:t>
            </w:r>
          </w:p>
          <w:p w14:paraId="3CAF0926" w14:textId="77777777" w:rsidR="0019056F" w:rsidRPr="00056C63" w:rsidRDefault="0019056F" w:rsidP="009E73E8">
            <w:pPr>
              <w:autoSpaceDE w:val="0"/>
              <w:autoSpaceDN w:val="0"/>
              <w:adjustRightInd w:val="0"/>
              <w:rPr>
                <w:rFonts w:ascii="Calibri" w:hAnsi="Calibri" w:cs="Calibri"/>
                <w:b/>
                <w:bCs/>
                <w:color w:val="000000"/>
              </w:rPr>
            </w:pPr>
            <w:r w:rsidRPr="00056C63">
              <w:rPr>
                <w:rFonts w:ascii="Calibri" w:hAnsi="Calibri" w:cs="Calibri"/>
                <w:b/>
                <w:bCs/>
                <w:color w:val="000000"/>
              </w:rPr>
              <w:t xml:space="preserve">(Strong For | Reviewed, New-replaced) </w:t>
            </w:r>
          </w:p>
          <w:p w14:paraId="21FEC854" w14:textId="77777777" w:rsidR="0019056F" w:rsidRPr="00056C63" w:rsidRDefault="0019056F" w:rsidP="009E73E8">
            <w:pPr>
              <w:spacing w:after="200" w:line="276" w:lineRule="auto"/>
              <w:ind w:left="0" w:firstLine="0"/>
            </w:pPr>
          </w:p>
        </w:tc>
      </w:tr>
      <w:tr w:rsidR="0019056F" w:rsidRPr="00056C63" w14:paraId="66B1A672" w14:textId="77777777" w:rsidTr="009E73E8">
        <w:tc>
          <w:tcPr>
            <w:tcW w:w="2065" w:type="dxa"/>
          </w:tcPr>
          <w:p w14:paraId="3A834590" w14:textId="77777777" w:rsidR="0019056F" w:rsidRPr="00056C63" w:rsidRDefault="0019056F" w:rsidP="009E73E8">
            <w:pPr>
              <w:ind w:left="0" w:firstLine="0"/>
            </w:pPr>
            <w:r w:rsidRPr="00056C63">
              <w:t xml:space="preserve">Grade assigned to the </w:t>
            </w:r>
            <w:r w:rsidRPr="00056C63">
              <w:rPr>
                <w:b/>
              </w:rPr>
              <w:t>evidence</w:t>
            </w:r>
            <w:r w:rsidRPr="00056C63">
              <w:t xml:space="preserve"> associated with the recommendation with the definition of the grade</w:t>
            </w:r>
          </w:p>
        </w:tc>
        <w:tc>
          <w:tcPr>
            <w:tcW w:w="7285" w:type="dxa"/>
          </w:tcPr>
          <w:p w14:paraId="59107051" w14:textId="77777777" w:rsidR="0019056F" w:rsidRPr="00056C63" w:rsidRDefault="0019056F" w:rsidP="009E73E8">
            <w:pPr>
              <w:ind w:left="0" w:firstLine="0"/>
            </w:pPr>
            <w:r w:rsidRPr="00056C63">
              <w:t>The Guideline did not assign a grade to the evidence in this study.</w:t>
            </w:r>
          </w:p>
        </w:tc>
      </w:tr>
      <w:tr w:rsidR="0019056F" w:rsidRPr="00056C63" w14:paraId="79EE3B79" w14:textId="77777777" w:rsidTr="009E73E8">
        <w:tc>
          <w:tcPr>
            <w:tcW w:w="2065" w:type="dxa"/>
          </w:tcPr>
          <w:p w14:paraId="484B4725" w14:textId="77777777" w:rsidR="0019056F" w:rsidRPr="00056C63" w:rsidRDefault="0019056F" w:rsidP="009E73E8">
            <w:pPr>
              <w:ind w:left="0" w:firstLine="0"/>
            </w:pPr>
            <w:r w:rsidRPr="00056C63">
              <w:t>Provide all other grades and definitions from the evidence grading system</w:t>
            </w:r>
          </w:p>
        </w:tc>
        <w:tc>
          <w:tcPr>
            <w:tcW w:w="7285" w:type="dxa"/>
          </w:tcPr>
          <w:p w14:paraId="0AF52738" w14:textId="77777777" w:rsidR="0019056F" w:rsidRPr="00056C63" w:rsidRDefault="0019056F" w:rsidP="009E73E8">
            <w:pPr>
              <w:ind w:left="0" w:firstLine="0"/>
            </w:pPr>
            <w:r w:rsidRPr="00056C63">
              <w:t>The Guideline did not assign a grade to the evidence in this study.</w:t>
            </w:r>
          </w:p>
        </w:tc>
      </w:tr>
      <w:tr w:rsidR="0019056F" w:rsidRPr="00056C63" w14:paraId="7268E7FB" w14:textId="77777777" w:rsidTr="009E73E8">
        <w:tc>
          <w:tcPr>
            <w:tcW w:w="2065" w:type="dxa"/>
          </w:tcPr>
          <w:p w14:paraId="436C90A3" w14:textId="77777777" w:rsidR="0019056F" w:rsidRPr="00056C63" w:rsidRDefault="0019056F" w:rsidP="009E73E8">
            <w:pPr>
              <w:ind w:left="0" w:firstLine="0"/>
            </w:pPr>
            <w:r w:rsidRPr="00056C63">
              <w:t xml:space="preserve">Grade assigned to the </w:t>
            </w:r>
            <w:r w:rsidRPr="00056C63">
              <w:rPr>
                <w:b/>
              </w:rPr>
              <w:t>recommendation</w:t>
            </w:r>
            <w:r w:rsidRPr="00056C63">
              <w:t xml:space="preserve"> with definition of the grade</w:t>
            </w:r>
          </w:p>
        </w:tc>
        <w:tc>
          <w:tcPr>
            <w:tcW w:w="7285" w:type="dxa"/>
          </w:tcPr>
          <w:p w14:paraId="36F58479" w14:textId="77777777" w:rsidR="0019056F" w:rsidRPr="00056C63" w:rsidRDefault="0019056F" w:rsidP="009E73E8">
            <w:pPr>
              <w:ind w:left="0" w:firstLine="0"/>
            </w:pPr>
            <w:r w:rsidRPr="00056C63">
              <w:t>The grade assigned to Recommendation 11 was “Strong For.” “A strong recommendation indicates that the Work Group is highly confident that desirable outcomes outweigh undesirable outcomes.” (page 11)</w:t>
            </w:r>
          </w:p>
          <w:p w14:paraId="03E7E5D6" w14:textId="77777777" w:rsidR="0019056F" w:rsidRPr="00056C63" w:rsidRDefault="0019056F" w:rsidP="009E73E8">
            <w:pPr>
              <w:ind w:left="0" w:firstLine="0"/>
            </w:pPr>
            <w:r w:rsidRPr="00056C63">
              <w:t>“Using these elements, the grade of each recommendation is presented as part of a continuum: “Strong For (or “We recommend offering this option …”) “ (page 11)</w:t>
            </w:r>
          </w:p>
        </w:tc>
      </w:tr>
      <w:tr w:rsidR="0019056F" w:rsidRPr="00056C63" w14:paraId="291F42C6" w14:textId="77777777" w:rsidTr="009E73E8">
        <w:tc>
          <w:tcPr>
            <w:tcW w:w="2065" w:type="dxa"/>
          </w:tcPr>
          <w:p w14:paraId="3D986C97" w14:textId="77777777" w:rsidR="0019056F" w:rsidRPr="00056C63" w:rsidRDefault="0019056F" w:rsidP="009E73E8">
            <w:pPr>
              <w:ind w:left="0" w:firstLine="0"/>
            </w:pPr>
            <w:r w:rsidRPr="00056C63">
              <w:lastRenderedPageBreak/>
              <w:t>Provide all other grades and definitions from the recommendation grading system</w:t>
            </w:r>
          </w:p>
        </w:tc>
        <w:tc>
          <w:tcPr>
            <w:tcW w:w="7285" w:type="dxa"/>
          </w:tcPr>
          <w:p w14:paraId="1B8A9F9E" w14:textId="77777777" w:rsidR="0019056F" w:rsidRPr="00056C63" w:rsidRDefault="0019056F" w:rsidP="009E73E8">
            <w:pPr>
              <w:ind w:left="0" w:firstLine="0"/>
            </w:pPr>
            <w:r w:rsidRPr="00056C63">
              <w:t xml:space="preserve">The </w:t>
            </w:r>
            <w:r>
              <w:t>[DoD/VA]</w:t>
            </w:r>
            <w:r w:rsidRPr="00056C63">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301A442B" w14:textId="77777777" w:rsidR="0019056F" w:rsidRPr="00056C63" w:rsidRDefault="0019056F" w:rsidP="0019056F">
            <w:pPr>
              <w:numPr>
                <w:ilvl w:val="0"/>
                <w:numId w:val="17"/>
              </w:numPr>
              <w:spacing w:after="200" w:line="276" w:lineRule="auto"/>
              <w:contextualSpacing/>
              <w:rPr>
                <w:rFonts w:eastAsiaTheme="minorEastAsia"/>
              </w:rPr>
            </w:pPr>
            <w:r w:rsidRPr="00056C63">
              <w:rPr>
                <w:rFonts w:eastAsiaTheme="minorEastAsia"/>
              </w:rPr>
              <w:t>Balance of desirable and undesirable outcomes</w:t>
            </w:r>
          </w:p>
          <w:p w14:paraId="7AB6024E" w14:textId="77777777" w:rsidR="0019056F" w:rsidRPr="00056C63" w:rsidRDefault="0019056F" w:rsidP="0019056F">
            <w:pPr>
              <w:numPr>
                <w:ilvl w:val="0"/>
                <w:numId w:val="17"/>
              </w:numPr>
              <w:spacing w:after="200" w:line="276" w:lineRule="auto"/>
              <w:contextualSpacing/>
              <w:rPr>
                <w:rFonts w:eastAsiaTheme="minorEastAsia"/>
              </w:rPr>
            </w:pPr>
            <w:r w:rsidRPr="00056C63">
              <w:rPr>
                <w:rFonts w:eastAsiaTheme="minorEastAsia"/>
              </w:rPr>
              <w:t>Confidence in the quality of the evidence</w:t>
            </w:r>
          </w:p>
          <w:p w14:paraId="33835EA0" w14:textId="77777777" w:rsidR="0019056F" w:rsidRPr="00056C63" w:rsidRDefault="0019056F" w:rsidP="0019056F">
            <w:pPr>
              <w:numPr>
                <w:ilvl w:val="0"/>
                <w:numId w:val="17"/>
              </w:numPr>
              <w:spacing w:after="200" w:line="276" w:lineRule="auto"/>
              <w:contextualSpacing/>
              <w:rPr>
                <w:rFonts w:eastAsiaTheme="minorEastAsia"/>
              </w:rPr>
            </w:pPr>
            <w:r w:rsidRPr="00056C63">
              <w:rPr>
                <w:rFonts w:eastAsiaTheme="minorEastAsia"/>
              </w:rPr>
              <w:t>Patient or provider values and preferences</w:t>
            </w:r>
          </w:p>
          <w:p w14:paraId="51D1F65E" w14:textId="77777777" w:rsidR="0019056F" w:rsidRPr="00056C63" w:rsidRDefault="0019056F" w:rsidP="0019056F">
            <w:pPr>
              <w:numPr>
                <w:ilvl w:val="0"/>
                <w:numId w:val="16"/>
              </w:numPr>
              <w:spacing w:after="200" w:line="276" w:lineRule="auto"/>
              <w:ind w:left="720"/>
              <w:contextualSpacing/>
              <w:rPr>
                <w:rFonts w:eastAsiaTheme="minorEastAsia"/>
              </w:rPr>
            </w:pPr>
            <w:r w:rsidRPr="00056C63">
              <w:rPr>
                <w:rFonts w:eastAsiaTheme="minorEastAsia"/>
              </w:rPr>
              <w:t>Other implications, as appropriate, e.g., Resource use, Equity, Acceptability, Feasibility, and Subgroup considerations.</w:t>
            </w:r>
          </w:p>
          <w:p w14:paraId="7EE5509B" w14:textId="77777777" w:rsidR="0019056F" w:rsidRPr="00056C63" w:rsidRDefault="0019056F" w:rsidP="009E73E8">
            <w:pPr>
              <w:ind w:left="0" w:firstLine="0"/>
            </w:pPr>
            <w:r w:rsidRPr="00056C63">
              <w:t xml:space="preserve">Using this system, the </w:t>
            </w:r>
            <w:r>
              <w:t>[DoD/VA]</w:t>
            </w:r>
            <w:r w:rsidRPr="00056C63">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3E52500E" w14:textId="77777777" w:rsidR="0019056F" w:rsidRPr="00056C63" w:rsidRDefault="0019056F" w:rsidP="009E73E8">
            <w:pPr>
              <w:ind w:left="0" w:firstLine="0"/>
            </w:pPr>
          </w:p>
          <w:p w14:paraId="76D60BC3" w14:textId="77777777" w:rsidR="0019056F" w:rsidRPr="00056C63" w:rsidRDefault="0019056F" w:rsidP="009E73E8">
            <w:pPr>
              <w:ind w:left="0" w:firstLine="0"/>
            </w:pPr>
            <w:r w:rsidRPr="00056C63">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0C8E4083" w14:textId="77777777" w:rsidR="0019056F" w:rsidRPr="00056C63" w:rsidRDefault="0019056F" w:rsidP="009E73E8">
            <w:pPr>
              <w:ind w:left="0" w:firstLine="0"/>
            </w:pPr>
          </w:p>
          <w:p w14:paraId="484DA10E" w14:textId="77777777" w:rsidR="0019056F" w:rsidRPr="00056C63" w:rsidRDefault="0019056F" w:rsidP="009E73E8">
            <w:pPr>
              <w:ind w:left="0" w:firstLine="0"/>
            </w:pPr>
            <w:r w:rsidRPr="00056C63">
              <w:t>Using these elements, the grade of each recommendation is presented as part of a continuum:</w:t>
            </w:r>
          </w:p>
          <w:p w14:paraId="65286A27" w14:textId="77777777" w:rsidR="0019056F" w:rsidRPr="00056C63" w:rsidRDefault="0019056F" w:rsidP="009E73E8">
            <w:pPr>
              <w:ind w:left="0" w:firstLine="0"/>
            </w:pPr>
            <w:r w:rsidRPr="00056C63">
              <w:t>•Strong For (or “We recommend offering this option …”)</w:t>
            </w:r>
          </w:p>
          <w:p w14:paraId="5A7D52BA" w14:textId="77777777" w:rsidR="0019056F" w:rsidRPr="00056C63" w:rsidRDefault="0019056F" w:rsidP="009E73E8">
            <w:pPr>
              <w:ind w:left="0" w:firstLine="0"/>
            </w:pPr>
            <w:r w:rsidRPr="00056C63">
              <w:t>•Weak For (or “We suggest offering this option …”)</w:t>
            </w:r>
          </w:p>
          <w:p w14:paraId="14DB8D61" w14:textId="77777777" w:rsidR="0019056F" w:rsidRPr="00056C63" w:rsidRDefault="0019056F" w:rsidP="009E73E8">
            <w:pPr>
              <w:ind w:left="0" w:firstLine="0"/>
            </w:pPr>
            <w:r w:rsidRPr="00056C63">
              <w:t>•Weak Against (or “We suggest not offering this option …”)</w:t>
            </w:r>
          </w:p>
          <w:p w14:paraId="45CB739E" w14:textId="77777777" w:rsidR="0019056F" w:rsidRPr="00056C63" w:rsidRDefault="0019056F" w:rsidP="009E73E8">
            <w:pPr>
              <w:ind w:left="0" w:firstLine="0"/>
            </w:pPr>
            <w:r w:rsidRPr="00056C63">
              <w:t>•Strong Against (or “We recommend against offering this option …”)</w:t>
            </w:r>
          </w:p>
        </w:tc>
      </w:tr>
      <w:tr w:rsidR="0019056F" w:rsidRPr="00056C63" w14:paraId="4657C5D4" w14:textId="77777777" w:rsidTr="009E73E8">
        <w:tc>
          <w:tcPr>
            <w:tcW w:w="2065" w:type="dxa"/>
          </w:tcPr>
          <w:p w14:paraId="2F517F9F" w14:textId="77777777" w:rsidR="0019056F" w:rsidRPr="00056C63" w:rsidRDefault="0019056F" w:rsidP="009E73E8">
            <w:pPr>
              <w:ind w:left="0" w:firstLine="0"/>
            </w:pPr>
            <w:r w:rsidRPr="00056C63">
              <w:t>Body of evidence:</w:t>
            </w:r>
          </w:p>
          <w:p w14:paraId="6499BA7F" w14:textId="77777777" w:rsidR="0019056F" w:rsidRPr="00056C63" w:rsidRDefault="0019056F" w:rsidP="009E73E8">
            <w:pPr>
              <w:numPr>
                <w:ilvl w:val="0"/>
                <w:numId w:val="10"/>
              </w:numPr>
              <w:spacing w:after="200" w:line="276" w:lineRule="auto"/>
              <w:contextualSpacing/>
              <w:rPr>
                <w:rFonts w:eastAsiaTheme="minorEastAsia"/>
              </w:rPr>
            </w:pPr>
            <w:r w:rsidRPr="00056C63">
              <w:rPr>
                <w:rFonts w:eastAsiaTheme="minorEastAsia"/>
              </w:rPr>
              <w:t>Quantity – how many studies?</w:t>
            </w:r>
          </w:p>
          <w:p w14:paraId="78947BC4" w14:textId="77777777" w:rsidR="0019056F" w:rsidRPr="00056C63" w:rsidRDefault="0019056F" w:rsidP="009E73E8">
            <w:pPr>
              <w:numPr>
                <w:ilvl w:val="0"/>
                <w:numId w:val="10"/>
              </w:numPr>
              <w:spacing w:after="200" w:line="276" w:lineRule="auto"/>
              <w:contextualSpacing/>
              <w:rPr>
                <w:rFonts w:eastAsiaTheme="minorEastAsia"/>
              </w:rPr>
            </w:pPr>
            <w:r w:rsidRPr="00056C63">
              <w:rPr>
                <w:rFonts w:eastAsiaTheme="minorEastAsia"/>
              </w:rPr>
              <w:t>Quality – what type of studies?</w:t>
            </w:r>
          </w:p>
        </w:tc>
        <w:tc>
          <w:tcPr>
            <w:tcW w:w="7285" w:type="dxa"/>
          </w:tcPr>
          <w:p w14:paraId="735D020A" w14:textId="77777777" w:rsidR="0019056F" w:rsidRPr="00056C63" w:rsidRDefault="0019056F" w:rsidP="009E73E8">
            <w:pPr>
              <w:ind w:left="0" w:firstLine="0"/>
            </w:pPr>
            <w:r w:rsidRPr="00056C63">
              <w:t>Quantity: One trial with 250 participants.</w:t>
            </w:r>
          </w:p>
          <w:p w14:paraId="522432F1" w14:textId="77777777" w:rsidR="0019056F" w:rsidRPr="00056C63" w:rsidRDefault="0019056F" w:rsidP="009E73E8">
            <w:pPr>
              <w:ind w:left="0" w:firstLine="0"/>
            </w:pPr>
          </w:p>
          <w:p w14:paraId="51C32463" w14:textId="77777777" w:rsidR="0019056F" w:rsidRPr="00056C63" w:rsidRDefault="0019056F" w:rsidP="009E73E8">
            <w:pPr>
              <w:ind w:left="0" w:firstLine="0"/>
            </w:pPr>
            <w:r w:rsidRPr="00056C63">
              <w:t xml:space="preserve">Quality of study: A double-blind, placebo-controlled, randomized, 24-week trial of injectable extended-release naltrexone patients with opioid dependence disorder at 13 clinical sites in Russia. </w:t>
            </w:r>
            <w:r>
              <w:t>The study required “that patients have someone available to supervise attendance, the provision of individual counselling, the absence of alternative treatments (eg, methadone or buprenorphine) in Russia, and the promise of active XR-NTX treatment for all patients after 6 months in the subsequent open-label extension safety study.” Therefore, the results may not be generalizable.</w:t>
            </w:r>
          </w:p>
        </w:tc>
      </w:tr>
      <w:tr w:rsidR="0019056F" w:rsidRPr="00056C63" w14:paraId="2AB3741A" w14:textId="77777777" w:rsidTr="009E73E8">
        <w:tc>
          <w:tcPr>
            <w:tcW w:w="2065" w:type="dxa"/>
          </w:tcPr>
          <w:p w14:paraId="304D2404" w14:textId="77777777" w:rsidR="0019056F" w:rsidRPr="00056C63" w:rsidRDefault="0019056F" w:rsidP="009E73E8">
            <w:pPr>
              <w:ind w:left="0" w:firstLine="0"/>
            </w:pPr>
            <w:r w:rsidRPr="00056C63">
              <w:t xml:space="preserve">Estimates of benefit and consistency across studies </w:t>
            </w:r>
          </w:p>
        </w:tc>
        <w:tc>
          <w:tcPr>
            <w:tcW w:w="7285" w:type="dxa"/>
          </w:tcPr>
          <w:p w14:paraId="1A6B8AAB" w14:textId="77777777" w:rsidR="0019056F" w:rsidRPr="00056C63" w:rsidRDefault="0019056F" w:rsidP="009E73E8">
            <w:pPr>
              <w:ind w:left="0" w:firstLine="0"/>
            </w:pPr>
            <w:r w:rsidRPr="00056C63">
              <w:t xml:space="preserve">The median proportion of weeks of confirmed abstinence was significantly higher in the naltrexone group than in the placebo group (90.0% for naltrexone vs. 35.0% for placebo; p=0.0002). The proportion of patients with total confirmed abstinence was higher in the naltrexone group than the placebo group (RR=1.58; 95% CI, 1.06 to 2.36; p=0.0224). Comparing clinical outcomes between the naltrexone and placebo groups yielded the following results: proportion of self-reported opioid-free days over the 24 weeks (99.2% for naltrexone vs. 60.4% for placebo; p=0.0004), mean change in opioid </w:t>
            </w:r>
            <w:r w:rsidRPr="00056C63">
              <w:lastRenderedPageBreak/>
              <w:t xml:space="preserve">craving score from baseline (-10.1 for naltrexone vs. 0.7 for placebo; p&lt;0.0001), number of days of retention (&gt;168 days for naltrexone vs. 96 days for placebo; p=0·0042), and number of participants with positive naloxone challenge test (1 for naltrexone vs. 17 for placebo; p&lt;0.0001). </w:t>
            </w:r>
          </w:p>
        </w:tc>
      </w:tr>
      <w:tr w:rsidR="0019056F" w:rsidRPr="00056C63" w14:paraId="36B2CB89" w14:textId="77777777" w:rsidTr="009E73E8">
        <w:tc>
          <w:tcPr>
            <w:tcW w:w="2065" w:type="dxa"/>
          </w:tcPr>
          <w:p w14:paraId="4179C2D7" w14:textId="77777777" w:rsidR="0019056F" w:rsidRPr="00056C63" w:rsidRDefault="0019056F" w:rsidP="009E73E8">
            <w:pPr>
              <w:ind w:left="0" w:firstLine="0"/>
            </w:pPr>
            <w:r w:rsidRPr="00056C63">
              <w:lastRenderedPageBreak/>
              <w:t>What harms were identified?</w:t>
            </w:r>
          </w:p>
        </w:tc>
        <w:tc>
          <w:tcPr>
            <w:tcW w:w="7285" w:type="dxa"/>
          </w:tcPr>
          <w:p w14:paraId="77349130" w14:textId="77777777" w:rsidR="0019056F" w:rsidRPr="00056C63" w:rsidRDefault="0019056F" w:rsidP="009E73E8">
            <w:pPr>
              <w:ind w:left="0" w:firstLine="0"/>
            </w:pPr>
            <w:r w:rsidRPr="00056C63">
              <w:t xml:space="preserve">103 (41%) of 250 patients experienced at least one adverse event; a higher proportion of patients in the naltrexone group had at least one adverse event (e.g., nasopharyngitis, insomnia, hypertension, influenza, injection site pain) </w:t>
            </w:r>
            <w:r>
              <w:t xml:space="preserve">than in the placebo group </w:t>
            </w:r>
            <w:r w:rsidRPr="00056C63">
              <w:t>(p=0.005)</w:t>
            </w:r>
            <w:r>
              <w:t>.</w:t>
            </w:r>
          </w:p>
        </w:tc>
      </w:tr>
      <w:tr w:rsidR="0019056F" w:rsidRPr="00056C63" w14:paraId="0DC3D11A" w14:textId="77777777" w:rsidTr="009E73E8">
        <w:tc>
          <w:tcPr>
            <w:tcW w:w="2065" w:type="dxa"/>
          </w:tcPr>
          <w:p w14:paraId="04370C3B" w14:textId="77777777" w:rsidR="0019056F" w:rsidRPr="00056C63" w:rsidRDefault="0019056F" w:rsidP="009E73E8">
            <w:pPr>
              <w:ind w:left="0" w:firstLine="0"/>
            </w:pPr>
            <w:r w:rsidRPr="00056C63">
              <w:t>Identify any new studies conducted since the SR. Do the new studies change the conclusions from the SR?</w:t>
            </w:r>
          </w:p>
        </w:tc>
        <w:tc>
          <w:tcPr>
            <w:tcW w:w="7285" w:type="dxa"/>
          </w:tcPr>
          <w:p w14:paraId="4EDCF585" w14:textId="77777777" w:rsidR="0019056F" w:rsidRPr="00056C63" w:rsidRDefault="0019056F" w:rsidP="009E73E8">
            <w:pPr>
              <w:ind w:left="0" w:firstLine="0"/>
            </w:pPr>
            <w:r>
              <w:rPr>
                <w:rFonts w:ascii="Calibri" w:hAnsi="Calibri"/>
              </w:rPr>
              <w:t>No new studies were identified.</w:t>
            </w:r>
          </w:p>
        </w:tc>
      </w:tr>
    </w:tbl>
    <w:p w14:paraId="2C39877F" w14:textId="77777777" w:rsidR="0019056F" w:rsidRDefault="0019056F" w:rsidP="0019056F">
      <w:pPr>
        <w:ind w:left="0" w:firstLine="0"/>
        <w:rPr>
          <w:i/>
          <w:iCs/>
        </w:rPr>
      </w:pPr>
    </w:p>
    <w:p w14:paraId="360FDDB1" w14:textId="77777777" w:rsidR="0019056F" w:rsidRDefault="0019056F" w:rsidP="0019056F">
      <w:pPr>
        <w:rPr>
          <w:b/>
          <w:iCs/>
          <w:caps/>
        </w:rPr>
      </w:pPr>
      <w:r>
        <w:rPr>
          <w:b/>
          <w:iCs/>
          <w:caps/>
        </w:rPr>
        <w:br w:type="page"/>
      </w:r>
    </w:p>
    <w:p w14:paraId="19B89EE1" w14:textId="77777777" w:rsidR="0019056F" w:rsidRDefault="0019056F" w:rsidP="0019056F">
      <w:pPr>
        <w:keepNext/>
        <w:keepLines/>
        <w:spacing w:before="200" w:line="276" w:lineRule="auto"/>
        <w:ind w:left="0" w:firstLine="0"/>
        <w:outlineLvl w:val="1"/>
        <w:rPr>
          <w:i/>
          <w:iCs/>
        </w:rPr>
      </w:pPr>
      <w:r w:rsidRPr="00DB4E2F">
        <w:rPr>
          <w:rFonts w:asciiTheme="majorHAnsi" w:eastAsia="Times New Roman" w:hAnsiTheme="majorHAnsi" w:cstheme="majorBidi"/>
          <w:b/>
          <w:bCs/>
          <w:color w:val="4F81BD" w:themeColor="accent1"/>
          <w:sz w:val="26"/>
          <w:szCs w:val="26"/>
        </w:rPr>
        <w:lastRenderedPageBreak/>
        <w:t xml:space="preserve">Exhibit </w:t>
      </w:r>
      <w:r>
        <w:rPr>
          <w:rFonts w:asciiTheme="majorHAnsi" w:eastAsia="Times New Roman" w:hAnsiTheme="majorHAnsi" w:cstheme="majorBidi"/>
          <w:b/>
          <w:bCs/>
          <w:color w:val="4F81BD" w:themeColor="accent1"/>
          <w:sz w:val="26"/>
          <w:szCs w:val="26"/>
        </w:rPr>
        <w:t>6</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Systematic Review</w:t>
      </w:r>
      <w:r w:rsidRPr="00DB4E2F">
        <w:rPr>
          <w:rFonts w:asciiTheme="majorHAnsi" w:eastAsia="Times New Roman" w:hAnsiTheme="majorHAnsi" w:cstheme="majorBidi"/>
          <w:b/>
          <w:bCs/>
          <w:color w:val="4F81BD" w:themeColor="accent1"/>
          <w:sz w:val="26"/>
          <w:szCs w:val="26"/>
        </w:rPr>
        <w:t xml:space="preserve"> Cited by the Department of Veteran Affairs, Department of Defense (VA/D</w:t>
      </w:r>
      <w:r>
        <w:rPr>
          <w:rFonts w:asciiTheme="majorHAnsi" w:eastAsia="Times New Roman" w:hAnsiTheme="majorHAnsi" w:cstheme="majorBidi"/>
          <w:b/>
          <w:bCs/>
          <w:color w:val="4F81BD" w:themeColor="accent1"/>
          <w:sz w:val="26"/>
          <w:szCs w:val="26"/>
        </w:rPr>
        <w:t>o</w:t>
      </w:r>
      <w:r w:rsidRPr="00DB4E2F">
        <w:rPr>
          <w:rFonts w:asciiTheme="majorHAnsi" w:eastAsia="Times New Roman" w:hAnsiTheme="majorHAnsi" w:cstheme="majorBidi"/>
          <w:b/>
          <w:bCs/>
          <w:color w:val="4F81BD" w:themeColor="accent1"/>
          <w:sz w:val="26"/>
          <w:szCs w:val="26"/>
        </w:rPr>
        <w:t xml:space="preserve">D) Guideline on </w:t>
      </w:r>
      <w:r>
        <w:rPr>
          <w:rFonts w:asciiTheme="majorHAnsi" w:eastAsia="Times New Roman" w:hAnsiTheme="majorHAnsi" w:cstheme="majorBidi"/>
          <w:b/>
          <w:bCs/>
          <w:color w:val="4F81BD" w:themeColor="accent1"/>
          <w:sz w:val="26"/>
          <w:szCs w:val="26"/>
        </w:rPr>
        <w:t>Management o</w:t>
      </w:r>
      <w:r w:rsidRPr="00DB4E2F">
        <w:rPr>
          <w:rFonts w:asciiTheme="majorHAnsi" w:eastAsia="Times New Roman" w:hAnsiTheme="majorHAnsi" w:cstheme="majorBidi"/>
          <w:b/>
          <w:bCs/>
          <w:color w:val="4F81BD" w:themeColor="accent1"/>
          <w:sz w:val="26"/>
          <w:szCs w:val="26"/>
        </w:rPr>
        <w:t xml:space="preserve">f Substance Use Disorders: </w:t>
      </w:r>
      <w:r w:rsidRPr="009A045D">
        <w:rPr>
          <w:rFonts w:asciiTheme="majorHAnsi" w:eastAsia="Times New Roman" w:hAnsiTheme="majorHAnsi" w:cstheme="majorBidi"/>
          <w:b/>
          <w:bCs/>
          <w:color w:val="4F81BD" w:themeColor="accent1"/>
          <w:sz w:val="26"/>
          <w:szCs w:val="26"/>
        </w:rPr>
        <w:t xml:space="preserve">Oral </w:t>
      </w:r>
      <w:r>
        <w:rPr>
          <w:rFonts w:asciiTheme="majorHAnsi" w:eastAsia="Times New Roman" w:hAnsiTheme="majorHAnsi" w:cstheme="majorBidi"/>
          <w:b/>
          <w:bCs/>
          <w:color w:val="4F81BD" w:themeColor="accent1"/>
          <w:sz w:val="26"/>
          <w:szCs w:val="26"/>
        </w:rPr>
        <w:t>N</w:t>
      </w:r>
      <w:r w:rsidRPr="009A045D">
        <w:rPr>
          <w:rFonts w:asciiTheme="majorHAnsi" w:eastAsia="Times New Roman" w:hAnsiTheme="majorHAnsi" w:cstheme="majorBidi"/>
          <w:b/>
          <w:bCs/>
          <w:color w:val="4F81BD" w:themeColor="accent1"/>
          <w:sz w:val="26"/>
          <w:szCs w:val="26"/>
        </w:rPr>
        <w:t>altrexone</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for Opioid</w:t>
      </w:r>
      <w:r w:rsidRPr="00B1298F">
        <w:rPr>
          <w:rFonts w:asciiTheme="majorHAnsi" w:eastAsia="Times New Roman" w:hAnsiTheme="majorHAnsi" w:cstheme="majorBidi"/>
          <w:b/>
          <w:bCs/>
          <w:color w:val="4F81BD" w:themeColor="accent1"/>
          <w:sz w:val="26"/>
          <w:szCs w:val="26"/>
        </w:rPr>
        <w:t xml:space="preserve"> Use Disorder </w:t>
      </w:r>
      <w:r w:rsidRPr="00DB4E2F">
        <w:rPr>
          <w:rFonts w:asciiTheme="majorHAnsi" w:eastAsia="Times New Roman" w:hAnsiTheme="majorHAnsi" w:cstheme="majorBidi"/>
          <w:b/>
          <w:bCs/>
          <w:color w:val="4F81BD" w:themeColor="accent1"/>
          <w:sz w:val="26"/>
          <w:szCs w:val="26"/>
        </w:rPr>
        <w:t>(</w:t>
      </w:r>
      <w:r>
        <w:rPr>
          <w:rFonts w:asciiTheme="majorHAnsi" w:eastAsia="Times New Roman" w:hAnsiTheme="majorHAnsi" w:cstheme="majorBidi"/>
          <w:b/>
          <w:bCs/>
          <w:color w:val="4F81BD" w:themeColor="accent1"/>
          <w:sz w:val="26"/>
          <w:szCs w:val="26"/>
        </w:rPr>
        <w:t>Minozzi</w:t>
      </w:r>
      <w:r w:rsidRPr="00C21784">
        <w:rPr>
          <w:rFonts w:asciiTheme="majorHAnsi" w:eastAsia="Times New Roman" w:hAnsiTheme="majorHAnsi" w:cstheme="majorBidi"/>
          <w:b/>
          <w:bCs/>
          <w:color w:val="4F81BD" w:themeColor="accent1"/>
          <w:sz w:val="26"/>
          <w:szCs w:val="26"/>
        </w:rPr>
        <w:t xml:space="preserve"> et al., 2011</w:t>
      </w:r>
      <w:r w:rsidRPr="00DB4E2F">
        <w:rPr>
          <w:rFonts w:asciiTheme="majorHAnsi" w:eastAsia="Times New Roman" w:hAnsiTheme="majorHAnsi" w:cstheme="majorBidi"/>
          <w:b/>
          <w:bCs/>
          <w:color w:val="4F81BD" w:themeColor="accent1"/>
          <w:sz w:val="26"/>
          <w:szCs w:val="26"/>
        </w:rPr>
        <w:t>)</w:t>
      </w:r>
    </w:p>
    <w:tbl>
      <w:tblPr>
        <w:tblStyle w:val="TableGrid"/>
        <w:tblW w:w="0" w:type="auto"/>
        <w:tblLayout w:type="fixed"/>
        <w:tblLook w:val="04A0" w:firstRow="1" w:lastRow="0" w:firstColumn="1" w:lastColumn="0" w:noHBand="0" w:noVBand="1"/>
      </w:tblPr>
      <w:tblGrid>
        <w:gridCol w:w="2335"/>
        <w:gridCol w:w="7015"/>
      </w:tblGrid>
      <w:tr w:rsidR="0019056F" w:rsidRPr="0023556F" w14:paraId="78AA2787" w14:textId="77777777" w:rsidTr="009E73E8">
        <w:tc>
          <w:tcPr>
            <w:tcW w:w="2335" w:type="dxa"/>
          </w:tcPr>
          <w:p w14:paraId="5AB3CD77" w14:textId="77777777" w:rsidR="0019056F" w:rsidRPr="0023556F" w:rsidRDefault="0019056F" w:rsidP="009E73E8">
            <w:pPr>
              <w:ind w:left="0" w:firstLine="0"/>
              <w:rPr>
                <w:rFonts w:ascii="Calibri" w:hAnsi="Calibri"/>
                <w:b/>
              </w:rPr>
            </w:pPr>
            <w:r w:rsidRPr="0023556F">
              <w:rPr>
                <w:rFonts w:ascii="Calibri" w:hAnsi="Calibri"/>
                <w:b/>
              </w:rPr>
              <w:t>Source of Systematic Review:</w:t>
            </w:r>
          </w:p>
          <w:p w14:paraId="3EDE431E" w14:textId="77777777" w:rsidR="0019056F" w:rsidRPr="0023556F" w:rsidRDefault="0019056F" w:rsidP="009E73E8">
            <w:pPr>
              <w:pStyle w:val="ListParagraph"/>
              <w:numPr>
                <w:ilvl w:val="0"/>
                <w:numId w:val="9"/>
              </w:numPr>
              <w:spacing w:after="0" w:line="240" w:lineRule="auto"/>
              <w:rPr>
                <w:rFonts w:ascii="Calibri" w:hAnsi="Calibri"/>
                <w:b/>
              </w:rPr>
            </w:pPr>
            <w:r w:rsidRPr="0023556F">
              <w:rPr>
                <w:rFonts w:ascii="Calibri" w:hAnsi="Calibri"/>
                <w:b/>
              </w:rPr>
              <w:t>Title</w:t>
            </w:r>
          </w:p>
          <w:p w14:paraId="6FC1BD86" w14:textId="77777777" w:rsidR="0019056F" w:rsidRPr="0023556F" w:rsidRDefault="0019056F" w:rsidP="009E73E8">
            <w:pPr>
              <w:pStyle w:val="ListParagraph"/>
              <w:numPr>
                <w:ilvl w:val="0"/>
                <w:numId w:val="9"/>
              </w:numPr>
              <w:spacing w:after="0" w:line="240" w:lineRule="auto"/>
              <w:rPr>
                <w:rFonts w:ascii="Calibri" w:hAnsi="Calibri"/>
                <w:b/>
              </w:rPr>
            </w:pPr>
            <w:r w:rsidRPr="0023556F">
              <w:rPr>
                <w:rFonts w:ascii="Calibri" w:hAnsi="Calibri"/>
                <w:b/>
              </w:rPr>
              <w:t>Author</w:t>
            </w:r>
          </w:p>
          <w:p w14:paraId="76909F88" w14:textId="77777777" w:rsidR="0019056F" w:rsidRPr="0023556F" w:rsidRDefault="0019056F" w:rsidP="009E73E8">
            <w:pPr>
              <w:pStyle w:val="ListParagraph"/>
              <w:numPr>
                <w:ilvl w:val="0"/>
                <w:numId w:val="9"/>
              </w:numPr>
              <w:spacing w:after="0" w:line="240" w:lineRule="auto"/>
              <w:rPr>
                <w:rFonts w:ascii="Calibri" w:hAnsi="Calibri"/>
                <w:b/>
              </w:rPr>
            </w:pPr>
            <w:r w:rsidRPr="0023556F">
              <w:rPr>
                <w:rFonts w:ascii="Calibri" w:hAnsi="Calibri"/>
                <w:b/>
              </w:rPr>
              <w:t>Date</w:t>
            </w:r>
          </w:p>
          <w:p w14:paraId="25452D4D" w14:textId="77777777" w:rsidR="0019056F" w:rsidRPr="0023556F" w:rsidRDefault="0019056F" w:rsidP="009E73E8">
            <w:pPr>
              <w:pStyle w:val="ListParagraph"/>
              <w:numPr>
                <w:ilvl w:val="0"/>
                <w:numId w:val="9"/>
              </w:numPr>
              <w:spacing w:after="0" w:line="240" w:lineRule="auto"/>
              <w:rPr>
                <w:rFonts w:ascii="Calibri" w:hAnsi="Calibri"/>
                <w:b/>
              </w:rPr>
            </w:pPr>
            <w:r w:rsidRPr="0023556F">
              <w:rPr>
                <w:rFonts w:ascii="Calibri" w:hAnsi="Calibri"/>
                <w:b/>
              </w:rPr>
              <w:t>Citation, including page number</w:t>
            </w:r>
          </w:p>
          <w:p w14:paraId="69E7B76A" w14:textId="77777777" w:rsidR="0019056F" w:rsidRPr="0023556F" w:rsidRDefault="0019056F" w:rsidP="009E73E8">
            <w:pPr>
              <w:pStyle w:val="ListParagraph"/>
              <w:numPr>
                <w:ilvl w:val="0"/>
                <w:numId w:val="9"/>
              </w:numPr>
              <w:spacing w:after="0" w:line="240" w:lineRule="auto"/>
              <w:rPr>
                <w:rFonts w:ascii="Calibri" w:hAnsi="Calibri"/>
                <w:b/>
              </w:rPr>
            </w:pPr>
            <w:r w:rsidRPr="0023556F">
              <w:rPr>
                <w:rFonts w:ascii="Calibri" w:hAnsi="Calibri"/>
                <w:b/>
              </w:rPr>
              <w:t>URL</w:t>
            </w:r>
          </w:p>
        </w:tc>
        <w:tc>
          <w:tcPr>
            <w:tcW w:w="7015" w:type="dxa"/>
          </w:tcPr>
          <w:p w14:paraId="7974528B" w14:textId="77777777" w:rsidR="0019056F" w:rsidRPr="0023556F" w:rsidRDefault="0019056F" w:rsidP="009E73E8">
            <w:pPr>
              <w:ind w:left="0" w:firstLine="0"/>
              <w:rPr>
                <w:rFonts w:ascii="Calibri" w:hAnsi="Calibri"/>
              </w:rPr>
            </w:pPr>
            <w:r w:rsidRPr="0023556F">
              <w:rPr>
                <w:rFonts w:ascii="Calibri" w:hAnsi="Calibri"/>
              </w:rPr>
              <w:t>Systematic review:</w:t>
            </w:r>
          </w:p>
          <w:p w14:paraId="7E8F940E" w14:textId="77777777" w:rsidR="0019056F" w:rsidRPr="0023556F" w:rsidRDefault="0019056F" w:rsidP="009E73E8">
            <w:pPr>
              <w:ind w:left="0" w:firstLine="0"/>
              <w:rPr>
                <w:rFonts w:ascii="Calibri" w:hAnsi="Calibri"/>
              </w:rPr>
            </w:pPr>
            <w:r w:rsidRPr="0023556F">
              <w:rPr>
                <w:rFonts w:ascii="Calibri" w:hAnsi="Calibri"/>
              </w:rPr>
              <w:t xml:space="preserve">Minozzi S, Amato L, Vecchi S, Davoli M, Kirchmayer U, Verster A. Oral naltrexone maintenance treatment for opioid dependence. Cochrane Database Syst Rev. 2011(4):Cd001333. </w:t>
            </w:r>
          </w:p>
          <w:p w14:paraId="652FDD23" w14:textId="77777777" w:rsidR="0019056F" w:rsidRPr="0023556F" w:rsidRDefault="0019056F" w:rsidP="009E73E8">
            <w:pPr>
              <w:ind w:left="0" w:firstLine="0"/>
              <w:rPr>
                <w:rFonts w:ascii="Calibri" w:hAnsi="Calibri"/>
              </w:rPr>
            </w:pPr>
          </w:p>
          <w:p w14:paraId="784371E3" w14:textId="77777777" w:rsidR="0019056F" w:rsidRDefault="0019056F" w:rsidP="009E73E8">
            <w:pPr>
              <w:ind w:left="0" w:firstLine="0"/>
              <w:rPr>
                <w:rFonts w:ascii="Calibri" w:hAnsi="Calibri"/>
              </w:rPr>
            </w:pPr>
            <w:r w:rsidRPr="0023556F">
              <w:rPr>
                <w:rFonts w:ascii="Calibri" w:hAnsi="Calibri"/>
              </w:rPr>
              <w:t xml:space="preserve">Cited </w:t>
            </w:r>
            <w:r>
              <w:rPr>
                <w:rFonts w:ascii="Calibri" w:hAnsi="Calibri"/>
              </w:rPr>
              <w:t xml:space="preserve">in support of Recommendation 12 (see below) </w:t>
            </w:r>
            <w:r w:rsidRPr="0023556F">
              <w:rPr>
                <w:rFonts w:ascii="Calibri" w:hAnsi="Calibri"/>
              </w:rPr>
              <w:t xml:space="preserve">by: </w:t>
            </w:r>
          </w:p>
          <w:p w14:paraId="4E74FA10" w14:textId="77777777" w:rsidR="0019056F" w:rsidRPr="0023556F" w:rsidRDefault="0019056F" w:rsidP="009E73E8">
            <w:pPr>
              <w:ind w:left="0" w:firstLine="0"/>
              <w:rPr>
                <w:rFonts w:ascii="Calibri" w:hAnsi="Calibri"/>
              </w:rPr>
            </w:pPr>
            <w:r w:rsidRPr="0023556F">
              <w:rPr>
                <w:rFonts w:ascii="Calibri" w:hAnsi="Calibri"/>
              </w:rPr>
              <w:t>Department of Veteran Affairs, Department of Defense (VA/D</w:t>
            </w:r>
            <w:r>
              <w:rPr>
                <w:rFonts w:ascii="Calibri" w:hAnsi="Calibri"/>
              </w:rPr>
              <w:t>o</w:t>
            </w:r>
            <w:r w:rsidRPr="0023556F">
              <w:rPr>
                <w:rFonts w:ascii="Calibri" w:hAnsi="Calibri"/>
              </w:rPr>
              <w:t>D). (2015). VA/DoD clinical practice guideline for the management of substance use disorders. Version 3.0. Washington (DC): Department of Veteran Affairs, Department of Defense; 2015 December. Available at http://www.healthquality.va.gov/guidelines/MH/sud/VADoDSUDCPGRevised22216.pdf</w:t>
            </w:r>
          </w:p>
        </w:tc>
      </w:tr>
      <w:tr w:rsidR="0019056F" w:rsidRPr="0023556F" w14:paraId="7983E1B1" w14:textId="77777777" w:rsidTr="009E73E8">
        <w:tc>
          <w:tcPr>
            <w:tcW w:w="2335" w:type="dxa"/>
          </w:tcPr>
          <w:p w14:paraId="32BB5F94" w14:textId="77777777" w:rsidR="0019056F" w:rsidRPr="0023556F" w:rsidRDefault="0019056F" w:rsidP="009E73E8">
            <w:pPr>
              <w:ind w:left="0" w:firstLine="0"/>
              <w:rPr>
                <w:rFonts w:ascii="Calibri" w:hAnsi="Calibri"/>
              </w:rPr>
            </w:pPr>
            <w:r w:rsidRPr="0023556F">
              <w:rPr>
                <w:rFonts w:ascii="Calibri" w:hAnsi="Calibri"/>
              </w:rPr>
              <w:t>Quote the guideline or recommendation verbatim about the process, structure or intermediate outcome being measured. If not a guideline, summarize the conclusions from the SR.</w:t>
            </w:r>
          </w:p>
        </w:tc>
        <w:tc>
          <w:tcPr>
            <w:tcW w:w="7015" w:type="dxa"/>
          </w:tcPr>
          <w:p w14:paraId="594E7C38" w14:textId="77777777" w:rsidR="0019056F" w:rsidRPr="0023556F" w:rsidRDefault="0019056F" w:rsidP="009E73E8">
            <w:pPr>
              <w:autoSpaceDE w:val="0"/>
              <w:autoSpaceDN w:val="0"/>
              <w:adjustRightInd w:val="0"/>
              <w:ind w:left="0" w:firstLine="0"/>
              <w:rPr>
                <w:rFonts w:ascii="Calibri" w:hAnsi="Calibri" w:cs="Calibri"/>
                <w:b/>
              </w:rPr>
            </w:pPr>
            <w:r w:rsidRPr="0023556F">
              <w:rPr>
                <w:rFonts w:ascii="Calibri" w:hAnsi="Calibri" w:cs="Calibri"/>
                <w:b/>
              </w:rPr>
              <w:t>Recommendation 12 (page 38)</w:t>
            </w:r>
            <w:r>
              <w:rPr>
                <w:rFonts w:ascii="Calibri" w:hAnsi="Calibri" w:cs="Calibri"/>
                <w:b/>
              </w:rPr>
              <w:t xml:space="preserve"> </w:t>
            </w:r>
            <w:r>
              <w:rPr>
                <w:b/>
              </w:rPr>
              <w:t>from 2015 VA/DoD Guideline</w:t>
            </w:r>
          </w:p>
          <w:p w14:paraId="330046D0" w14:textId="77777777" w:rsidR="0019056F" w:rsidRPr="0023556F" w:rsidRDefault="0019056F" w:rsidP="009E73E8">
            <w:pPr>
              <w:autoSpaceDE w:val="0"/>
              <w:autoSpaceDN w:val="0"/>
              <w:adjustRightInd w:val="0"/>
              <w:ind w:left="0" w:firstLine="0"/>
              <w:rPr>
                <w:rFonts w:ascii="Calibri" w:hAnsi="Calibri" w:cs="Calibri"/>
              </w:rPr>
            </w:pPr>
            <w:r w:rsidRPr="0023556F">
              <w:rPr>
                <w:rFonts w:ascii="Calibri" w:hAnsi="Calibri" w:cs="Calibri"/>
              </w:rPr>
              <w:t>12. There is insufficient evidence to recommend for or against oral naltrexone for treatment of opioid use disorder.</w:t>
            </w:r>
          </w:p>
          <w:p w14:paraId="2CA96491" w14:textId="77777777" w:rsidR="0019056F" w:rsidRPr="0023556F" w:rsidRDefault="0019056F" w:rsidP="009E73E8">
            <w:pPr>
              <w:spacing w:after="200" w:line="276" w:lineRule="auto"/>
              <w:ind w:left="0" w:firstLine="0"/>
              <w:rPr>
                <w:rFonts w:ascii="Calibri" w:hAnsi="Calibri"/>
                <w:b/>
                <w:bCs/>
              </w:rPr>
            </w:pPr>
            <w:r w:rsidRPr="0023556F">
              <w:rPr>
                <w:rFonts w:ascii="Calibri" w:hAnsi="Calibri"/>
                <w:b/>
                <w:bCs/>
              </w:rPr>
              <w:t>(N/A | Reviewed, New-replaced)</w:t>
            </w:r>
          </w:p>
        </w:tc>
      </w:tr>
      <w:tr w:rsidR="0019056F" w:rsidRPr="0023556F" w14:paraId="6C164398" w14:textId="77777777" w:rsidTr="009E73E8">
        <w:tc>
          <w:tcPr>
            <w:tcW w:w="2335" w:type="dxa"/>
          </w:tcPr>
          <w:p w14:paraId="53764D65" w14:textId="77777777" w:rsidR="0019056F" w:rsidRPr="0023556F" w:rsidRDefault="0019056F" w:rsidP="009E73E8">
            <w:pPr>
              <w:ind w:left="0" w:firstLine="0"/>
              <w:rPr>
                <w:rFonts w:ascii="Calibri" w:hAnsi="Calibri"/>
              </w:rPr>
            </w:pPr>
            <w:r w:rsidRPr="0023556F">
              <w:rPr>
                <w:rFonts w:ascii="Calibri" w:hAnsi="Calibri"/>
              </w:rPr>
              <w:t xml:space="preserve">Grade assigned to the </w:t>
            </w:r>
            <w:r w:rsidRPr="0023556F">
              <w:rPr>
                <w:rFonts w:ascii="Calibri" w:hAnsi="Calibri"/>
                <w:b/>
              </w:rPr>
              <w:t>evidence</w:t>
            </w:r>
            <w:r w:rsidRPr="0023556F">
              <w:rPr>
                <w:rFonts w:ascii="Calibri" w:hAnsi="Calibri"/>
              </w:rPr>
              <w:t xml:space="preserve"> associated with the recommendation with the definition of the grade</w:t>
            </w:r>
          </w:p>
        </w:tc>
        <w:tc>
          <w:tcPr>
            <w:tcW w:w="7015" w:type="dxa"/>
          </w:tcPr>
          <w:p w14:paraId="7C83EC89" w14:textId="77777777" w:rsidR="0019056F" w:rsidRPr="0023556F" w:rsidRDefault="0019056F" w:rsidP="009E73E8">
            <w:pPr>
              <w:ind w:left="0" w:firstLine="0"/>
              <w:rPr>
                <w:rFonts w:ascii="Calibri" w:hAnsi="Calibri"/>
              </w:rPr>
            </w:pPr>
            <w:r w:rsidRPr="0023556F">
              <w:rPr>
                <w:rFonts w:ascii="Calibri" w:hAnsi="Calibri"/>
              </w:rPr>
              <w:t>The systematic review did not grade the evidence</w:t>
            </w:r>
          </w:p>
        </w:tc>
      </w:tr>
      <w:tr w:rsidR="0019056F" w:rsidRPr="0023556F" w14:paraId="56043A1A" w14:textId="77777777" w:rsidTr="009E73E8">
        <w:tc>
          <w:tcPr>
            <w:tcW w:w="2335" w:type="dxa"/>
          </w:tcPr>
          <w:p w14:paraId="2D2C19ED" w14:textId="77777777" w:rsidR="0019056F" w:rsidRPr="0023556F" w:rsidRDefault="0019056F" w:rsidP="009E73E8">
            <w:pPr>
              <w:ind w:left="0" w:firstLine="0"/>
              <w:rPr>
                <w:rFonts w:ascii="Calibri" w:hAnsi="Calibri"/>
              </w:rPr>
            </w:pPr>
            <w:r w:rsidRPr="0023556F">
              <w:rPr>
                <w:rFonts w:ascii="Calibri" w:hAnsi="Calibri"/>
              </w:rPr>
              <w:t>Provide all other grades and definitions from the evidence grading system</w:t>
            </w:r>
          </w:p>
        </w:tc>
        <w:tc>
          <w:tcPr>
            <w:tcW w:w="7015" w:type="dxa"/>
          </w:tcPr>
          <w:p w14:paraId="0FEB6EBE" w14:textId="77777777" w:rsidR="0019056F" w:rsidRPr="0023556F" w:rsidRDefault="0019056F" w:rsidP="009E73E8">
            <w:pPr>
              <w:ind w:left="0" w:firstLine="0"/>
              <w:rPr>
                <w:rFonts w:ascii="Calibri" w:hAnsi="Calibri"/>
              </w:rPr>
            </w:pPr>
            <w:r w:rsidRPr="0023556F">
              <w:rPr>
                <w:rFonts w:ascii="Calibri" w:hAnsi="Calibri"/>
              </w:rPr>
              <w:t>The systematic review did not grade the evidence</w:t>
            </w:r>
          </w:p>
        </w:tc>
      </w:tr>
      <w:tr w:rsidR="0019056F" w:rsidRPr="0023556F" w14:paraId="3D9C97F9" w14:textId="77777777" w:rsidTr="009E73E8">
        <w:tc>
          <w:tcPr>
            <w:tcW w:w="2335" w:type="dxa"/>
          </w:tcPr>
          <w:p w14:paraId="7B35D16E" w14:textId="77777777" w:rsidR="0019056F" w:rsidRPr="0023556F" w:rsidRDefault="0019056F" w:rsidP="009E73E8">
            <w:pPr>
              <w:ind w:left="0" w:firstLine="0"/>
              <w:rPr>
                <w:rFonts w:ascii="Calibri" w:hAnsi="Calibri"/>
              </w:rPr>
            </w:pPr>
            <w:r w:rsidRPr="0023556F">
              <w:rPr>
                <w:rFonts w:ascii="Calibri" w:hAnsi="Calibri"/>
              </w:rPr>
              <w:t xml:space="preserve">Grade assigned to the </w:t>
            </w:r>
            <w:r w:rsidRPr="0023556F">
              <w:rPr>
                <w:rFonts w:ascii="Calibri" w:hAnsi="Calibri"/>
                <w:b/>
              </w:rPr>
              <w:t>recommendation</w:t>
            </w:r>
            <w:r w:rsidRPr="0023556F">
              <w:rPr>
                <w:rFonts w:ascii="Calibri" w:hAnsi="Calibri"/>
              </w:rPr>
              <w:t xml:space="preserve"> with definition of the grade</w:t>
            </w:r>
          </w:p>
        </w:tc>
        <w:tc>
          <w:tcPr>
            <w:tcW w:w="7015" w:type="dxa"/>
          </w:tcPr>
          <w:p w14:paraId="5AB06EEE" w14:textId="77777777" w:rsidR="0019056F" w:rsidRPr="0023556F" w:rsidRDefault="0019056F" w:rsidP="009E73E8">
            <w:pPr>
              <w:ind w:left="0" w:firstLine="0"/>
              <w:rPr>
                <w:rFonts w:ascii="Calibri" w:hAnsi="Calibri"/>
              </w:rPr>
            </w:pPr>
            <w:r w:rsidRPr="0023556F">
              <w:rPr>
                <w:rFonts w:ascii="Calibri" w:hAnsi="Calibri"/>
              </w:rPr>
              <w:t>A grade was not assigned to Recommendation 12 because of insufficient evidence to recommend for or against oral naltrexone for treatment of opioid use disorder (page 38).</w:t>
            </w:r>
          </w:p>
        </w:tc>
      </w:tr>
      <w:tr w:rsidR="0019056F" w:rsidRPr="0023556F" w14:paraId="5EF7D577" w14:textId="77777777" w:rsidTr="009E73E8">
        <w:tc>
          <w:tcPr>
            <w:tcW w:w="2335" w:type="dxa"/>
          </w:tcPr>
          <w:p w14:paraId="3B7EFA6F" w14:textId="77777777" w:rsidR="0019056F" w:rsidRPr="0023556F" w:rsidRDefault="0019056F" w:rsidP="009E73E8">
            <w:pPr>
              <w:ind w:left="0" w:firstLine="0"/>
              <w:rPr>
                <w:rFonts w:ascii="Calibri" w:hAnsi="Calibri"/>
              </w:rPr>
            </w:pPr>
            <w:r w:rsidRPr="0023556F">
              <w:rPr>
                <w:rFonts w:ascii="Calibri" w:hAnsi="Calibri"/>
              </w:rPr>
              <w:t>Provide all other grades and definitions from the recommendation grading system</w:t>
            </w:r>
          </w:p>
        </w:tc>
        <w:tc>
          <w:tcPr>
            <w:tcW w:w="7015" w:type="dxa"/>
          </w:tcPr>
          <w:p w14:paraId="115A3909" w14:textId="77777777" w:rsidR="0019056F" w:rsidRPr="009C0878" w:rsidRDefault="0019056F" w:rsidP="009E73E8">
            <w:pPr>
              <w:ind w:left="0" w:firstLine="0"/>
            </w:pPr>
            <w:r w:rsidRPr="009C0878">
              <w:t xml:space="preserve">The </w:t>
            </w:r>
            <w:r>
              <w:t>[DoD/VA]</w:t>
            </w:r>
            <w:r w:rsidRPr="009C0878">
              <w:t xml:space="preserve"> Work Group used the Grading of Recommendations Assessment, Development and Evaluation (GRADE) system to assess the quality of the evidence base and assign a grade for the strength for each recommendation. The GRADE system uses the following four domains to assess the strength of each recommendation:</w:t>
            </w:r>
          </w:p>
          <w:p w14:paraId="4D4AD766" w14:textId="77777777" w:rsidR="0019056F" w:rsidRPr="009C0878" w:rsidRDefault="0019056F" w:rsidP="0019056F">
            <w:pPr>
              <w:numPr>
                <w:ilvl w:val="0"/>
                <w:numId w:val="17"/>
              </w:numPr>
              <w:spacing w:after="200" w:line="276" w:lineRule="auto"/>
              <w:contextualSpacing/>
              <w:rPr>
                <w:rFonts w:eastAsiaTheme="minorEastAsia"/>
              </w:rPr>
            </w:pPr>
            <w:r w:rsidRPr="009C0878">
              <w:rPr>
                <w:rFonts w:eastAsiaTheme="minorEastAsia"/>
              </w:rPr>
              <w:t>Balance of desirable and undesirable outcomes</w:t>
            </w:r>
          </w:p>
          <w:p w14:paraId="4B3648AF" w14:textId="77777777" w:rsidR="0019056F" w:rsidRPr="009C0878" w:rsidRDefault="0019056F" w:rsidP="0019056F">
            <w:pPr>
              <w:numPr>
                <w:ilvl w:val="0"/>
                <w:numId w:val="17"/>
              </w:numPr>
              <w:spacing w:after="200" w:line="276" w:lineRule="auto"/>
              <w:contextualSpacing/>
              <w:rPr>
                <w:rFonts w:eastAsiaTheme="minorEastAsia"/>
              </w:rPr>
            </w:pPr>
            <w:r w:rsidRPr="009C0878">
              <w:rPr>
                <w:rFonts w:eastAsiaTheme="minorEastAsia"/>
              </w:rPr>
              <w:t>Confidence in the quality of the evidence</w:t>
            </w:r>
          </w:p>
          <w:p w14:paraId="7C8F393D" w14:textId="77777777" w:rsidR="0019056F" w:rsidRPr="009C0878" w:rsidRDefault="0019056F" w:rsidP="0019056F">
            <w:pPr>
              <w:numPr>
                <w:ilvl w:val="0"/>
                <w:numId w:val="17"/>
              </w:numPr>
              <w:spacing w:after="200" w:line="276" w:lineRule="auto"/>
              <w:contextualSpacing/>
              <w:rPr>
                <w:rFonts w:eastAsiaTheme="minorEastAsia"/>
              </w:rPr>
            </w:pPr>
            <w:r w:rsidRPr="009C0878">
              <w:rPr>
                <w:rFonts w:eastAsiaTheme="minorEastAsia"/>
              </w:rPr>
              <w:t>Patient or provider values and preferences</w:t>
            </w:r>
          </w:p>
          <w:p w14:paraId="1D93C6EF" w14:textId="77777777" w:rsidR="0019056F" w:rsidRPr="009C0878" w:rsidRDefault="0019056F" w:rsidP="0019056F">
            <w:pPr>
              <w:numPr>
                <w:ilvl w:val="0"/>
                <w:numId w:val="16"/>
              </w:numPr>
              <w:spacing w:after="200" w:line="276" w:lineRule="auto"/>
              <w:ind w:left="720"/>
              <w:contextualSpacing/>
              <w:rPr>
                <w:rFonts w:eastAsiaTheme="minorEastAsia"/>
              </w:rPr>
            </w:pPr>
            <w:r w:rsidRPr="009C0878">
              <w:rPr>
                <w:rFonts w:eastAsiaTheme="minorEastAsia"/>
              </w:rPr>
              <w:t>Other implications, as appropriate, e.g., Resource use, Equity, Acceptability, Feasibility, and Subgroup considerations.</w:t>
            </w:r>
          </w:p>
          <w:p w14:paraId="49437659" w14:textId="77777777" w:rsidR="0019056F" w:rsidRPr="009C0878" w:rsidRDefault="0019056F" w:rsidP="009E73E8">
            <w:pPr>
              <w:ind w:left="0" w:firstLine="0"/>
            </w:pPr>
            <w:r w:rsidRPr="009C0878">
              <w:t xml:space="preserve">Using this system, the </w:t>
            </w:r>
            <w:r>
              <w:t>[DoD/VA]</w:t>
            </w:r>
            <w:r w:rsidRPr="009C0878">
              <w:t xml:space="preserve"> Work Group determined the relative strength of each recommendation (Strong or Weak). A strong recommendation indicates that the Work Group is highly confident that desirable outcomes outweigh undesirable outcomes. If the Work Group is less confident of the balance between desirable and undesirable outcomes, they give a weak recommendation.</w:t>
            </w:r>
          </w:p>
          <w:p w14:paraId="3C1FFEA9" w14:textId="77777777" w:rsidR="0019056F" w:rsidRPr="009C0878" w:rsidRDefault="0019056F" w:rsidP="009E73E8">
            <w:pPr>
              <w:ind w:left="0" w:firstLine="0"/>
            </w:pPr>
          </w:p>
          <w:p w14:paraId="32797A6E" w14:textId="77777777" w:rsidR="0019056F" w:rsidRPr="009C0878" w:rsidRDefault="0019056F" w:rsidP="009E73E8">
            <w:pPr>
              <w:ind w:left="0" w:firstLine="0"/>
            </w:pPr>
            <w:r w:rsidRPr="009C0878">
              <w:t>They also determined the direction of each recommendation (For or Against). Similarly, a recommendation for a therapy or preventive measure indicates that the desirable consequences outweigh the undesirable consequences. A recommendation against a therapy or preventive measure indicates that the undesirable consequences outweigh the desirable consequences.</w:t>
            </w:r>
          </w:p>
          <w:p w14:paraId="795A8A0D" w14:textId="77777777" w:rsidR="0019056F" w:rsidRPr="009C0878" w:rsidRDefault="0019056F" w:rsidP="009E73E8">
            <w:pPr>
              <w:ind w:left="0" w:firstLine="0"/>
            </w:pPr>
          </w:p>
          <w:p w14:paraId="216F087D" w14:textId="77777777" w:rsidR="0019056F" w:rsidRPr="009C0878" w:rsidRDefault="0019056F" w:rsidP="009E73E8">
            <w:pPr>
              <w:ind w:left="0" w:firstLine="0"/>
            </w:pPr>
            <w:r w:rsidRPr="009C0878">
              <w:t>Using these elements, the grade of each recommendation is presented as part of a continuum:</w:t>
            </w:r>
          </w:p>
          <w:p w14:paraId="3BA56F50" w14:textId="77777777" w:rsidR="0019056F" w:rsidRPr="009C0878" w:rsidRDefault="0019056F" w:rsidP="009E73E8">
            <w:pPr>
              <w:ind w:left="0" w:firstLine="0"/>
            </w:pPr>
            <w:r w:rsidRPr="009C0878">
              <w:t>•Strong For (or “We recommend offering this option …”)</w:t>
            </w:r>
          </w:p>
          <w:p w14:paraId="54AC29FA" w14:textId="77777777" w:rsidR="0019056F" w:rsidRPr="009C0878" w:rsidRDefault="0019056F" w:rsidP="009E73E8">
            <w:pPr>
              <w:ind w:left="0" w:firstLine="0"/>
            </w:pPr>
            <w:r w:rsidRPr="009C0878">
              <w:t>•Weak For (or “We suggest offering this option …”)</w:t>
            </w:r>
          </w:p>
          <w:p w14:paraId="6BD33475" w14:textId="77777777" w:rsidR="0019056F" w:rsidRPr="009C0878" w:rsidRDefault="0019056F" w:rsidP="009E73E8">
            <w:pPr>
              <w:ind w:left="0" w:firstLine="0"/>
            </w:pPr>
            <w:r w:rsidRPr="009C0878">
              <w:t>•Weak Against (or “We suggest not offering this option …”)</w:t>
            </w:r>
          </w:p>
          <w:p w14:paraId="20906823" w14:textId="77777777" w:rsidR="0019056F" w:rsidRPr="0023556F" w:rsidRDefault="0019056F" w:rsidP="009E73E8">
            <w:pPr>
              <w:ind w:left="0" w:firstLine="0"/>
              <w:rPr>
                <w:rFonts w:ascii="Calibri" w:hAnsi="Calibri"/>
              </w:rPr>
            </w:pPr>
            <w:r w:rsidRPr="009C0878">
              <w:t>•Strong Against (or “We recommend against offering this option …”)</w:t>
            </w:r>
          </w:p>
        </w:tc>
      </w:tr>
      <w:tr w:rsidR="0019056F" w:rsidRPr="0023556F" w14:paraId="6607CB38" w14:textId="77777777" w:rsidTr="009E73E8">
        <w:tc>
          <w:tcPr>
            <w:tcW w:w="2335" w:type="dxa"/>
          </w:tcPr>
          <w:p w14:paraId="64C50C65" w14:textId="77777777" w:rsidR="0019056F" w:rsidRPr="0023556F" w:rsidRDefault="0019056F" w:rsidP="009E73E8">
            <w:pPr>
              <w:ind w:left="0" w:firstLine="0"/>
              <w:rPr>
                <w:rFonts w:ascii="Calibri" w:hAnsi="Calibri"/>
              </w:rPr>
            </w:pPr>
            <w:r w:rsidRPr="0023556F">
              <w:rPr>
                <w:rFonts w:ascii="Calibri" w:hAnsi="Calibri"/>
              </w:rPr>
              <w:t>Body of evidence:</w:t>
            </w:r>
          </w:p>
          <w:p w14:paraId="76797A8B" w14:textId="77777777" w:rsidR="0019056F" w:rsidRPr="0023556F" w:rsidRDefault="0019056F" w:rsidP="009E73E8">
            <w:pPr>
              <w:pStyle w:val="ListParagraph"/>
              <w:numPr>
                <w:ilvl w:val="0"/>
                <w:numId w:val="10"/>
              </w:numPr>
              <w:rPr>
                <w:rFonts w:ascii="Calibri" w:hAnsi="Calibri"/>
              </w:rPr>
            </w:pPr>
            <w:r w:rsidRPr="0023556F">
              <w:rPr>
                <w:rFonts w:ascii="Calibri" w:hAnsi="Calibri"/>
              </w:rPr>
              <w:t>Quantity – how many studies?</w:t>
            </w:r>
          </w:p>
          <w:p w14:paraId="2D5F305E" w14:textId="77777777" w:rsidR="0019056F" w:rsidRPr="0023556F" w:rsidRDefault="0019056F" w:rsidP="009E73E8">
            <w:pPr>
              <w:pStyle w:val="ListParagraph"/>
              <w:numPr>
                <w:ilvl w:val="0"/>
                <w:numId w:val="10"/>
              </w:numPr>
              <w:rPr>
                <w:rFonts w:ascii="Calibri" w:hAnsi="Calibri"/>
              </w:rPr>
            </w:pPr>
            <w:r w:rsidRPr="0023556F">
              <w:rPr>
                <w:rFonts w:ascii="Calibri" w:hAnsi="Calibri"/>
              </w:rPr>
              <w:t>Quality – what type of studies?</w:t>
            </w:r>
          </w:p>
        </w:tc>
        <w:tc>
          <w:tcPr>
            <w:tcW w:w="7015" w:type="dxa"/>
          </w:tcPr>
          <w:p w14:paraId="37CF4204" w14:textId="77777777" w:rsidR="0019056F" w:rsidRDefault="0019056F" w:rsidP="009E73E8">
            <w:pPr>
              <w:ind w:left="0" w:firstLine="0"/>
              <w:rPr>
                <w:rFonts w:ascii="Calibri" w:hAnsi="Calibri"/>
              </w:rPr>
            </w:pPr>
            <w:r>
              <w:rPr>
                <w:rFonts w:ascii="Calibri" w:hAnsi="Calibri"/>
              </w:rPr>
              <w:t>Quantity of studies: Systematic review of 13 studies with 1158 patients.</w:t>
            </w:r>
          </w:p>
          <w:p w14:paraId="25247250" w14:textId="77777777" w:rsidR="0019056F" w:rsidRDefault="0019056F" w:rsidP="009E73E8">
            <w:pPr>
              <w:ind w:left="0" w:firstLine="0"/>
              <w:rPr>
                <w:rFonts w:ascii="Calibri" w:hAnsi="Calibri"/>
              </w:rPr>
            </w:pPr>
          </w:p>
          <w:p w14:paraId="02423F42" w14:textId="77777777" w:rsidR="0019056F" w:rsidRDefault="0019056F" w:rsidP="009E73E8">
            <w:pPr>
              <w:ind w:left="0" w:firstLine="0"/>
              <w:rPr>
                <w:rFonts w:ascii="Calibri" w:hAnsi="Calibri"/>
              </w:rPr>
            </w:pPr>
            <w:r>
              <w:rPr>
                <w:rFonts w:ascii="Calibri" w:hAnsi="Calibri"/>
              </w:rPr>
              <w:t xml:space="preserve">Quality of studies: </w:t>
            </w:r>
          </w:p>
          <w:p w14:paraId="4281726F" w14:textId="77777777" w:rsidR="0019056F" w:rsidRDefault="0019056F" w:rsidP="009E73E8">
            <w:pPr>
              <w:ind w:left="0" w:firstLine="0"/>
              <w:rPr>
                <w:rFonts w:ascii="Calibri" w:hAnsi="Calibri"/>
              </w:rPr>
            </w:pPr>
            <w:r>
              <w:rPr>
                <w:rFonts w:ascii="Calibri" w:hAnsi="Calibri"/>
              </w:rPr>
              <w:t>“</w:t>
            </w:r>
            <w:r w:rsidRPr="0023556F">
              <w:rPr>
                <w:rFonts w:ascii="Calibri" w:hAnsi="Calibri"/>
              </w:rPr>
              <w:t xml:space="preserve">The majority of the studies </w:t>
            </w:r>
            <w:r>
              <w:rPr>
                <w:rFonts w:ascii="Calibri" w:hAnsi="Calibri"/>
              </w:rPr>
              <w:t>[were</w:t>
            </w:r>
            <w:r w:rsidRPr="0023556F">
              <w:rPr>
                <w:rFonts w:ascii="Calibri" w:hAnsi="Calibri"/>
              </w:rPr>
              <w:t>] not of high quality. Only two studies reported information about sequence generation and only three about allocation concealment. Eight out of thirteen studies were double blind, the other were open trial. Nevertheless we think that this did not introduce bias in the main outcomes addressed in this review, because the retention in treatment is an objective measure and abstinence is assessed by urine analysis in all trials. Incomplete outcome data was addressed correctly in the majority of the studies and in any case it does not introduce bias for the outcome retention and retention and abstinence which are the main outcomes on which the review is focused.</w:t>
            </w:r>
            <w:r>
              <w:rPr>
                <w:rFonts w:ascii="Calibri" w:hAnsi="Calibri"/>
              </w:rPr>
              <w:t>”</w:t>
            </w:r>
            <w:r w:rsidRPr="0023556F">
              <w:rPr>
                <w:rFonts w:ascii="Calibri" w:hAnsi="Calibri"/>
              </w:rPr>
              <w:t xml:space="preserve"> </w:t>
            </w:r>
          </w:p>
          <w:p w14:paraId="7B0FF3A6" w14:textId="77777777" w:rsidR="0019056F" w:rsidRDefault="0019056F" w:rsidP="009E73E8">
            <w:pPr>
              <w:ind w:left="0" w:firstLine="0"/>
              <w:rPr>
                <w:rFonts w:ascii="Calibri" w:hAnsi="Calibri"/>
              </w:rPr>
            </w:pPr>
            <w:r>
              <w:rPr>
                <w:rFonts w:ascii="Calibri" w:hAnsi="Calibri"/>
              </w:rPr>
              <w:t>“</w:t>
            </w:r>
            <w:r w:rsidRPr="005D0D41">
              <w:rPr>
                <w:rFonts w:ascii="Calibri" w:hAnsi="Calibri"/>
              </w:rPr>
              <w:t>Moreover it should be noted that most of the comparisons were</w:t>
            </w:r>
            <w:r>
              <w:rPr>
                <w:rFonts w:ascii="Calibri" w:hAnsi="Calibri"/>
              </w:rPr>
              <w:t xml:space="preserve"> </w:t>
            </w:r>
            <w:r w:rsidRPr="005D0D41">
              <w:rPr>
                <w:rFonts w:ascii="Calibri" w:hAnsi="Calibri"/>
              </w:rPr>
              <w:t>underpowered, with few studies and participants included in the</w:t>
            </w:r>
            <w:r>
              <w:rPr>
                <w:rFonts w:ascii="Calibri" w:hAnsi="Calibri"/>
              </w:rPr>
              <w:t xml:space="preserve"> </w:t>
            </w:r>
            <w:r w:rsidRPr="005D0D41">
              <w:rPr>
                <w:rFonts w:ascii="Calibri" w:hAnsi="Calibri"/>
              </w:rPr>
              <w:t xml:space="preserve">analyses, </w:t>
            </w:r>
            <w:r>
              <w:rPr>
                <w:rFonts w:ascii="Calibri" w:hAnsi="Calibri"/>
              </w:rPr>
              <w:t>…</w:t>
            </w:r>
            <w:r w:rsidRPr="005D0D41">
              <w:rPr>
                <w:rFonts w:ascii="Calibri" w:hAnsi="Calibri"/>
              </w:rPr>
              <w:t>limit</w:t>
            </w:r>
            <w:r>
              <w:rPr>
                <w:rFonts w:ascii="Calibri" w:hAnsi="Calibri"/>
              </w:rPr>
              <w:t>[ing]</w:t>
            </w:r>
            <w:r w:rsidRPr="005D0D41">
              <w:rPr>
                <w:rFonts w:ascii="Calibri" w:hAnsi="Calibri"/>
              </w:rPr>
              <w:t xml:space="preserve"> the streng</w:t>
            </w:r>
            <w:r>
              <w:rPr>
                <w:rFonts w:ascii="Calibri" w:hAnsi="Calibri"/>
              </w:rPr>
              <w:t>t</w:t>
            </w:r>
            <w:r w:rsidRPr="005D0D41">
              <w:rPr>
                <w:rFonts w:ascii="Calibri" w:hAnsi="Calibri"/>
              </w:rPr>
              <w:t>h of the evidence as well as the</w:t>
            </w:r>
            <w:r>
              <w:rPr>
                <w:rFonts w:ascii="Calibri" w:hAnsi="Calibri"/>
              </w:rPr>
              <w:t xml:space="preserve"> </w:t>
            </w:r>
            <w:r w:rsidRPr="005D0D41">
              <w:rPr>
                <w:rFonts w:ascii="Calibri" w:hAnsi="Calibri"/>
              </w:rPr>
              <w:t>completeness and the applicability.</w:t>
            </w:r>
            <w:r>
              <w:rPr>
                <w:rFonts w:ascii="Calibri" w:hAnsi="Calibri"/>
              </w:rPr>
              <w:t>”</w:t>
            </w:r>
          </w:p>
          <w:p w14:paraId="2E032AA8" w14:textId="77777777" w:rsidR="0019056F" w:rsidRPr="005D0D41" w:rsidRDefault="0019056F" w:rsidP="009E73E8">
            <w:pPr>
              <w:ind w:left="0" w:firstLine="0"/>
              <w:rPr>
                <w:rFonts w:ascii="Calibri" w:hAnsi="Calibri"/>
              </w:rPr>
            </w:pPr>
          </w:p>
          <w:p w14:paraId="4A88328B" w14:textId="77777777" w:rsidR="0019056F" w:rsidRPr="0023556F" w:rsidRDefault="0019056F" w:rsidP="009E73E8">
            <w:pPr>
              <w:ind w:left="0" w:firstLine="0"/>
              <w:rPr>
                <w:rFonts w:ascii="Calibri" w:hAnsi="Calibri"/>
              </w:rPr>
            </w:pPr>
            <w:r>
              <w:rPr>
                <w:rFonts w:ascii="Calibri" w:hAnsi="Calibri"/>
              </w:rPr>
              <w:t>“</w:t>
            </w:r>
            <w:r w:rsidRPr="005D0D41">
              <w:rPr>
                <w:rFonts w:ascii="Calibri" w:hAnsi="Calibri"/>
              </w:rPr>
              <w:t>The main problem associated with oral naltrexone was the high</w:t>
            </w:r>
            <w:r>
              <w:rPr>
                <w:rFonts w:ascii="Calibri" w:hAnsi="Calibri"/>
              </w:rPr>
              <w:t xml:space="preserve"> </w:t>
            </w:r>
            <w:r w:rsidRPr="005D0D41">
              <w:rPr>
                <w:rFonts w:ascii="Calibri" w:hAnsi="Calibri"/>
              </w:rPr>
              <w:t>dropout rate: 72%</w:t>
            </w:r>
            <w:r>
              <w:rPr>
                <w:rFonts w:ascii="Calibri" w:hAnsi="Calibri"/>
              </w:rPr>
              <w:t xml:space="preserve"> </w:t>
            </w:r>
            <w:r w:rsidRPr="005D0D41">
              <w:rPr>
                <w:rFonts w:ascii="Calibri" w:hAnsi="Calibri"/>
              </w:rPr>
              <w:t>in our included studies; to overcome this problem</w:t>
            </w:r>
            <w:r>
              <w:rPr>
                <w:rFonts w:ascii="Calibri" w:hAnsi="Calibri"/>
              </w:rPr>
              <w:t xml:space="preserve"> </w:t>
            </w:r>
            <w:r w:rsidRPr="005D0D41">
              <w:rPr>
                <w:rFonts w:ascii="Calibri" w:hAnsi="Calibri"/>
              </w:rPr>
              <w:t>the</w:t>
            </w:r>
            <w:r>
              <w:rPr>
                <w:rFonts w:ascii="Calibri" w:hAnsi="Calibri"/>
              </w:rPr>
              <w:t xml:space="preserve"> </w:t>
            </w:r>
            <w:r w:rsidRPr="005D0D41">
              <w:rPr>
                <w:rFonts w:ascii="Calibri" w:hAnsi="Calibri"/>
              </w:rPr>
              <w:t>sustained released naltrexone has been proposed and is currently</w:t>
            </w:r>
            <w:r>
              <w:rPr>
                <w:rFonts w:ascii="Calibri" w:hAnsi="Calibri"/>
              </w:rPr>
              <w:t xml:space="preserve"> </w:t>
            </w:r>
            <w:r w:rsidRPr="005D0D41">
              <w:rPr>
                <w:rFonts w:ascii="Calibri" w:hAnsi="Calibri"/>
              </w:rPr>
              <w:t>being assessed. However, a parallel Cochrane review on sustained</w:t>
            </w:r>
            <w:r>
              <w:rPr>
                <w:rFonts w:ascii="Calibri" w:hAnsi="Calibri"/>
              </w:rPr>
              <w:t xml:space="preserve"> </w:t>
            </w:r>
            <w:r w:rsidRPr="005D0D41">
              <w:rPr>
                <w:rFonts w:ascii="Calibri" w:hAnsi="Calibri"/>
              </w:rPr>
              <w:t>released naltrexone (Lobmaier 2008) concluded that there</w:t>
            </w:r>
            <w:r>
              <w:rPr>
                <w:rFonts w:ascii="Calibri" w:hAnsi="Calibri"/>
              </w:rPr>
              <w:t xml:space="preserve"> </w:t>
            </w:r>
            <w:r w:rsidRPr="005D0D41">
              <w:rPr>
                <w:rFonts w:ascii="Calibri" w:hAnsi="Calibri"/>
              </w:rPr>
              <w:t>is insufficient evidence to evaluate the effectiveness of sustained</w:t>
            </w:r>
            <w:r>
              <w:rPr>
                <w:rFonts w:ascii="Calibri" w:hAnsi="Calibri"/>
              </w:rPr>
              <w:t xml:space="preserve"> </w:t>
            </w:r>
            <w:r w:rsidRPr="005D0D41">
              <w:rPr>
                <w:rFonts w:ascii="Calibri" w:hAnsi="Calibri"/>
              </w:rPr>
              <w:t>release</w:t>
            </w:r>
            <w:r>
              <w:rPr>
                <w:rFonts w:ascii="Calibri" w:hAnsi="Calibri"/>
              </w:rPr>
              <w:t xml:space="preserve"> </w:t>
            </w:r>
            <w:r w:rsidRPr="005D0D41">
              <w:rPr>
                <w:rFonts w:ascii="Calibri" w:hAnsi="Calibri"/>
              </w:rPr>
              <w:t>naltrexone for treatment of opioid dependence.</w:t>
            </w:r>
            <w:r>
              <w:rPr>
                <w:rFonts w:ascii="Calibri" w:hAnsi="Calibri"/>
              </w:rPr>
              <w:t xml:space="preserve"> </w:t>
            </w:r>
            <w:r w:rsidRPr="005D0D41">
              <w:rPr>
                <w:rFonts w:ascii="Calibri" w:hAnsi="Calibri"/>
              </w:rPr>
              <w:t>A concern about lack of information on mortality data, limit the</w:t>
            </w:r>
            <w:r>
              <w:rPr>
                <w:rFonts w:ascii="Calibri" w:hAnsi="Calibri"/>
              </w:rPr>
              <w:t xml:space="preserve"> </w:t>
            </w:r>
            <w:r w:rsidRPr="005D0D41">
              <w:rPr>
                <w:rFonts w:ascii="Calibri" w:hAnsi="Calibri"/>
              </w:rPr>
              <w:t xml:space="preserve">applicability of the produced evidence due </w:t>
            </w:r>
            <w:r>
              <w:rPr>
                <w:rFonts w:ascii="Calibri" w:hAnsi="Calibri"/>
              </w:rPr>
              <w:t xml:space="preserve">to </w:t>
            </w:r>
            <w:r w:rsidRPr="005D0D41">
              <w:rPr>
                <w:rFonts w:ascii="Calibri" w:hAnsi="Calibri"/>
              </w:rPr>
              <w:t>the relevant problem</w:t>
            </w:r>
            <w:r>
              <w:rPr>
                <w:rFonts w:ascii="Calibri" w:hAnsi="Calibri"/>
              </w:rPr>
              <w:t xml:space="preserve"> </w:t>
            </w:r>
            <w:r w:rsidRPr="005D0D41">
              <w:rPr>
                <w:rFonts w:ascii="Calibri" w:hAnsi="Calibri"/>
              </w:rPr>
              <w:t>of fatal overdoses in naltrexone treated patients.</w:t>
            </w:r>
            <w:r>
              <w:rPr>
                <w:rFonts w:ascii="Calibri" w:hAnsi="Calibri"/>
              </w:rPr>
              <w:t>”</w:t>
            </w:r>
          </w:p>
        </w:tc>
      </w:tr>
      <w:tr w:rsidR="0019056F" w:rsidRPr="002F01A7" w14:paraId="5C2C478D" w14:textId="77777777" w:rsidTr="009E73E8">
        <w:tc>
          <w:tcPr>
            <w:tcW w:w="2335" w:type="dxa"/>
          </w:tcPr>
          <w:p w14:paraId="540C238C" w14:textId="77777777" w:rsidR="0019056F" w:rsidRPr="0023556F" w:rsidRDefault="0019056F" w:rsidP="009E73E8">
            <w:pPr>
              <w:ind w:left="0" w:firstLine="0"/>
              <w:rPr>
                <w:rFonts w:ascii="Calibri" w:hAnsi="Calibri"/>
              </w:rPr>
            </w:pPr>
            <w:r w:rsidRPr="0023556F">
              <w:rPr>
                <w:rFonts w:ascii="Calibri" w:hAnsi="Calibri"/>
              </w:rPr>
              <w:t xml:space="preserve">Estimates of benefit and consistency across studies </w:t>
            </w:r>
          </w:p>
        </w:tc>
        <w:tc>
          <w:tcPr>
            <w:tcW w:w="7015" w:type="dxa"/>
          </w:tcPr>
          <w:p w14:paraId="70BC8387" w14:textId="77777777" w:rsidR="0019056F" w:rsidRDefault="0019056F" w:rsidP="009E73E8">
            <w:pPr>
              <w:ind w:left="0" w:firstLine="6"/>
              <w:contextualSpacing/>
              <w:rPr>
                <w:rFonts w:ascii="Calibri" w:hAnsi="Calibri"/>
              </w:rPr>
            </w:pPr>
            <w:r w:rsidRPr="0023556F">
              <w:rPr>
                <w:rFonts w:ascii="Calibri" w:hAnsi="Calibri"/>
              </w:rPr>
              <w:t>“Comparing naltrexone versus placebo or no pharmacological treatments, no statistically significant difference w</w:t>
            </w:r>
            <w:r>
              <w:rPr>
                <w:rFonts w:ascii="Calibri" w:hAnsi="Calibri"/>
              </w:rPr>
              <w:t>as</w:t>
            </w:r>
            <w:r w:rsidRPr="0023556F">
              <w:rPr>
                <w:rFonts w:ascii="Calibri" w:hAnsi="Calibri"/>
              </w:rPr>
              <w:t xml:space="preserve"> noted for all the primary outcomes considered. The only outcome statistically significant in favour of naltrexone is reincarceration, RR 0.47 (95% CI 0.26-0.84), but results come only from two studies. Considering only studies w</w:t>
            </w:r>
            <w:r>
              <w:rPr>
                <w:rFonts w:ascii="Calibri" w:hAnsi="Calibri"/>
              </w:rPr>
              <w:t>h</w:t>
            </w:r>
            <w:r w:rsidRPr="0023556F">
              <w:rPr>
                <w:rFonts w:ascii="Calibri" w:hAnsi="Calibri"/>
              </w:rPr>
              <w:t>ere patients were forced to adherence a statistical significant difference in favour of naltrexone was found for retention and abstinence, RR 2.93 (95%CI 1.66-5.18).” RR=risk ratio</w:t>
            </w:r>
          </w:p>
          <w:p w14:paraId="0B0ED1CD" w14:textId="77777777" w:rsidR="0019056F" w:rsidRDefault="0019056F" w:rsidP="009E73E8">
            <w:pPr>
              <w:ind w:left="0" w:firstLine="6"/>
              <w:contextualSpacing/>
              <w:rPr>
                <w:rFonts w:ascii="Calibri" w:hAnsi="Calibri"/>
              </w:rPr>
            </w:pPr>
          </w:p>
          <w:p w14:paraId="52934D69" w14:textId="77777777" w:rsidR="0019056F" w:rsidRDefault="0019056F" w:rsidP="009E73E8">
            <w:pPr>
              <w:ind w:left="0" w:firstLine="6"/>
              <w:contextualSpacing/>
              <w:rPr>
                <w:rFonts w:ascii="Calibri" w:hAnsi="Calibri"/>
              </w:rPr>
            </w:pPr>
            <w:r w:rsidRPr="00DB493F">
              <w:rPr>
                <w:rFonts w:ascii="Calibri" w:hAnsi="Calibri"/>
              </w:rPr>
              <w:t>Naltrexone versus placebo or no pharmacological</w:t>
            </w:r>
            <w:r>
              <w:rPr>
                <w:rFonts w:ascii="Calibri" w:hAnsi="Calibri"/>
              </w:rPr>
              <w:t xml:space="preserve"> </w:t>
            </w:r>
            <w:r w:rsidRPr="00DB493F">
              <w:rPr>
                <w:rFonts w:ascii="Calibri" w:hAnsi="Calibri"/>
              </w:rPr>
              <w:t>treatment</w:t>
            </w:r>
          </w:p>
          <w:p w14:paraId="780D87DD" w14:textId="77777777" w:rsidR="0019056F" w:rsidRPr="0019557F" w:rsidRDefault="0019056F" w:rsidP="0019056F">
            <w:pPr>
              <w:pStyle w:val="ListParagraph"/>
              <w:numPr>
                <w:ilvl w:val="1"/>
                <w:numId w:val="27"/>
              </w:numPr>
              <w:rPr>
                <w:rFonts w:ascii="Calibri" w:hAnsi="Calibri"/>
              </w:rPr>
            </w:pPr>
            <w:r w:rsidRPr="0019557F">
              <w:rPr>
                <w:rFonts w:ascii="Calibri" w:hAnsi="Calibri"/>
              </w:rPr>
              <w:t>Retention in treatment: two studies; 88 participants; RR 1.18 (95% CI 0.72-1.91); no statistically significant difference</w:t>
            </w:r>
          </w:p>
          <w:p w14:paraId="3A221781" w14:textId="77777777" w:rsidR="0019056F" w:rsidRPr="0019557F" w:rsidRDefault="0019056F" w:rsidP="0019056F">
            <w:pPr>
              <w:pStyle w:val="ListParagraph"/>
              <w:numPr>
                <w:ilvl w:val="1"/>
                <w:numId w:val="27"/>
              </w:numPr>
              <w:rPr>
                <w:rFonts w:ascii="Calibri" w:hAnsi="Calibri"/>
              </w:rPr>
            </w:pPr>
            <w:r w:rsidRPr="0019557F">
              <w:rPr>
                <w:rFonts w:ascii="Calibri" w:hAnsi="Calibri"/>
              </w:rPr>
              <w:t>Retention and abstinence: six studies; 393 participants; RR 1.43 (95% CI 0.72-2.82); no statistically significant difference</w:t>
            </w:r>
          </w:p>
          <w:p w14:paraId="48EC9132" w14:textId="77777777" w:rsidR="0019056F" w:rsidRPr="0019557F" w:rsidRDefault="0019056F" w:rsidP="0019056F">
            <w:pPr>
              <w:pStyle w:val="ListParagraph"/>
              <w:numPr>
                <w:ilvl w:val="1"/>
                <w:numId w:val="27"/>
              </w:numPr>
              <w:rPr>
                <w:rFonts w:ascii="Calibri" w:hAnsi="Calibri"/>
              </w:rPr>
            </w:pPr>
            <w:r w:rsidRPr="0019557F">
              <w:rPr>
                <w:rFonts w:ascii="Calibri" w:hAnsi="Calibri"/>
              </w:rPr>
              <w:t>Abstinence: four studies; 143 participants; RR 1.39 (95% CI 0.61-3.17); no statistically significant difference</w:t>
            </w:r>
          </w:p>
          <w:p w14:paraId="368B0321" w14:textId="77777777" w:rsidR="0019056F" w:rsidRPr="0019557F" w:rsidRDefault="0019056F" w:rsidP="0019056F">
            <w:pPr>
              <w:pStyle w:val="ListParagraph"/>
              <w:numPr>
                <w:ilvl w:val="1"/>
                <w:numId w:val="27"/>
              </w:numPr>
              <w:rPr>
                <w:rFonts w:ascii="Calibri" w:hAnsi="Calibri"/>
              </w:rPr>
            </w:pPr>
            <w:r w:rsidRPr="0019557F">
              <w:rPr>
                <w:rFonts w:ascii="Calibri" w:hAnsi="Calibri"/>
              </w:rPr>
              <w:t>Abstinence at follow up: three studies; 116 participants; RR 1.28 (95% CI 0.80-2.08); no statistically significant difference</w:t>
            </w:r>
          </w:p>
          <w:p w14:paraId="0E03EC46" w14:textId="77777777" w:rsidR="0019056F" w:rsidRPr="0019557F" w:rsidRDefault="0019056F" w:rsidP="0019056F">
            <w:pPr>
              <w:pStyle w:val="ListParagraph"/>
              <w:numPr>
                <w:ilvl w:val="1"/>
                <w:numId w:val="27"/>
              </w:numPr>
              <w:rPr>
                <w:rFonts w:ascii="Calibri" w:hAnsi="Calibri"/>
              </w:rPr>
            </w:pPr>
            <w:r w:rsidRPr="0019557F">
              <w:rPr>
                <w:rFonts w:ascii="Calibri" w:hAnsi="Calibri"/>
              </w:rPr>
              <w:t>Side effects: four studies; 159 participants; RR 1.29 (95% CI 0.54-3.11); no statistically significant difference</w:t>
            </w:r>
          </w:p>
          <w:p w14:paraId="478BE064" w14:textId="77777777" w:rsidR="0019056F" w:rsidRPr="002F01A7" w:rsidRDefault="0019056F" w:rsidP="0019056F">
            <w:pPr>
              <w:pStyle w:val="ListParagraph"/>
              <w:numPr>
                <w:ilvl w:val="1"/>
                <w:numId w:val="27"/>
              </w:numPr>
              <w:rPr>
                <w:rFonts w:ascii="Calibri" w:hAnsi="Calibri"/>
              </w:rPr>
            </w:pPr>
            <w:r w:rsidRPr="0019557F">
              <w:rPr>
                <w:rFonts w:ascii="Calibri" w:hAnsi="Calibri"/>
              </w:rPr>
              <w:t>Reincarceration: two studies; 86 participants; RR 0.47 (95% CI 0.26-0.84); results in favor of naltrexone</w:t>
            </w:r>
          </w:p>
        </w:tc>
      </w:tr>
      <w:tr w:rsidR="0019056F" w:rsidRPr="0023556F" w14:paraId="53F5917B" w14:textId="77777777" w:rsidTr="009E73E8">
        <w:tc>
          <w:tcPr>
            <w:tcW w:w="2335" w:type="dxa"/>
          </w:tcPr>
          <w:p w14:paraId="29C1C34A" w14:textId="77777777" w:rsidR="0019056F" w:rsidRPr="0023556F" w:rsidRDefault="0019056F" w:rsidP="009E73E8">
            <w:pPr>
              <w:ind w:left="0" w:firstLine="0"/>
              <w:rPr>
                <w:rFonts w:ascii="Calibri" w:hAnsi="Calibri"/>
              </w:rPr>
            </w:pPr>
            <w:r w:rsidRPr="0023556F">
              <w:rPr>
                <w:rFonts w:ascii="Calibri" w:hAnsi="Calibri"/>
              </w:rPr>
              <w:t>What harms were identified?</w:t>
            </w:r>
          </w:p>
        </w:tc>
        <w:tc>
          <w:tcPr>
            <w:tcW w:w="7015" w:type="dxa"/>
          </w:tcPr>
          <w:p w14:paraId="096DCA46" w14:textId="77777777" w:rsidR="0019056F" w:rsidRPr="0023556F" w:rsidRDefault="0019056F" w:rsidP="009E73E8">
            <w:pPr>
              <w:ind w:left="6" w:firstLine="0"/>
              <w:contextualSpacing/>
              <w:rPr>
                <w:rFonts w:ascii="Calibri" w:hAnsi="Calibri"/>
              </w:rPr>
            </w:pPr>
            <w:r w:rsidRPr="0023556F">
              <w:rPr>
                <w:rFonts w:ascii="Calibri" w:hAnsi="Calibri"/>
              </w:rPr>
              <w:t xml:space="preserve">Four of the 13 studies </w:t>
            </w:r>
            <w:r>
              <w:rPr>
                <w:rFonts w:ascii="Calibri" w:hAnsi="Calibri"/>
              </w:rPr>
              <w:t xml:space="preserve">(159 participants) </w:t>
            </w:r>
            <w:r w:rsidRPr="0023556F">
              <w:rPr>
                <w:rFonts w:ascii="Calibri" w:hAnsi="Calibri"/>
              </w:rPr>
              <w:t>reported side effects</w:t>
            </w:r>
            <w:r>
              <w:rPr>
                <w:rFonts w:ascii="Calibri" w:hAnsi="Calibri"/>
              </w:rPr>
              <w:t>; these</w:t>
            </w:r>
            <w:r w:rsidRPr="0023556F">
              <w:rPr>
                <w:rFonts w:ascii="Calibri" w:hAnsi="Calibri"/>
              </w:rPr>
              <w:t xml:space="preserve"> varied by study but included abdominal discomfort, sleep disturbances, loss of appetite, diarrhea, and nausea</w:t>
            </w:r>
            <w:r>
              <w:rPr>
                <w:rFonts w:ascii="Calibri" w:hAnsi="Calibri"/>
              </w:rPr>
              <w:t>. However,</w:t>
            </w:r>
            <w:r w:rsidRPr="0023556F">
              <w:rPr>
                <w:rFonts w:ascii="Calibri" w:hAnsi="Calibri"/>
              </w:rPr>
              <w:t xml:space="preserve"> there was no statistically significant difference between treatment and control groups</w:t>
            </w:r>
            <w:r>
              <w:rPr>
                <w:rFonts w:ascii="Calibri" w:hAnsi="Calibri"/>
              </w:rPr>
              <w:t xml:space="preserve"> (</w:t>
            </w:r>
            <w:r w:rsidRPr="00B40CC5">
              <w:rPr>
                <w:rFonts w:ascii="Calibri" w:hAnsi="Calibri"/>
              </w:rPr>
              <w:t>RR 1.29</w:t>
            </w:r>
            <w:r>
              <w:rPr>
                <w:rFonts w:ascii="Calibri" w:hAnsi="Calibri"/>
              </w:rPr>
              <w:t>;</w:t>
            </w:r>
            <w:r w:rsidRPr="00B40CC5">
              <w:rPr>
                <w:rFonts w:ascii="Calibri" w:hAnsi="Calibri"/>
              </w:rPr>
              <w:t xml:space="preserve"> 95%</w:t>
            </w:r>
            <w:r>
              <w:rPr>
                <w:rFonts w:ascii="Calibri" w:hAnsi="Calibri"/>
              </w:rPr>
              <w:t xml:space="preserve"> </w:t>
            </w:r>
            <w:r w:rsidRPr="00B40CC5">
              <w:rPr>
                <w:rFonts w:ascii="Calibri" w:hAnsi="Calibri"/>
              </w:rPr>
              <w:t>CI 0.54-3.11)</w:t>
            </w:r>
            <w:r w:rsidRPr="0023556F">
              <w:rPr>
                <w:rFonts w:ascii="Calibri" w:hAnsi="Calibri"/>
              </w:rPr>
              <w:t xml:space="preserve">. </w:t>
            </w:r>
          </w:p>
        </w:tc>
      </w:tr>
      <w:tr w:rsidR="0019056F" w:rsidRPr="0023556F" w14:paraId="0B4C6648" w14:textId="77777777" w:rsidTr="009E73E8">
        <w:tc>
          <w:tcPr>
            <w:tcW w:w="2335" w:type="dxa"/>
          </w:tcPr>
          <w:p w14:paraId="0EDB026A" w14:textId="77777777" w:rsidR="0019056F" w:rsidRPr="0023556F" w:rsidRDefault="0019056F" w:rsidP="009E73E8">
            <w:pPr>
              <w:ind w:left="0" w:firstLine="0"/>
              <w:rPr>
                <w:rFonts w:ascii="Calibri" w:hAnsi="Calibri"/>
              </w:rPr>
            </w:pPr>
            <w:r w:rsidRPr="0023556F">
              <w:rPr>
                <w:rFonts w:ascii="Calibri" w:hAnsi="Calibri"/>
              </w:rPr>
              <w:t>Identify any new studies conducted since the SR. Do the new studies change the conclusions from the SR?</w:t>
            </w:r>
          </w:p>
        </w:tc>
        <w:tc>
          <w:tcPr>
            <w:tcW w:w="7015" w:type="dxa"/>
          </w:tcPr>
          <w:p w14:paraId="02F8511D" w14:textId="77777777" w:rsidR="0019056F" w:rsidRPr="0023556F" w:rsidRDefault="0019056F" w:rsidP="009E73E8">
            <w:pPr>
              <w:ind w:left="0" w:firstLine="0"/>
              <w:rPr>
                <w:rFonts w:ascii="Calibri" w:hAnsi="Calibri"/>
              </w:rPr>
            </w:pPr>
            <w:r>
              <w:rPr>
                <w:rFonts w:ascii="Calibri" w:hAnsi="Calibri"/>
              </w:rPr>
              <w:t>No new studies were identified.</w:t>
            </w:r>
          </w:p>
        </w:tc>
      </w:tr>
    </w:tbl>
    <w:p w14:paraId="0CFC9A19" w14:textId="77777777" w:rsidR="0019056F" w:rsidRDefault="0019056F" w:rsidP="0019056F">
      <w:pPr>
        <w:rPr>
          <w:b/>
          <w:iCs/>
          <w:caps/>
        </w:rPr>
      </w:pPr>
    </w:p>
    <w:p w14:paraId="6E5F6B70" w14:textId="77777777" w:rsidR="0019056F" w:rsidRDefault="0019056F">
      <w:pPr>
        <w:rPr>
          <w:rFonts w:asciiTheme="majorHAnsi" w:eastAsia="Times New Roman" w:hAnsiTheme="majorHAnsi" w:cstheme="majorBidi"/>
          <w:b/>
          <w:bCs/>
          <w:color w:val="76923C" w:themeColor="accent3" w:themeShade="BF"/>
          <w:sz w:val="26"/>
          <w:szCs w:val="26"/>
        </w:rPr>
      </w:pPr>
      <w:r>
        <w:rPr>
          <w:rFonts w:asciiTheme="majorHAnsi" w:eastAsia="Times New Roman" w:hAnsiTheme="majorHAnsi" w:cstheme="majorBidi"/>
          <w:b/>
          <w:bCs/>
          <w:color w:val="76923C" w:themeColor="accent3" w:themeShade="BF"/>
          <w:sz w:val="26"/>
          <w:szCs w:val="26"/>
        </w:rPr>
        <w:br w:type="page"/>
      </w:r>
    </w:p>
    <w:p w14:paraId="51B0758E" w14:textId="287367BC" w:rsidR="0019056F" w:rsidRPr="009542B2" w:rsidRDefault="0019056F" w:rsidP="0019056F">
      <w:pPr>
        <w:keepNext/>
        <w:keepLines/>
        <w:spacing w:before="200" w:line="276" w:lineRule="auto"/>
        <w:ind w:left="0" w:firstLine="0"/>
        <w:outlineLvl w:val="1"/>
        <w:rPr>
          <w:i/>
          <w:iCs/>
          <w:color w:val="76923C" w:themeColor="accent3" w:themeShade="BF"/>
        </w:rPr>
      </w:pPr>
      <w:r w:rsidRPr="009542B2">
        <w:rPr>
          <w:rFonts w:asciiTheme="majorHAnsi" w:eastAsia="Times New Roman" w:hAnsiTheme="majorHAnsi" w:cstheme="majorBidi"/>
          <w:b/>
          <w:bCs/>
          <w:color w:val="76923C" w:themeColor="accent3" w:themeShade="BF"/>
          <w:sz w:val="26"/>
          <w:szCs w:val="26"/>
        </w:rPr>
        <w:t>Exhibit 7. Systematic Review Cited by the SAMSHA TIP and CRISM Guidelines (Sordo et al., 2017)</w:t>
      </w:r>
    </w:p>
    <w:tbl>
      <w:tblPr>
        <w:tblStyle w:val="TableGrid"/>
        <w:tblW w:w="0" w:type="auto"/>
        <w:tblLook w:val="04A0" w:firstRow="1" w:lastRow="0" w:firstColumn="1" w:lastColumn="0" w:noHBand="0" w:noVBand="1"/>
      </w:tblPr>
      <w:tblGrid>
        <w:gridCol w:w="2140"/>
        <w:gridCol w:w="7210"/>
      </w:tblGrid>
      <w:tr w:rsidR="0019056F" w:rsidRPr="009542B2" w14:paraId="79687A29"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799ABA47" w14:textId="77777777" w:rsidR="0019056F" w:rsidRPr="009542B2" w:rsidRDefault="0019056F" w:rsidP="009E73E8">
            <w:pPr>
              <w:ind w:left="0" w:firstLine="0"/>
              <w:rPr>
                <w:rFonts w:ascii="Calibri" w:hAnsi="Calibri"/>
                <w:b/>
                <w:color w:val="76923C" w:themeColor="accent3" w:themeShade="BF"/>
              </w:rPr>
            </w:pPr>
            <w:r w:rsidRPr="009542B2">
              <w:rPr>
                <w:rFonts w:ascii="Calibri" w:hAnsi="Calibri"/>
                <w:b/>
                <w:color w:val="76923C" w:themeColor="accent3" w:themeShade="BF"/>
              </w:rPr>
              <w:t>Source of Systematic Review:</w:t>
            </w:r>
          </w:p>
          <w:p w14:paraId="3FE92C1B"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Title</w:t>
            </w:r>
          </w:p>
          <w:p w14:paraId="6F4DDA74"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Author</w:t>
            </w:r>
          </w:p>
          <w:p w14:paraId="18C27B65"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Date</w:t>
            </w:r>
          </w:p>
          <w:p w14:paraId="780490DA"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Citation, including page number</w:t>
            </w:r>
          </w:p>
          <w:p w14:paraId="6236001E"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URL</w:t>
            </w:r>
          </w:p>
        </w:tc>
        <w:tc>
          <w:tcPr>
            <w:tcW w:w="7210" w:type="dxa"/>
            <w:tcBorders>
              <w:top w:val="single" w:sz="4" w:space="0" w:color="auto"/>
              <w:left w:val="single" w:sz="4" w:space="0" w:color="auto"/>
              <w:bottom w:val="single" w:sz="4" w:space="0" w:color="auto"/>
              <w:right w:val="single" w:sz="4" w:space="0" w:color="auto"/>
            </w:tcBorders>
          </w:tcPr>
          <w:p w14:paraId="4CAF61BA"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Systematic Review:</w:t>
            </w:r>
          </w:p>
          <w:p w14:paraId="7F450CCF" w14:textId="77777777" w:rsidR="0019056F" w:rsidRPr="009542B2" w:rsidRDefault="0019056F" w:rsidP="009E73E8">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shd w:val="clear" w:color="auto" w:fill="FFFFFF"/>
              </w:rPr>
              <w:t>Sordo L, Barrio G, Bravo MJ, et al. </w:t>
            </w:r>
            <w:r w:rsidRPr="009542B2">
              <w:rPr>
                <w:rStyle w:val="ref-title"/>
                <w:color w:val="76923C" w:themeColor="accent3" w:themeShade="BF"/>
                <w:shd w:val="clear" w:color="auto" w:fill="FFFFFF"/>
              </w:rPr>
              <w:t>Mortality risk during and after opioid substitution treatment: systematic review and meta-analysis of cohort studies</w:t>
            </w:r>
            <w:r w:rsidRPr="009542B2">
              <w:rPr>
                <w:color w:val="76923C" w:themeColor="accent3" w:themeShade="BF"/>
                <w:shd w:val="clear" w:color="auto" w:fill="FFFFFF"/>
              </w:rPr>
              <w:t>. </w:t>
            </w:r>
            <w:r w:rsidRPr="009542B2">
              <w:rPr>
                <w:rStyle w:val="ref-journal"/>
                <w:color w:val="76923C" w:themeColor="accent3" w:themeShade="BF"/>
                <w:shd w:val="clear" w:color="auto" w:fill="FFFFFF"/>
              </w:rPr>
              <w:t>BMJ</w:t>
            </w:r>
            <w:r w:rsidRPr="009542B2">
              <w:rPr>
                <w:color w:val="76923C" w:themeColor="accent3" w:themeShade="BF"/>
                <w:shd w:val="clear" w:color="auto" w:fill="FFFFFF"/>
              </w:rPr>
              <w:t> 2017;</w:t>
            </w:r>
            <w:r w:rsidRPr="009542B2">
              <w:rPr>
                <w:rStyle w:val="ref-vol"/>
                <w:color w:val="76923C" w:themeColor="accent3" w:themeShade="BF"/>
                <w:shd w:val="clear" w:color="auto" w:fill="FFFFFF"/>
              </w:rPr>
              <w:t>357</w:t>
            </w:r>
            <w:r w:rsidRPr="009542B2">
              <w:rPr>
                <w:color w:val="76923C" w:themeColor="accent3" w:themeShade="BF"/>
                <w:shd w:val="clear" w:color="auto" w:fill="FFFFFF"/>
              </w:rPr>
              <w:t>:j1550.</w:t>
            </w:r>
          </w:p>
          <w:p w14:paraId="17096527" w14:textId="77777777" w:rsidR="0019056F" w:rsidRPr="009542B2" w:rsidRDefault="0019056F" w:rsidP="009E73E8">
            <w:pPr>
              <w:ind w:left="0" w:firstLine="0"/>
              <w:rPr>
                <w:rFonts w:ascii="Calibri" w:hAnsi="Calibri"/>
                <w:color w:val="76923C" w:themeColor="accent3" w:themeShade="BF"/>
              </w:rPr>
            </w:pPr>
          </w:p>
          <w:p w14:paraId="5E7A37B2"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Cited in support of </w:t>
            </w:r>
            <w:r w:rsidRPr="009542B2">
              <w:rPr>
                <w:i/>
                <w:color w:val="76923C" w:themeColor="accent3" w:themeShade="BF"/>
              </w:rPr>
              <w:t>Duration of Methadone Treatment</w:t>
            </w:r>
            <w:r w:rsidRPr="009542B2">
              <w:rPr>
                <w:color w:val="76923C" w:themeColor="accent3" w:themeShade="BF"/>
              </w:rPr>
              <w:t xml:space="preserve"> (page 3-31) and the benefits of medication for OUD (page 4-5) </w:t>
            </w:r>
            <w:r w:rsidRPr="009542B2">
              <w:rPr>
                <w:rFonts w:ascii="Calibri" w:hAnsi="Calibri"/>
                <w:color w:val="76923C" w:themeColor="accent3" w:themeShade="BF"/>
              </w:rPr>
              <w:t xml:space="preserve">by: </w:t>
            </w:r>
            <w:r w:rsidRPr="009542B2">
              <w:rPr>
                <w:color w:val="76923C" w:themeColor="accent3" w:themeShade="BF"/>
              </w:rPr>
              <w:t xml:space="preserve">Substance Abuse and Mental Health Services Administration (SAMHSA). (2018). Medications for Opioid Use Disorder. For Healthcare and Addiction Professionals, Policymakers, Patients, and Families. </w:t>
            </w:r>
          </w:p>
          <w:p w14:paraId="11B7A027" w14:textId="77777777" w:rsidR="0019056F" w:rsidRPr="009542B2" w:rsidRDefault="0019056F" w:rsidP="009E73E8">
            <w:pPr>
              <w:spacing w:after="240"/>
              <w:ind w:left="0" w:firstLine="0"/>
              <w:rPr>
                <w:color w:val="76923C" w:themeColor="accent3" w:themeShade="BF"/>
              </w:rPr>
            </w:pPr>
            <w:r w:rsidRPr="009542B2">
              <w:rPr>
                <w:color w:val="76923C" w:themeColor="accent3" w:themeShade="BF"/>
              </w:rPr>
              <w:t xml:space="preserve">Available at </w:t>
            </w:r>
            <w:hyperlink r:id="rId19" w:history="1">
              <w:r w:rsidRPr="009542B2">
                <w:rPr>
                  <w:rStyle w:val="Hyperlink"/>
                  <w:color w:val="76923C" w:themeColor="accent3" w:themeShade="BF"/>
                </w:rPr>
                <w:t>https://store.samhsa.gov/system/files/sma18-5063fulldoc_0.pdf</w:t>
              </w:r>
            </w:hyperlink>
          </w:p>
          <w:p w14:paraId="4C87AEA4" w14:textId="77777777" w:rsidR="0019056F" w:rsidRPr="009542B2" w:rsidRDefault="0019056F" w:rsidP="009E73E8">
            <w:pPr>
              <w:keepNext/>
              <w:keepLines/>
              <w:spacing w:line="276" w:lineRule="auto"/>
              <w:outlineLvl w:val="1"/>
              <w:rPr>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Risk of Death</w:t>
            </w:r>
            <w:r w:rsidRPr="009542B2">
              <w:rPr>
                <w:rFonts w:ascii="Calibri" w:hAnsi="Calibri"/>
                <w:color w:val="76923C" w:themeColor="accent3" w:themeShade="BF"/>
              </w:rPr>
              <w:t xml:space="preserve"> (page E250) by</w:t>
            </w:r>
            <w:r w:rsidRPr="009542B2">
              <w:rPr>
                <w:color w:val="76923C" w:themeColor="accent3" w:themeShade="BF"/>
              </w:rPr>
              <w:t>: Bruneau et al. Management of opioid use disorders: a national clinical practice guideline. CMAJ. 2018;190(9):E247–E257. doi:10.1503/cmaj.170958</w:t>
            </w:r>
          </w:p>
          <w:p w14:paraId="0C43A572" w14:textId="77777777" w:rsidR="0019056F" w:rsidRPr="009542B2" w:rsidRDefault="0019056F" w:rsidP="009E73E8">
            <w:pPr>
              <w:keepNext/>
              <w:keepLines/>
              <w:spacing w:line="276" w:lineRule="auto"/>
              <w:outlineLvl w:val="1"/>
              <w:rPr>
                <w:color w:val="76923C" w:themeColor="accent3" w:themeShade="BF"/>
              </w:rPr>
            </w:pPr>
            <w:r w:rsidRPr="009542B2">
              <w:rPr>
                <w:color w:val="76923C" w:themeColor="accent3" w:themeShade="BF"/>
              </w:rPr>
              <w:t>Available at</w:t>
            </w:r>
            <w:r w:rsidRPr="009542B2">
              <w:rPr>
                <w:color w:val="76923C" w:themeColor="accent3" w:themeShade="BF"/>
                <w:sz w:val="24"/>
                <w:szCs w:val="24"/>
              </w:rPr>
              <w:t xml:space="preserve"> </w:t>
            </w:r>
            <w:r w:rsidRPr="009542B2">
              <w:rPr>
                <w:color w:val="76923C" w:themeColor="accent3" w:themeShade="BF"/>
              </w:rPr>
              <w:fldChar w:fldCharType="begin"/>
            </w:r>
            <w:r w:rsidRPr="009542B2">
              <w:rPr>
                <w:color w:val="76923C" w:themeColor="accent3" w:themeShade="BF"/>
              </w:rPr>
              <w:instrText xml:space="preserve"> HYPERLINK "https://www.ncbi.nlm.nih.gov/pmc/articles/PMC5837873/</w:instrText>
            </w:r>
          </w:p>
          <w:p w14:paraId="1A2EAE0E" w14:textId="77777777" w:rsidR="0019056F" w:rsidRPr="009542B2" w:rsidRDefault="0019056F" w:rsidP="009E73E8">
            <w:pPr>
              <w:pStyle w:val="ListParagraph"/>
              <w:keepNext/>
              <w:keepLines/>
              <w:spacing w:before="200"/>
              <w:ind w:firstLine="0"/>
              <w:outlineLvl w:val="1"/>
              <w:rPr>
                <w:rStyle w:val="Hyperlink"/>
                <w:color w:val="76923C" w:themeColor="accent3" w:themeShade="BF"/>
              </w:rPr>
            </w:pPr>
            <w:r w:rsidRPr="009542B2">
              <w:rPr>
                <w:color w:val="76923C" w:themeColor="accent3" w:themeShade="BF"/>
              </w:rPr>
              <w:instrText xml:space="preserve">" </w:instrText>
            </w:r>
            <w:r w:rsidRPr="009542B2">
              <w:rPr>
                <w:color w:val="76923C" w:themeColor="accent3" w:themeShade="BF"/>
              </w:rPr>
              <w:fldChar w:fldCharType="separate"/>
            </w:r>
            <w:r w:rsidRPr="009542B2">
              <w:rPr>
                <w:rStyle w:val="Hyperlink"/>
                <w:color w:val="76923C" w:themeColor="accent3" w:themeShade="BF"/>
              </w:rPr>
              <w:t>https://www.ncbi.nlm.nih.gov/pmc/articles/PMC5837873/</w:t>
            </w:r>
          </w:p>
          <w:p w14:paraId="0BD805F0" w14:textId="77777777" w:rsidR="0019056F" w:rsidRPr="009542B2" w:rsidRDefault="0019056F" w:rsidP="009E73E8">
            <w:pPr>
              <w:ind w:left="0" w:firstLine="0"/>
              <w:rPr>
                <w:rFonts w:ascii="Calibri" w:hAnsi="Calibri"/>
                <w:color w:val="76923C" w:themeColor="accent3" w:themeShade="BF"/>
              </w:rPr>
            </w:pPr>
            <w:r w:rsidRPr="009542B2">
              <w:rPr>
                <w:color w:val="76923C" w:themeColor="accent3" w:themeShade="BF"/>
              </w:rPr>
              <w:fldChar w:fldCharType="end"/>
            </w:r>
          </w:p>
        </w:tc>
      </w:tr>
      <w:tr w:rsidR="0019056F" w:rsidRPr="009542B2" w14:paraId="31ED7BF2"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38237D04"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Quote the guideline or recommendation verbatim about the process, structure or intermediate outcome being measured. If not a guideline, summarize the conclusions from the SR.</w:t>
            </w:r>
          </w:p>
        </w:tc>
        <w:tc>
          <w:tcPr>
            <w:tcW w:w="7210" w:type="dxa"/>
            <w:tcBorders>
              <w:top w:val="single" w:sz="4" w:space="0" w:color="auto"/>
              <w:left w:val="single" w:sz="4" w:space="0" w:color="auto"/>
              <w:bottom w:val="single" w:sz="4" w:space="0" w:color="auto"/>
              <w:right w:val="single" w:sz="4" w:space="0" w:color="auto"/>
            </w:tcBorders>
          </w:tcPr>
          <w:p w14:paraId="447FE1B0" w14:textId="77777777" w:rsidR="0019056F" w:rsidRPr="009542B2" w:rsidRDefault="0019056F" w:rsidP="009E73E8">
            <w:pPr>
              <w:autoSpaceDE w:val="0"/>
              <w:autoSpaceDN w:val="0"/>
              <w:adjustRightInd w:val="0"/>
              <w:rPr>
                <w:b/>
                <w:bCs/>
                <w:color w:val="76923C" w:themeColor="accent3" w:themeShade="BF"/>
              </w:rPr>
            </w:pPr>
            <w:r w:rsidRPr="009542B2">
              <w:rPr>
                <w:b/>
                <w:bCs/>
                <w:color w:val="76923C" w:themeColor="accent3" w:themeShade="BF"/>
              </w:rPr>
              <w:t>Duration of Methadone Treatment (page 3-31) from 2018 SAMHSA Guideline</w:t>
            </w:r>
          </w:p>
          <w:p w14:paraId="7901F19A" w14:textId="77777777" w:rsidR="0019056F" w:rsidRPr="009542B2" w:rsidRDefault="0019056F" w:rsidP="009E73E8">
            <w:pPr>
              <w:autoSpaceDE w:val="0"/>
              <w:autoSpaceDN w:val="0"/>
              <w:adjustRightInd w:val="0"/>
              <w:rPr>
                <w:color w:val="76923C" w:themeColor="accent3" w:themeShade="BF"/>
              </w:rPr>
            </w:pPr>
            <w:r w:rsidRPr="009542B2">
              <w:rPr>
                <w:color w:val="76923C" w:themeColor="accent3" w:themeShade="BF"/>
              </w:rPr>
              <w:t>Longer lengths of stay in methadone treatment are associated with superior treatment outcomes. Leaving methadone treatment is associated with increased risk of death from overdose and other causes. Patients should continue as long as they benefit, want to, and develop no contraindications.</w:t>
            </w:r>
          </w:p>
          <w:p w14:paraId="5A9EAAE3" w14:textId="77777777" w:rsidR="0019056F" w:rsidRPr="009542B2" w:rsidRDefault="0019056F" w:rsidP="009E73E8">
            <w:pPr>
              <w:autoSpaceDE w:val="0"/>
              <w:autoSpaceDN w:val="0"/>
              <w:adjustRightInd w:val="0"/>
              <w:rPr>
                <w:rFonts w:ascii="Calibri" w:hAnsi="Calibri" w:cs="Calibri"/>
                <w:b/>
                <w:color w:val="76923C" w:themeColor="accent3" w:themeShade="BF"/>
              </w:rPr>
            </w:pPr>
          </w:p>
          <w:p w14:paraId="140EAFBE" w14:textId="77777777" w:rsidR="0019056F" w:rsidRPr="009542B2" w:rsidRDefault="0019056F" w:rsidP="009E73E8">
            <w:pPr>
              <w:autoSpaceDE w:val="0"/>
              <w:autoSpaceDN w:val="0"/>
              <w:adjustRightInd w:val="0"/>
              <w:rPr>
                <w:rFonts w:ascii="Calibri" w:hAnsi="Calibri" w:cs="Calibri"/>
                <w:b/>
                <w:color w:val="76923C" w:themeColor="accent3" w:themeShade="BF"/>
              </w:rPr>
            </w:pPr>
            <w:r w:rsidRPr="009542B2">
              <w:rPr>
                <w:rFonts w:ascii="Calibri" w:hAnsi="Calibri" w:cs="Calibri"/>
                <w:b/>
                <w:color w:val="76923C" w:themeColor="accent3" w:themeShade="BF"/>
              </w:rPr>
              <w:t>Understanding the benefits of medication of OUD (page 4-5) from 2018 SAMHSA Guideline</w:t>
            </w:r>
          </w:p>
          <w:p w14:paraId="1278C75F" w14:textId="77777777" w:rsidR="0019056F" w:rsidRPr="009542B2" w:rsidRDefault="0019056F" w:rsidP="009E73E8">
            <w:pPr>
              <w:autoSpaceDE w:val="0"/>
              <w:autoSpaceDN w:val="0"/>
              <w:adjustRightInd w:val="0"/>
              <w:rPr>
                <w:color w:val="76923C" w:themeColor="accent3" w:themeShade="BF"/>
              </w:rPr>
            </w:pPr>
            <w:r w:rsidRPr="009542B2">
              <w:rPr>
                <w:color w:val="76923C" w:themeColor="accent3" w:themeShade="BF"/>
              </w:rPr>
              <w:t>Treatment with methadone and buprenorphine is associated with lower likelihood of overdose death compared with not taking these medications.</w:t>
            </w:r>
          </w:p>
          <w:p w14:paraId="3E853598" w14:textId="77777777" w:rsidR="0019056F" w:rsidRPr="009542B2" w:rsidRDefault="0019056F" w:rsidP="009E73E8">
            <w:pPr>
              <w:autoSpaceDE w:val="0"/>
              <w:autoSpaceDN w:val="0"/>
              <w:adjustRightInd w:val="0"/>
              <w:spacing w:before="240"/>
              <w:rPr>
                <w:rFonts w:ascii="Calibri" w:hAnsi="Calibri" w:cs="Calibri"/>
                <w:b/>
                <w:color w:val="76923C" w:themeColor="accent3" w:themeShade="BF"/>
              </w:rPr>
            </w:pPr>
            <w:r w:rsidRPr="009542B2">
              <w:rPr>
                <w:rFonts w:ascii="Calibri" w:hAnsi="Calibri" w:cs="Calibri"/>
                <w:b/>
                <w:color w:val="76923C" w:themeColor="accent3" w:themeShade="BF"/>
              </w:rPr>
              <w:t>Risk of death (page E250) from 2018 CMAJ Guideline</w:t>
            </w:r>
          </w:p>
          <w:p w14:paraId="1765D6E5" w14:textId="77777777" w:rsidR="0019056F" w:rsidRPr="009542B2" w:rsidRDefault="0019056F" w:rsidP="009E73E8">
            <w:pPr>
              <w:autoSpaceDE w:val="0"/>
              <w:autoSpaceDN w:val="0"/>
              <w:adjustRightInd w:val="0"/>
              <w:rPr>
                <w:color w:val="76923C" w:themeColor="accent3" w:themeShade="BF"/>
              </w:rPr>
            </w:pPr>
            <w:r w:rsidRPr="009542B2">
              <w:rPr>
                <w:color w:val="76923C" w:themeColor="accent3" w:themeShade="BF"/>
              </w:rPr>
              <w:t>Pooled death rates were lower for buprenorphine–naloxone compared with methadone, both during treatment and in the period after completing treatment.</w:t>
            </w:r>
          </w:p>
          <w:p w14:paraId="38F1DE64" w14:textId="77777777" w:rsidR="0019056F" w:rsidRPr="009542B2" w:rsidRDefault="0019056F" w:rsidP="009E73E8">
            <w:pPr>
              <w:autoSpaceDE w:val="0"/>
              <w:autoSpaceDN w:val="0"/>
              <w:adjustRightInd w:val="0"/>
              <w:rPr>
                <w:rFonts w:ascii="Calibri" w:hAnsi="Calibri" w:cs="Calibri"/>
                <w:b/>
                <w:color w:val="76923C" w:themeColor="accent3" w:themeShade="BF"/>
              </w:rPr>
            </w:pPr>
          </w:p>
        </w:tc>
      </w:tr>
      <w:tr w:rsidR="0019056F" w:rsidRPr="009542B2" w14:paraId="50FB87E0"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7EB8AFAD"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evidence</w:t>
            </w:r>
            <w:r w:rsidRPr="009542B2">
              <w:rPr>
                <w:rFonts w:ascii="Calibri" w:hAnsi="Calibri"/>
                <w:color w:val="76923C" w:themeColor="accent3" w:themeShade="BF"/>
              </w:rPr>
              <w:t xml:space="preserve"> associated with the recommendation with the definition of the grade</w:t>
            </w:r>
          </w:p>
        </w:tc>
        <w:tc>
          <w:tcPr>
            <w:tcW w:w="7210" w:type="dxa"/>
            <w:tcBorders>
              <w:top w:val="single" w:sz="4" w:space="0" w:color="auto"/>
              <w:left w:val="single" w:sz="4" w:space="0" w:color="auto"/>
              <w:bottom w:val="single" w:sz="4" w:space="0" w:color="auto"/>
              <w:right w:val="single" w:sz="4" w:space="0" w:color="auto"/>
            </w:tcBorders>
            <w:hideMark/>
          </w:tcPr>
          <w:p w14:paraId="0E388BF8" w14:textId="77777777" w:rsidR="0019056F" w:rsidRPr="009542B2" w:rsidRDefault="0019056F" w:rsidP="009E73E8">
            <w:pPr>
              <w:ind w:left="0" w:firstLine="0"/>
              <w:rPr>
                <w:color w:val="76923C" w:themeColor="accent3" w:themeShade="BF"/>
              </w:rPr>
            </w:pPr>
            <w:r w:rsidRPr="009542B2">
              <w:rPr>
                <w:color w:val="76923C" w:themeColor="accent3" w:themeShade="BF"/>
              </w:rPr>
              <w:t xml:space="preserve">A quality assessment form is designed based on the methodology checklist for cohort studies developed by the Scottish Intercollegiate Guidelines Network and the checklist for drug related studies developed by the National Drug and Alcohol Research Centre, Australia. “The design process, based on a thorough review of the above sources, included the development of different proposals, discussion of their appropriateness, and final agreement among the authors. The final version comprised separate sections according to the study design and was based on a “star system” score approach, including a general appraisal of external and internal validity and of the biases relevant to cohort studies, plus an ad hoc assessment of reporting for studies on mortality during and after opioid substitution treatment”. </w:t>
            </w:r>
          </w:p>
          <w:p w14:paraId="2A5E4FFC" w14:textId="77777777" w:rsidR="0019056F" w:rsidRPr="009542B2" w:rsidRDefault="0019056F" w:rsidP="009E73E8">
            <w:pPr>
              <w:ind w:left="0" w:firstLine="0"/>
              <w:rPr>
                <w:rFonts w:ascii="Calibri" w:hAnsi="Calibri"/>
                <w:color w:val="76923C" w:themeColor="accent3" w:themeShade="BF"/>
              </w:rPr>
            </w:pPr>
            <w:r w:rsidRPr="009542B2">
              <w:rPr>
                <w:color w:val="76923C" w:themeColor="accent3" w:themeShade="BF"/>
              </w:rPr>
              <w:t>“Most studies were of moderate quality. They ranged from 3 to 13 points on a 16 point scale, with a median of 8 points.”</w:t>
            </w:r>
          </w:p>
          <w:p w14:paraId="7F2F346F" w14:textId="77777777" w:rsidR="0019056F" w:rsidRPr="009542B2" w:rsidRDefault="0019056F" w:rsidP="009E73E8">
            <w:pPr>
              <w:ind w:left="0" w:firstLine="0"/>
              <w:rPr>
                <w:rFonts w:ascii="Calibri" w:hAnsi="Calibri"/>
                <w:color w:val="76923C" w:themeColor="accent3" w:themeShade="BF"/>
              </w:rPr>
            </w:pPr>
          </w:p>
        </w:tc>
      </w:tr>
      <w:tr w:rsidR="0019056F" w:rsidRPr="009542B2" w14:paraId="4B1961C7"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5C987876"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evidence grading system</w:t>
            </w:r>
          </w:p>
        </w:tc>
        <w:tc>
          <w:tcPr>
            <w:tcW w:w="7210" w:type="dxa"/>
            <w:tcBorders>
              <w:top w:val="single" w:sz="4" w:space="0" w:color="auto"/>
              <w:left w:val="single" w:sz="4" w:space="0" w:color="auto"/>
              <w:bottom w:val="single" w:sz="4" w:space="0" w:color="auto"/>
              <w:right w:val="single" w:sz="4" w:space="0" w:color="auto"/>
            </w:tcBorders>
            <w:hideMark/>
          </w:tcPr>
          <w:p w14:paraId="605229C5" w14:textId="77777777" w:rsidR="0019056F" w:rsidRPr="009542B2" w:rsidRDefault="009924C9" w:rsidP="009E73E8">
            <w:pPr>
              <w:ind w:left="0" w:firstLine="0"/>
              <w:rPr>
                <w:rFonts w:ascii="Calibri" w:hAnsi="Calibri"/>
                <w:color w:val="76923C" w:themeColor="accent3" w:themeShade="BF"/>
              </w:rPr>
            </w:pPr>
            <w:hyperlink r:id="rId20" w:history="1">
              <w:r w:rsidR="0019056F" w:rsidRPr="009542B2">
                <w:rPr>
                  <w:rStyle w:val="Hyperlink"/>
                  <w:color w:val="76923C" w:themeColor="accent3" w:themeShade="BF"/>
                </w:rPr>
                <w:t>https://www.bmj.com/content/bmj/suppl/2017/04/26/bmj.j1550.DC1/sorl034883.ww3.pdf</w:t>
              </w:r>
            </w:hyperlink>
          </w:p>
        </w:tc>
      </w:tr>
      <w:tr w:rsidR="0019056F" w:rsidRPr="009542B2" w14:paraId="59AFA11D"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27C8E8C2"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recommendation</w:t>
            </w:r>
            <w:r w:rsidRPr="009542B2">
              <w:rPr>
                <w:rFonts w:ascii="Calibri" w:hAnsi="Calibri"/>
                <w:color w:val="76923C" w:themeColor="accent3" w:themeShade="BF"/>
              </w:rPr>
              <w:t xml:space="preserve"> with definition of the grade</w:t>
            </w:r>
          </w:p>
        </w:tc>
        <w:tc>
          <w:tcPr>
            <w:tcW w:w="7210" w:type="dxa"/>
            <w:tcBorders>
              <w:top w:val="single" w:sz="4" w:space="0" w:color="auto"/>
              <w:left w:val="single" w:sz="4" w:space="0" w:color="auto"/>
              <w:bottom w:val="single" w:sz="4" w:space="0" w:color="auto"/>
              <w:right w:val="single" w:sz="4" w:space="0" w:color="auto"/>
            </w:tcBorders>
            <w:hideMark/>
          </w:tcPr>
          <w:p w14:paraId="61962FAB"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The systematic review does not grade the recommendation.</w:t>
            </w:r>
          </w:p>
        </w:tc>
      </w:tr>
      <w:tr w:rsidR="0019056F" w:rsidRPr="009542B2" w14:paraId="6AAD72F2"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41C4C840"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recommendation grading system</w:t>
            </w:r>
          </w:p>
        </w:tc>
        <w:tc>
          <w:tcPr>
            <w:tcW w:w="7210" w:type="dxa"/>
            <w:tcBorders>
              <w:top w:val="single" w:sz="4" w:space="0" w:color="auto"/>
              <w:left w:val="single" w:sz="4" w:space="0" w:color="auto"/>
              <w:bottom w:val="single" w:sz="4" w:space="0" w:color="auto"/>
              <w:right w:val="single" w:sz="4" w:space="0" w:color="auto"/>
            </w:tcBorders>
          </w:tcPr>
          <w:p w14:paraId="35431C9D" w14:textId="77777777" w:rsidR="0019056F" w:rsidRPr="009542B2" w:rsidRDefault="0019056F" w:rsidP="009E73E8">
            <w:pPr>
              <w:ind w:left="0" w:firstLine="0"/>
              <w:rPr>
                <w:rFonts w:ascii="Calibri" w:hAnsi="Calibri"/>
                <w:color w:val="76923C" w:themeColor="accent3" w:themeShade="BF"/>
                <w:highlight w:val="darkGray"/>
              </w:rPr>
            </w:pPr>
            <w:r w:rsidRPr="009542B2">
              <w:rPr>
                <w:rFonts w:ascii="Calibri" w:hAnsi="Calibri"/>
                <w:color w:val="76923C" w:themeColor="accent3" w:themeShade="BF"/>
              </w:rPr>
              <w:t>The systematic review does not grade the recommendation.</w:t>
            </w:r>
          </w:p>
        </w:tc>
      </w:tr>
      <w:tr w:rsidR="0019056F" w:rsidRPr="009542B2" w14:paraId="6F14814C"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1B1FABCC"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Body of evidence:</w:t>
            </w:r>
          </w:p>
          <w:p w14:paraId="290E6A95" w14:textId="77777777" w:rsidR="0019056F" w:rsidRPr="009542B2" w:rsidRDefault="0019056F" w:rsidP="009E73E8">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Quantity – how many studies?</w:t>
            </w:r>
          </w:p>
          <w:p w14:paraId="291B95D2" w14:textId="77777777" w:rsidR="0019056F" w:rsidRPr="009542B2" w:rsidRDefault="0019056F" w:rsidP="009E73E8">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Quality – what type of studies?</w:t>
            </w:r>
          </w:p>
        </w:tc>
        <w:tc>
          <w:tcPr>
            <w:tcW w:w="7210" w:type="dxa"/>
            <w:tcBorders>
              <w:top w:val="single" w:sz="4" w:space="0" w:color="auto"/>
              <w:left w:val="single" w:sz="4" w:space="0" w:color="auto"/>
              <w:bottom w:val="single" w:sz="4" w:space="0" w:color="auto"/>
              <w:right w:val="single" w:sz="4" w:space="0" w:color="auto"/>
            </w:tcBorders>
          </w:tcPr>
          <w:p w14:paraId="224F5BE7"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Quantity of studies included: </w:t>
            </w:r>
            <w:r w:rsidRPr="009542B2">
              <w:rPr>
                <w:color w:val="76923C" w:themeColor="accent3" w:themeShade="BF"/>
              </w:rPr>
              <w:t>19 eligible cohorts, following 122 885 people treated with methadone over 1.3-13.9 years and 15 831 people treated with buprenorphine over 1.1-4.5 years.</w:t>
            </w:r>
          </w:p>
          <w:p w14:paraId="598572C0" w14:textId="77777777" w:rsidR="0019056F" w:rsidRPr="009542B2" w:rsidRDefault="0019056F" w:rsidP="009E73E8">
            <w:pPr>
              <w:ind w:left="0" w:firstLine="0"/>
              <w:rPr>
                <w:rFonts w:ascii="Calibri" w:hAnsi="Calibri"/>
                <w:color w:val="76923C" w:themeColor="accent3" w:themeShade="BF"/>
              </w:rPr>
            </w:pPr>
          </w:p>
          <w:p w14:paraId="6F9014AD"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Quality of studies included: “</w:t>
            </w:r>
            <w:r w:rsidRPr="009542B2">
              <w:rPr>
                <w:color w:val="76923C" w:themeColor="accent3" w:themeShade="BF"/>
              </w:rPr>
              <w:t>We included cohort studies comparing mortality among people with opioid dependence. To be eligible, studies had to include follow-up data during and after opioid substitution treatment with methadone or buprenorphine. The prespecified exclusion criteria were as follows: • No data in humans • No original research (reviews, editorials, non-research letters, protocols) • Study design other than observational cohort (clinical trials, case-control studies, cross sectional surveys, case reports, case series, qualitative research) • Study not focused on people with opioid dependence • People in prison or recently released • Treatment unknown or other than methadone or buprenorphine maintenance (methadone detoxification, opioid antagonist therapy, therapeutic community) • No all cause or overdose mortality as outcome or no deaths over follow-up • Insufficient data to compute mortality rates during periods in and out of treatment (number of deaths and person years broken down by follow-up period in and out of treatment). For cohorts originating several reports, we used data from non-overlapping follow-up periods from each report whenever possible or selected the publication with the longest follow-up.”</w:t>
            </w:r>
          </w:p>
          <w:p w14:paraId="05762464" w14:textId="77777777" w:rsidR="0019056F" w:rsidRPr="009542B2" w:rsidRDefault="0019056F" w:rsidP="009E73E8">
            <w:pPr>
              <w:ind w:left="0" w:firstLine="0"/>
              <w:rPr>
                <w:rFonts w:ascii="Calibri" w:hAnsi="Calibri"/>
                <w:color w:val="76923C" w:themeColor="accent3" w:themeShade="BF"/>
              </w:rPr>
            </w:pPr>
          </w:p>
          <w:p w14:paraId="205EC767" w14:textId="77777777" w:rsidR="0019056F" w:rsidRPr="009542B2" w:rsidRDefault="0019056F" w:rsidP="009E73E8">
            <w:pPr>
              <w:rPr>
                <w:rFonts w:ascii="Calibri" w:hAnsi="Calibri"/>
                <w:color w:val="76923C" w:themeColor="accent3" w:themeShade="BF"/>
              </w:rPr>
            </w:pPr>
          </w:p>
        </w:tc>
      </w:tr>
      <w:tr w:rsidR="0019056F" w:rsidRPr="009542B2" w14:paraId="1D654D77"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00B13A5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Estimates of benefit and consistency across studies </w:t>
            </w:r>
          </w:p>
        </w:tc>
        <w:tc>
          <w:tcPr>
            <w:tcW w:w="7210" w:type="dxa"/>
            <w:tcBorders>
              <w:top w:val="single" w:sz="4" w:space="0" w:color="auto"/>
              <w:left w:val="single" w:sz="4" w:space="0" w:color="auto"/>
              <w:bottom w:val="single" w:sz="4" w:space="0" w:color="auto"/>
              <w:right w:val="single" w:sz="4" w:space="0" w:color="auto"/>
            </w:tcBorders>
            <w:hideMark/>
          </w:tcPr>
          <w:p w14:paraId="2A19086F" w14:textId="77777777" w:rsidR="0019056F" w:rsidRPr="009542B2" w:rsidRDefault="0019056F" w:rsidP="009E73E8">
            <w:pPr>
              <w:ind w:left="0" w:firstLine="0"/>
              <w:rPr>
                <w:color w:val="76923C" w:themeColor="accent3" w:themeShade="BF"/>
              </w:rPr>
            </w:pPr>
            <w:r w:rsidRPr="009542B2">
              <w:rPr>
                <w:rFonts w:ascii="Calibri" w:hAnsi="Calibri"/>
                <w:color w:val="76923C" w:themeColor="accent3" w:themeShade="BF"/>
              </w:rPr>
              <w:t>“The review suggests that time spent in opioid substitution treatment with methadone is associated with an average reduction of 25 deaths/1000 person years (95% confidence interval 14 to 36). The rate in treatment was less than a third of the rate out of treatment, with the greatest difference in deaths from overdose. The all cause mortality risk during treatment is much higher in the first four weeks than in the remainder of treatment. Mortality risk is also higher in the first four weeks after cessation than in the remainder time out of treatment.”</w:t>
            </w:r>
          </w:p>
        </w:tc>
      </w:tr>
      <w:tr w:rsidR="0019056F" w:rsidRPr="009542B2" w14:paraId="5DEC9129"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5259839E"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What harms were identified?</w:t>
            </w:r>
          </w:p>
        </w:tc>
        <w:tc>
          <w:tcPr>
            <w:tcW w:w="7210" w:type="dxa"/>
            <w:tcBorders>
              <w:top w:val="single" w:sz="4" w:space="0" w:color="auto"/>
              <w:left w:val="single" w:sz="4" w:space="0" w:color="auto"/>
              <w:bottom w:val="single" w:sz="4" w:space="0" w:color="auto"/>
              <w:right w:val="single" w:sz="4" w:space="0" w:color="auto"/>
            </w:tcBorders>
            <w:hideMark/>
          </w:tcPr>
          <w:p w14:paraId="4F1B1B21"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No harms were identified in the systematic review article. </w:t>
            </w:r>
          </w:p>
        </w:tc>
      </w:tr>
      <w:tr w:rsidR="0019056F" w:rsidRPr="009542B2" w14:paraId="68097795" w14:textId="77777777" w:rsidTr="009E73E8">
        <w:tc>
          <w:tcPr>
            <w:tcW w:w="2140" w:type="dxa"/>
            <w:tcBorders>
              <w:top w:val="single" w:sz="4" w:space="0" w:color="auto"/>
              <w:left w:val="single" w:sz="4" w:space="0" w:color="auto"/>
              <w:bottom w:val="single" w:sz="4" w:space="0" w:color="auto"/>
              <w:right w:val="single" w:sz="4" w:space="0" w:color="auto"/>
            </w:tcBorders>
            <w:hideMark/>
          </w:tcPr>
          <w:p w14:paraId="5789B95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Identify any new studies conducted since the SR. Do the new studies change the conclusions from the SR?</w:t>
            </w:r>
          </w:p>
        </w:tc>
        <w:tc>
          <w:tcPr>
            <w:tcW w:w="7210" w:type="dxa"/>
            <w:tcBorders>
              <w:top w:val="single" w:sz="4" w:space="0" w:color="auto"/>
              <w:left w:val="single" w:sz="4" w:space="0" w:color="auto"/>
              <w:bottom w:val="single" w:sz="4" w:space="0" w:color="auto"/>
              <w:right w:val="single" w:sz="4" w:space="0" w:color="auto"/>
            </w:tcBorders>
            <w:hideMark/>
          </w:tcPr>
          <w:p w14:paraId="5999456E"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No new studies were identified.</w:t>
            </w:r>
          </w:p>
        </w:tc>
      </w:tr>
    </w:tbl>
    <w:p w14:paraId="4E3D7B2D" w14:textId="77777777" w:rsidR="0019056F" w:rsidRPr="009542B2" w:rsidRDefault="0019056F" w:rsidP="0019056F">
      <w:pPr>
        <w:rPr>
          <w:b/>
          <w:iCs/>
          <w:caps/>
          <w:color w:val="76923C" w:themeColor="accent3" w:themeShade="BF"/>
        </w:rPr>
      </w:pPr>
    </w:p>
    <w:p w14:paraId="27AB4457" w14:textId="77777777" w:rsidR="0019056F" w:rsidRPr="009542B2" w:rsidRDefault="0019056F" w:rsidP="0019056F">
      <w:pPr>
        <w:rPr>
          <w:b/>
          <w:iCs/>
          <w:caps/>
          <w:color w:val="76923C" w:themeColor="accent3" w:themeShade="BF"/>
        </w:rPr>
      </w:pPr>
    </w:p>
    <w:p w14:paraId="00D0DC52" w14:textId="77777777" w:rsidR="0019056F" w:rsidRDefault="0019056F">
      <w:pPr>
        <w:rPr>
          <w:rFonts w:asciiTheme="majorHAnsi" w:eastAsia="Times New Roman" w:hAnsiTheme="majorHAnsi" w:cstheme="majorBidi"/>
          <w:b/>
          <w:bCs/>
          <w:color w:val="76923C" w:themeColor="accent3" w:themeShade="BF"/>
          <w:sz w:val="26"/>
          <w:szCs w:val="26"/>
        </w:rPr>
      </w:pPr>
      <w:r>
        <w:rPr>
          <w:rFonts w:asciiTheme="majorHAnsi" w:eastAsia="Times New Roman" w:hAnsiTheme="majorHAnsi" w:cstheme="majorBidi"/>
          <w:b/>
          <w:bCs/>
          <w:color w:val="76923C" w:themeColor="accent3" w:themeShade="BF"/>
          <w:sz w:val="26"/>
          <w:szCs w:val="26"/>
        </w:rPr>
        <w:br w:type="page"/>
      </w:r>
    </w:p>
    <w:p w14:paraId="70699305" w14:textId="3CBB8457" w:rsidR="0019056F" w:rsidRPr="009542B2" w:rsidRDefault="0019056F" w:rsidP="0019056F">
      <w:pPr>
        <w:keepNext/>
        <w:keepLines/>
        <w:spacing w:before="200" w:line="276" w:lineRule="auto"/>
        <w:ind w:left="0" w:firstLine="0"/>
        <w:outlineLvl w:val="1"/>
        <w:rPr>
          <w:i/>
          <w:iCs/>
          <w:color w:val="76923C" w:themeColor="accent3" w:themeShade="BF"/>
        </w:rPr>
      </w:pPr>
      <w:r w:rsidRPr="009542B2">
        <w:rPr>
          <w:rFonts w:asciiTheme="majorHAnsi" w:eastAsia="Times New Roman" w:hAnsiTheme="majorHAnsi" w:cstheme="majorBidi"/>
          <w:b/>
          <w:bCs/>
          <w:color w:val="76923C" w:themeColor="accent3" w:themeShade="BF"/>
          <w:sz w:val="26"/>
          <w:szCs w:val="26"/>
        </w:rPr>
        <w:t>Exhibit 8. Systematic Review Cited by the SAMSHA TIP and CRISM Guidelines (Nielsen et al., 2016)</w:t>
      </w:r>
    </w:p>
    <w:tbl>
      <w:tblPr>
        <w:tblStyle w:val="TableGrid"/>
        <w:tblW w:w="0" w:type="auto"/>
        <w:tblLook w:val="04A0" w:firstRow="1" w:lastRow="0" w:firstColumn="1" w:lastColumn="0" w:noHBand="0" w:noVBand="1"/>
      </w:tblPr>
      <w:tblGrid>
        <w:gridCol w:w="2487"/>
        <w:gridCol w:w="6863"/>
      </w:tblGrid>
      <w:tr w:rsidR="0019056F" w:rsidRPr="009542B2" w14:paraId="169A727A"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1D3A29B8" w14:textId="77777777" w:rsidR="0019056F" w:rsidRPr="009542B2" w:rsidRDefault="0019056F" w:rsidP="009E73E8">
            <w:pPr>
              <w:ind w:left="0" w:firstLine="0"/>
              <w:rPr>
                <w:rFonts w:ascii="Calibri" w:hAnsi="Calibri"/>
                <w:b/>
                <w:color w:val="76923C" w:themeColor="accent3" w:themeShade="BF"/>
              </w:rPr>
            </w:pPr>
            <w:r w:rsidRPr="009542B2">
              <w:rPr>
                <w:rFonts w:ascii="Calibri" w:hAnsi="Calibri"/>
                <w:b/>
                <w:color w:val="76923C" w:themeColor="accent3" w:themeShade="BF"/>
              </w:rPr>
              <w:t>Source of Systematic Review:</w:t>
            </w:r>
          </w:p>
          <w:p w14:paraId="5B5F37E8"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Title</w:t>
            </w:r>
          </w:p>
          <w:p w14:paraId="6EF0A4BB"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Author</w:t>
            </w:r>
          </w:p>
          <w:p w14:paraId="20EC97E4"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Date</w:t>
            </w:r>
          </w:p>
          <w:p w14:paraId="2F8BC658"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Citation, including page number</w:t>
            </w:r>
          </w:p>
          <w:p w14:paraId="2044E082" w14:textId="77777777" w:rsidR="0019056F" w:rsidRPr="009542B2" w:rsidRDefault="0019056F" w:rsidP="009E73E8">
            <w:pPr>
              <w:numPr>
                <w:ilvl w:val="0"/>
                <w:numId w:val="9"/>
              </w:numPr>
              <w:ind w:left="1440"/>
              <w:contextualSpacing/>
              <w:rPr>
                <w:rFonts w:ascii="Calibri" w:eastAsiaTheme="minorEastAsia" w:hAnsi="Calibri"/>
                <w:b/>
                <w:color w:val="76923C" w:themeColor="accent3" w:themeShade="BF"/>
              </w:rPr>
            </w:pPr>
            <w:r w:rsidRPr="009542B2">
              <w:rPr>
                <w:rFonts w:ascii="Calibri" w:eastAsiaTheme="minorEastAsia" w:hAnsi="Calibri"/>
                <w:b/>
                <w:color w:val="76923C" w:themeColor="accent3" w:themeShade="BF"/>
              </w:rPr>
              <w:t>URL</w:t>
            </w:r>
          </w:p>
        </w:tc>
        <w:tc>
          <w:tcPr>
            <w:tcW w:w="6863" w:type="dxa"/>
            <w:tcBorders>
              <w:top w:val="single" w:sz="4" w:space="0" w:color="auto"/>
              <w:left w:val="single" w:sz="4" w:space="0" w:color="auto"/>
              <w:bottom w:val="single" w:sz="4" w:space="0" w:color="auto"/>
              <w:right w:val="single" w:sz="4" w:space="0" w:color="auto"/>
            </w:tcBorders>
          </w:tcPr>
          <w:p w14:paraId="0D659A18"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Systematic Review:</w:t>
            </w:r>
          </w:p>
          <w:p w14:paraId="0DD54D69" w14:textId="77777777" w:rsidR="0019056F" w:rsidRPr="009542B2" w:rsidRDefault="0019056F" w:rsidP="009E73E8">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r w:rsidRPr="009542B2">
              <w:rPr>
                <w:color w:val="76923C" w:themeColor="accent3" w:themeShade="BF"/>
                <w:lang w:val="de-DE"/>
              </w:rPr>
              <w:t xml:space="preserve">Nielsen, S., Larance, B., Degenhardt, L., Gowing, L., Kehler, C., &amp; Lintzeris, N. (2016). </w:t>
            </w:r>
            <w:r w:rsidRPr="009542B2">
              <w:rPr>
                <w:color w:val="76923C" w:themeColor="accent3" w:themeShade="BF"/>
              </w:rPr>
              <w:t>Opioid agonist treatment for pharmaceutical opioid dependent people. Cochrane Database of Systematic Reviews, 2016(5), 1–61.</w:t>
            </w:r>
          </w:p>
          <w:p w14:paraId="4B075B95" w14:textId="77777777" w:rsidR="0019056F" w:rsidRPr="009542B2" w:rsidRDefault="0019056F" w:rsidP="009E73E8">
            <w:pPr>
              <w:ind w:left="0" w:firstLine="0"/>
              <w:rPr>
                <w:rFonts w:ascii="Calibri" w:hAnsi="Calibri"/>
                <w:color w:val="76923C" w:themeColor="accent3" w:themeShade="BF"/>
              </w:rPr>
            </w:pPr>
          </w:p>
          <w:p w14:paraId="745143E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Effectiveness of Medication</w:t>
            </w:r>
            <w:r w:rsidRPr="009542B2">
              <w:rPr>
                <w:color w:val="76923C" w:themeColor="accent3" w:themeShade="BF"/>
              </w:rPr>
              <w:t xml:space="preserve"> (page 1-5 and page3-7) and the benefits of medication for OUD (page 4-5) </w:t>
            </w:r>
            <w:r w:rsidRPr="009542B2">
              <w:rPr>
                <w:rFonts w:ascii="Calibri" w:hAnsi="Calibri"/>
                <w:color w:val="76923C" w:themeColor="accent3" w:themeShade="BF"/>
              </w:rPr>
              <w:t xml:space="preserve">by: </w:t>
            </w:r>
            <w:r w:rsidRPr="009542B2">
              <w:rPr>
                <w:color w:val="76923C" w:themeColor="accent3" w:themeShade="BF"/>
              </w:rPr>
              <w:t xml:space="preserve">Substance Abuse and Mental Health Services Administration (SAMHSA). (2018). Medications for Opioid Use Disorder. For Healthcare and Addiction Professionals, Policymakers, Patients, and Families. </w:t>
            </w:r>
          </w:p>
          <w:p w14:paraId="6CA81BBC" w14:textId="77777777" w:rsidR="0019056F" w:rsidRPr="009542B2" w:rsidRDefault="0019056F" w:rsidP="009E73E8">
            <w:pPr>
              <w:spacing w:after="240"/>
              <w:ind w:left="0" w:firstLine="0"/>
              <w:rPr>
                <w:color w:val="76923C" w:themeColor="accent3" w:themeShade="BF"/>
              </w:rPr>
            </w:pPr>
            <w:r w:rsidRPr="009542B2">
              <w:rPr>
                <w:color w:val="76923C" w:themeColor="accent3" w:themeShade="BF"/>
              </w:rPr>
              <w:t xml:space="preserve">Available at </w:t>
            </w:r>
            <w:hyperlink r:id="rId21" w:history="1">
              <w:r w:rsidRPr="009542B2">
                <w:rPr>
                  <w:rStyle w:val="Hyperlink"/>
                  <w:color w:val="76923C" w:themeColor="accent3" w:themeShade="BF"/>
                </w:rPr>
                <w:t>https://store.samhsa.gov/system/files/sma18-5063fulldoc_0.pdf</w:t>
              </w:r>
            </w:hyperlink>
          </w:p>
          <w:p w14:paraId="083CFB81" w14:textId="77777777" w:rsidR="0019056F" w:rsidRPr="009542B2" w:rsidRDefault="0019056F" w:rsidP="009E73E8">
            <w:pPr>
              <w:keepNext/>
              <w:keepLines/>
              <w:spacing w:line="276" w:lineRule="auto"/>
              <w:outlineLvl w:val="1"/>
              <w:rPr>
                <w:color w:val="76923C" w:themeColor="accent3" w:themeShade="BF"/>
              </w:rPr>
            </w:pPr>
            <w:r w:rsidRPr="009542B2">
              <w:rPr>
                <w:rFonts w:ascii="Calibri" w:hAnsi="Calibri"/>
                <w:color w:val="76923C" w:themeColor="accent3" w:themeShade="BF"/>
              </w:rPr>
              <w:t xml:space="preserve">Cited in support of </w:t>
            </w:r>
            <w:r w:rsidRPr="009542B2">
              <w:rPr>
                <w:rFonts w:ascii="Calibri" w:hAnsi="Calibri"/>
                <w:i/>
                <w:color w:val="76923C" w:themeColor="accent3" w:themeShade="BF"/>
              </w:rPr>
              <w:t>Risk of Death</w:t>
            </w:r>
            <w:r w:rsidRPr="009542B2">
              <w:rPr>
                <w:rFonts w:ascii="Calibri" w:hAnsi="Calibri"/>
                <w:color w:val="76923C" w:themeColor="accent3" w:themeShade="BF"/>
              </w:rPr>
              <w:t xml:space="preserve"> (page E249) by</w:t>
            </w:r>
            <w:r w:rsidRPr="009542B2">
              <w:rPr>
                <w:color w:val="76923C" w:themeColor="accent3" w:themeShade="BF"/>
              </w:rPr>
              <w:t>: Bruneau et al. Management of opioid use disorders: a national clinical practice guideline. CMAJ. 2018;190(9):E247–E257. doi:10.1503/cmaj.170958</w:t>
            </w:r>
          </w:p>
          <w:p w14:paraId="26892F40" w14:textId="77777777" w:rsidR="0019056F" w:rsidRPr="009542B2" w:rsidRDefault="0019056F" w:rsidP="009E73E8">
            <w:pPr>
              <w:keepNext/>
              <w:keepLines/>
              <w:spacing w:line="276" w:lineRule="auto"/>
              <w:outlineLvl w:val="1"/>
              <w:rPr>
                <w:color w:val="76923C" w:themeColor="accent3" w:themeShade="BF"/>
              </w:rPr>
            </w:pPr>
            <w:r w:rsidRPr="009542B2">
              <w:rPr>
                <w:color w:val="76923C" w:themeColor="accent3" w:themeShade="BF"/>
              </w:rPr>
              <w:t>Available at</w:t>
            </w:r>
            <w:r w:rsidRPr="009542B2">
              <w:rPr>
                <w:color w:val="76923C" w:themeColor="accent3" w:themeShade="BF"/>
                <w:sz w:val="24"/>
                <w:szCs w:val="24"/>
              </w:rPr>
              <w:t xml:space="preserve"> </w:t>
            </w:r>
            <w:r w:rsidRPr="009542B2">
              <w:rPr>
                <w:color w:val="76923C" w:themeColor="accent3" w:themeShade="BF"/>
              </w:rPr>
              <w:fldChar w:fldCharType="begin"/>
            </w:r>
            <w:r w:rsidRPr="009542B2">
              <w:rPr>
                <w:color w:val="76923C" w:themeColor="accent3" w:themeShade="BF"/>
              </w:rPr>
              <w:instrText xml:space="preserve"> HYPERLINK "https://www.ncbi.nlm.nih.gov/pmc/articles/PMC5837873/</w:instrText>
            </w:r>
          </w:p>
          <w:p w14:paraId="77E6643E" w14:textId="77777777" w:rsidR="0019056F" w:rsidRPr="009542B2" w:rsidRDefault="0019056F" w:rsidP="009E73E8">
            <w:pPr>
              <w:pStyle w:val="ListParagraph"/>
              <w:keepNext/>
              <w:keepLines/>
              <w:spacing w:before="200"/>
              <w:ind w:firstLine="0"/>
              <w:outlineLvl w:val="1"/>
              <w:rPr>
                <w:rStyle w:val="Hyperlink"/>
                <w:color w:val="76923C" w:themeColor="accent3" w:themeShade="BF"/>
              </w:rPr>
            </w:pPr>
            <w:r w:rsidRPr="009542B2">
              <w:rPr>
                <w:color w:val="76923C" w:themeColor="accent3" w:themeShade="BF"/>
              </w:rPr>
              <w:instrText xml:space="preserve">" </w:instrText>
            </w:r>
            <w:r w:rsidRPr="009542B2">
              <w:rPr>
                <w:color w:val="76923C" w:themeColor="accent3" w:themeShade="BF"/>
              </w:rPr>
              <w:fldChar w:fldCharType="separate"/>
            </w:r>
            <w:r w:rsidRPr="009542B2">
              <w:rPr>
                <w:rStyle w:val="Hyperlink"/>
                <w:color w:val="76923C" w:themeColor="accent3" w:themeShade="BF"/>
              </w:rPr>
              <w:t>https://www.ncbi.nlm.nih.gov/pmc/articles/PMC5837873/</w:t>
            </w:r>
          </w:p>
          <w:p w14:paraId="5CA08EFD" w14:textId="77777777" w:rsidR="0019056F" w:rsidRPr="009542B2" w:rsidRDefault="0019056F" w:rsidP="009E73E8">
            <w:pPr>
              <w:ind w:left="0" w:firstLine="0"/>
              <w:rPr>
                <w:rFonts w:ascii="Calibri" w:hAnsi="Calibri"/>
                <w:color w:val="76923C" w:themeColor="accent3" w:themeShade="BF"/>
              </w:rPr>
            </w:pPr>
            <w:r w:rsidRPr="009542B2">
              <w:rPr>
                <w:color w:val="76923C" w:themeColor="accent3" w:themeShade="BF"/>
              </w:rPr>
              <w:fldChar w:fldCharType="end"/>
            </w:r>
          </w:p>
        </w:tc>
      </w:tr>
      <w:tr w:rsidR="0019056F" w:rsidRPr="009542B2" w14:paraId="3880B2C8"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3E2681B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Quote the guideline or recommendation verbatim about the process, structure or intermediate outcome being measured. If not a guideline, summarize the conclusions from the SR.</w:t>
            </w:r>
          </w:p>
        </w:tc>
        <w:tc>
          <w:tcPr>
            <w:tcW w:w="6863" w:type="dxa"/>
            <w:tcBorders>
              <w:top w:val="single" w:sz="4" w:space="0" w:color="auto"/>
              <w:left w:val="single" w:sz="4" w:space="0" w:color="auto"/>
              <w:bottom w:val="single" w:sz="4" w:space="0" w:color="auto"/>
              <w:right w:val="single" w:sz="4" w:space="0" w:color="auto"/>
            </w:tcBorders>
          </w:tcPr>
          <w:p w14:paraId="664C448A" w14:textId="77777777" w:rsidR="0019056F" w:rsidRPr="009542B2" w:rsidRDefault="0019056F" w:rsidP="009E73E8">
            <w:pPr>
              <w:autoSpaceDE w:val="0"/>
              <w:autoSpaceDN w:val="0"/>
              <w:adjustRightInd w:val="0"/>
              <w:rPr>
                <w:b/>
                <w:bCs/>
                <w:color w:val="76923C" w:themeColor="accent3" w:themeShade="BF"/>
              </w:rPr>
            </w:pPr>
            <w:r w:rsidRPr="009542B2">
              <w:rPr>
                <w:b/>
                <w:bCs/>
                <w:color w:val="76923C" w:themeColor="accent3" w:themeShade="BF"/>
              </w:rPr>
              <w:t>Effectiveness of medications (page 1-5 and page 3-7) from 2018 SAMHSA Guideline</w:t>
            </w:r>
          </w:p>
          <w:p w14:paraId="16EE5F44" w14:textId="77777777" w:rsidR="0019056F" w:rsidRPr="009542B2" w:rsidRDefault="0019056F" w:rsidP="009E73E8">
            <w:pPr>
              <w:autoSpaceDE w:val="0"/>
              <w:autoSpaceDN w:val="0"/>
              <w:adjustRightInd w:val="0"/>
              <w:rPr>
                <w:color w:val="76923C" w:themeColor="accent3" w:themeShade="BF"/>
              </w:rPr>
            </w:pPr>
            <w:r w:rsidRPr="009542B2">
              <w:rPr>
                <w:color w:val="76923C" w:themeColor="accent3" w:themeShade="BF"/>
              </w:rPr>
              <w:t>Methadone retains patients in treatment and reduces illicit opioid use more effectively than placebo, medically supervised withdrawal, or no treatment.</w:t>
            </w:r>
          </w:p>
          <w:p w14:paraId="51C97437" w14:textId="77777777" w:rsidR="0019056F" w:rsidRPr="009542B2" w:rsidRDefault="0019056F" w:rsidP="009E73E8">
            <w:pPr>
              <w:autoSpaceDE w:val="0"/>
              <w:autoSpaceDN w:val="0"/>
              <w:adjustRightInd w:val="0"/>
              <w:rPr>
                <w:color w:val="76923C" w:themeColor="accent3" w:themeShade="BF"/>
              </w:rPr>
            </w:pPr>
          </w:p>
          <w:p w14:paraId="387C4AE2" w14:textId="77777777" w:rsidR="0019056F" w:rsidRPr="009542B2" w:rsidRDefault="0019056F" w:rsidP="009E73E8">
            <w:pPr>
              <w:autoSpaceDE w:val="0"/>
              <w:autoSpaceDN w:val="0"/>
              <w:adjustRightInd w:val="0"/>
              <w:rPr>
                <w:b/>
                <w:bCs/>
                <w:color w:val="76923C" w:themeColor="accent3" w:themeShade="BF"/>
              </w:rPr>
            </w:pPr>
            <w:r w:rsidRPr="009542B2">
              <w:rPr>
                <w:b/>
                <w:bCs/>
                <w:color w:val="76923C" w:themeColor="accent3" w:themeShade="BF"/>
              </w:rPr>
              <w:t>Risk of death (page E249) from 2018 CMAJ Guideline</w:t>
            </w:r>
          </w:p>
          <w:p w14:paraId="13517EF8" w14:textId="77777777" w:rsidR="0019056F" w:rsidRPr="009542B2" w:rsidRDefault="0019056F" w:rsidP="009E73E8">
            <w:pPr>
              <w:autoSpaceDE w:val="0"/>
              <w:autoSpaceDN w:val="0"/>
              <w:adjustRightInd w:val="0"/>
              <w:rPr>
                <w:color w:val="76923C" w:themeColor="accent3" w:themeShade="BF"/>
              </w:rPr>
            </w:pPr>
            <w:r w:rsidRPr="009542B2">
              <w:rPr>
                <w:color w:val="76923C" w:themeColor="accent3" w:themeShade="BF"/>
              </w:rPr>
              <w:t>While shown to be essentially as efficacious as methadone in clinical trials, the partial opioid agonist buprenorphine–naloxone has several safety advantages over methadone (a full opioid agonist), including a reduced risk of fatal overdose because of its lower potential for respiratory depression.</w:t>
            </w:r>
          </w:p>
        </w:tc>
      </w:tr>
      <w:tr w:rsidR="0019056F" w:rsidRPr="009542B2" w14:paraId="477B0F0B"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3C576F75"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evidence</w:t>
            </w:r>
            <w:r w:rsidRPr="009542B2">
              <w:rPr>
                <w:rFonts w:ascii="Calibri" w:hAnsi="Calibri"/>
                <w:color w:val="76923C" w:themeColor="accent3" w:themeShade="BF"/>
              </w:rPr>
              <w:t xml:space="preserve"> associated with the recommendation with the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015BBC51" w14:textId="77777777" w:rsidR="0019056F" w:rsidRPr="009542B2" w:rsidRDefault="0019056F" w:rsidP="009E73E8">
            <w:pPr>
              <w:ind w:left="0" w:firstLine="0"/>
              <w:rPr>
                <w:color w:val="76923C" w:themeColor="accent3" w:themeShade="BF"/>
              </w:rPr>
            </w:pPr>
            <w:r w:rsidRPr="009542B2">
              <w:rPr>
                <w:color w:val="76923C" w:themeColor="accent3" w:themeShade="BF"/>
              </w:rPr>
              <w:t>“We found moderate quality evidence from two studies of no difference between methadone and buprenorphine in self reported opioid use(risk ratio (RR) 0.37, 95% confidence interval (CI) 0.08 to 1.63) or opioid positive urine drug tests (RR 0.81, 95% CI 0.56 to 1.18). There was low quality evidence from three studies of no difference in retention between buprenorphine and methadone maintenance treatment (RR0.69, 95% CI 0.39 to 1.22). There was moderate quality evidence from two studies of no difference between methadone and buprenorphine on adverse events (RR 1.10, 95% CI 0.64 to 1.91).We found low quality evidence from three studies favouring maintenance buprenorphine treatment over detoxification or psychological treatment in terms of fewer opioid positive urine drug tests (RR 0.63, 95% CI 0.43 to 0.91) and self reported opioid use in the past 30 days (RR0.54, 95% CI 0.31 to 0.93). There was no difference on days of unsanctioned opioid use (standardised mean difference (SMD) -0.31, 95% CI-0.66 to 0.04). There was moderate quality evidence favouring buprenorphine maintenance over detoxification or psychological treatment on retention in treatment (RR 0.33, 95% CI 0.23 to 0.47). There was moderate quality evidence favouring buprenorphine maintenance overdetoxification or psychological treatment on adverse events (RR 0.19, 95% CI 0.06 to 0.57).”</w:t>
            </w:r>
          </w:p>
          <w:p w14:paraId="3754169D" w14:textId="77777777" w:rsidR="0019056F" w:rsidRPr="009542B2" w:rsidRDefault="0019056F" w:rsidP="009E73E8">
            <w:pPr>
              <w:ind w:left="0" w:firstLine="0"/>
              <w:rPr>
                <w:color w:val="76923C" w:themeColor="accent3" w:themeShade="BF"/>
              </w:rPr>
            </w:pPr>
          </w:p>
          <w:p w14:paraId="2FF45ECD" w14:textId="77777777" w:rsidR="0019056F" w:rsidRPr="009542B2" w:rsidRDefault="0019056F" w:rsidP="009E73E8">
            <w:pPr>
              <w:autoSpaceDE w:val="0"/>
              <w:autoSpaceDN w:val="0"/>
              <w:adjustRightInd w:val="0"/>
              <w:ind w:left="0" w:firstLine="0"/>
              <w:rPr>
                <w:color w:val="76923C" w:themeColor="accent3" w:themeShade="BF"/>
              </w:rPr>
            </w:pPr>
            <w:r w:rsidRPr="009542B2">
              <w:rPr>
                <w:b/>
                <w:bCs/>
                <w:color w:val="76923C" w:themeColor="accent3" w:themeShade="BF"/>
              </w:rPr>
              <w:t>Moderate quality:</w:t>
            </w:r>
            <w:r w:rsidRPr="009542B2">
              <w:rPr>
                <w:color w:val="76923C" w:themeColor="accent3" w:themeShade="BF"/>
              </w:rPr>
              <w:t xml:space="preserve"> We are moderately confident in the effect estimate: The true effect is likely to be close to the estimate of the effect, but there is a possibility that it is substantially different</w:t>
            </w:r>
          </w:p>
          <w:p w14:paraId="4CE5B4A4" w14:textId="77777777" w:rsidR="0019056F" w:rsidRPr="009542B2" w:rsidRDefault="0019056F" w:rsidP="009E73E8">
            <w:pPr>
              <w:autoSpaceDE w:val="0"/>
              <w:autoSpaceDN w:val="0"/>
              <w:adjustRightInd w:val="0"/>
              <w:ind w:left="0" w:firstLine="0"/>
              <w:rPr>
                <w:color w:val="76923C" w:themeColor="accent3" w:themeShade="BF"/>
              </w:rPr>
            </w:pPr>
            <w:r w:rsidRPr="009542B2">
              <w:rPr>
                <w:b/>
                <w:bCs/>
                <w:color w:val="76923C" w:themeColor="accent3" w:themeShade="BF"/>
              </w:rPr>
              <w:t>Low quality:</w:t>
            </w:r>
            <w:r w:rsidRPr="009542B2">
              <w:rPr>
                <w:color w:val="76923C" w:themeColor="accent3" w:themeShade="BF"/>
              </w:rPr>
              <w:t xml:space="preserve"> Our confidence in the effect estimate is limited: The true effect may be substantially different from the estimate of the effect</w:t>
            </w:r>
          </w:p>
          <w:p w14:paraId="234FCD13" w14:textId="77777777" w:rsidR="0019056F" w:rsidRPr="009542B2" w:rsidRDefault="0019056F" w:rsidP="009E73E8">
            <w:pPr>
              <w:ind w:left="0" w:firstLine="0"/>
              <w:rPr>
                <w:color w:val="76923C" w:themeColor="accent3" w:themeShade="BF"/>
              </w:rPr>
            </w:pPr>
          </w:p>
        </w:tc>
      </w:tr>
      <w:tr w:rsidR="0019056F" w:rsidRPr="009542B2" w14:paraId="26A8E2BD"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56FCFB3A"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evidence grading system</w:t>
            </w:r>
          </w:p>
        </w:tc>
        <w:tc>
          <w:tcPr>
            <w:tcW w:w="6863" w:type="dxa"/>
            <w:tcBorders>
              <w:top w:val="single" w:sz="4" w:space="0" w:color="auto"/>
              <w:left w:val="single" w:sz="4" w:space="0" w:color="auto"/>
              <w:bottom w:val="single" w:sz="4" w:space="0" w:color="auto"/>
              <w:right w:val="single" w:sz="4" w:space="0" w:color="auto"/>
            </w:tcBorders>
            <w:hideMark/>
          </w:tcPr>
          <w:p w14:paraId="423EBEEE" w14:textId="77777777" w:rsidR="0019056F" w:rsidRPr="009542B2" w:rsidRDefault="0019056F" w:rsidP="009E73E8">
            <w:pPr>
              <w:autoSpaceDE w:val="0"/>
              <w:autoSpaceDN w:val="0"/>
              <w:adjustRightInd w:val="0"/>
              <w:ind w:left="0" w:firstLine="0"/>
              <w:rPr>
                <w:b/>
                <w:bCs/>
                <w:color w:val="76923C" w:themeColor="accent3" w:themeShade="BF"/>
              </w:rPr>
            </w:pPr>
            <w:r w:rsidRPr="009542B2">
              <w:rPr>
                <w:b/>
                <w:bCs/>
                <w:color w:val="76923C" w:themeColor="accent3" w:themeShade="BF"/>
              </w:rPr>
              <w:t>GRADE Working Group grades of evidence</w:t>
            </w:r>
          </w:p>
          <w:p w14:paraId="7C2F88A6" w14:textId="77777777" w:rsidR="0019056F" w:rsidRPr="009542B2" w:rsidRDefault="0019056F" w:rsidP="009E73E8">
            <w:pPr>
              <w:autoSpaceDE w:val="0"/>
              <w:autoSpaceDN w:val="0"/>
              <w:adjustRightInd w:val="0"/>
              <w:ind w:left="0" w:firstLine="0"/>
              <w:rPr>
                <w:color w:val="76923C" w:themeColor="accent3" w:themeShade="BF"/>
              </w:rPr>
            </w:pPr>
            <w:r w:rsidRPr="009542B2">
              <w:rPr>
                <w:b/>
                <w:bCs/>
                <w:color w:val="76923C" w:themeColor="accent3" w:themeShade="BF"/>
              </w:rPr>
              <w:t>High quality:</w:t>
            </w:r>
            <w:r w:rsidRPr="009542B2">
              <w:rPr>
                <w:color w:val="76923C" w:themeColor="accent3" w:themeShade="BF"/>
              </w:rPr>
              <w:t xml:space="preserve"> We are very confident that the true effect lies close to that of the estimate of the effect</w:t>
            </w:r>
          </w:p>
          <w:p w14:paraId="469A407D" w14:textId="77777777" w:rsidR="0019056F" w:rsidRPr="009542B2" w:rsidRDefault="0019056F" w:rsidP="009E73E8">
            <w:pPr>
              <w:ind w:left="0" w:firstLine="0"/>
              <w:rPr>
                <w:rFonts w:ascii="Calibri" w:hAnsi="Calibri"/>
                <w:color w:val="76923C" w:themeColor="accent3" w:themeShade="BF"/>
              </w:rPr>
            </w:pPr>
            <w:r w:rsidRPr="009542B2">
              <w:rPr>
                <w:b/>
                <w:bCs/>
                <w:color w:val="76923C" w:themeColor="accent3" w:themeShade="BF"/>
              </w:rPr>
              <w:t>Very low quality</w:t>
            </w:r>
            <w:r w:rsidRPr="009542B2">
              <w:rPr>
                <w:color w:val="76923C" w:themeColor="accent3" w:themeShade="BF"/>
              </w:rPr>
              <w:t>: We have very little confidence in the effect estimate: The true effect is likely to be substantially different from the estimate of effect</w:t>
            </w:r>
          </w:p>
        </w:tc>
      </w:tr>
      <w:tr w:rsidR="0019056F" w:rsidRPr="009542B2" w14:paraId="137BCA5A"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380F32A5"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Grade assigned to the </w:t>
            </w:r>
            <w:r w:rsidRPr="009542B2">
              <w:rPr>
                <w:rFonts w:ascii="Calibri" w:hAnsi="Calibri"/>
                <w:b/>
                <w:color w:val="76923C" w:themeColor="accent3" w:themeShade="BF"/>
              </w:rPr>
              <w:t>recommendation</w:t>
            </w:r>
            <w:r w:rsidRPr="009542B2">
              <w:rPr>
                <w:rFonts w:ascii="Calibri" w:hAnsi="Calibri"/>
                <w:color w:val="76923C" w:themeColor="accent3" w:themeShade="BF"/>
              </w:rPr>
              <w:t xml:space="preserve"> with definition of the grade</w:t>
            </w:r>
          </w:p>
        </w:tc>
        <w:tc>
          <w:tcPr>
            <w:tcW w:w="6863" w:type="dxa"/>
            <w:tcBorders>
              <w:top w:val="single" w:sz="4" w:space="0" w:color="auto"/>
              <w:left w:val="single" w:sz="4" w:space="0" w:color="auto"/>
              <w:bottom w:val="single" w:sz="4" w:space="0" w:color="auto"/>
              <w:right w:val="single" w:sz="4" w:space="0" w:color="auto"/>
            </w:tcBorders>
            <w:hideMark/>
          </w:tcPr>
          <w:p w14:paraId="3A16B072"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The systematic review does not grade the recommendation.</w:t>
            </w:r>
          </w:p>
        </w:tc>
      </w:tr>
      <w:tr w:rsidR="0019056F" w:rsidRPr="009542B2" w14:paraId="746AF74C"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0F0E965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Provide all other grades and definitions from the recommendation grading system</w:t>
            </w:r>
          </w:p>
        </w:tc>
        <w:tc>
          <w:tcPr>
            <w:tcW w:w="6863" w:type="dxa"/>
            <w:tcBorders>
              <w:top w:val="single" w:sz="4" w:space="0" w:color="auto"/>
              <w:left w:val="single" w:sz="4" w:space="0" w:color="auto"/>
              <w:bottom w:val="single" w:sz="4" w:space="0" w:color="auto"/>
              <w:right w:val="single" w:sz="4" w:space="0" w:color="auto"/>
            </w:tcBorders>
          </w:tcPr>
          <w:p w14:paraId="3DAB6C6A" w14:textId="77777777" w:rsidR="0019056F" w:rsidRPr="009542B2" w:rsidRDefault="0019056F" w:rsidP="009E73E8">
            <w:pPr>
              <w:ind w:left="0" w:firstLine="0"/>
              <w:rPr>
                <w:rFonts w:ascii="Calibri" w:hAnsi="Calibri"/>
                <w:color w:val="76923C" w:themeColor="accent3" w:themeShade="BF"/>
                <w:highlight w:val="darkGray"/>
              </w:rPr>
            </w:pPr>
            <w:r w:rsidRPr="009542B2">
              <w:rPr>
                <w:rFonts w:ascii="Calibri" w:hAnsi="Calibri"/>
                <w:color w:val="76923C" w:themeColor="accent3" w:themeShade="BF"/>
              </w:rPr>
              <w:t>The systematic review does not grade the recommendation.</w:t>
            </w:r>
          </w:p>
        </w:tc>
      </w:tr>
      <w:tr w:rsidR="0019056F" w:rsidRPr="009542B2" w14:paraId="1548C442"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469E01D0"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Body of evidence:</w:t>
            </w:r>
          </w:p>
          <w:p w14:paraId="36B87549" w14:textId="77777777" w:rsidR="0019056F" w:rsidRPr="009542B2" w:rsidRDefault="0019056F" w:rsidP="009E73E8">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Quantity – how many studies?</w:t>
            </w:r>
          </w:p>
          <w:p w14:paraId="5D783A80" w14:textId="77777777" w:rsidR="0019056F" w:rsidRPr="009542B2" w:rsidRDefault="0019056F" w:rsidP="009E73E8">
            <w:pPr>
              <w:numPr>
                <w:ilvl w:val="0"/>
                <w:numId w:val="10"/>
              </w:numPr>
              <w:spacing w:after="200" w:line="276" w:lineRule="auto"/>
              <w:ind w:left="1440"/>
              <w:contextualSpacing/>
              <w:rPr>
                <w:rFonts w:ascii="Calibri" w:eastAsiaTheme="minorEastAsia" w:hAnsi="Calibri"/>
                <w:color w:val="76923C" w:themeColor="accent3" w:themeShade="BF"/>
              </w:rPr>
            </w:pPr>
            <w:r w:rsidRPr="009542B2">
              <w:rPr>
                <w:rFonts w:ascii="Calibri" w:eastAsiaTheme="minorEastAsia" w:hAnsi="Calibri"/>
                <w:color w:val="76923C" w:themeColor="accent3" w:themeShade="BF"/>
              </w:rPr>
              <w:t>Quality – what type of studies?</w:t>
            </w:r>
          </w:p>
        </w:tc>
        <w:tc>
          <w:tcPr>
            <w:tcW w:w="6863" w:type="dxa"/>
            <w:tcBorders>
              <w:top w:val="single" w:sz="4" w:space="0" w:color="auto"/>
              <w:left w:val="single" w:sz="4" w:space="0" w:color="auto"/>
              <w:bottom w:val="single" w:sz="4" w:space="0" w:color="auto"/>
              <w:right w:val="single" w:sz="4" w:space="0" w:color="auto"/>
            </w:tcBorders>
          </w:tcPr>
          <w:p w14:paraId="68691731" w14:textId="77777777" w:rsidR="0019056F" w:rsidRPr="009542B2" w:rsidRDefault="0019056F" w:rsidP="009E73E8">
            <w:pPr>
              <w:ind w:left="0" w:firstLine="0"/>
              <w:rPr>
                <w:color w:val="76923C" w:themeColor="accent3" w:themeShade="BF"/>
              </w:rPr>
            </w:pPr>
            <w:r w:rsidRPr="009542B2">
              <w:rPr>
                <w:rFonts w:ascii="Calibri" w:hAnsi="Calibri"/>
                <w:color w:val="76923C" w:themeColor="accent3" w:themeShade="BF"/>
              </w:rPr>
              <w:t xml:space="preserve">Quantity of studies included: </w:t>
            </w:r>
            <w:r w:rsidRPr="009542B2">
              <w:rPr>
                <w:color w:val="76923C" w:themeColor="accent3" w:themeShade="BF"/>
              </w:rPr>
              <w:t xml:space="preserve">six randomised controlled trials with 607 participants. </w:t>
            </w:r>
          </w:p>
          <w:p w14:paraId="22AB92B6" w14:textId="77777777" w:rsidR="0019056F" w:rsidRPr="009542B2" w:rsidRDefault="0019056F" w:rsidP="009E73E8">
            <w:pPr>
              <w:ind w:left="0" w:firstLine="0"/>
              <w:rPr>
                <w:rFonts w:ascii="Calibri" w:hAnsi="Calibri"/>
                <w:color w:val="76923C" w:themeColor="accent3" w:themeShade="BF"/>
              </w:rPr>
            </w:pPr>
          </w:p>
          <w:p w14:paraId="2B2816C7" w14:textId="77777777" w:rsidR="0019056F" w:rsidRPr="009542B2" w:rsidRDefault="0019056F" w:rsidP="009E73E8">
            <w:pPr>
              <w:ind w:left="0" w:firstLine="0"/>
              <w:rPr>
                <w:color w:val="76923C" w:themeColor="accent3" w:themeShade="BF"/>
              </w:rPr>
            </w:pPr>
            <w:r w:rsidRPr="009542B2">
              <w:rPr>
                <w:rFonts w:ascii="Calibri" w:hAnsi="Calibri"/>
                <w:color w:val="76923C" w:themeColor="accent3" w:themeShade="BF"/>
              </w:rPr>
              <w:t xml:space="preserve">Quality of studies included: </w:t>
            </w:r>
            <w:r w:rsidRPr="009542B2">
              <w:rPr>
                <w:color w:val="76923C" w:themeColor="accent3" w:themeShade="BF"/>
              </w:rPr>
              <w:t>randomised controlled trials examining maintenance opioid agonist treatments that made the following two comparisons:</w:t>
            </w:r>
          </w:p>
          <w:p w14:paraId="3BFE8EC9" w14:textId="77777777" w:rsidR="0019056F" w:rsidRPr="009542B2" w:rsidRDefault="0019056F" w:rsidP="009E73E8">
            <w:pPr>
              <w:ind w:left="720" w:firstLine="0"/>
              <w:rPr>
                <w:color w:val="76923C" w:themeColor="accent3" w:themeShade="BF"/>
              </w:rPr>
            </w:pPr>
            <w:r w:rsidRPr="009542B2">
              <w:rPr>
                <w:color w:val="76923C" w:themeColor="accent3" w:themeShade="BF"/>
              </w:rPr>
              <w:t>1. full opioid agonists (methadone, morphine, oxycodone, levo-alpha-acetylmethadol (LAAM), or codeine) versus different full opioid agonists or partial opioid agonists (buprenorphine) for maintenance treatment and</w:t>
            </w:r>
          </w:p>
          <w:p w14:paraId="2FB87B3B" w14:textId="77777777" w:rsidR="0019056F" w:rsidRPr="009542B2" w:rsidRDefault="0019056F" w:rsidP="009E73E8">
            <w:pPr>
              <w:ind w:left="720" w:firstLine="0"/>
              <w:rPr>
                <w:color w:val="76923C" w:themeColor="accent3" w:themeShade="BF"/>
              </w:rPr>
            </w:pPr>
            <w:r w:rsidRPr="009542B2">
              <w:rPr>
                <w:color w:val="76923C" w:themeColor="accent3" w:themeShade="BF"/>
              </w:rPr>
              <w:t>2. full or partial opioid agonist maintenance versus placebo, detoxification only, or psychological treatment (without opioid agonist treatment).</w:t>
            </w:r>
          </w:p>
          <w:p w14:paraId="535C417A" w14:textId="77777777" w:rsidR="0019056F" w:rsidRPr="009542B2" w:rsidRDefault="0019056F" w:rsidP="009E73E8">
            <w:pPr>
              <w:rPr>
                <w:rFonts w:ascii="Calibri" w:hAnsi="Calibri"/>
                <w:color w:val="76923C" w:themeColor="accent3" w:themeShade="BF"/>
              </w:rPr>
            </w:pPr>
          </w:p>
        </w:tc>
      </w:tr>
      <w:tr w:rsidR="0019056F" w:rsidRPr="009542B2" w14:paraId="0911EDA0"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239DD0C6"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Estimates of benefit and consistency across studies </w:t>
            </w:r>
          </w:p>
        </w:tc>
        <w:tc>
          <w:tcPr>
            <w:tcW w:w="6863" w:type="dxa"/>
            <w:tcBorders>
              <w:top w:val="single" w:sz="4" w:space="0" w:color="auto"/>
              <w:left w:val="single" w:sz="4" w:space="0" w:color="auto"/>
              <w:bottom w:val="single" w:sz="4" w:space="0" w:color="auto"/>
              <w:right w:val="single" w:sz="4" w:space="0" w:color="auto"/>
            </w:tcBorders>
            <w:hideMark/>
          </w:tcPr>
          <w:p w14:paraId="785F09A1" w14:textId="77777777" w:rsidR="0019056F" w:rsidRPr="009542B2" w:rsidRDefault="0019056F" w:rsidP="009E73E8">
            <w:pPr>
              <w:autoSpaceDE w:val="0"/>
              <w:autoSpaceDN w:val="0"/>
              <w:adjustRightInd w:val="0"/>
              <w:ind w:left="0" w:firstLine="0"/>
              <w:rPr>
                <w:color w:val="76923C" w:themeColor="accent3" w:themeShade="BF"/>
              </w:rPr>
            </w:pPr>
            <w:r w:rsidRPr="009542B2">
              <w:rPr>
                <w:color w:val="76923C" w:themeColor="accent3" w:themeShade="BF"/>
              </w:rPr>
              <w:t>“There was low to moderate quality evidence supporting the use of maintenance agonist pharmacotherapy for pharmaceutical opioid dependence.</w:t>
            </w:r>
          </w:p>
          <w:p w14:paraId="71014D30" w14:textId="77777777" w:rsidR="0019056F" w:rsidRPr="009542B2" w:rsidRDefault="0019056F" w:rsidP="009E73E8">
            <w:pPr>
              <w:autoSpaceDE w:val="0"/>
              <w:autoSpaceDN w:val="0"/>
              <w:adjustRightInd w:val="0"/>
              <w:ind w:left="0" w:firstLine="0"/>
              <w:rPr>
                <w:color w:val="76923C" w:themeColor="accent3" w:themeShade="BF"/>
              </w:rPr>
            </w:pPr>
            <w:r w:rsidRPr="009542B2">
              <w:rPr>
                <w:color w:val="76923C" w:themeColor="accent3" w:themeShade="BF"/>
              </w:rPr>
              <w:t>Methadone or buprenorphine appeared equally effective. Maintenance treatment with buprenorphine appeared more effective</w:t>
            </w:r>
          </w:p>
          <w:p w14:paraId="59FB1343" w14:textId="77777777" w:rsidR="0019056F" w:rsidRPr="009542B2" w:rsidRDefault="0019056F" w:rsidP="009E73E8">
            <w:pPr>
              <w:autoSpaceDE w:val="0"/>
              <w:autoSpaceDN w:val="0"/>
              <w:adjustRightInd w:val="0"/>
              <w:ind w:left="0" w:firstLine="0"/>
              <w:rPr>
                <w:color w:val="76923C" w:themeColor="accent3" w:themeShade="BF"/>
              </w:rPr>
            </w:pPr>
            <w:r w:rsidRPr="009542B2">
              <w:rPr>
                <w:color w:val="76923C" w:themeColor="accent3" w:themeShade="BF"/>
              </w:rPr>
              <w:t>than detoxification or psychological treatments.</w:t>
            </w:r>
          </w:p>
          <w:p w14:paraId="101ECFAE" w14:textId="77777777" w:rsidR="0019056F" w:rsidRPr="009542B2" w:rsidRDefault="0019056F" w:rsidP="009E73E8">
            <w:pPr>
              <w:autoSpaceDE w:val="0"/>
              <w:autoSpaceDN w:val="0"/>
              <w:adjustRightInd w:val="0"/>
              <w:ind w:left="0" w:firstLine="0"/>
              <w:rPr>
                <w:rFonts w:ascii="SourceSansPro-Regular" w:eastAsiaTheme="minorEastAsia" w:hAnsi="SourceSansPro-Regular" w:cs="SourceSansPro-Regular"/>
                <w:color w:val="76923C" w:themeColor="accent3" w:themeShade="BF"/>
                <w:sz w:val="18"/>
                <w:szCs w:val="18"/>
                <w:lang w:eastAsia="zh-CN"/>
              </w:rPr>
            </w:pPr>
            <w:r w:rsidRPr="009542B2">
              <w:rPr>
                <w:color w:val="76923C" w:themeColor="accent3" w:themeShade="BF"/>
              </w:rPr>
              <w:t>Due to the overall low to moderate quality of the evidence and small sample sizes, there is the possibility that the further research may change these findings.”</w:t>
            </w:r>
          </w:p>
        </w:tc>
      </w:tr>
      <w:tr w:rsidR="0019056F" w:rsidRPr="009542B2" w14:paraId="07AA2B65"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0FD5DB6F"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What harms were identified?</w:t>
            </w:r>
          </w:p>
        </w:tc>
        <w:tc>
          <w:tcPr>
            <w:tcW w:w="6863" w:type="dxa"/>
            <w:tcBorders>
              <w:top w:val="single" w:sz="4" w:space="0" w:color="auto"/>
              <w:left w:val="single" w:sz="4" w:space="0" w:color="auto"/>
              <w:bottom w:val="single" w:sz="4" w:space="0" w:color="auto"/>
              <w:right w:val="single" w:sz="4" w:space="0" w:color="auto"/>
            </w:tcBorders>
            <w:hideMark/>
          </w:tcPr>
          <w:p w14:paraId="1A4FEFAB"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No harms were identified in the systematic review article. </w:t>
            </w:r>
          </w:p>
        </w:tc>
      </w:tr>
      <w:tr w:rsidR="0019056F" w:rsidRPr="009542B2" w14:paraId="1CFCC438" w14:textId="77777777" w:rsidTr="009E73E8">
        <w:tc>
          <w:tcPr>
            <w:tcW w:w="2487" w:type="dxa"/>
            <w:tcBorders>
              <w:top w:val="single" w:sz="4" w:space="0" w:color="auto"/>
              <w:left w:val="single" w:sz="4" w:space="0" w:color="auto"/>
              <w:bottom w:val="single" w:sz="4" w:space="0" w:color="auto"/>
              <w:right w:val="single" w:sz="4" w:space="0" w:color="auto"/>
            </w:tcBorders>
            <w:hideMark/>
          </w:tcPr>
          <w:p w14:paraId="264F84FB"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Identify any new studies conducted since the SR. Do the new studies change the conclusions from the SR?</w:t>
            </w:r>
          </w:p>
        </w:tc>
        <w:tc>
          <w:tcPr>
            <w:tcW w:w="6863" w:type="dxa"/>
            <w:tcBorders>
              <w:top w:val="single" w:sz="4" w:space="0" w:color="auto"/>
              <w:left w:val="single" w:sz="4" w:space="0" w:color="auto"/>
              <w:bottom w:val="single" w:sz="4" w:space="0" w:color="auto"/>
              <w:right w:val="single" w:sz="4" w:space="0" w:color="auto"/>
            </w:tcBorders>
            <w:hideMark/>
          </w:tcPr>
          <w:p w14:paraId="53AD4901" w14:textId="77777777" w:rsidR="0019056F" w:rsidRPr="009542B2" w:rsidRDefault="0019056F" w:rsidP="009E73E8">
            <w:pPr>
              <w:ind w:left="0" w:firstLine="0"/>
              <w:rPr>
                <w:rFonts w:ascii="Calibri" w:hAnsi="Calibri"/>
                <w:color w:val="76923C" w:themeColor="accent3" w:themeShade="BF"/>
              </w:rPr>
            </w:pPr>
            <w:r w:rsidRPr="009542B2">
              <w:rPr>
                <w:rFonts w:ascii="Calibri" w:hAnsi="Calibri"/>
                <w:color w:val="76923C" w:themeColor="accent3" w:themeShade="BF"/>
              </w:rPr>
              <w:t xml:space="preserve">Evidence in more recent studies is consistent with the SR: the use of medication-assisted treatment is effective. </w:t>
            </w:r>
          </w:p>
          <w:p w14:paraId="39D69191" w14:textId="77777777" w:rsidR="0019056F" w:rsidRPr="009542B2" w:rsidRDefault="0019056F" w:rsidP="009E73E8">
            <w:pPr>
              <w:ind w:left="0" w:firstLine="0"/>
              <w:rPr>
                <w:rFonts w:ascii="Calibri" w:hAnsi="Calibri"/>
                <w:color w:val="76923C" w:themeColor="accent3" w:themeShade="BF"/>
              </w:rPr>
            </w:pPr>
          </w:p>
          <w:p w14:paraId="779B3838" w14:textId="77777777" w:rsidR="0019056F" w:rsidRPr="009542B2" w:rsidRDefault="0019056F" w:rsidP="009E73E8">
            <w:pPr>
              <w:ind w:left="0" w:firstLine="0"/>
              <w:rPr>
                <w:rFonts w:ascii="Calibri" w:hAnsi="Calibri"/>
                <w:color w:val="76923C" w:themeColor="accent3" w:themeShade="BF"/>
                <w:lang w:val="de-DE"/>
              </w:rPr>
            </w:pPr>
            <w:r w:rsidRPr="009542B2">
              <w:rPr>
                <w:rFonts w:ascii="Calibri" w:hAnsi="Calibri"/>
                <w:color w:val="76923C" w:themeColor="accent3" w:themeShade="BF"/>
                <w:lang w:val="de-DE"/>
              </w:rPr>
              <w:t xml:space="preserve">References: </w:t>
            </w:r>
          </w:p>
          <w:p w14:paraId="18C8C6AA" w14:textId="77777777" w:rsidR="0019056F" w:rsidRPr="009542B2" w:rsidRDefault="0019056F" w:rsidP="009E73E8">
            <w:pPr>
              <w:keepNext/>
              <w:keepLines/>
              <w:spacing w:before="200" w:line="276" w:lineRule="auto"/>
              <w:outlineLvl w:val="1"/>
              <w:rPr>
                <w:color w:val="76923C" w:themeColor="accent3" w:themeShade="BF"/>
              </w:rPr>
            </w:pPr>
            <w:r w:rsidRPr="009542B2">
              <w:rPr>
                <w:color w:val="76923C" w:themeColor="accent3" w:themeShade="BF"/>
                <w:lang w:val="de-DE"/>
              </w:rPr>
              <w:t xml:space="preserve">Nunes, E. V., Gordon, M., Friedmann, P. D., Fishman, M. J., Lee, J. D., Chen, D. T., … O’Brien, C. P. (2018). </w:t>
            </w:r>
            <w:r w:rsidRPr="009542B2">
              <w:rPr>
                <w:color w:val="76923C" w:themeColor="accent3" w:themeShade="BF"/>
              </w:rPr>
              <w:t>Relapse to opioid use disorder after inpatient treatment: Protective effect of injection naltrexone. Journal of Substance Abuse Treatment, 85, 49–55.</w:t>
            </w:r>
          </w:p>
          <w:p w14:paraId="697A2738" w14:textId="77777777" w:rsidR="0019056F" w:rsidRPr="009542B2" w:rsidRDefault="0019056F" w:rsidP="009E73E8">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r w:rsidRPr="00BD0AAB">
              <w:rPr>
                <w:color w:val="76923C" w:themeColor="accent3" w:themeShade="BF"/>
              </w:rPr>
              <w:t xml:space="preserve">Lee, J. D., Nunes, E. V., Jr., Novo, P., Bachrach, K., Bailey, G. L., Bhatt, S., … </w:t>
            </w:r>
            <w:r w:rsidRPr="009542B2">
              <w:rPr>
                <w:color w:val="76923C" w:themeColor="accent3" w:themeShade="BF"/>
              </w:rPr>
              <w:t>Rotrosen, J. (2018). Comparative effectiveness of extended-release naltrexone versus buprenorphine-naloxone for opioid relapse prevention (X:BOT): A multicentre, open-label, randomised controlled trial. Lancet, 391(10118), 309–318.</w:t>
            </w:r>
          </w:p>
          <w:p w14:paraId="0E3F89C8" w14:textId="77777777" w:rsidR="0019056F" w:rsidRPr="009542B2" w:rsidRDefault="0019056F" w:rsidP="009E73E8">
            <w:pPr>
              <w:keepNext/>
              <w:keepLines/>
              <w:spacing w:before="200" w:line="276" w:lineRule="auto"/>
              <w:outlineLvl w:val="1"/>
              <w:rPr>
                <w:rFonts w:asciiTheme="majorHAnsi" w:eastAsia="Times New Roman" w:hAnsiTheme="majorHAnsi" w:cstheme="majorBidi"/>
                <w:b/>
                <w:bCs/>
                <w:color w:val="76923C" w:themeColor="accent3" w:themeShade="BF"/>
                <w:sz w:val="26"/>
                <w:szCs w:val="26"/>
              </w:rPr>
            </w:pPr>
          </w:p>
          <w:p w14:paraId="3695697D" w14:textId="77777777" w:rsidR="0019056F" w:rsidRPr="009542B2" w:rsidRDefault="0019056F" w:rsidP="009E73E8">
            <w:pPr>
              <w:ind w:left="0" w:firstLine="0"/>
              <w:rPr>
                <w:rFonts w:ascii="Calibri" w:hAnsi="Calibri"/>
                <w:color w:val="76923C" w:themeColor="accent3" w:themeShade="BF"/>
              </w:rPr>
            </w:pPr>
          </w:p>
        </w:tc>
      </w:tr>
    </w:tbl>
    <w:p w14:paraId="280049B9" w14:textId="77777777" w:rsidR="0019056F" w:rsidRPr="009542B2" w:rsidRDefault="0019056F" w:rsidP="0019056F">
      <w:pPr>
        <w:rPr>
          <w:b/>
          <w:iCs/>
          <w:caps/>
          <w:color w:val="76923C" w:themeColor="accent3" w:themeShade="BF"/>
        </w:rPr>
      </w:pPr>
    </w:p>
    <w:p w14:paraId="2E190C95" w14:textId="77777777" w:rsidR="0019056F" w:rsidRPr="000953E9" w:rsidRDefault="0019056F" w:rsidP="0019056F">
      <w:pPr>
        <w:rPr>
          <w:b/>
          <w:caps/>
        </w:rPr>
      </w:pPr>
      <w:r>
        <w:rPr>
          <w:b/>
          <w:iCs/>
          <w:caps/>
        </w:rPr>
        <w:br w:type="page"/>
      </w:r>
    </w:p>
    <w:p w14:paraId="120489D2" w14:textId="77777777" w:rsidR="0019056F" w:rsidRPr="003B1CC5" w:rsidRDefault="0019056F" w:rsidP="0019056F">
      <w:pPr>
        <w:ind w:left="0" w:firstLine="0"/>
        <w:rPr>
          <w:b/>
          <w:color w:val="0070C0"/>
        </w:rPr>
      </w:pPr>
      <w:r w:rsidRPr="003B1CC5">
        <w:rPr>
          <w:b/>
          <w:iCs/>
          <w:caps/>
        </w:rPr>
        <w:t>________________________</w:t>
      </w:r>
    </w:p>
    <w:p w14:paraId="53280106" w14:textId="77777777" w:rsidR="0019056F" w:rsidRPr="003B1CC5" w:rsidRDefault="0019056F" w:rsidP="0019056F">
      <w:pPr>
        <w:ind w:left="0" w:firstLine="0"/>
        <w:rPr>
          <w:b/>
        </w:rPr>
      </w:pPr>
      <w:bookmarkStart w:id="6" w:name="Section1a8"/>
      <w:bookmarkEnd w:id="6"/>
      <w:r>
        <w:rPr>
          <w:b/>
          <w:color w:val="0000FF"/>
        </w:rPr>
        <w:t>1a.4</w:t>
      </w:r>
      <w:r w:rsidRPr="003B1CC5">
        <w:rPr>
          <w:b/>
          <w:color w:val="0000FF"/>
        </w:rPr>
        <w:t xml:space="preserve"> </w:t>
      </w:r>
      <w:r w:rsidRPr="003B1CC5">
        <w:rPr>
          <w:b/>
        </w:rPr>
        <w:t>OTHER SOURCE OF EVIDENCE</w:t>
      </w:r>
    </w:p>
    <w:p w14:paraId="40BC24D0" w14:textId="77777777" w:rsidR="0019056F" w:rsidRPr="003B1CC5" w:rsidRDefault="0019056F" w:rsidP="0019056F">
      <w:pPr>
        <w:ind w:left="0" w:firstLine="0"/>
        <w:rPr>
          <w:i/>
        </w:rPr>
      </w:pPr>
      <w:r w:rsidRPr="003B1CC5">
        <w:rPr>
          <w:i/>
        </w:rPr>
        <w:t>If source of evidence is NOT from a clinical practice guideline, USPSTF, or systematic review, please describe the evidence on which you are basing the performance measure.</w:t>
      </w:r>
    </w:p>
    <w:p w14:paraId="0CDD0D0B" w14:textId="77777777" w:rsidR="0019056F" w:rsidRPr="000953E9" w:rsidRDefault="0019056F" w:rsidP="0019056F">
      <w:pPr>
        <w:ind w:left="0" w:firstLine="0"/>
        <w:rPr>
          <w:color w:val="0000FF"/>
        </w:rPr>
      </w:pPr>
    </w:p>
    <w:p w14:paraId="174A0B6E" w14:textId="77777777" w:rsidR="0019056F" w:rsidRDefault="0019056F" w:rsidP="0019056F">
      <w:pPr>
        <w:ind w:left="0" w:firstLine="0"/>
        <w:rPr>
          <w:color w:val="0000FF"/>
        </w:rPr>
      </w:pPr>
      <w:r w:rsidRPr="005C1A21">
        <w:rPr>
          <w:color w:val="0000FF"/>
        </w:rPr>
        <w:t xml:space="preserve">In this section, we </w:t>
      </w:r>
      <w:r>
        <w:rPr>
          <w:color w:val="0000FF"/>
        </w:rPr>
        <w:t xml:space="preserve">provide two supplementary sources of evidence on </w:t>
      </w:r>
      <w:r w:rsidRPr="008901DC">
        <w:rPr>
          <w:color w:val="0000FF"/>
        </w:rPr>
        <w:t xml:space="preserve">which </w:t>
      </w:r>
      <w:r>
        <w:rPr>
          <w:color w:val="0000FF"/>
        </w:rPr>
        <w:t>we</w:t>
      </w:r>
      <w:r w:rsidRPr="008901DC">
        <w:rPr>
          <w:color w:val="0000FF"/>
        </w:rPr>
        <w:t xml:space="preserve"> are basing the measure</w:t>
      </w:r>
      <w:r>
        <w:rPr>
          <w:color w:val="0000FF"/>
        </w:rPr>
        <w:t xml:space="preserve">. </w:t>
      </w:r>
    </w:p>
    <w:p w14:paraId="0EA549CA" w14:textId="77777777" w:rsidR="0019056F" w:rsidRDefault="0019056F" w:rsidP="0019056F">
      <w:pPr>
        <w:ind w:left="0" w:firstLine="0"/>
        <w:rPr>
          <w:color w:val="0000FF"/>
        </w:rPr>
      </w:pPr>
    </w:p>
    <w:p w14:paraId="760C8127" w14:textId="77777777" w:rsidR="0019056F" w:rsidRDefault="0019056F" w:rsidP="0019056F">
      <w:pPr>
        <w:ind w:left="0" w:firstLine="0"/>
        <w:rPr>
          <w:color w:val="0000FF"/>
        </w:rPr>
      </w:pPr>
      <w:r w:rsidRPr="000A737C">
        <w:rPr>
          <w:b/>
          <w:color w:val="0000FF"/>
        </w:rPr>
        <w:t>Mortality Risk:</w:t>
      </w:r>
      <w:r>
        <w:rPr>
          <w:color w:val="0000FF"/>
        </w:rPr>
        <w:t xml:space="preserve"> The first source </w:t>
      </w:r>
      <w:r w:rsidRPr="005C1A21">
        <w:rPr>
          <w:color w:val="0000FF"/>
        </w:rPr>
        <w:t>summarize</w:t>
      </w:r>
      <w:r>
        <w:rPr>
          <w:color w:val="0000FF"/>
        </w:rPr>
        <w:t>s</w:t>
      </w:r>
      <w:r w:rsidRPr="005C1A21">
        <w:rPr>
          <w:color w:val="0000FF"/>
        </w:rPr>
        <w:t xml:space="preserve"> findings from our review of studies that looked at the mortality risk during transition of care phases for </w:t>
      </w:r>
      <w:r>
        <w:rPr>
          <w:color w:val="0000FF"/>
        </w:rPr>
        <w:t>OUD</w:t>
      </w:r>
      <w:r w:rsidRPr="005C1A21">
        <w:rPr>
          <w:color w:val="0000FF"/>
        </w:rPr>
        <w:t xml:space="preserve"> pharmacotherapy (treatment initiation and cessation). This evidence supports the recommendation for no gaps in care of more than 7 days.</w:t>
      </w:r>
      <w:r>
        <w:rPr>
          <w:color w:val="0000FF"/>
        </w:rPr>
        <w:t>Each of the sections</w:t>
      </w:r>
      <w:r w:rsidRPr="000A737C">
        <w:rPr>
          <w:color w:val="0000FF"/>
        </w:rPr>
        <w:t xml:space="preserve"> </w:t>
      </w:r>
      <w:r>
        <w:rPr>
          <w:color w:val="0000FF"/>
        </w:rPr>
        <w:t>related to this topic (presented below) are labeled with the header, “Mortality Risk”.</w:t>
      </w:r>
    </w:p>
    <w:p w14:paraId="58C3ACE7" w14:textId="77777777" w:rsidR="0019056F" w:rsidRDefault="0019056F" w:rsidP="0019056F">
      <w:pPr>
        <w:ind w:left="0" w:firstLine="0"/>
        <w:rPr>
          <w:color w:val="0000FF"/>
        </w:rPr>
      </w:pPr>
    </w:p>
    <w:p w14:paraId="65CCFDF2" w14:textId="77777777" w:rsidR="0019056F" w:rsidRPr="005C1A21" w:rsidRDefault="0019056F" w:rsidP="0019056F">
      <w:pPr>
        <w:ind w:left="0" w:firstLine="0"/>
        <w:rPr>
          <w:color w:val="0000FF"/>
        </w:rPr>
      </w:pPr>
      <w:r w:rsidRPr="000A737C">
        <w:rPr>
          <w:b/>
          <w:color w:val="0000FF"/>
        </w:rPr>
        <w:t>Justification of Measure Definition</w:t>
      </w:r>
      <w:r>
        <w:rPr>
          <w:color w:val="0000FF"/>
        </w:rPr>
        <w:t xml:space="preserve">: The second source </w:t>
      </w:r>
      <w:r>
        <w:rPr>
          <w:iCs/>
          <w:color w:val="0000FF"/>
        </w:rPr>
        <w:t>provides evidence that justifies the measure definition. This evidence also appears in the Numerator Details section of the MIF (see Section S.5).</w:t>
      </w:r>
      <w:r w:rsidRPr="00457FE5">
        <w:rPr>
          <w:color w:val="0000FF"/>
        </w:rPr>
        <w:t xml:space="preserve"> </w:t>
      </w:r>
      <w:r>
        <w:rPr>
          <w:color w:val="0000FF"/>
        </w:rPr>
        <w:t>Each of the sections related to this topic (presented below) are labeled with the header, “Justification of Measure Definition”.</w:t>
      </w:r>
    </w:p>
    <w:p w14:paraId="04371990" w14:textId="77777777" w:rsidR="0019056F" w:rsidRDefault="0019056F" w:rsidP="0019056F">
      <w:pPr>
        <w:ind w:left="0" w:firstLine="0"/>
        <w:rPr>
          <w:b/>
          <w:color w:val="0000FF"/>
        </w:rPr>
      </w:pPr>
    </w:p>
    <w:p w14:paraId="50DC6B53" w14:textId="77777777" w:rsidR="0019056F" w:rsidRDefault="0019056F" w:rsidP="0019056F">
      <w:pPr>
        <w:ind w:left="0" w:firstLine="0"/>
        <w:rPr>
          <w:b/>
          <w:color w:val="0000FF"/>
        </w:rPr>
      </w:pPr>
      <w:r>
        <w:rPr>
          <w:b/>
          <w:color w:val="0000FF"/>
        </w:rPr>
        <w:t xml:space="preserve">Mortality Risk </w:t>
      </w:r>
    </w:p>
    <w:p w14:paraId="330E29F7" w14:textId="77777777" w:rsidR="0019056F" w:rsidRPr="000953E9" w:rsidRDefault="0019056F" w:rsidP="0019056F">
      <w:pPr>
        <w:ind w:left="0" w:firstLine="0"/>
      </w:pPr>
      <w:r>
        <w:rPr>
          <w:b/>
          <w:color w:val="0000FF"/>
        </w:rPr>
        <w:t>1a.4</w:t>
      </w:r>
      <w:r w:rsidRPr="003B1CC5">
        <w:rPr>
          <w:b/>
          <w:color w:val="0000FF"/>
        </w:rPr>
        <w:t>.1</w:t>
      </w:r>
      <w:r w:rsidRPr="003B1CC5">
        <w:rPr>
          <w:color w:val="0070C0"/>
        </w:rPr>
        <w:t xml:space="preserve"> </w:t>
      </w:r>
      <w:r w:rsidRPr="000E5C93">
        <w:rPr>
          <w:b/>
        </w:rPr>
        <w:t>B</w:t>
      </w:r>
      <w:r>
        <w:rPr>
          <w:b/>
        </w:rPr>
        <w:t>riefly SYNTHESIZE</w:t>
      </w:r>
      <w:r w:rsidRPr="000E5C93">
        <w:rPr>
          <w:b/>
        </w:rPr>
        <w:t xml:space="preserve"> </w:t>
      </w:r>
      <w:r>
        <w:rPr>
          <w:b/>
        </w:rPr>
        <w:t xml:space="preserve">the evidence that supports the measure. </w:t>
      </w:r>
      <w:r>
        <w:t>A list of references without a summary is not acceptable.</w:t>
      </w:r>
    </w:p>
    <w:p w14:paraId="416CC844" w14:textId="77777777" w:rsidR="0019056F" w:rsidRPr="000953E9" w:rsidRDefault="0019056F" w:rsidP="0019056F">
      <w:pPr>
        <w:ind w:left="0" w:firstLine="0"/>
        <w:rPr>
          <w:color w:val="0000FF"/>
        </w:rPr>
      </w:pPr>
    </w:p>
    <w:p w14:paraId="054BA2E3" w14:textId="77777777" w:rsidR="0019056F" w:rsidRPr="009045A0" w:rsidRDefault="0019056F" w:rsidP="0019056F">
      <w:pPr>
        <w:ind w:left="0" w:firstLine="0"/>
        <w:rPr>
          <w:color w:val="0000FF"/>
        </w:rPr>
      </w:pPr>
      <w:r>
        <w:rPr>
          <w:color w:val="0000FF"/>
        </w:rPr>
        <w:t xml:space="preserve">Exhibit 9 summarizes findings from our review of studies that looked at the mortality risk during transition of care phases for OUD pharmacotherapy (treatment initiation and cessation). The vast majority of studies found evidence for increased mortality during those periods and the results were consistent for the different MAT drugs. </w:t>
      </w:r>
      <w:r w:rsidRPr="009045A0">
        <w:rPr>
          <w:color w:val="0000FF"/>
        </w:rPr>
        <w:t>Across all the medications, the mortality risk is highest in the first four weeks out of treatment, with many studies showing an increase in mortality in days 1-14 after treatment cessation.  This evidence supports the recommendation for no gaps in care of more than 7 days.</w:t>
      </w:r>
    </w:p>
    <w:p w14:paraId="41B48B32" w14:textId="77777777" w:rsidR="0019056F" w:rsidRPr="009045A0" w:rsidRDefault="0019056F" w:rsidP="0019056F">
      <w:pPr>
        <w:ind w:left="0" w:firstLine="0"/>
        <w:rPr>
          <w:color w:val="0000FF"/>
        </w:rPr>
      </w:pPr>
    </w:p>
    <w:p w14:paraId="464CE7DD" w14:textId="77777777" w:rsidR="0019056F" w:rsidRDefault="0019056F" w:rsidP="0019056F">
      <w:pPr>
        <w:ind w:left="0" w:firstLine="0"/>
        <w:rPr>
          <w:iCs/>
          <w:color w:val="0000FF"/>
        </w:rPr>
      </w:pPr>
    </w:p>
    <w:p w14:paraId="0F67D5F1" w14:textId="77777777" w:rsidR="0019056F" w:rsidRDefault="0019056F" w:rsidP="0019056F">
      <w:pPr>
        <w:rPr>
          <w:rFonts w:asciiTheme="majorHAnsi" w:eastAsia="Times New Roman" w:hAnsiTheme="majorHAnsi" w:cstheme="majorBidi"/>
          <w:b/>
          <w:bCs/>
          <w:color w:val="4F81BD" w:themeColor="accent1"/>
          <w:sz w:val="26"/>
          <w:szCs w:val="26"/>
        </w:rPr>
      </w:pPr>
      <w:r>
        <w:rPr>
          <w:rFonts w:asciiTheme="majorHAnsi" w:eastAsia="Times New Roman" w:hAnsiTheme="majorHAnsi" w:cstheme="majorBidi"/>
          <w:b/>
          <w:bCs/>
          <w:color w:val="4F81BD" w:themeColor="accent1"/>
          <w:sz w:val="26"/>
          <w:szCs w:val="26"/>
        </w:rPr>
        <w:br w:type="page"/>
      </w:r>
    </w:p>
    <w:p w14:paraId="1D872B10" w14:textId="77777777" w:rsidR="0019056F" w:rsidRDefault="0019056F" w:rsidP="0019056F">
      <w:pPr>
        <w:ind w:left="0" w:firstLine="0"/>
        <w:rPr>
          <w:rFonts w:asciiTheme="majorHAnsi" w:eastAsia="Times New Roman" w:hAnsiTheme="majorHAnsi" w:cstheme="majorBidi"/>
          <w:b/>
          <w:bCs/>
          <w:color w:val="4F81BD" w:themeColor="accent1"/>
          <w:sz w:val="26"/>
          <w:szCs w:val="26"/>
        </w:rPr>
      </w:pPr>
      <w:r w:rsidRPr="00DB4E2F">
        <w:rPr>
          <w:rFonts w:asciiTheme="majorHAnsi" w:eastAsia="Times New Roman" w:hAnsiTheme="majorHAnsi" w:cstheme="majorBidi"/>
          <w:b/>
          <w:bCs/>
          <w:color w:val="4F81BD" w:themeColor="accent1"/>
          <w:sz w:val="26"/>
          <w:szCs w:val="26"/>
        </w:rPr>
        <w:t xml:space="preserve">Exhibit </w:t>
      </w:r>
      <w:r>
        <w:rPr>
          <w:rFonts w:asciiTheme="majorHAnsi" w:eastAsia="Times New Roman" w:hAnsiTheme="majorHAnsi" w:cstheme="majorBidi"/>
          <w:b/>
          <w:bCs/>
          <w:color w:val="4F81BD" w:themeColor="accent1"/>
          <w:sz w:val="26"/>
          <w:szCs w:val="26"/>
        </w:rPr>
        <w:t>9</w:t>
      </w:r>
      <w:r w:rsidRPr="00DB4E2F">
        <w:rPr>
          <w:rFonts w:asciiTheme="majorHAnsi" w:eastAsia="Times New Roman" w:hAnsiTheme="majorHAnsi" w:cstheme="majorBidi"/>
          <w:b/>
          <w:bCs/>
          <w:color w:val="4F81BD" w:themeColor="accent1"/>
          <w:sz w:val="26"/>
          <w:szCs w:val="26"/>
        </w:rPr>
        <w:t xml:space="preserve">. </w:t>
      </w:r>
      <w:r>
        <w:rPr>
          <w:rFonts w:asciiTheme="majorHAnsi" w:eastAsia="Times New Roman" w:hAnsiTheme="majorHAnsi" w:cstheme="majorBidi"/>
          <w:b/>
          <w:bCs/>
          <w:color w:val="4F81BD" w:themeColor="accent1"/>
          <w:sz w:val="26"/>
          <w:szCs w:val="26"/>
        </w:rPr>
        <w:t>Mortality Subsequent to Pharmacotherapy Initiation and Cessation.</w:t>
      </w:r>
    </w:p>
    <w:tbl>
      <w:tblPr>
        <w:tblW w:w="8740" w:type="dxa"/>
        <w:tblInd w:w="93" w:type="dxa"/>
        <w:tblLook w:val="04A0" w:firstRow="1" w:lastRow="0" w:firstColumn="1" w:lastColumn="0" w:noHBand="0" w:noVBand="1"/>
      </w:tblPr>
      <w:tblGrid>
        <w:gridCol w:w="2535"/>
        <w:gridCol w:w="1800"/>
        <w:gridCol w:w="1620"/>
        <w:gridCol w:w="2785"/>
      </w:tblGrid>
      <w:tr w:rsidR="0019056F" w:rsidRPr="00E105AD" w14:paraId="76DE1B2F" w14:textId="77777777" w:rsidTr="009E73E8">
        <w:trPr>
          <w:trHeight w:val="615"/>
        </w:trPr>
        <w:tc>
          <w:tcPr>
            <w:tcW w:w="2535" w:type="dxa"/>
            <w:tcBorders>
              <w:top w:val="single" w:sz="4" w:space="0" w:color="auto"/>
              <w:left w:val="nil"/>
              <w:bottom w:val="single" w:sz="8" w:space="0" w:color="auto"/>
              <w:right w:val="nil"/>
            </w:tcBorders>
            <w:shd w:val="clear" w:color="auto" w:fill="auto"/>
            <w:vAlign w:val="center"/>
            <w:hideMark/>
          </w:tcPr>
          <w:p w14:paraId="658BB43D" w14:textId="77777777" w:rsidR="0019056F" w:rsidRPr="00E105AD" w:rsidRDefault="0019056F" w:rsidP="009E73E8">
            <w:pPr>
              <w:ind w:left="0" w:firstLine="0"/>
              <w:jc w:val="center"/>
              <w:rPr>
                <w:rFonts w:ascii="Calibri" w:eastAsia="Times New Roman" w:hAnsi="Calibri" w:cs="Times New Roman"/>
                <w:b/>
                <w:bCs/>
              </w:rPr>
            </w:pPr>
            <w:r w:rsidRPr="00E105AD">
              <w:rPr>
                <w:rFonts w:ascii="Calibri" w:eastAsia="Times New Roman" w:hAnsi="Calibri" w:cs="Times New Roman"/>
                <w:b/>
                <w:bCs/>
              </w:rPr>
              <w:t>Author (Year)</w:t>
            </w:r>
          </w:p>
        </w:tc>
        <w:tc>
          <w:tcPr>
            <w:tcW w:w="1800" w:type="dxa"/>
            <w:tcBorders>
              <w:top w:val="single" w:sz="4" w:space="0" w:color="auto"/>
              <w:left w:val="nil"/>
              <w:bottom w:val="single" w:sz="8" w:space="0" w:color="auto"/>
              <w:right w:val="nil"/>
            </w:tcBorders>
            <w:shd w:val="clear" w:color="auto" w:fill="auto"/>
            <w:vAlign w:val="center"/>
            <w:hideMark/>
          </w:tcPr>
          <w:p w14:paraId="3B8E878A" w14:textId="77777777" w:rsidR="0019056F" w:rsidRPr="00E105AD" w:rsidRDefault="0019056F" w:rsidP="009E73E8">
            <w:pPr>
              <w:ind w:left="0" w:firstLine="0"/>
              <w:jc w:val="center"/>
              <w:rPr>
                <w:rFonts w:ascii="Calibri" w:eastAsia="Times New Roman" w:hAnsi="Calibri" w:cs="Times New Roman"/>
                <w:b/>
                <w:bCs/>
              </w:rPr>
            </w:pPr>
            <w:r w:rsidRPr="00E105AD">
              <w:rPr>
                <w:rFonts w:ascii="Calibri" w:eastAsia="Times New Roman" w:hAnsi="Calibri" w:cs="Times New Roman"/>
                <w:b/>
                <w:bCs/>
              </w:rPr>
              <w:t>Drug(s)</w:t>
            </w:r>
          </w:p>
        </w:tc>
        <w:tc>
          <w:tcPr>
            <w:tcW w:w="1620" w:type="dxa"/>
            <w:tcBorders>
              <w:top w:val="single" w:sz="4" w:space="0" w:color="auto"/>
              <w:left w:val="nil"/>
              <w:bottom w:val="single" w:sz="8" w:space="0" w:color="auto"/>
              <w:right w:val="nil"/>
            </w:tcBorders>
            <w:shd w:val="clear" w:color="auto" w:fill="auto"/>
            <w:vAlign w:val="center"/>
            <w:hideMark/>
          </w:tcPr>
          <w:p w14:paraId="65F28AE1" w14:textId="77777777" w:rsidR="0019056F" w:rsidRPr="00E105AD" w:rsidRDefault="0019056F" w:rsidP="009E73E8">
            <w:pPr>
              <w:ind w:left="0" w:firstLine="0"/>
              <w:jc w:val="center"/>
              <w:rPr>
                <w:rFonts w:ascii="Calibri" w:eastAsia="Times New Roman" w:hAnsi="Calibri" w:cs="Times New Roman"/>
                <w:b/>
                <w:bCs/>
              </w:rPr>
            </w:pPr>
            <w:r w:rsidRPr="00E105AD">
              <w:rPr>
                <w:rFonts w:ascii="Calibri" w:eastAsia="Times New Roman" w:hAnsi="Calibri" w:cs="Times New Roman"/>
                <w:b/>
                <w:bCs/>
              </w:rPr>
              <w:t xml:space="preserve">Increased </w:t>
            </w:r>
            <w:r w:rsidRPr="00370160">
              <w:rPr>
                <w:rFonts w:ascii="Calibri" w:eastAsia="Times New Roman" w:hAnsi="Calibri" w:cs="Times New Roman"/>
                <w:b/>
                <w:bCs/>
              </w:rPr>
              <w:t xml:space="preserve">Mortality </w:t>
            </w:r>
            <w:r w:rsidRPr="00E105AD">
              <w:rPr>
                <w:rFonts w:ascii="Calibri" w:eastAsia="Times New Roman" w:hAnsi="Calibri" w:cs="Times New Roman"/>
                <w:b/>
                <w:bCs/>
              </w:rPr>
              <w:t xml:space="preserve">Risk </w:t>
            </w:r>
          </w:p>
        </w:tc>
        <w:tc>
          <w:tcPr>
            <w:tcW w:w="2785" w:type="dxa"/>
            <w:tcBorders>
              <w:top w:val="single" w:sz="4" w:space="0" w:color="auto"/>
              <w:left w:val="nil"/>
              <w:bottom w:val="single" w:sz="8" w:space="0" w:color="auto"/>
              <w:right w:val="nil"/>
            </w:tcBorders>
            <w:shd w:val="clear" w:color="auto" w:fill="auto"/>
            <w:vAlign w:val="center"/>
            <w:hideMark/>
          </w:tcPr>
          <w:p w14:paraId="24C6BA19" w14:textId="77777777" w:rsidR="0019056F" w:rsidRPr="00E105AD" w:rsidRDefault="0019056F" w:rsidP="009E73E8">
            <w:pPr>
              <w:ind w:left="0" w:firstLine="0"/>
              <w:jc w:val="center"/>
              <w:rPr>
                <w:rFonts w:ascii="Calibri" w:eastAsia="Times New Roman" w:hAnsi="Calibri" w:cs="Times New Roman"/>
                <w:b/>
                <w:bCs/>
              </w:rPr>
            </w:pPr>
            <w:r w:rsidRPr="00E105AD">
              <w:rPr>
                <w:rFonts w:ascii="Calibri" w:eastAsia="Times New Roman" w:hAnsi="Calibri" w:cs="Times New Roman"/>
                <w:b/>
                <w:bCs/>
              </w:rPr>
              <w:t>Timeframe (after treatment initiation or cessation)</w:t>
            </w:r>
          </w:p>
        </w:tc>
      </w:tr>
      <w:tr w:rsidR="0019056F" w:rsidRPr="00E105AD" w14:paraId="45141F36" w14:textId="77777777" w:rsidTr="009E73E8">
        <w:trPr>
          <w:trHeight w:val="300"/>
        </w:trPr>
        <w:tc>
          <w:tcPr>
            <w:tcW w:w="2535" w:type="dxa"/>
            <w:tcBorders>
              <w:top w:val="nil"/>
              <w:left w:val="nil"/>
              <w:bottom w:val="nil"/>
              <w:right w:val="nil"/>
            </w:tcBorders>
            <w:shd w:val="clear" w:color="auto" w:fill="auto"/>
            <w:vAlign w:val="center"/>
            <w:hideMark/>
          </w:tcPr>
          <w:p w14:paraId="41C5CC91"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val="restart"/>
            <w:tcBorders>
              <w:top w:val="nil"/>
              <w:left w:val="nil"/>
              <w:bottom w:val="single" w:sz="4" w:space="0" w:color="000000"/>
              <w:right w:val="nil"/>
            </w:tcBorders>
            <w:shd w:val="clear" w:color="auto" w:fill="auto"/>
            <w:vAlign w:val="center"/>
            <w:hideMark/>
          </w:tcPr>
          <w:p w14:paraId="5C459F21"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Buprenorphine</w:t>
            </w:r>
          </w:p>
        </w:tc>
        <w:tc>
          <w:tcPr>
            <w:tcW w:w="1620" w:type="dxa"/>
            <w:vMerge w:val="restart"/>
            <w:tcBorders>
              <w:top w:val="nil"/>
              <w:left w:val="nil"/>
              <w:bottom w:val="single" w:sz="4" w:space="0" w:color="A6A6A6"/>
              <w:right w:val="nil"/>
            </w:tcBorders>
            <w:shd w:val="clear" w:color="auto" w:fill="auto"/>
            <w:vAlign w:val="center"/>
            <w:hideMark/>
          </w:tcPr>
          <w:p w14:paraId="75F6A7A0"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vMerge w:val="restart"/>
            <w:tcBorders>
              <w:top w:val="nil"/>
              <w:left w:val="nil"/>
              <w:bottom w:val="nil"/>
              <w:right w:val="nil"/>
            </w:tcBorders>
            <w:shd w:val="clear" w:color="auto" w:fill="auto"/>
            <w:vAlign w:val="center"/>
            <w:hideMark/>
          </w:tcPr>
          <w:p w14:paraId="1289A1E2"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9056F" w:rsidRPr="00E105AD" w14:paraId="50E82940" w14:textId="77777777" w:rsidTr="009E73E8">
        <w:trPr>
          <w:trHeight w:val="300"/>
        </w:trPr>
        <w:tc>
          <w:tcPr>
            <w:tcW w:w="2535" w:type="dxa"/>
            <w:tcBorders>
              <w:top w:val="nil"/>
              <w:left w:val="nil"/>
              <w:bottom w:val="nil"/>
              <w:right w:val="nil"/>
            </w:tcBorders>
            <w:shd w:val="clear" w:color="auto" w:fill="auto"/>
            <w:vAlign w:val="center"/>
            <w:hideMark/>
          </w:tcPr>
          <w:p w14:paraId="2FFE38BA"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000000"/>
              <w:right w:val="nil"/>
            </w:tcBorders>
            <w:vAlign w:val="center"/>
            <w:hideMark/>
          </w:tcPr>
          <w:p w14:paraId="46D316CE" w14:textId="77777777" w:rsidR="0019056F" w:rsidRPr="00E105AD" w:rsidRDefault="0019056F" w:rsidP="009E73E8">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2B1EB182"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538C8571" w14:textId="77777777" w:rsidR="0019056F" w:rsidRPr="00E105AD" w:rsidRDefault="0019056F" w:rsidP="009E73E8">
            <w:pPr>
              <w:ind w:left="0" w:firstLine="0"/>
              <w:rPr>
                <w:rFonts w:ascii="Calibri" w:eastAsia="Times New Roman" w:hAnsi="Calibri" w:cs="Times New Roman"/>
              </w:rPr>
            </w:pPr>
          </w:p>
        </w:tc>
      </w:tr>
      <w:tr w:rsidR="0019056F" w:rsidRPr="00E105AD" w14:paraId="0AA7C4B0" w14:textId="77777777" w:rsidTr="009E73E8">
        <w:trPr>
          <w:trHeight w:val="300"/>
        </w:trPr>
        <w:tc>
          <w:tcPr>
            <w:tcW w:w="2535" w:type="dxa"/>
            <w:tcBorders>
              <w:top w:val="nil"/>
              <w:left w:val="nil"/>
              <w:bottom w:val="nil"/>
              <w:right w:val="nil"/>
            </w:tcBorders>
            <w:shd w:val="clear" w:color="auto" w:fill="auto"/>
            <w:vAlign w:val="center"/>
            <w:hideMark/>
          </w:tcPr>
          <w:p w14:paraId="758356FC"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4AAD007A" w14:textId="77777777" w:rsidR="0019056F" w:rsidRPr="00E105AD" w:rsidRDefault="0019056F" w:rsidP="009E73E8">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69F816C5"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Yes</w:t>
            </w:r>
          </w:p>
        </w:tc>
        <w:tc>
          <w:tcPr>
            <w:tcW w:w="2785" w:type="dxa"/>
            <w:vMerge w:val="restart"/>
            <w:tcBorders>
              <w:top w:val="single" w:sz="4" w:space="0" w:color="auto"/>
              <w:left w:val="nil"/>
              <w:bottom w:val="single" w:sz="4" w:space="0" w:color="000000"/>
              <w:right w:val="nil"/>
            </w:tcBorders>
            <w:shd w:val="clear" w:color="auto" w:fill="auto"/>
            <w:vAlign w:val="center"/>
            <w:hideMark/>
          </w:tcPr>
          <w:p w14:paraId="6D8E6439"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9056F" w:rsidRPr="00E105AD" w14:paraId="38A7CCD4" w14:textId="77777777" w:rsidTr="009E73E8">
        <w:trPr>
          <w:trHeight w:val="300"/>
        </w:trPr>
        <w:tc>
          <w:tcPr>
            <w:tcW w:w="2535" w:type="dxa"/>
            <w:tcBorders>
              <w:top w:val="nil"/>
              <w:left w:val="nil"/>
              <w:bottom w:val="single" w:sz="4" w:space="0" w:color="auto"/>
              <w:right w:val="nil"/>
            </w:tcBorders>
            <w:shd w:val="clear" w:color="auto" w:fill="auto"/>
            <w:vAlign w:val="center"/>
            <w:hideMark/>
          </w:tcPr>
          <w:p w14:paraId="61314FA7"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auto"/>
              <w:right w:val="nil"/>
            </w:tcBorders>
            <w:vAlign w:val="center"/>
            <w:hideMark/>
          </w:tcPr>
          <w:p w14:paraId="3BC9B0F4" w14:textId="77777777" w:rsidR="0019056F" w:rsidRPr="00E105AD" w:rsidRDefault="0019056F" w:rsidP="009E73E8">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43966113" w14:textId="77777777" w:rsidR="0019056F" w:rsidRPr="00E105AD" w:rsidRDefault="0019056F" w:rsidP="009E73E8">
            <w:pPr>
              <w:ind w:left="0" w:firstLine="0"/>
              <w:rPr>
                <w:rFonts w:ascii="Calibri" w:eastAsia="Times New Roman" w:hAnsi="Calibri" w:cs="Times New Roman"/>
              </w:rPr>
            </w:pPr>
          </w:p>
        </w:tc>
        <w:tc>
          <w:tcPr>
            <w:tcW w:w="2785" w:type="dxa"/>
            <w:vMerge/>
            <w:tcBorders>
              <w:top w:val="single" w:sz="4" w:space="0" w:color="A6A6A6"/>
              <w:left w:val="nil"/>
              <w:bottom w:val="single" w:sz="4" w:space="0" w:color="auto"/>
              <w:right w:val="nil"/>
            </w:tcBorders>
            <w:vAlign w:val="center"/>
            <w:hideMark/>
          </w:tcPr>
          <w:p w14:paraId="7B16E6F9" w14:textId="77777777" w:rsidR="0019056F" w:rsidRPr="00E105AD" w:rsidRDefault="0019056F" w:rsidP="009E73E8">
            <w:pPr>
              <w:ind w:left="0" w:firstLine="0"/>
              <w:rPr>
                <w:rFonts w:ascii="Calibri" w:eastAsia="Times New Roman" w:hAnsi="Calibri" w:cs="Times New Roman"/>
              </w:rPr>
            </w:pPr>
          </w:p>
        </w:tc>
      </w:tr>
      <w:tr w:rsidR="0019056F" w:rsidRPr="00E105AD" w14:paraId="0FB5D71A" w14:textId="77777777" w:rsidTr="009E73E8">
        <w:trPr>
          <w:trHeight w:val="300"/>
        </w:trPr>
        <w:tc>
          <w:tcPr>
            <w:tcW w:w="2535" w:type="dxa"/>
            <w:tcBorders>
              <w:top w:val="single" w:sz="4" w:space="0" w:color="auto"/>
              <w:left w:val="nil"/>
              <w:bottom w:val="nil"/>
              <w:right w:val="nil"/>
            </w:tcBorders>
            <w:shd w:val="clear" w:color="auto" w:fill="auto"/>
            <w:vAlign w:val="center"/>
            <w:hideMark/>
          </w:tcPr>
          <w:p w14:paraId="1869A9EC"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Cousins </w:t>
            </w:r>
            <w:r w:rsidRPr="00370160">
              <w:t xml:space="preserve">et al., </w:t>
            </w:r>
            <w:r>
              <w:rPr>
                <w:rFonts w:ascii="Calibri" w:eastAsia="Times New Roman" w:hAnsi="Calibri" w:cs="Times New Roman"/>
              </w:rPr>
              <w:t>2016</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28A89276"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Methadone</w:t>
            </w:r>
          </w:p>
        </w:tc>
        <w:tc>
          <w:tcPr>
            <w:tcW w:w="1620" w:type="dxa"/>
            <w:tcBorders>
              <w:top w:val="single" w:sz="4" w:space="0" w:color="auto"/>
              <w:left w:val="nil"/>
              <w:bottom w:val="single" w:sz="4" w:space="0" w:color="auto"/>
              <w:right w:val="nil"/>
            </w:tcBorders>
            <w:shd w:val="clear" w:color="auto" w:fill="auto"/>
            <w:vAlign w:val="center"/>
            <w:hideMark/>
          </w:tcPr>
          <w:p w14:paraId="66077688"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tcBorders>
              <w:top w:val="single" w:sz="4" w:space="0" w:color="auto"/>
              <w:left w:val="nil"/>
              <w:bottom w:val="single" w:sz="4" w:space="0" w:color="auto"/>
              <w:right w:val="nil"/>
            </w:tcBorders>
            <w:shd w:val="clear" w:color="auto" w:fill="auto"/>
            <w:vAlign w:val="center"/>
            <w:hideMark/>
          </w:tcPr>
          <w:p w14:paraId="475B2C0D"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9056F" w:rsidRPr="00E105AD" w14:paraId="274F162B" w14:textId="77777777" w:rsidTr="009E73E8">
        <w:trPr>
          <w:trHeight w:val="300"/>
        </w:trPr>
        <w:tc>
          <w:tcPr>
            <w:tcW w:w="2535" w:type="dxa"/>
            <w:tcBorders>
              <w:top w:val="nil"/>
              <w:left w:val="nil"/>
              <w:bottom w:val="nil"/>
              <w:right w:val="nil"/>
            </w:tcBorders>
            <w:shd w:val="clear" w:color="auto" w:fill="auto"/>
            <w:vAlign w:val="center"/>
            <w:hideMark/>
          </w:tcPr>
          <w:p w14:paraId="4E09B4E5" w14:textId="77777777" w:rsidR="0019056F" w:rsidRPr="009D12BC" w:rsidRDefault="0019056F" w:rsidP="009E73E8">
            <w:pPr>
              <w:ind w:left="0" w:firstLine="0"/>
              <w:rPr>
                <w:rFonts w:ascii="Calibri" w:eastAsia="Times New Roman" w:hAnsi="Calibri" w:cs="Times New Roman"/>
              </w:rPr>
            </w:pPr>
            <w:r>
              <w:rPr>
                <w:rFonts w:ascii="Calibri" w:eastAsia="Times New Roman" w:hAnsi="Calibri" w:cs="Times New Roman"/>
              </w:rPr>
              <w:t>Caplehorn</w:t>
            </w:r>
            <w:r w:rsidRPr="00370160">
              <w:t xml:space="preserve">, </w:t>
            </w:r>
            <w:r w:rsidRPr="00E105AD">
              <w:rPr>
                <w:rFonts w:ascii="Calibri" w:eastAsia="Times New Roman" w:hAnsi="Calibri" w:cs="Times New Roman"/>
              </w:rPr>
              <w:t>1998</w:t>
            </w:r>
          </w:p>
        </w:tc>
        <w:tc>
          <w:tcPr>
            <w:tcW w:w="1800" w:type="dxa"/>
            <w:vMerge/>
            <w:tcBorders>
              <w:top w:val="nil"/>
              <w:left w:val="nil"/>
              <w:bottom w:val="single" w:sz="4" w:space="0" w:color="000000"/>
              <w:right w:val="nil"/>
            </w:tcBorders>
            <w:vAlign w:val="center"/>
            <w:hideMark/>
          </w:tcPr>
          <w:p w14:paraId="656D94B9" w14:textId="77777777" w:rsidR="0019056F" w:rsidRPr="009D12BC" w:rsidRDefault="0019056F" w:rsidP="009E73E8">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37EF6DC0" w14:textId="77777777" w:rsidR="0019056F" w:rsidRPr="009D12BC" w:rsidRDefault="0019056F" w:rsidP="009E73E8">
            <w:pPr>
              <w:ind w:left="0" w:firstLine="0"/>
              <w:rPr>
                <w:rFonts w:ascii="Calibri" w:eastAsia="Times New Roman" w:hAnsi="Calibri" w:cs="Times New Roman"/>
              </w:rPr>
            </w:pPr>
            <w:r w:rsidRPr="009D12BC">
              <w:rPr>
                <w:rFonts w:ascii="Calibri" w:eastAsia="Times New Roman" w:hAnsi="Calibri" w:cs="Times New Roman"/>
              </w:rPr>
              <w:t>Yes</w:t>
            </w:r>
          </w:p>
        </w:tc>
        <w:tc>
          <w:tcPr>
            <w:tcW w:w="2785" w:type="dxa"/>
            <w:vMerge w:val="restart"/>
            <w:tcBorders>
              <w:top w:val="single" w:sz="4" w:space="0" w:color="auto"/>
              <w:left w:val="nil"/>
              <w:bottom w:val="nil"/>
              <w:right w:val="nil"/>
            </w:tcBorders>
            <w:shd w:val="clear" w:color="auto" w:fill="auto"/>
            <w:vAlign w:val="center"/>
            <w:hideMark/>
          </w:tcPr>
          <w:p w14:paraId="775231D8" w14:textId="77777777" w:rsidR="0019056F" w:rsidRPr="00E105AD" w:rsidRDefault="0019056F" w:rsidP="009E73E8">
            <w:pPr>
              <w:ind w:left="0" w:firstLine="0"/>
              <w:rPr>
                <w:rFonts w:ascii="Calibri" w:eastAsia="Times New Roman" w:hAnsi="Calibri" w:cs="Times New Roman"/>
              </w:rPr>
            </w:pPr>
            <w:r w:rsidRPr="009D12BC">
              <w:rPr>
                <w:rFonts w:ascii="Calibri" w:eastAsia="Times New Roman" w:hAnsi="Calibri" w:cs="Times New Roman"/>
              </w:rPr>
              <w:t>After treatment initiation</w:t>
            </w:r>
          </w:p>
        </w:tc>
      </w:tr>
      <w:tr w:rsidR="0019056F" w:rsidRPr="00E105AD" w14:paraId="15FF90F7" w14:textId="77777777" w:rsidTr="009E73E8">
        <w:trPr>
          <w:trHeight w:val="300"/>
        </w:trPr>
        <w:tc>
          <w:tcPr>
            <w:tcW w:w="2535" w:type="dxa"/>
            <w:tcBorders>
              <w:top w:val="nil"/>
              <w:left w:val="nil"/>
              <w:bottom w:val="nil"/>
              <w:right w:val="nil"/>
            </w:tcBorders>
            <w:shd w:val="clear" w:color="auto" w:fill="auto"/>
            <w:vAlign w:val="center"/>
            <w:hideMark/>
          </w:tcPr>
          <w:p w14:paraId="20123C46" w14:textId="77777777" w:rsidR="0019056F" w:rsidRPr="00E105AD" w:rsidRDefault="0019056F" w:rsidP="009E73E8">
            <w:pPr>
              <w:ind w:left="0" w:firstLine="0"/>
              <w:rPr>
                <w:rFonts w:ascii="Calibri" w:eastAsia="Times New Roman" w:hAnsi="Calibri" w:cs="Times New Roman"/>
              </w:rPr>
            </w:pPr>
            <w:r>
              <w:rPr>
                <w:rFonts w:ascii="Calibri" w:eastAsia="Times New Roman" w:hAnsi="Calibri" w:cs="Times New Roman"/>
              </w:rPr>
              <w:t xml:space="preserve">Caplehorn and Drummer, 1999 </w:t>
            </w:r>
          </w:p>
        </w:tc>
        <w:tc>
          <w:tcPr>
            <w:tcW w:w="1800" w:type="dxa"/>
            <w:vMerge/>
            <w:tcBorders>
              <w:top w:val="nil"/>
              <w:left w:val="nil"/>
              <w:bottom w:val="single" w:sz="4" w:space="0" w:color="000000"/>
              <w:right w:val="nil"/>
            </w:tcBorders>
            <w:vAlign w:val="center"/>
            <w:hideMark/>
          </w:tcPr>
          <w:p w14:paraId="769F1C4C"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10D8BC4"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0FB7B74C" w14:textId="77777777" w:rsidR="0019056F" w:rsidRPr="00E105AD" w:rsidRDefault="0019056F" w:rsidP="009E73E8">
            <w:pPr>
              <w:ind w:left="0" w:firstLine="0"/>
              <w:rPr>
                <w:rFonts w:ascii="Calibri" w:eastAsia="Times New Roman" w:hAnsi="Calibri" w:cs="Times New Roman"/>
              </w:rPr>
            </w:pPr>
          </w:p>
        </w:tc>
      </w:tr>
      <w:tr w:rsidR="0019056F" w:rsidRPr="00E105AD" w14:paraId="0D346FC7" w14:textId="77777777" w:rsidTr="009E73E8">
        <w:trPr>
          <w:trHeight w:val="300"/>
        </w:trPr>
        <w:tc>
          <w:tcPr>
            <w:tcW w:w="2535" w:type="dxa"/>
            <w:tcBorders>
              <w:top w:val="nil"/>
              <w:left w:val="nil"/>
              <w:bottom w:val="nil"/>
              <w:right w:val="nil"/>
            </w:tcBorders>
            <w:shd w:val="clear" w:color="auto" w:fill="auto"/>
            <w:vAlign w:val="center"/>
          </w:tcPr>
          <w:p w14:paraId="0869099C"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tcPr>
          <w:p w14:paraId="40A249CA"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2CF592FD"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tcPr>
          <w:p w14:paraId="6414CE1F" w14:textId="77777777" w:rsidR="0019056F" w:rsidRPr="00E105AD" w:rsidRDefault="0019056F" w:rsidP="009E73E8">
            <w:pPr>
              <w:ind w:left="0" w:firstLine="0"/>
              <w:rPr>
                <w:rFonts w:ascii="Calibri" w:eastAsia="Times New Roman" w:hAnsi="Calibri" w:cs="Times New Roman"/>
              </w:rPr>
            </w:pPr>
          </w:p>
        </w:tc>
      </w:tr>
      <w:tr w:rsidR="0019056F" w:rsidRPr="00E105AD" w14:paraId="252EE0D8" w14:textId="77777777" w:rsidTr="009E73E8">
        <w:trPr>
          <w:trHeight w:val="300"/>
        </w:trPr>
        <w:tc>
          <w:tcPr>
            <w:tcW w:w="2535" w:type="dxa"/>
            <w:tcBorders>
              <w:top w:val="nil"/>
              <w:left w:val="nil"/>
              <w:bottom w:val="nil"/>
              <w:right w:val="nil"/>
            </w:tcBorders>
            <w:shd w:val="clear" w:color="auto" w:fill="auto"/>
            <w:vAlign w:val="center"/>
            <w:hideMark/>
          </w:tcPr>
          <w:p w14:paraId="2FB0EA14" w14:textId="77777777" w:rsidR="0019056F" w:rsidRPr="00E105AD" w:rsidRDefault="0019056F" w:rsidP="009E73E8">
            <w:pPr>
              <w:ind w:left="0" w:firstLine="0"/>
              <w:rPr>
                <w:rFonts w:ascii="Calibri" w:eastAsia="Times New Roman" w:hAnsi="Calibri" w:cs="Times New Roman"/>
              </w:rPr>
            </w:pPr>
            <w:r w:rsidRPr="006F767E">
              <w:rPr>
                <w:rFonts w:ascii="Calibri" w:eastAsia="Times New Roman" w:hAnsi="Calibri" w:cs="Times New Roman"/>
              </w:rPr>
              <w:t>Cousins et al., 2011</w:t>
            </w:r>
          </w:p>
        </w:tc>
        <w:tc>
          <w:tcPr>
            <w:tcW w:w="1800" w:type="dxa"/>
            <w:vMerge/>
            <w:tcBorders>
              <w:top w:val="nil"/>
              <w:left w:val="nil"/>
              <w:bottom w:val="single" w:sz="4" w:space="0" w:color="000000"/>
              <w:right w:val="nil"/>
            </w:tcBorders>
            <w:vAlign w:val="center"/>
            <w:hideMark/>
          </w:tcPr>
          <w:p w14:paraId="3110D15D"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6D3CBD4A"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4E36BE49" w14:textId="77777777" w:rsidR="0019056F" w:rsidRPr="00E105AD" w:rsidRDefault="0019056F" w:rsidP="009E73E8">
            <w:pPr>
              <w:ind w:left="0" w:firstLine="0"/>
              <w:rPr>
                <w:rFonts w:ascii="Calibri" w:eastAsia="Times New Roman" w:hAnsi="Calibri" w:cs="Times New Roman"/>
              </w:rPr>
            </w:pPr>
          </w:p>
        </w:tc>
      </w:tr>
      <w:tr w:rsidR="0019056F" w:rsidRPr="00E105AD" w14:paraId="5D1FE998" w14:textId="77777777" w:rsidTr="009E73E8">
        <w:trPr>
          <w:trHeight w:val="300"/>
        </w:trPr>
        <w:tc>
          <w:tcPr>
            <w:tcW w:w="2535" w:type="dxa"/>
            <w:tcBorders>
              <w:top w:val="nil"/>
              <w:left w:val="nil"/>
              <w:bottom w:val="nil"/>
              <w:right w:val="nil"/>
            </w:tcBorders>
            <w:shd w:val="clear" w:color="auto" w:fill="auto"/>
            <w:vAlign w:val="center"/>
            <w:hideMark/>
          </w:tcPr>
          <w:p w14:paraId="12748EA5"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single" w:sz="4" w:space="0" w:color="000000"/>
              <w:right w:val="nil"/>
            </w:tcBorders>
            <w:vAlign w:val="center"/>
            <w:hideMark/>
          </w:tcPr>
          <w:p w14:paraId="1C91110E"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04481A02"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5D1A82FC" w14:textId="77777777" w:rsidR="0019056F" w:rsidRPr="00E105AD" w:rsidRDefault="0019056F" w:rsidP="009E73E8">
            <w:pPr>
              <w:ind w:left="0" w:firstLine="0"/>
              <w:rPr>
                <w:rFonts w:ascii="Calibri" w:eastAsia="Times New Roman" w:hAnsi="Calibri" w:cs="Times New Roman"/>
              </w:rPr>
            </w:pPr>
          </w:p>
        </w:tc>
      </w:tr>
      <w:tr w:rsidR="0019056F" w:rsidRPr="00E105AD" w14:paraId="375E91EC" w14:textId="77777777" w:rsidTr="009E73E8">
        <w:trPr>
          <w:trHeight w:val="300"/>
        </w:trPr>
        <w:tc>
          <w:tcPr>
            <w:tcW w:w="2535" w:type="dxa"/>
            <w:tcBorders>
              <w:top w:val="nil"/>
              <w:left w:val="nil"/>
              <w:bottom w:val="nil"/>
              <w:right w:val="nil"/>
            </w:tcBorders>
            <w:shd w:val="clear" w:color="auto" w:fill="auto"/>
            <w:vAlign w:val="center"/>
            <w:hideMark/>
          </w:tcPr>
          <w:p w14:paraId="2C514336"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Gibson </w:t>
            </w:r>
            <w:r w:rsidRPr="00370160">
              <w:t xml:space="preserve">et al., </w:t>
            </w:r>
            <w:r w:rsidRPr="00E105AD">
              <w:rPr>
                <w:rFonts w:ascii="Calibri" w:eastAsia="Times New Roman" w:hAnsi="Calibri" w:cs="Times New Roman"/>
              </w:rPr>
              <w:t>2007</w:t>
            </w:r>
          </w:p>
        </w:tc>
        <w:tc>
          <w:tcPr>
            <w:tcW w:w="1800" w:type="dxa"/>
            <w:vMerge/>
            <w:tcBorders>
              <w:top w:val="nil"/>
              <w:left w:val="nil"/>
              <w:bottom w:val="single" w:sz="4" w:space="0" w:color="000000"/>
              <w:right w:val="nil"/>
            </w:tcBorders>
            <w:vAlign w:val="center"/>
            <w:hideMark/>
          </w:tcPr>
          <w:p w14:paraId="448C4409"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41AE9CE"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27886A31" w14:textId="77777777" w:rsidR="0019056F" w:rsidRPr="00E105AD" w:rsidRDefault="0019056F" w:rsidP="009E73E8">
            <w:pPr>
              <w:ind w:left="0" w:firstLine="0"/>
              <w:rPr>
                <w:rFonts w:ascii="Calibri" w:eastAsia="Times New Roman" w:hAnsi="Calibri" w:cs="Times New Roman"/>
              </w:rPr>
            </w:pPr>
          </w:p>
        </w:tc>
      </w:tr>
      <w:tr w:rsidR="0019056F" w:rsidRPr="00E105AD" w14:paraId="25AB17F0" w14:textId="77777777" w:rsidTr="009E73E8">
        <w:trPr>
          <w:trHeight w:val="300"/>
        </w:trPr>
        <w:tc>
          <w:tcPr>
            <w:tcW w:w="2535" w:type="dxa"/>
            <w:tcBorders>
              <w:top w:val="nil"/>
              <w:left w:val="nil"/>
              <w:bottom w:val="nil"/>
              <w:right w:val="nil"/>
            </w:tcBorders>
            <w:shd w:val="clear" w:color="auto" w:fill="auto"/>
            <w:vAlign w:val="center"/>
            <w:hideMark/>
          </w:tcPr>
          <w:p w14:paraId="4210E672"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Tait </w:t>
            </w:r>
            <w:r w:rsidRPr="00370160">
              <w:t xml:space="preserve">et al., </w:t>
            </w:r>
            <w:r w:rsidRPr="00E105AD">
              <w:rPr>
                <w:rFonts w:ascii="Calibri" w:eastAsia="Times New Roman" w:hAnsi="Calibri" w:cs="Times New Roman"/>
              </w:rPr>
              <w:t>2008</w:t>
            </w:r>
          </w:p>
        </w:tc>
        <w:tc>
          <w:tcPr>
            <w:tcW w:w="1800" w:type="dxa"/>
            <w:vMerge/>
            <w:tcBorders>
              <w:top w:val="nil"/>
              <w:left w:val="nil"/>
              <w:bottom w:val="single" w:sz="4" w:space="0" w:color="000000"/>
              <w:right w:val="nil"/>
            </w:tcBorders>
            <w:vAlign w:val="center"/>
            <w:hideMark/>
          </w:tcPr>
          <w:p w14:paraId="1D6589D8"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B65E28F"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nil"/>
              <w:right w:val="nil"/>
            </w:tcBorders>
            <w:vAlign w:val="center"/>
            <w:hideMark/>
          </w:tcPr>
          <w:p w14:paraId="6EB15F8A" w14:textId="77777777" w:rsidR="0019056F" w:rsidRPr="00E105AD" w:rsidRDefault="0019056F" w:rsidP="009E73E8">
            <w:pPr>
              <w:ind w:left="0" w:firstLine="0"/>
              <w:rPr>
                <w:rFonts w:ascii="Calibri" w:eastAsia="Times New Roman" w:hAnsi="Calibri" w:cs="Times New Roman"/>
              </w:rPr>
            </w:pPr>
          </w:p>
        </w:tc>
      </w:tr>
      <w:tr w:rsidR="0019056F" w:rsidRPr="00E105AD" w14:paraId="741D3056" w14:textId="77777777" w:rsidTr="009E73E8">
        <w:trPr>
          <w:trHeight w:val="300"/>
        </w:trPr>
        <w:tc>
          <w:tcPr>
            <w:tcW w:w="2535" w:type="dxa"/>
            <w:tcBorders>
              <w:top w:val="nil"/>
              <w:left w:val="nil"/>
              <w:bottom w:val="nil"/>
              <w:right w:val="nil"/>
            </w:tcBorders>
            <w:shd w:val="clear" w:color="auto" w:fill="auto"/>
            <w:vAlign w:val="center"/>
            <w:hideMark/>
          </w:tcPr>
          <w:p w14:paraId="2FC20DC2"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Zador </w:t>
            </w:r>
            <w:r w:rsidRPr="00370160">
              <w:t xml:space="preserve">et al., </w:t>
            </w:r>
            <w:r w:rsidRPr="00E105AD">
              <w:rPr>
                <w:rFonts w:ascii="Calibri" w:eastAsia="Times New Roman" w:hAnsi="Calibri" w:cs="Times New Roman"/>
              </w:rPr>
              <w:t>2000</w:t>
            </w:r>
          </w:p>
        </w:tc>
        <w:tc>
          <w:tcPr>
            <w:tcW w:w="1800" w:type="dxa"/>
            <w:vMerge/>
            <w:tcBorders>
              <w:top w:val="nil"/>
              <w:left w:val="nil"/>
              <w:bottom w:val="single" w:sz="4" w:space="0" w:color="000000"/>
              <w:right w:val="nil"/>
            </w:tcBorders>
            <w:vAlign w:val="center"/>
            <w:hideMark/>
          </w:tcPr>
          <w:p w14:paraId="42968E76"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24E42D8B"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dotted" w:sz="4" w:space="0" w:color="auto"/>
              <w:right w:val="nil"/>
            </w:tcBorders>
            <w:vAlign w:val="center"/>
            <w:hideMark/>
          </w:tcPr>
          <w:p w14:paraId="60B3FDD1" w14:textId="77777777" w:rsidR="0019056F" w:rsidRPr="00E105AD" w:rsidRDefault="0019056F" w:rsidP="009E73E8">
            <w:pPr>
              <w:ind w:left="0" w:firstLine="0"/>
              <w:rPr>
                <w:rFonts w:ascii="Calibri" w:eastAsia="Times New Roman" w:hAnsi="Calibri" w:cs="Times New Roman"/>
              </w:rPr>
            </w:pPr>
          </w:p>
        </w:tc>
      </w:tr>
      <w:tr w:rsidR="0019056F" w:rsidRPr="00E105AD" w14:paraId="3258EC6F" w14:textId="77777777" w:rsidTr="009E73E8">
        <w:trPr>
          <w:trHeight w:val="300"/>
        </w:trPr>
        <w:tc>
          <w:tcPr>
            <w:tcW w:w="2535" w:type="dxa"/>
            <w:tcBorders>
              <w:top w:val="nil"/>
              <w:left w:val="nil"/>
              <w:bottom w:val="nil"/>
              <w:right w:val="nil"/>
            </w:tcBorders>
            <w:shd w:val="clear" w:color="auto" w:fill="auto"/>
            <w:vAlign w:val="center"/>
            <w:hideMark/>
          </w:tcPr>
          <w:p w14:paraId="1ED44549"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5072C6AD"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hideMark/>
          </w:tcPr>
          <w:p w14:paraId="5E3CCDC9" w14:textId="77777777" w:rsidR="0019056F" w:rsidRPr="00E105AD" w:rsidRDefault="0019056F" w:rsidP="009E73E8">
            <w:pPr>
              <w:ind w:left="0" w:firstLine="0"/>
              <w:rPr>
                <w:rFonts w:ascii="Calibri" w:eastAsia="Times New Roman" w:hAnsi="Calibri" w:cs="Times New Roman"/>
              </w:rPr>
            </w:pPr>
          </w:p>
        </w:tc>
        <w:tc>
          <w:tcPr>
            <w:tcW w:w="2785" w:type="dxa"/>
            <w:vMerge w:val="restart"/>
            <w:tcBorders>
              <w:top w:val="dotted" w:sz="4" w:space="0" w:color="auto"/>
              <w:left w:val="nil"/>
              <w:bottom w:val="single" w:sz="4" w:space="0" w:color="000000"/>
              <w:right w:val="nil"/>
            </w:tcBorders>
            <w:shd w:val="clear" w:color="auto" w:fill="auto"/>
            <w:vAlign w:val="center"/>
            <w:hideMark/>
          </w:tcPr>
          <w:p w14:paraId="5DAF8A49"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9056F" w:rsidRPr="00E105AD" w14:paraId="12309916" w14:textId="77777777" w:rsidTr="009E73E8">
        <w:trPr>
          <w:trHeight w:val="300"/>
        </w:trPr>
        <w:tc>
          <w:tcPr>
            <w:tcW w:w="2535" w:type="dxa"/>
            <w:tcBorders>
              <w:top w:val="nil"/>
              <w:left w:val="nil"/>
              <w:bottom w:val="nil"/>
              <w:right w:val="nil"/>
            </w:tcBorders>
            <w:shd w:val="clear" w:color="auto" w:fill="auto"/>
            <w:vAlign w:val="center"/>
          </w:tcPr>
          <w:p w14:paraId="187336F8" w14:textId="77777777" w:rsidR="0019056F" w:rsidRPr="00E105AD" w:rsidRDefault="0019056F" w:rsidP="009E73E8">
            <w:pPr>
              <w:ind w:left="0" w:firstLine="0"/>
              <w:rPr>
                <w:rFonts w:ascii="Calibri" w:eastAsia="Times New Roman" w:hAnsi="Calibri" w:cs="Times New Roman"/>
              </w:rPr>
            </w:pPr>
            <w:r>
              <w:rPr>
                <w:rFonts w:ascii="Calibri" w:eastAsia="Times New Roman" w:hAnsi="Calibri" w:cs="Times New Roman"/>
              </w:rPr>
              <w:t>Cousins et al., 2016</w:t>
            </w:r>
          </w:p>
        </w:tc>
        <w:tc>
          <w:tcPr>
            <w:tcW w:w="1800" w:type="dxa"/>
            <w:vMerge/>
            <w:tcBorders>
              <w:top w:val="nil"/>
              <w:left w:val="nil"/>
              <w:bottom w:val="single" w:sz="4" w:space="0" w:color="000000"/>
              <w:right w:val="nil"/>
            </w:tcBorders>
            <w:vAlign w:val="center"/>
          </w:tcPr>
          <w:p w14:paraId="17107700"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6DB20999"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single" w:sz="4" w:space="0" w:color="000000"/>
              <w:right w:val="nil"/>
            </w:tcBorders>
            <w:vAlign w:val="center"/>
          </w:tcPr>
          <w:p w14:paraId="6227212D" w14:textId="77777777" w:rsidR="0019056F" w:rsidRPr="00E105AD" w:rsidRDefault="0019056F" w:rsidP="009E73E8">
            <w:pPr>
              <w:ind w:left="0" w:firstLine="0"/>
              <w:rPr>
                <w:rFonts w:ascii="Calibri" w:eastAsia="Times New Roman" w:hAnsi="Calibri" w:cs="Times New Roman"/>
              </w:rPr>
            </w:pPr>
          </w:p>
        </w:tc>
      </w:tr>
      <w:tr w:rsidR="0019056F" w:rsidRPr="00E105AD" w14:paraId="1B915378" w14:textId="77777777" w:rsidTr="009E73E8">
        <w:trPr>
          <w:trHeight w:val="300"/>
        </w:trPr>
        <w:tc>
          <w:tcPr>
            <w:tcW w:w="2535" w:type="dxa"/>
            <w:tcBorders>
              <w:top w:val="nil"/>
              <w:left w:val="nil"/>
              <w:bottom w:val="nil"/>
              <w:right w:val="nil"/>
            </w:tcBorders>
            <w:shd w:val="clear" w:color="auto" w:fill="auto"/>
            <w:vAlign w:val="center"/>
          </w:tcPr>
          <w:p w14:paraId="6D6D9D62" w14:textId="77777777" w:rsidR="0019056F" w:rsidRPr="00E105AD" w:rsidRDefault="0019056F" w:rsidP="009E73E8">
            <w:pPr>
              <w:ind w:left="0" w:firstLine="0"/>
              <w:rPr>
                <w:rFonts w:ascii="Calibri" w:eastAsia="Times New Roman" w:hAnsi="Calibri" w:cs="Times New Roman"/>
              </w:rPr>
            </w:pPr>
            <w:r>
              <w:rPr>
                <w:rFonts w:ascii="Calibri" w:eastAsia="Times New Roman" w:hAnsi="Calibri" w:cs="Times New Roman"/>
              </w:rPr>
              <w:t>Davoli et al., 2007</w:t>
            </w:r>
          </w:p>
        </w:tc>
        <w:tc>
          <w:tcPr>
            <w:tcW w:w="1800" w:type="dxa"/>
            <w:vMerge/>
            <w:tcBorders>
              <w:top w:val="nil"/>
              <w:left w:val="nil"/>
              <w:bottom w:val="single" w:sz="4" w:space="0" w:color="000000"/>
              <w:right w:val="nil"/>
            </w:tcBorders>
            <w:vAlign w:val="center"/>
          </w:tcPr>
          <w:p w14:paraId="213BA1E1"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single" w:sz="4" w:space="0" w:color="000000"/>
              <w:right w:val="nil"/>
            </w:tcBorders>
            <w:vAlign w:val="center"/>
          </w:tcPr>
          <w:p w14:paraId="07BDF029"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single" w:sz="4" w:space="0" w:color="000000"/>
              <w:right w:val="nil"/>
            </w:tcBorders>
            <w:vAlign w:val="center"/>
          </w:tcPr>
          <w:p w14:paraId="1CB309F2" w14:textId="77777777" w:rsidR="0019056F" w:rsidRPr="00E105AD" w:rsidRDefault="0019056F" w:rsidP="009E73E8">
            <w:pPr>
              <w:ind w:left="0" w:firstLine="0"/>
              <w:rPr>
                <w:rFonts w:ascii="Calibri" w:eastAsia="Times New Roman" w:hAnsi="Calibri" w:cs="Times New Roman"/>
              </w:rPr>
            </w:pPr>
          </w:p>
        </w:tc>
      </w:tr>
      <w:tr w:rsidR="0019056F" w:rsidRPr="00E105AD" w14:paraId="162ACCC5" w14:textId="77777777" w:rsidTr="009E73E8">
        <w:trPr>
          <w:trHeight w:val="300"/>
        </w:trPr>
        <w:tc>
          <w:tcPr>
            <w:tcW w:w="2535" w:type="dxa"/>
            <w:tcBorders>
              <w:top w:val="nil"/>
              <w:left w:val="nil"/>
              <w:bottom w:val="single" w:sz="4" w:space="0" w:color="auto"/>
              <w:right w:val="nil"/>
            </w:tcBorders>
            <w:shd w:val="clear" w:color="auto" w:fill="auto"/>
            <w:vAlign w:val="center"/>
            <w:hideMark/>
          </w:tcPr>
          <w:p w14:paraId="313BF22B"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Degenhardt </w:t>
            </w:r>
            <w:r w:rsidRPr="00370160">
              <w:t xml:space="preserve">et al., </w:t>
            </w:r>
            <w:r w:rsidRPr="00E105AD">
              <w:rPr>
                <w:rFonts w:ascii="Calibri" w:eastAsia="Times New Roman" w:hAnsi="Calibri" w:cs="Times New Roman"/>
              </w:rPr>
              <w:t>2009</w:t>
            </w:r>
          </w:p>
        </w:tc>
        <w:tc>
          <w:tcPr>
            <w:tcW w:w="1800" w:type="dxa"/>
            <w:vMerge/>
            <w:tcBorders>
              <w:top w:val="nil"/>
              <w:left w:val="nil"/>
              <w:bottom w:val="dotted" w:sz="4" w:space="0" w:color="auto"/>
              <w:right w:val="nil"/>
            </w:tcBorders>
            <w:vAlign w:val="center"/>
            <w:hideMark/>
          </w:tcPr>
          <w:p w14:paraId="63C631B6" w14:textId="77777777" w:rsidR="0019056F" w:rsidRPr="00E105AD" w:rsidRDefault="0019056F" w:rsidP="009E73E8">
            <w:pPr>
              <w:ind w:left="0" w:firstLine="0"/>
              <w:rPr>
                <w:rFonts w:ascii="Calibri" w:eastAsia="Times New Roman" w:hAnsi="Calibri" w:cs="Times New Roman"/>
              </w:rPr>
            </w:pPr>
          </w:p>
        </w:tc>
        <w:tc>
          <w:tcPr>
            <w:tcW w:w="1620" w:type="dxa"/>
            <w:vMerge/>
            <w:tcBorders>
              <w:top w:val="single" w:sz="4" w:space="0" w:color="A6A6A6"/>
              <w:left w:val="nil"/>
              <w:bottom w:val="dotted" w:sz="4" w:space="0" w:color="auto"/>
              <w:right w:val="nil"/>
            </w:tcBorders>
            <w:vAlign w:val="center"/>
            <w:hideMark/>
          </w:tcPr>
          <w:p w14:paraId="456E0801"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2935F5FE" w14:textId="77777777" w:rsidR="0019056F" w:rsidRPr="00E105AD" w:rsidRDefault="0019056F" w:rsidP="009E73E8">
            <w:pPr>
              <w:ind w:left="0" w:firstLine="0"/>
              <w:rPr>
                <w:rFonts w:ascii="Calibri" w:eastAsia="Times New Roman" w:hAnsi="Calibri" w:cs="Times New Roman"/>
              </w:rPr>
            </w:pPr>
          </w:p>
        </w:tc>
      </w:tr>
      <w:tr w:rsidR="0019056F" w:rsidRPr="00E105AD" w14:paraId="0C218A0B" w14:textId="77777777" w:rsidTr="009E73E8">
        <w:trPr>
          <w:trHeight w:val="300"/>
        </w:trPr>
        <w:tc>
          <w:tcPr>
            <w:tcW w:w="2535" w:type="dxa"/>
            <w:tcBorders>
              <w:top w:val="single" w:sz="4" w:space="0" w:color="auto"/>
              <w:left w:val="nil"/>
              <w:bottom w:val="nil"/>
              <w:right w:val="nil"/>
            </w:tcBorders>
            <w:shd w:val="clear" w:color="auto" w:fill="auto"/>
            <w:vAlign w:val="center"/>
            <w:hideMark/>
          </w:tcPr>
          <w:p w14:paraId="02FE5D97"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Pierce </w:t>
            </w:r>
            <w:r w:rsidRPr="00370160">
              <w:t xml:space="preserve">et al., </w:t>
            </w:r>
            <w:r w:rsidRPr="00E105AD">
              <w:rPr>
                <w:rFonts w:ascii="Calibri" w:eastAsia="Times New Roman" w:hAnsi="Calibri" w:cs="Times New Roman"/>
              </w:rPr>
              <w:t>201</w:t>
            </w:r>
            <w:r>
              <w:rPr>
                <w:rFonts w:ascii="Calibri" w:eastAsia="Times New Roman" w:hAnsi="Calibri" w:cs="Times New Roman"/>
              </w:rPr>
              <w:t>6</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735909EC"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Methadone/ Buprenorphine</w:t>
            </w:r>
          </w:p>
        </w:tc>
        <w:tc>
          <w:tcPr>
            <w:tcW w:w="1620" w:type="dxa"/>
            <w:tcBorders>
              <w:top w:val="single" w:sz="4" w:space="0" w:color="auto"/>
              <w:left w:val="nil"/>
              <w:bottom w:val="single" w:sz="4" w:space="0" w:color="auto"/>
              <w:right w:val="nil"/>
            </w:tcBorders>
            <w:shd w:val="clear" w:color="auto" w:fill="auto"/>
            <w:vAlign w:val="center"/>
            <w:hideMark/>
          </w:tcPr>
          <w:p w14:paraId="39DE990D"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No </w:t>
            </w:r>
          </w:p>
        </w:tc>
        <w:tc>
          <w:tcPr>
            <w:tcW w:w="2785" w:type="dxa"/>
            <w:tcBorders>
              <w:top w:val="single" w:sz="4" w:space="0" w:color="auto"/>
              <w:left w:val="nil"/>
              <w:bottom w:val="single" w:sz="4" w:space="0" w:color="auto"/>
              <w:right w:val="nil"/>
            </w:tcBorders>
            <w:shd w:val="clear" w:color="auto" w:fill="auto"/>
            <w:vAlign w:val="center"/>
            <w:hideMark/>
          </w:tcPr>
          <w:p w14:paraId="2BA24AEF"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9056F" w:rsidRPr="00E105AD" w14:paraId="77D5B471" w14:textId="77777777" w:rsidTr="009E73E8">
        <w:trPr>
          <w:trHeight w:val="300"/>
        </w:trPr>
        <w:tc>
          <w:tcPr>
            <w:tcW w:w="2535" w:type="dxa"/>
            <w:tcBorders>
              <w:top w:val="nil"/>
              <w:left w:val="nil"/>
              <w:bottom w:val="nil"/>
              <w:right w:val="nil"/>
            </w:tcBorders>
            <w:shd w:val="clear" w:color="auto" w:fill="auto"/>
            <w:vAlign w:val="center"/>
            <w:hideMark/>
          </w:tcPr>
          <w:p w14:paraId="7DB98BF4"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sidRPr="00370160">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523B062D" w14:textId="77777777" w:rsidR="0019056F" w:rsidRPr="00E105AD" w:rsidRDefault="0019056F" w:rsidP="009E73E8">
            <w:pPr>
              <w:ind w:left="0" w:firstLine="0"/>
              <w:rPr>
                <w:rFonts w:ascii="Calibri" w:eastAsia="Times New Roman" w:hAnsi="Calibri" w:cs="Times New Roman"/>
              </w:rPr>
            </w:pPr>
          </w:p>
        </w:tc>
        <w:tc>
          <w:tcPr>
            <w:tcW w:w="1620" w:type="dxa"/>
            <w:vMerge w:val="restart"/>
            <w:tcBorders>
              <w:top w:val="single" w:sz="4" w:space="0" w:color="auto"/>
              <w:left w:val="nil"/>
              <w:bottom w:val="single" w:sz="4" w:space="0" w:color="000000"/>
              <w:right w:val="nil"/>
            </w:tcBorders>
            <w:shd w:val="clear" w:color="auto" w:fill="auto"/>
            <w:vAlign w:val="center"/>
            <w:hideMark/>
          </w:tcPr>
          <w:p w14:paraId="3D68D3F9"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Yes</w:t>
            </w:r>
          </w:p>
        </w:tc>
        <w:tc>
          <w:tcPr>
            <w:tcW w:w="2785" w:type="dxa"/>
            <w:tcBorders>
              <w:top w:val="single" w:sz="4" w:space="0" w:color="auto"/>
              <w:left w:val="nil"/>
              <w:bottom w:val="dotted" w:sz="4" w:space="0" w:color="auto"/>
              <w:right w:val="nil"/>
            </w:tcBorders>
            <w:shd w:val="clear" w:color="auto" w:fill="auto"/>
            <w:vAlign w:val="center"/>
            <w:hideMark/>
          </w:tcPr>
          <w:p w14:paraId="7998D94F"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9056F" w:rsidRPr="00E105AD" w14:paraId="7DE2B0C3" w14:textId="77777777" w:rsidTr="009E73E8">
        <w:trPr>
          <w:trHeight w:val="300"/>
        </w:trPr>
        <w:tc>
          <w:tcPr>
            <w:tcW w:w="2535" w:type="dxa"/>
            <w:tcBorders>
              <w:top w:val="nil"/>
              <w:left w:val="nil"/>
              <w:bottom w:val="nil"/>
              <w:right w:val="nil"/>
            </w:tcBorders>
            <w:shd w:val="clear" w:color="auto" w:fill="auto"/>
            <w:vAlign w:val="center"/>
            <w:hideMark/>
          </w:tcPr>
          <w:p w14:paraId="5C783FEC"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Cornish </w:t>
            </w:r>
            <w:r>
              <w:rPr>
                <w:rFonts w:ascii="Calibri" w:eastAsia="Times New Roman" w:hAnsi="Calibri" w:cs="Times New Roman"/>
              </w:rPr>
              <w:t xml:space="preserve">et al., </w:t>
            </w:r>
            <w:r w:rsidRPr="00E105AD">
              <w:rPr>
                <w:rFonts w:ascii="Calibri" w:eastAsia="Times New Roman" w:hAnsi="Calibri" w:cs="Times New Roman"/>
              </w:rPr>
              <w:t>2010</w:t>
            </w:r>
          </w:p>
        </w:tc>
        <w:tc>
          <w:tcPr>
            <w:tcW w:w="1800" w:type="dxa"/>
            <w:vMerge/>
            <w:tcBorders>
              <w:top w:val="nil"/>
              <w:left w:val="nil"/>
              <w:bottom w:val="single" w:sz="4" w:space="0" w:color="000000"/>
              <w:right w:val="nil"/>
            </w:tcBorders>
            <w:vAlign w:val="center"/>
            <w:hideMark/>
          </w:tcPr>
          <w:p w14:paraId="0C3917BB" w14:textId="77777777" w:rsidR="0019056F" w:rsidRPr="00E105AD" w:rsidRDefault="0019056F" w:rsidP="009E73E8">
            <w:pPr>
              <w:ind w:left="0" w:firstLine="0"/>
              <w:rPr>
                <w:rFonts w:ascii="Calibri" w:eastAsia="Times New Roman" w:hAnsi="Calibri" w:cs="Times New Roman"/>
              </w:rPr>
            </w:pPr>
          </w:p>
        </w:tc>
        <w:tc>
          <w:tcPr>
            <w:tcW w:w="1620" w:type="dxa"/>
            <w:vMerge/>
            <w:tcBorders>
              <w:top w:val="nil"/>
              <w:left w:val="nil"/>
              <w:bottom w:val="single" w:sz="4" w:space="0" w:color="000000"/>
              <w:right w:val="nil"/>
            </w:tcBorders>
            <w:vAlign w:val="center"/>
            <w:hideMark/>
          </w:tcPr>
          <w:p w14:paraId="05500FFE" w14:textId="77777777" w:rsidR="0019056F" w:rsidRPr="00E105AD" w:rsidRDefault="0019056F" w:rsidP="009E73E8">
            <w:pPr>
              <w:ind w:left="0" w:firstLine="0"/>
              <w:rPr>
                <w:rFonts w:ascii="Calibri" w:eastAsia="Times New Roman" w:hAnsi="Calibri" w:cs="Times New Roman"/>
              </w:rPr>
            </w:pPr>
          </w:p>
        </w:tc>
        <w:tc>
          <w:tcPr>
            <w:tcW w:w="2785" w:type="dxa"/>
            <w:vMerge w:val="restart"/>
            <w:tcBorders>
              <w:top w:val="dotted" w:sz="4" w:space="0" w:color="auto"/>
              <w:left w:val="nil"/>
              <w:bottom w:val="single" w:sz="4" w:space="0" w:color="000000"/>
              <w:right w:val="nil"/>
            </w:tcBorders>
            <w:shd w:val="clear" w:color="auto" w:fill="auto"/>
            <w:vAlign w:val="center"/>
            <w:hideMark/>
          </w:tcPr>
          <w:p w14:paraId="6B823972"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cessation</w:t>
            </w:r>
          </w:p>
        </w:tc>
      </w:tr>
      <w:tr w:rsidR="0019056F" w:rsidRPr="00E105AD" w14:paraId="3785CF63" w14:textId="77777777" w:rsidTr="009E73E8">
        <w:trPr>
          <w:trHeight w:val="300"/>
        </w:trPr>
        <w:tc>
          <w:tcPr>
            <w:tcW w:w="2535" w:type="dxa"/>
            <w:tcBorders>
              <w:top w:val="nil"/>
              <w:left w:val="nil"/>
              <w:bottom w:val="single" w:sz="4" w:space="0" w:color="auto"/>
              <w:right w:val="nil"/>
            </w:tcBorders>
            <w:shd w:val="clear" w:color="auto" w:fill="auto"/>
            <w:vAlign w:val="center"/>
            <w:hideMark/>
          </w:tcPr>
          <w:p w14:paraId="7CA42DD6"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Pierce </w:t>
            </w:r>
            <w:r w:rsidRPr="00370160">
              <w:t xml:space="preserve">et al., </w:t>
            </w:r>
            <w:r w:rsidRPr="00E105AD">
              <w:rPr>
                <w:rFonts w:ascii="Calibri" w:eastAsia="Times New Roman" w:hAnsi="Calibri" w:cs="Times New Roman"/>
              </w:rPr>
              <w:t>201</w:t>
            </w:r>
            <w:r>
              <w:rPr>
                <w:rFonts w:ascii="Calibri" w:eastAsia="Times New Roman" w:hAnsi="Calibri" w:cs="Times New Roman"/>
              </w:rPr>
              <w:t>6</w:t>
            </w:r>
          </w:p>
        </w:tc>
        <w:tc>
          <w:tcPr>
            <w:tcW w:w="1800" w:type="dxa"/>
            <w:vMerge/>
            <w:tcBorders>
              <w:top w:val="nil"/>
              <w:left w:val="nil"/>
              <w:bottom w:val="single" w:sz="4" w:space="0" w:color="auto"/>
              <w:right w:val="nil"/>
            </w:tcBorders>
            <w:vAlign w:val="center"/>
            <w:hideMark/>
          </w:tcPr>
          <w:p w14:paraId="417F5477" w14:textId="77777777" w:rsidR="0019056F" w:rsidRPr="00E105AD" w:rsidRDefault="0019056F" w:rsidP="009E73E8">
            <w:pPr>
              <w:ind w:left="0" w:firstLine="0"/>
              <w:rPr>
                <w:rFonts w:ascii="Calibri" w:eastAsia="Times New Roman" w:hAnsi="Calibri" w:cs="Times New Roman"/>
              </w:rPr>
            </w:pPr>
          </w:p>
        </w:tc>
        <w:tc>
          <w:tcPr>
            <w:tcW w:w="1620" w:type="dxa"/>
            <w:vMerge/>
            <w:tcBorders>
              <w:top w:val="nil"/>
              <w:left w:val="nil"/>
              <w:bottom w:val="single" w:sz="4" w:space="0" w:color="auto"/>
              <w:right w:val="nil"/>
            </w:tcBorders>
            <w:vAlign w:val="center"/>
            <w:hideMark/>
          </w:tcPr>
          <w:p w14:paraId="4CD83E75" w14:textId="77777777" w:rsidR="0019056F" w:rsidRPr="00E105AD" w:rsidRDefault="0019056F" w:rsidP="009E73E8">
            <w:pPr>
              <w:ind w:left="0" w:firstLine="0"/>
              <w:rPr>
                <w:rFonts w:ascii="Calibri" w:eastAsia="Times New Roman" w:hAnsi="Calibri" w:cs="Times New Roman"/>
              </w:rPr>
            </w:pPr>
          </w:p>
        </w:tc>
        <w:tc>
          <w:tcPr>
            <w:tcW w:w="2785" w:type="dxa"/>
            <w:vMerge/>
            <w:tcBorders>
              <w:top w:val="nil"/>
              <w:left w:val="nil"/>
              <w:bottom w:val="single" w:sz="4" w:space="0" w:color="auto"/>
              <w:right w:val="nil"/>
            </w:tcBorders>
            <w:vAlign w:val="center"/>
            <w:hideMark/>
          </w:tcPr>
          <w:p w14:paraId="1EE0F78E" w14:textId="77777777" w:rsidR="0019056F" w:rsidRPr="00E105AD" w:rsidRDefault="0019056F" w:rsidP="009E73E8">
            <w:pPr>
              <w:ind w:left="0" w:firstLine="0"/>
              <w:rPr>
                <w:rFonts w:ascii="Calibri" w:eastAsia="Times New Roman" w:hAnsi="Calibri" w:cs="Times New Roman"/>
              </w:rPr>
            </w:pPr>
          </w:p>
        </w:tc>
      </w:tr>
      <w:tr w:rsidR="0019056F" w:rsidRPr="00E105AD" w14:paraId="5BBD9831" w14:textId="77777777" w:rsidTr="009E73E8">
        <w:trPr>
          <w:trHeight w:val="300"/>
        </w:trPr>
        <w:tc>
          <w:tcPr>
            <w:tcW w:w="2535" w:type="dxa"/>
            <w:tcBorders>
              <w:top w:val="single" w:sz="4" w:space="0" w:color="auto"/>
              <w:left w:val="nil"/>
              <w:bottom w:val="nil"/>
              <w:right w:val="nil"/>
            </w:tcBorders>
            <w:shd w:val="clear" w:color="auto" w:fill="auto"/>
            <w:vAlign w:val="center"/>
            <w:hideMark/>
          </w:tcPr>
          <w:p w14:paraId="2371E9C6"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Tait </w:t>
            </w:r>
            <w:r w:rsidRPr="00370160">
              <w:t xml:space="preserve">et al., </w:t>
            </w:r>
            <w:r w:rsidRPr="00E105AD">
              <w:rPr>
                <w:rFonts w:ascii="Calibri" w:eastAsia="Times New Roman" w:hAnsi="Calibri" w:cs="Times New Roman"/>
              </w:rPr>
              <w:t>2008</w:t>
            </w:r>
          </w:p>
        </w:tc>
        <w:tc>
          <w:tcPr>
            <w:tcW w:w="1800" w:type="dxa"/>
            <w:vMerge w:val="restart"/>
            <w:tcBorders>
              <w:top w:val="single" w:sz="4" w:space="0" w:color="auto"/>
              <w:left w:val="nil"/>
              <w:bottom w:val="single" w:sz="4" w:space="0" w:color="000000"/>
              <w:right w:val="nil"/>
            </w:tcBorders>
            <w:shd w:val="clear" w:color="auto" w:fill="auto"/>
            <w:vAlign w:val="center"/>
            <w:hideMark/>
          </w:tcPr>
          <w:p w14:paraId="64221E7B"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Naltrexone</w:t>
            </w:r>
          </w:p>
        </w:tc>
        <w:tc>
          <w:tcPr>
            <w:tcW w:w="1620" w:type="dxa"/>
            <w:tcBorders>
              <w:top w:val="single" w:sz="4" w:space="0" w:color="auto"/>
              <w:left w:val="nil"/>
              <w:bottom w:val="single" w:sz="4" w:space="0" w:color="auto"/>
              <w:right w:val="nil"/>
            </w:tcBorders>
            <w:shd w:val="clear" w:color="auto" w:fill="auto"/>
            <w:vAlign w:val="center"/>
            <w:hideMark/>
          </w:tcPr>
          <w:p w14:paraId="0BF82E74"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No</w:t>
            </w:r>
          </w:p>
        </w:tc>
        <w:tc>
          <w:tcPr>
            <w:tcW w:w="2785" w:type="dxa"/>
            <w:tcBorders>
              <w:top w:val="single" w:sz="4" w:space="0" w:color="auto"/>
              <w:left w:val="nil"/>
              <w:bottom w:val="single" w:sz="4" w:space="0" w:color="auto"/>
              <w:right w:val="nil"/>
            </w:tcBorders>
            <w:shd w:val="clear" w:color="auto" w:fill="auto"/>
            <w:vAlign w:val="center"/>
            <w:hideMark/>
          </w:tcPr>
          <w:p w14:paraId="4B1ABC7B"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After treatment initiation</w:t>
            </w:r>
          </w:p>
        </w:tc>
      </w:tr>
      <w:tr w:rsidR="0019056F" w:rsidRPr="00E105AD" w14:paraId="5997AB79" w14:textId="77777777" w:rsidTr="009E73E8">
        <w:trPr>
          <w:trHeight w:val="300"/>
        </w:trPr>
        <w:tc>
          <w:tcPr>
            <w:tcW w:w="2535" w:type="dxa"/>
            <w:tcBorders>
              <w:top w:val="nil"/>
              <w:left w:val="nil"/>
              <w:bottom w:val="single" w:sz="4" w:space="0" w:color="auto"/>
              <w:right w:val="nil"/>
            </w:tcBorders>
            <w:shd w:val="clear" w:color="auto" w:fill="auto"/>
            <w:vAlign w:val="center"/>
            <w:hideMark/>
          </w:tcPr>
          <w:p w14:paraId="13848405" w14:textId="77777777" w:rsidR="0019056F" w:rsidRPr="00E105AD" w:rsidRDefault="0019056F" w:rsidP="009E73E8">
            <w:pPr>
              <w:ind w:left="0" w:firstLine="0"/>
              <w:rPr>
                <w:rFonts w:ascii="Calibri" w:eastAsia="Times New Roman" w:hAnsi="Calibri" w:cs="Times New Roman"/>
              </w:rPr>
            </w:pPr>
            <w:r w:rsidRPr="00E105AD">
              <w:rPr>
                <w:rFonts w:ascii="Calibri" w:eastAsia="Times New Roman" w:hAnsi="Calibri" w:cs="Times New Roman"/>
              </w:rPr>
              <w:t xml:space="preserve">Gibson </w:t>
            </w:r>
            <w:r>
              <w:rPr>
                <w:rFonts w:ascii="Calibri" w:eastAsia="Times New Roman" w:hAnsi="Calibri" w:cs="Times New Roman"/>
              </w:rPr>
              <w:t xml:space="preserve">&amp; </w:t>
            </w:r>
            <w:r w:rsidRPr="009045A0">
              <w:rPr>
                <w:rFonts w:ascii="Calibri" w:eastAsia="Times New Roman" w:hAnsi="Calibri" w:cs="Times New Roman"/>
                <w:szCs w:val="20"/>
              </w:rPr>
              <w:t xml:space="preserve">Degenhardt </w:t>
            </w:r>
            <w:r w:rsidRPr="009045A0">
              <w:t xml:space="preserve">, </w:t>
            </w:r>
            <w:r w:rsidRPr="00E105AD">
              <w:rPr>
                <w:rFonts w:ascii="Calibri" w:eastAsia="Times New Roman" w:hAnsi="Calibri" w:cs="Times New Roman"/>
              </w:rPr>
              <w:t>2007</w:t>
            </w:r>
          </w:p>
        </w:tc>
        <w:tc>
          <w:tcPr>
            <w:tcW w:w="1800" w:type="dxa"/>
            <w:vMerge/>
            <w:tcBorders>
              <w:top w:val="nil"/>
              <w:left w:val="nil"/>
              <w:bottom w:val="single" w:sz="4" w:space="0" w:color="auto"/>
              <w:right w:val="nil"/>
            </w:tcBorders>
            <w:vAlign w:val="center"/>
            <w:hideMark/>
          </w:tcPr>
          <w:p w14:paraId="5DC95CBA" w14:textId="77777777" w:rsidR="0019056F" w:rsidRPr="00E105AD" w:rsidRDefault="0019056F" w:rsidP="009E73E8">
            <w:pPr>
              <w:ind w:left="0" w:firstLine="0"/>
              <w:rPr>
                <w:rFonts w:ascii="Calibri" w:eastAsia="Times New Roman" w:hAnsi="Calibri" w:cs="Times New Roman"/>
              </w:rPr>
            </w:pPr>
          </w:p>
        </w:tc>
        <w:tc>
          <w:tcPr>
            <w:tcW w:w="1620" w:type="dxa"/>
            <w:tcBorders>
              <w:top w:val="single" w:sz="4" w:space="0" w:color="auto"/>
              <w:left w:val="nil"/>
              <w:bottom w:val="single" w:sz="4" w:space="0" w:color="auto"/>
              <w:right w:val="nil"/>
            </w:tcBorders>
            <w:vAlign w:val="center"/>
            <w:hideMark/>
          </w:tcPr>
          <w:p w14:paraId="10F72C28" w14:textId="77777777" w:rsidR="0019056F" w:rsidRPr="00E105AD" w:rsidRDefault="0019056F" w:rsidP="009E73E8">
            <w:pPr>
              <w:ind w:left="0" w:firstLine="0"/>
              <w:rPr>
                <w:rFonts w:ascii="Calibri" w:eastAsia="Times New Roman" w:hAnsi="Calibri" w:cs="Times New Roman"/>
              </w:rPr>
            </w:pPr>
            <w:r>
              <w:rPr>
                <w:rFonts w:ascii="Calibri" w:eastAsia="Times New Roman" w:hAnsi="Calibri" w:cs="Times New Roman"/>
              </w:rPr>
              <w:t>Yes</w:t>
            </w:r>
          </w:p>
        </w:tc>
        <w:tc>
          <w:tcPr>
            <w:tcW w:w="2785" w:type="dxa"/>
            <w:tcBorders>
              <w:top w:val="single" w:sz="4" w:space="0" w:color="auto"/>
              <w:left w:val="nil"/>
              <w:bottom w:val="single" w:sz="4" w:space="0" w:color="auto"/>
              <w:right w:val="nil"/>
            </w:tcBorders>
            <w:vAlign w:val="center"/>
            <w:hideMark/>
          </w:tcPr>
          <w:p w14:paraId="7565B32D" w14:textId="77777777" w:rsidR="0019056F" w:rsidRPr="00E105AD" w:rsidRDefault="0019056F" w:rsidP="009E73E8">
            <w:pPr>
              <w:ind w:left="0" w:firstLine="0"/>
              <w:rPr>
                <w:rFonts w:ascii="Calibri" w:eastAsia="Times New Roman" w:hAnsi="Calibri" w:cs="Times New Roman"/>
              </w:rPr>
            </w:pPr>
            <w:r>
              <w:rPr>
                <w:rFonts w:ascii="Calibri" w:eastAsia="Times New Roman" w:hAnsi="Calibri" w:cs="Times New Roman"/>
              </w:rPr>
              <w:t>After treatment cessation</w:t>
            </w:r>
          </w:p>
        </w:tc>
      </w:tr>
    </w:tbl>
    <w:p w14:paraId="2A9A30FA" w14:textId="77777777" w:rsidR="0019056F" w:rsidRDefault="0019056F" w:rsidP="0019056F">
      <w:pPr>
        <w:ind w:left="0" w:firstLine="0"/>
        <w:rPr>
          <w:i/>
          <w:iCs/>
        </w:rPr>
      </w:pPr>
    </w:p>
    <w:p w14:paraId="7855AF7F" w14:textId="77777777" w:rsidR="0019056F" w:rsidRDefault="0019056F" w:rsidP="0019056F">
      <w:pPr>
        <w:ind w:left="0" w:firstLine="0"/>
        <w:rPr>
          <w:b/>
        </w:rPr>
      </w:pPr>
    </w:p>
    <w:p w14:paraId="0A3AA2B0" w14:textId="77777777" w:rsidR="0019056F" w:rsidRDefault="0019056F" w:rsidP="0019056F">
      <w:pPr>
        <w:ind w:left="0" w:firstLine="0"/>
        <w:rPr>
          <w:b/>
          <w:color w:val="0000FF"/>
        </w:rPr>
      </w:pPr>
      <w:r w:rsidRPr="009045A0">
        <w:rPr>
          <w:b/>
          <w:color w:val="0000FF"/>
        </w:rPr>
        <w:t xml:space="preserve">Mortality Risk </w:t>
      </w:r>
    </w:p>
    <w:p w14:paraId="067FDDAF" w14:textId="77777777" w:rsidR="0019056F" w:rsidRPr="003B1CC5" w:rsidRDefault="0019056F" w:rsidP="0019056F">
      <w:pPr>
        <w:ind w:left="0" w:firstLine="0"/>
      </w:pPr>
      <w:r w:rsidRPr="000953E9">
        <w:rPr>
          <w:b/>
          <w:color w:val="0000FF"/>
        </w:rPr>
        <w:t xml:space="preserve">1a.4.2 </w:t>
      </w:r>
      <w:r w:rsidRPr="003B1CC5">
        <w:rPr>
          <w:b/>
        </w:rPr>
        <w:t>What process was used to identify the evidence?</w:t>
      </w:r>
    </w:p>
    <w:p w14:paraId="72682856" w14:textId="77777777" w:rsidR="0019056F" w:rsidRPr="000953E9" w:rsidRDefault="0019056F" w:rsidP="0019056F">
      <w:pPr>
        <w:ind w:left="0" w:firstLine="0"/>
        <w:rPr>
          <w:color w:val="0000FF"/>
        </w:rPr>
      </w:pPr>
    </w:p>
    <w:p w14:paraId="20E05A10" w14:textId="77777777" w:rsidR="0019056F" w:rsidRPr="001E4270" w:rsidRDefault="0019056F" w:rsidP="0019056F">
      <w:pPr>
        <w:ind w:left="0" w:firstLine="0"/>
        <w:rPr>
          <w:color w:val="0000FF"/>
        </w:rPr>
      </w:pPr>
      <w:r w:rsidRPr="001E4270">
        <w:rPr>
          <w:color w:val="0000FF"/>
        </w:rPr>
        <w:t xml:space="preserve">We conducted a targeted literature search supplemented by a manual search of </w:t>
      </w:r>
      <w:r>
        <w:rPr>
          <w:color w:val="0000FF"/>
        </w:rPr>
        <w:t>the references</w:t>
      </w:r>
      <w:r w:rsidRPr="001E4270">
        <w:rPr>
          <w:color w:val="0000FF"/>
        </w:rPr>
        <w:t xml:space="preserve"> cited in relevant </w:t>
      </w:r>
      <w:r>
        <w:rPr>
          <w:color w:val="0000FF"/>
        </w:rPr>
        <w:t>article</w:t>
      </w:r>
      <w:r w:rsidRPr="001E4270">
        <w:rPr>
          <w:color w:val="0000FF"/>
        </w:rPr>
        <w:t>s.</w:t>
      </w:r>
    </w:p>
    <w:p w14:paraId="59EBE42A" w14:textId="77777777" w:rsidR="0019056F" w:rsidRPr="003B1CC5" w:rsidRDefault="0019056F" w:rsidP="0019056F">
      <w:pPr>
        <w:ind w:left="0" w:firstLine="0"/>
      </w:pPr>
    </w:p>
    <w:p w14:paraId="499CFC9E" w14:textId="77777777" w:rsidR="0019056F" w:rsidRDefault="0019056F" w:rsidP="0019056F">
      <w:pPr>
        <w:ind w:left="0" w:firstLine="0"/>
        <w:rPr>
          <w:b/>
          <w:color w:val="0000FF"/>
        </w:rPr>
      </w:pPr>
      <w:r>
        <w:rPr>
          <w:b/>
          <w:color w:val="0000FF"/>
        </w:rPr>
        <w:t xml:space="preserve">Mortality Risk </w:t>
      </w:r>
    </w:p>
    <w:p w14:paraId="26941FAD" w14:textId="77777777" w:rsidR="0019056F" w:rsidRDefault="0019056F" w:rsidP="0019056F">
      <w:pPr>
        <w:ind w:left="0" w:firstLine="0"/>
        <w:rPr>
          <w:b/>
        </w:rPr>
      </w:pPr>
      <w:r>
        <w:rPr>
          <w:b/>
          <w:color w:val="0000FF"/>
        </w:rPr>
        <w:t>1a.4.3</w:t>
      </w:r>
      <w:r w:rsidRPr="003B1CC5">
        <w:rPr>
          <w:b/>
          <w:color w:val="0000FF"/>
        </w:rPr>
        <w:t>.</w:t>
      </w:r>
      <w:r w:rsidRPr="003B1CC5">
        <w:rPr>
          <w:color w:val="0070C0"/>
        </w:rPr>
        <w:t xml:space="preserve"> </w:t>
      </w:r>
      <w:r w:rsidRPr="003B1CC5">
        <w:rPr>
          <w:b/>
        </w:rPr>
        <w:t>Provide the citation</w:t>
      </w:r>
      <w:r>
        <w:rPr>
          <w:b/>
        </w:rPr>
        <w:t>(s)</w:t>
      </w:r>
      <w:r w:rsidRPr="003B1CC5">
        <w:rPr>
          <w:b/>
        </w:rPr>
        <w:t xml:space="preserve"> </w:t>
      </w:r>
      <w:r>
        <w:rPr>
          <w:b/>
        </w:rPr>
        <w:t>for the</w:t>
      </w:r>
      <w:r w:rsidRPr="003B1CC5">
        <w:rPr>
          <w:b/>
        </w:rPr>
        <w:t xml:space="preserve"> evidence.</w:t>
      </w:r>
    </w:p>
    <w:p w14:paraId="1B90075E" w14:textId="77777777" w:rsidR="0019056F" w:rsidRDefault="0019056F" w:rsidP="0019056F">
      <w:pPr>
        <w:ind w:left="0" w:firstLine="0"/>
        <w:rPr>
          <w:rFonts w:ascii="Calibri" w:eastAsia="Times New Roman" w:hAnsi="Calibri" w:cs="Times New Roman"/>
          <w:color w:val="0000FF"/>
          <w:sz w:val="20"/>
          <w:szCs w:val="20"/>
        </w:rPr>
      </w:pPr>
    </w:p>
    <w:p w14:paraId="7F775A9D"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Caplehorn JRM. Deaths in the first two weeks of maintence treatment in NSW in 1994: Identifying cases of iatrogenic methadone toxicity.Drug and Alcohol Review. 1998;17(1):9-17.</w:t>
      </w:r>
    </w:p>
    <w:p w14:paraId="20DC4574" w14:textId="77777777" w:rsidR="0019056F" w:rsidRPr="009045A0" w:rsidRDefault="0019056F" w:rsidP="0019056F">
      <w:pPr>
        <w:ind w:left="0" w:firstLine="0"/>
        <w:rPr>
          <w:rFonts w:ascii="Calibri" w:eastAsia="Times New Roman" w:hAnsi="Calibri" w:cs="Times New Roman"/>
          <w:color w:val="0000FF"/>
        </w:rPr>
      </w:pPr>
    </w:p>
    <w:p w14:paraId="3D6135E7" w14:textId="77777777" w:rsidR="0019056F" w:rsidRPr="009045A0" w:rsidRDefault="0019056F" w:rsidP="0019056F">
      <w:pPr>
        <w:ind w:left="0" w:firstLine="0"/>
        <w:rPr>
          <w:rFonts w:ascii="Calibri" w:eastAsia="Times New Roman" w:hAnsi="Calibri" w:cs="Times New Roman"/>
          <w:i/>
          <w:color w:val="0000FF"/>
        </w:rPr>
      </w:pPr>
      <w:r w:rsidRPr="009045A0">
        <w:rPr>
          <w:rFonts w:ascii="Calibri" w:eastAsia="Times New Roman" w:hAnsi="Calibri" w:cs="Times New Roman"/>
          <w:color w:val="0000FF"/>
        </w:rPr>
        <w:t>Caplehorn JRM, Drummer OH. Mortality associated with New South Wales methadone program in 1994: lives lost and saved. Med J Aust. 1999;170(3):104-109.</w:t>
      </w:r>
    </w:p>
    <w:p w14:paraId="555DB2B0" w14:textId="77777777" w:rsidR="0019056F" w:rsidRPr="009045A0" w:rsidRDefault="0019056F" w:rsidP="0019056F">
      <w:pPr>
        <w:ind w:left="0" w:firstLine="0"/>
        <w:rPr>
          <w:rFonts w:ascii="Calibri" w:eastAsia="Times New Roman" w:hAnsi="Calibri" w:cs="Times New Roman"/>
          <w:color w:val="0000FF"/>
        </w:rPr>
      </w:pPr>
    </w:p>
    <w:p w14:paraId="069CE6A1"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Cornish R, Macleod J, Strang J, Vickerman P, Hickman M. Risk of death during and after opiate substitution treatment in primary care: prospective observational study in UK General Practice Research Database. Bmj. 2010;341:c5475.</w:t>
      </w:r>
    </w:p>
    <w:p w14:paraId="4C48560D" w14:textId="77777777" w:rsidR="0019056F" w:rsidRPr="009045A0" w:rsidRDefault="0019056F" w:rsidP="0019056F">
      <w:pPr>
        <w:ind w:left="0" w:firstLine="0"/>
        <w:rPr>
          <w:rFonts w:ascii="Calibri" w:eastAsia="Times New Roman" w:hAnsi="Calibri" w:cs="Times New Roman"/>
          <w:color w:val="0000FF"/>
        </w:rPr>
      </w:pPr>
    </w:p>
    <w:p w14:paraId="0E1A06F8"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Cousins G, Teljeur C, Motterlini N, McCowan C, Dimitrov BD, Fahey T. Risk of drug-related mortality during periods of transition in methadone maintenance treatment: a cohort study. J Subst Abuse Treat 2011; 41: 252–60.</w:t>
      </w:r>
    </w:p>
    <w:p w14:paraId="178A0E32" w14:textId="77777777" w:rsidR="0019056F" w:rsidRPr="009045A0" w:rsidRDefault="0019056F" w:rsidP="0019056F">
      <w:pPr>
        <w:ind w:left="0" w:firstLine="0"/>
        <w:rPr>
          <w:rFonts w:ascii="Calibri" w:eastAsia="Times New Roman" w:hAnsi="Calibri" w:cs="Times New Roman"/>
          <w:color w:val="0000FF"/>
        </w:rPr>
      </w:pPr>
    </w:p>
    <w:p w14:paraId="264F4D30"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 xml:space="preserve">Cousins G, Boland F, Courtney B, Barry J, Lyons S, Fahey T. Risk of mortality on and off methadone substitution treatment in primary care: a national cohort study. Addiction. 2016;111(1):73-82. </w:t>
      </w:r>
    </w:p>
    <w:p w14:paraId="4B50E6AE" w14:textId="77777777" w:rsidR="0019056F" w:rsidRPr="009045A0" w:rsidRDefault="0019056F" w:rsidP="0019056F">
      <w:pPr>
        <w:ind w:left="0" w:firstLine="0"/>
        <w:rPr>
          <w:rFonts w:ascii="Calibri" w:eastAsia="Times New Roman" w:hAnsi="Calibri" w:cs="Times New Roman"/>
          <w:color w:val="0000FF"/>
        </w:rPr>
      </w:pPr>
    </w:p>
    <w:p w14:paraId="79AE7C8C"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Davoli M, Bargagli AM, Perucci CA, et al. Risk of fatal overdose during and after specialist drug treatment: the VEdeTTE study, a national multisite prospective cohort study. Addiction. 2007;102:1954-9.</w:t>
      </w:r>
    </w:p>
    <w:p w14:paraId="35ECF0CF" w14:textId="77777777" w:rsidR="0019056F" w:rsidRPr="009045A0" w:rsidRDefault="0019056F" w:rsidP="0019056F">
      <w:pPr>
        <w:ind w:left="0" w:firstLine="0"/>
        <w:rPr>
          <w:rFonts w:ascii="Calibri" w:eastAsia="Times New Roman" w:hAnsi="Calibri" w:cs="Times New Roman"/>
          <w:color w:val="0000FF"/>
        </w:rPr>
      </w:pPr>
    </w:p>
    <w:p w14:paraId="5DDF090B"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Degenhardt L, Randall D, Hall W, Law M, Butler T, Burns L. Mortality among clients of a state-wide opioid pharmacotherapy program over 20 years: risk factors and lives saved. Drug and alcohol dependence. 2009;105:9-15.</w:t>
      </w:r>
    </w:p>
    <w:p w14:paraId="506ACEA6" w14:textId="77777777" w:rsidR="0019056F" w:rsidRPr="009045A0" w:rsidRDefault="0019056F" w:rsidP="0019056F">
      <w:pPr>
        <w:ind w:left="0" w:firstLine="0"/>
        <w:rPr>
          <w:rFonts w:ascii="Calibri" w:eastAsia="Times New Roman" w:hAnsi="Calibri" w:cs="Times New Roman"/>
          <w:color w:val="0000FF"/>
        </w:rPr>
      </w:pPr>
    </w:p>
    <w:p w14:paraId="2C86A679"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Gibson AE, Degenhardt LJ. Mortality related to pharmacotherapies for opioid dependence: a comparative analysis of coronial records. Drug Alcohol Rev. 2007; 26(4), 405-410.</w:t>
      </w:r>
    </w:p>
    <w:p w14:paraId="44AD4693" w14:textId="77777777" w:rsidR="0019056F" w:rsidRPr="009045A0" w:rsidRDefault="0019056F" w:rsidP="0019056F">
      <w:pPr>
        <w:ind w:left="0" w:firstLine="0"/>
        <w:rPr>
          <w:rFonts w:ascii="Calibri" w:eastAsia="Times New Roman" w:hAnsi="Calibri" w:cs="Times New Roman"/>
          <w:color w:val="0000FF"/>
        </w:rPr>
      </w:pPr>
    </w:p>
    <w:p w14:paraId="46794E58"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Pierce M, Bird SM, Hickman M, Marsden J, Dunn G, Jones A, et al. Impact of treatment for opioid dependence on fatal drug-related poisoning: a national cohort study in England. Addiction. 2016;111:298-308.</w:t>
      </w:r>
    </w:p>
    <w:p w14:paraId="36BF50C0" w14:textId="77777777" w:rsidR="0019056F" w:rsidRPr="009045A0" w:rsidRDefault="0019056F" w:rsidP="0019056F">
      <w:pPr>
        <w:ind w:left="0" w:firstLine="0"/>
        <w:rPr>
          <w:rFonts w:ascii="Calibri" w:eastAsia="Times New Roman" w:hAnsi="Calibri" w:cs="Times New Roman"/>
          <w:color w:val="0000FF"/>
        </w:rPr>
      </w:pPr>
    </w:p>
    <w:p w14:paraId="648993DD"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Tait RJ, Ngo HT, Hulse GK. Mortality in heroin users 3 years after naltrexone implant or methadone maintenance treatment. J Subst Abuse Treat, 2008;35(2), 116-124.</w:t>
      </w:r>
    </w:p>
    <w:p w14:paraId="0CFA7562" w14:textId="77777777" w:rsidR="0019056F" w:rsidRPr="009045A0" w:rsidRDefault="0019056F" w:rsidP="0019056F">
      <w:pPr>
        <w:ind w:left="0" w:firstLine="0"/>
        <w:rPr>
          <w:rFonts w:ascii="Calibri" w:eastAsia="Times New Roman" w:hAnsi="Calibri" w:cs="Times New Roman"/>
          <w:color w:val="0000FF"/>
        </w:rPr>
      </w:pPr>
    </w:p>
    <w:p w14:paraId="7F75D9E2"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Weiss RD; Potter JS; Griffin ML, et al. Long-term outcomes from the National Drug Abuse Treatment Clinical Trials Network Prescription Opioid Addiction Treatment Study. Drug and Alcohol Dependence. 2015;150:112-119.</w:t>
      </w:r>
    </w:p>
    <w:p w14:paraId="6734B686" w14:textId="77777777" w:rsidR="0019056F" w:rsidRPr="009045A0" w:rsidRDefault="0019056F" w:rsidP="0019056F">
      <w:pPr>
        <w:ind w:left="0" w:firstLine="0"/>
        <w:rPr>
          <w:rFonts w:ascii="Calibri" w:eastAsia="Times New Roman" w:hAnsi="Calibri" w:cs="Times New Roman"/>
          <w:color w:val="0000FF"/>
        </w:rPr>
      </w:pPr>
    </w:p>
    <w:p w14:paraId="6C4B2398"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Zador D, Sunjic S. Deaths inmethadone maintenance treatment in New South Wales, Australia 1990-1995. Addiction. 2000;95(1):77-84.</w:t>
      </w:r>
    </w:p>
    <w:p w14:paraId="19A17429" w14:textId="77777777" w:rsidR="0019056F" w:rsidRDefault="0019056F" w:rsidP="0019056F">
      <w:pPr>
        <w:ind w:left="0" w:firstLine="0"/>
      </w:pPr>
    </w:p>
    <w:p w14:paraId="61F1F8C6" w14:textId="77777777" w:rsidR="0019056F" w:rsidRDefault="0019056F" w:rsidP="0019056F">
      <w:pPr>
        <w:ind w:left="0" w:firstLine="0"/>
      </w:pPr>
    </w:p>
    <w:p w14:paraId="1AE1A065" w14:textId="77777777" w:rsidR="0019056F" w:rsidRDefault="0019056F" w:rsidP="0019056F">
      <w:pPr>
        <w:ind w:left="0" w:firstLine="0"/>
        <w:rPr>
          <w:b/>
          <w:color w:val="0000FF"/>
        </w:rPr>
      </w:pPr>
      <w:r w:rsidRPr="008901DC">
        <w:rPr>
          <w:b/>
          <w:color w:val="0000FF"/>
        </w:rPr>
        <w:t xml:space="preserve">Justification of Measure Definition </w:t>
      </w:r>
    </w:p>
    <w:p w14:paraId="5CD2FBB6" w14:textId="77777777" w:rsidR="0019056F" w:rsidRDefault="0019056F" w:rsidP="0019056F">
      <w:pPr>
        <w:ind w:left="0" w:firstLine="0"/>
      </w:pPr>
      <w:r>
        <w:rPr>
          <w:b/>
          <w:color w:val="0000FF"/>
        </w:rPr>
        <w:t>1a.4</w:t>
      </w:r>
      <w:r w:rsidRPr="003B1CC5">
        <w:rPr>
          <w:b/>
          <w:color w:val="0000FF"/>
        </w:rPr>
        <w:t>.1</w:t>
      </w:r>
      <w:r w:rsidRPr="003B1CC5">
        <w:rPr>
          <w:color w:val="0070C0"/>
        </w:rPr>
        <w:t xml:space="preserve"> </w:t>
      </w:r>
      <w:r w:rsidRPr="000E5C93">
        <w:rPr>
          <w:b/>
        </w:rPr>
        <w:t>B</w:t>
      </w:r>
      <w:r>
        <w:rPr>
          <w:b/>
        </w:rPr>
        <w:t>riefly SYNTHESIZE</w:t>
      </w:r>
      <w:r w:rsidRPr="000E5C93">
        <w:rPr>
          <w:b/>
        </w:rPr>
        <w:t xml:space="preserve"> </w:t>
      </w:r>
      <w:r>
        <w:rPr>
          <w:b/>
        </w:rPr>
        <w:t xml:space="preserve">the evidence that supports the measure. </w:t>
      </w:r>
      <w:r>
        <w:t>A list of references without a summary is not acceptable.</w:t>
      </w:r>
    </w:p>
    <w:p w14:paraId="250F57BA" w14:textId="77777777" w:rsidR="0019056F" w:rsidRDefault="0019056F" w:rsidP="0019056F">
      <w:pPr>
        <w:suppressAutoHyphens/>
        <w:ind w:left="0" w:firstLine="0"/>
        <w:rPr>
          <w:rFonts w:ascii="Calibri" w:eastAsia="Times New Roman" w:hAnsi="Calibri" w:cs="Times New Roman"/>
          <w:color w:val="0000FF"/>
        </w:rPr>
      </w:pPr>
    </w:p>
    <w:p w14:paraId="58A52F8B" w14:textId="77777777" w:rsidR="0019056F" w:rsidRPr="009045A0" w:rsidRDefault="0019056F" w:rsidP="0019056F">
      <w:pPr>
        <w:suppressAutoHyphens/>
        <w:ind w:left="0" w:firstLine="0"/>
        <w:rPr>
          <w:rFonts w:ascii="Calibri" w:eastAsia="Times New Roman" w:hAnsi="Calibri" w:cs="Times New Roman"/>
          <w:color w:val="0000FF"/>
        </w:rPr>
      </w:pPr>
      <w:r w:rsidRPr="009045A0">
        <w:rPr>
          <w:rFonts w:ascii="Calibri" w:eastAsia="Times New Roman" w:hAnsi="Calibri" w:cs="Times New Roman"/>
          <w:color w:val="0000FF"/>
        </w:rPr>
        <w:t>We define treatment continuity as (1) receiving at least 180 days of treatment and (2) no gaps in</w:t>
      </w:r>
      <w:r w:rsidRPr="009045A0">
        <w:rPr>
          <w:rFonts w:ascii="Calibri" w:eastAsia="MS Mincho" w:hAnsi="Calibri" w:cs="Times New Roman"/>
          <w:color w:val="0000FF"/>
        </w:rPr>
        <w:t xml:space="preserve"> medication use of more than 7 days. </w:t>
      </w:r>
      <w:r w:rsidRPr="009045A0">
        <w:rPr>
          <w:rFonts w:ascii="Calibri" w:eastAsia="Times New Roman" w:hAnsi="Calibri" w:cs="Times New Roman"/>
          <w:color w:val="0000FF"/>
        </w:rPr>
        <w:t xml:space="preserve"> </w:t>
      </w:r>
    </w:p>
    <w:p w14:paraId="541DD172" w14:textId="77777777" w:rsidR="0019056F" w:rsidRPr="009045A0" w:rsidRDefault="0019056F" w:rsidP="0019056F">
      <w:pPr>
        <w:ind w:left="0" w:firstLine="0"/>
        <w:rPr>
          <w:rFonts w:ascii="Calibri" w:eastAsia="Times New Roman" w:hAnsi="Calibri" w:cs="Times New Roman"/>
          <w:color w:val="0000FF"/>
        </w:rPr>
      </w:pPr>
    </w:p>
    <w:p w14:paraId="16F8D61D" w14:textId="77777777" w:rsidR="0019056F" w:rsidRPr="009045A0" w:rsidRDefault="0019056F" w:rsidP="0019056F">
      <w:pPr>
        <w:ind w:left="0" w:firstLine="0"/>
        <w:rPr>
          <w:rFonts w:ascii="Calibri" w:eastAsia="Times New Roman" w:hAnsi="Calibri" w:cs="Times New Roman"/>
          <w:color w:val="0000FF"/>
        </w:rPr>
      </w:pPr>
      <w:r w:rsidRPr="009045A0">
        <w:rPr>
          <w:rFonts w:ascii="Calibri" w:eastAsia="Times New Roman" w:hAnsi="Calibri" w:cs="Times New Roman"/>
          <w:color w:val="0000FF"/>
        </w:rPr>
        <w:t>Our definition of minimum duration is based on the fact that the FDA registration trials for OUD drugs studied the effect of treatment over three to six months (US FDAa, undated; US FDAb, undated), and we have no evidence for effectiveness of shorter durations. In addition, several recommendations support a minimum six-month treatment period as the risk of relapse is the highest in the first 6-12 months after start of opioid abstinence (US FDAa, undated; US FDAb, undated; US DHHS, 2015).  Longer treatment duration is associated with better outcomes compared to shorter treatments and the best outcomes have been observed among patients in long-term methadone maintenance programs (“Effective medical treatment of opiate addiction”, 1998; Gruber et al., 2008; Moos et al., 1999; NIDA, 1999; Ouimette et al., 1998; Peles et al., 2013). Studies with long-term follow-up suggest that ongoing pharmacotherapy is associated with improved odds of opioid abstinence (Hser et al., 2015; Weiss et al., 2015). We did not specify a maximum duration of treatment, as no upper limit for duration of treatment has been empirically established (US DHHS, 2015).</w:t>
      </w:r>
    </w:p>
    <w:p w14:paraId="633AC5E3" w14:textId="77777777" w:rsidR="0019056F" w:rsidRPr="009045A0" w:rsidRDefault="0019056F" w:rsidP="0019056F">
      <w:pPr>
        <w:ind w:left="0" w:firstLine="0"/>
        <w:rPr>
          <w:rFonts w:ascii="Calibri" w:eastAsia="Times New Roman" w:hAnsi="Calibri" w:cs="Times New Roman"/>
          <w:color w:val="0000FF"/>
        </w:rPr>
      </w:pPr>
    </w:p>
    <w:p w14:paraId="60C68DDF" w14:textId="77777777" w:rsidR="0019056F" w:rsidRPr="009045A0" w:rsidRDefault="0019056F" w:rsidP="0019056F">
      <w:pPr>
        <w:ind w:left="0" w:firstLine="0"/>
        <w:rPr>
          <w:rFonts w:eastAsia="Times New Roman" w:cs="Times New Roman"/>
          <w:color w:val="0000FF"/>
        </w:rPr>
      </w:pPr>
      <w:r w:rsidRPr="009045A0">
        <w:rPr>
          <w:rFonts w:ascii="Calibri" w:eastAsia="Times New Roman" w:hAnsi="Calibri" w:cs="Times New Roman"/>
          <w:color w:val="0000FF"/>
        </w:rPr>
        <w:t>We opted for using a treatment gap of more than seven days in our definition, given that the measure includes three active ingredients with different pharmacological profiles.  There is substantial evidence for an elevated mortality risk immediately after treatment cessation (Cornish et al., 2010;</w:t>
      </w:r>
      <w:r w:rsidRPr="009045A0">
        <w:rPr>
          <w:rFonts w:eastAsia="Times New Roman" w:cs="Times New Roman"/>
          <w:color w:val="0000FF"/>
        </w:rPr>
        <w:t xml:space="preserve"> Cousins et al., 2016; Davoli et al, 2007; Degenhardt et al., 2009; Gibson &amp; Degenhardt, 2007;Pierce et al., 2016). Research suggests that methadone tolerance is lost after three days and this three-day threshold has been used in other observational methadone studies and in developing a United Kingdom treatment guideline which recommends revaluating patients for intoxication and withdrawal after a three-day methadone treatment gap (Cousins et al., 2016; Cousins et al., 2011; “Drug Misuse and Dependence—Guidelines on Clinical Management”, 1999). </w:t>
      </w:r>
      <w:r w:rsidRPr="009045A0">
        <w:rPr>
          <w:rFonts w:eastAsia="Arial Unicode MS" w:cs="Mangal"/>
          <w:color w:val="0000FF"/>
          <w:kern w:val="1"/>
          <w:lang w:eastAsia="hi-IN" w:bidi="hi-IN"/>
        </w:rPr>
        <w:t xml:space="preserve">Across all the medications, the mortality risk is highest in the first four weeks out of treatment, with many studies showing an increase in mortality in days 1-14 after treatment cessation. </w:t>
      </w:r>
    </w:p>
    <w:p w14:paraId="3C3DA03E" w14:textId="77777777" w:rsidR="0019056F" w:rsidRDefault="0019056F" w:rsidP="0019056F">
      <w:pPr>
        <w:ind w:left="0" w:firstLine="0"/>
        <w:rPr>
          <w:b/>
        </w:rPr>
      </w:pPr>
    </w:p>
    <w:p w14:paraId="23394A82" w14:textId="77777777" w:rsidR="0019056F" w:rsidRDefault="0019056F" w:rsidP="0019056F">
      <w:pPr>
        <w:ind w:left="0" w:firstLine="0"/>
        <w:rPr>
          <w:b/>
          <w:color w:val="0000FF"/>
        </w:rPr>
      </w:pPr>
      <w:r w:rsidRPr="009045A0">
        <w:rPr>
          <w:b/>
          <w:color w:val="0000FF"/>
        </w:rPr>
        <w:t xml:space="preserve">Justification of Measure Definition </w:t>
      </w:r>
    </w:p>
    <w:p w14:paraId="67EC2ADA" w14:textId="77777777" w:rsidR="0019056F" w:rsidRPr="003B1CC5" w:rsidRDefault="0019056F" w:rsidP="0019056F">
      <w:pPr>
        <w:ind w:left="0" w:firstLine="0"/>
      </w:pPr>
      <w:r w:rsidRPr="008901DC">
        <w:rPr>
          <w:b/>
          <w:color w:val="0000FF"/>
        </w:rPr>
        <w:t xml:space="preserve">1a.4.2 </w:t>
      </w:r>
      <w:r w:rsidRPr="003B1CC5">
        <w:rPr>
          <w:b/>
        </w:rPr>
        <w:t>What process was used to identify the evidence?</w:t>
      </w:r>
    </w:p>
    <w:p w14:paraId="6A34CDED" w14:textId="77777777" w:rsidR="0019056F" w:rsidRDefault="0019056F" w:rsidP="0019056F">
      <w:pPr>
        <w:ind w:left="0" w:firstLine="0"/>
        <w:rPr>
          <w:color w:val="0000FF"/>
        </w:rPr>
      </w:pPr>
    </w:p>
    <w:p w14:paraId="06CCEA0C" w14:textId="77777777" w:rsidR="0019056F" w:rsidRPr="001E4270" w:rsidRDefault="0019056F" w:rsidP="0019056F">
      <w:pPr>
        <w:ind w:left="0" w:firstLine="0"/>
        <w:rPr>
          <w:color w:val="0000FF"/>
        </w:rPr>
      </w:pPr>
      <w:r w:rsidRPr="001E4270">
        <w:rPr>
          <w:color w:val="0000FF"/>
        </w:rPr>
        <w:t xml:space="preserve">We conducted a targeted literature search supplemented by a manual search of </w:t>
      </w:r>
      <w:r>
        <w:rPr>
          <w:color w:val="0000FF"/>
        </w:rPr>
        <w:t>the references</w:t>
      </w:r>
      <w:r w:rsidRPr="001E4270">
        <w:rPr>
          <w:color w:val="0000FF"/>
        </w:rPr>
        <w:t xml:space="preserve"> cited in relevant </w:t>
      </w:r>
      <w:r>
        <w:rPr>
          <w:color w:val="0000FF"/>
        </w:rPr>
        <w:t>article</w:t>
      </w:r>
      <w:r w:rsidRPr="001E4270">
        <w:rPr>
          <w:color w:val="0000FF"/>
        </w:rPr>
        <w:t>s.</w:t>
      </w:r>
    </w:p>
    <w:p w14:paraId="7E3B85E1" w14:textId="77777777" w:rsidR="0019056F" w:rsidRPr="003B1CC5" w:rsidRDefault="0019056F" w:rsidP="0019056F">
      <w:pPr>
        <w:ind w:left="0" w:firstLine="0"/>
      </w:pPr>
    </w:p>
    <w:p w14:paraId="4C8BF96E" w14:textId="77777777" w:rsidR="0019056F" w:rsidRDefault="0019056F" w:rsidP="0019056F">
      <w:pPr>
        <w:ind w:left="0" w:firstLine="0"/>
        <w:rPr>
          <w:b/>
          <w:color w:val="0000FF"/>
        </w:rPr>
      </w:pPr>
      <w:r w:rsidRPr="008901DC">
        <w:rPr>
          <w:b/>
          <w:color w:val="0000FF"/>
        </w:rPr>
        <w:t xml:space="preserve">Justification of Measure Definition </w:t>
      </w:r>
    </w:p>
    <w:p w14:paraId="30ECD1FF" w14:textId="77777777" w:rsidR="0019056F" w:rsidRDefault="0019056F" w:rsidP="0019056F">
      <w:pPr>
        <w:ind w:left="0" w:firstLine="0"/>
        <w:rPr>
          <w:b/>
        </w:rPr>
      </w:pPr>
      <w:r>
        <w:rPr>
          <w:b/>
          <w:color w:val="0000FF"/>
        </w:rPr>
        <w:t>1a.4.3</w:t>
      </w:r>
      <w:r w:rsidRPr="003B1CC5">
        <w:rPr>
          <w:b/>
          <w:color w:val="0000FF"/>
        </w:rPr>
        <w:t>.</w:t>
      </w:r>
      <w:r w:rsidRPr="003B1CC5">
        <w:rPr>
          <w:color w:val="0070C0"/>
        </w:rPr>
        <w:t xml:space="preserve"> </w:t>
      </w:r>
      <w:r w:rsidRPr="003B1CC5">
        <w:rPr>
          <w:b/>
        </w:rPr>
        <w:t>Provide the citation</w:t>
      </w:r>
      <w:r>
        <w:rPr>
          <w:b/>
        </w:rPr>
        <w:t>(s)</w:t>
      </w:r>
      <w:r w:rsidRPr="003B1CC5">
        <w:rPr>
          <w:b/>
        </w:rPr>
        <w:t xml:space="preserve"> </w:t>
      </w:r>
      <w:r>
        <w:rPr>
          <w:b/>
        </w:rPr>
        <w:t>for the</w:t>
      </w:r>
      <w:r w:rsidRPr="003B1CC5">
        <w:rPr>
          <w:b/>
        </w:rPr>
        <w:t xml:space="preserve"> evidence.</w:t>
      </w:r>
    </w:p>
    <w:p w14:paraId="0840DFBC" w14:textId="77777777" w:rsidR="0019056F" w:rsidRPr="009045A0" w:rsidRDefault="0019056F" w:rsidP="0019056F">
      <w:pPr>
        <w:ind w:left="0" w:firstLine="0"/>
        <w:rPr>
          <w:rFonts w:eastAsia="Times New Roman" w:cs="Times New Roman"/>
          <w:color w:val="0000FF"/>
        </w:rPr>
      </w:pPr>
    </w:p>
    <w:p w14:paraId="3BD3D656"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Cornish R, Macleod J, Strang J, Vickerman P, Hickman M. Risk of death during and after opiate substitution treatment in primary care: prospective observational study in UK General Practice Research Database. Bmj. 2010;341:c5475.</w:t>
      </w:r>
    </w:p>
    <w:p w14:paraId="48D26D12" w14:textId="77777777" w:rsidR="0019056F" w:rsidRPr="009045A0" w:rsidRDefault="0019056F" w:rsidP="0019056F">
      <w:pPr>
        <w:ind w:left="0" w:firstLine="0"/>
        <w:rPr>
          <w:rFonts w:eastAsia="Times New Roman" w:cs="Times New Roman"/>
          <w:color w:val="0000FF"/>
        </w:rPr>
      </w:pPr>
    </w:p>
    <w:p w14:paraId="4BAF1E7C"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Cousins G, Teljeur C, Motterlini N, McCowan C, Dimitrov BD, Fahey T. Risk of drug-related mortality during periods of transition in methadone maintenance treatment: a cohort study. J Subst Abuse Treat 2011; 41: 252–60.</w:t>
      </w:r>
    </w:p>
    <w:p w14:paraId="183157D0" w14:textId="77777777" w:rsidR="0019056F" w:rsidRPr="009045A0" w:rsidRDefault="0019056F" w:rsidP="0019056F">
      <w:pPr>
        <w:ind w:left="0" w:firstLine="0"/>
        <w:rPr>
          <w:rFonts w:eastAsia="Times New Roman" w:cs="Times New Roman"/>
          <w:color w:val="0000FF"/>
        </w:rPr>
      </w:pPr>
    </w:p>
    <w:p w14:paraId="38027518"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Cousins G, Boland F, Courtney B, Barry J, Lyons S, Fahey T. Risk of mortality on and off methadone substitution treatment in primary care: a national cohort study. Addiction. 2016;111(1):73-82. </w:t>
      </w:r>
    </w:p>
    <w:p w14:paraId="5152EBD7" w14:textId="77777777" w:rsidR="0019056F" w:rsidRPr="009045A0" w:rsidRDefault="0019056F" w:rsidP="0019056F">
      <w:pPr>
        <w:ind w:left="0" w:firstLine="0"/>
        <w:rPr>
          <w:rFonts w:eastAsia="Times New Roman" w:cs="Times New Roman"/>
          <w:color w:val="0000FF"/>
        </w:rPr>
      </w:pPr>
    </w:p>
    <w:p w14:paraId="752E73F0" w14:textId="77777777" w:rsidR="0019056F" w:rsidRPr="009045A0" w:rsidRDefault="0019056F" w:rsidP="0019056F">
      <w:pPr>
        <w:tabs>
          <w:tab w:val="left" w:pos="0"/>
          <w:tab w:val="left" w:pos="90"/>
        </w:tabs>
        <w:ind w:left="0" w:firstLine="0"/>
        <w:rPr>
          <w:rFonts w:eastAsia="Times New Roman" w:cs="Times New Roman"/>
          <w:color w:val="0000FF"/>
        </w:rPr>
      </w:pPr>
      <w:r w:rsidRPr="009045A0">
        <w:rPr>
          <w:rFonts w:eastAsia="Times New Roman" w:cs="Times New Roman"/>
          <w:color w:val="0000FF"/>
        </w:rPr>
        <w:t>Davoli M, Bargagli AM, Perucci CA, et al. Risk of fatal overdose during and after specialist drug treatment: the VEdeTTE study, a national multisite prospective cohort study. Addiction. 2007;102:1954-9.</w:t>
      </w:r>
    </w:p>
    <w:p w14:paraId="1222C06A" w14:textId="77777777" w:rsidR="0019056F" w:rsidRPr="009045A0" w:rsidRDefault="0019056F" w:rsidP="0019056F">
      <w:pPr>
        <w:ind w:left="0" w:firstLine="0"/>
        <w:rPr>
          <w:rFonts w:eastAsia="Times New Roman" w:cs="Times New Roman"/>
          <w:color w:val="0000FF"/>
        </w:rPr>
      </w:pPr>
    </w:p>
    <w:p w14:paraId="5A3C70A8"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Degenhardt L, Randall D, Hall W, Law M, Butler T, Burns L. Mortality among clients of a state-wide opioid pharmacotherapy program over 20 years: risk factors and lives saved. Drug and alcohol dependence. 2009;105:9-15.</w:t>
      </w:r>
    </w:p>
    <w:p w14:paraId="5BBAC82D" w14:textId="77777777" w:rsidR="0019056F" w:rsidRPr="009045A0" w:rsidRDefault="0019056F" w:rsidP="0019056F">
      <w:pPr>
        <w:ind w:left="0" w:firstLine="0"/>
        <w:rPr>
          <w:rFonts w:eastAsia="Times New Roman" w:cs="Times New Roman"/>
          <w:color w:val="0000FF"/>
        </w:rPr>
      </w:pPr>
    </w:p>
    <w:p w14:paraId="279E5CD0"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“Drug Misuse and Dependence—Guidelines on Clinical Management.” Scottish Office Department of Health, Welsh Office, Social Services Northern Ireland. London: Stationery Office, 1999.</w:t>
      </w:r>
    </w:p>
    <w:p w14:paraId="015B51B6" w14:textId="77777777" w:rsidR="0019056F" w:rsidRPr="009045A0" w:rsidRDefault="0019056F" w:rsidP="0019056F">
      <w:pPr>
        <w:ind w:left="0" w:firstLine="0"/>
        <w:rPr>
          <w:rFonts w:eastAsia="Times New Roman" w:cs="Times New Roman"/>
          <w:color w:val="0000FF"/>
        </w:rPr>
      </w:pPr>
    </w:p>
    <w:p w14:paraId="275A64CC"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Effective medical treatment of opiate addiction. National Consensus Development Panel on Effective Medical Treatment of Opiate Addiction. JAMA.1998;280:1936-1943. </w:t>
      </w:r>
    </w:p>
    <w:p w14:paraId="51D9A9FF" w14:textId="77777777" w:rsidR="0019056F" w:rsidRPr="009045A0" w:rsidRDefault="0019056F" w:rsidP="0019056F">
      <w:pPr>
        <w:ind w:left="0" w:firstLine="0"/>
        <w:rPr>
          <w:rFonts w:eastAsia="Times New Roman" w:cs="Times New Roman"/>
          <w:color w:val="0000FF"/>
        </w:rPr>
      </w:pPr>
    </w:p>
    <w:p w14:paraId="265B7058"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Gibson AE, Degenhardt LJ. Mortality related to pharmacotherapies for opioid dependence: a comparative analysis of coronial records. Drug Alcohol Rev. 2007; 26(4), 405-410.</w:t>
      </w:r>
    </w:p>
    <w:p w14:paraId="1CF1B3E4" w14:textId="77777777" w:rsidR="0019056F" w:rsidRPr="009045A0" w:rsidRDefault="0019056F" w:rsidP="0019056F">
      <w:pPr>
        <w:ind w:left="0" w:firstLine="0"/>
        <w:rPr>
          <w:rFonts w:eastAsia="Times New Roman" w:cs="Times New Roman"/>
          <w:color w:val="0000FF"/>
        </w:rPr>
      </w:pPr>
    </w:p>
    <w:p w14:paraId="7F8EF616"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Gruber VA, Delucchi KL, Kielstein A, Batki SL. A randomized trial of 6-month methadone maintenance with standard or minimal counseling versus 21-day methadone detoxification. Drug and Alcohol Dependence. 2008;94(1-3):199-206.</w:t>
      </w:r>
    </w:p>
    <w:p w14:paraId="2A83960A" w14:textId="77777777" w:rsidR="0019056F" w:rsidRPr="009045A0" w:rsidRDefault="0019056F" w:rsidP="0019056F">
      <w:pPr>
        <w:ind w:left="0" w:firstLine="0"/>
        <w:rPr>
          <w:rFonts w:eastAsia="Times New Roman" w:cs="Times New Roman"/>
          <w:color w:val="0000FF"/>
        </w:rPr>
      </w:pPr>
    </w:p>
    <w:p w14:paraId="151FD4C7"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Hser YI, Evans E, Grella C, Ling W, Anglin D. Long-term course of opioid addiction. Harvard Review of Psychiatry. 2015;23(2):76-89.</w:t>
      </w:r>
    </w:p>
    <w:p w14:paraId="0132934A" w14:textId="77777777" w:rsidR="0019056F" w:rsidRPr="009045A0" w:rsidRDefault="0019056F" w:rsidP="0019056F">
      <w:pPr>
        <w:ind w:left="0" w:firstLine="0"/>
        <w:rPr>
          <w:rFonts w:eastAsia="Times New Roman" w:cs="Times New Roman"/>
          <w:color w:val="0000FF"/>
        </w:rPr>
      </w:pPr>
    </w:p>
    <w:p w14:paraId="0C492BD1"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Moos RH, Finney JW, Ouimette PC, Suchinsky RT. A comparative evaluation of substance abuse treatment: I. Treatment orientation, amount of care, and 1-year outcomes. Alcohol Clin Exp Res. 1999;23(3):529-36.</w:t>
      </w:r>
    </w:p>
    <w:p w14:paraId="6E22B1AA" w14:textId="77777777" w:rsidR="0019056F" w:rsidRPr="009045A0" w:rsidRDefault="0019056F" w:rsidP="0019056F">
      <w:pPr>
        <w:ind w:left="0" w:firstLine="0"/>
        <w:rPr>
          <w:rFonts w:eastAsia="Times New Roman" w:cs="Times New Roman"/>
          <w:color w:val="0000FF"/>
        </w:rPr>
      </w:pPr>
    </w:p>
    <w:p w14:paraId="4406A9B3"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National Institute on Drug Abuse (NIDA). Principles of Drug Addiction Treatment: A Research-Based Guide. NIH Publication No. 99–4180. Rockville, MD: NIDA, 1999, reprinted 2000 </w:t>
      </w:r>
    </w:p>
    <w:p w14:paraId="4EA91FA7" w14:textId="77777777" w:rsidR="0019056F" w:rsidRPr="009045A0" w:rsidRDefault="0019056F" w:rsidP="0019056F">
      <w:pPr>
        <w:ind w:left="0" w:firstLine="0"/>
        <w:rPr>
          <w:rFonts w:eastAsia="Times New Roman" w:cs="Times New Roman"/>
          <w:color w:val="0000FF"/>
        </w:rPr>
      </w:pPr>
    </w:p>
    <w:p w14:paraId="49302B86"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Ouimette PC, Moos RH, Finney JW. Influence of outpatient treatment and 12-step group involvement on one-year substance abuse treatment outcomes. J Stud Alcohol. 1998;59:513-522</w:t>
      </w:r>
    </w:p>
    <w:p w14:paraId="5802960F" w14:textId="77777777" w:rsidR="0019056F" w:rsidRPr="009045A0" w:rsidRDefault="0019056F" w:rsidP="0019056F">
      <w:pPr>
        <w:ind w:left="0" w:firstLine="0"/>
        <w:rPr>
          <w:rFonts w:eastAsia="Times New Roman" w:cs="Times New Roman"/>
          <w:color w:val="0000FF"/>
        </w:rPr>
      </w:pPr>
    </w:p>
    <w:p w14:paraId="7643AA3E"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Peles E, Schreiber S, Adelson M. Opiate-dependent patients on a waiting list for methadone maintenance treatment are at high risk for mortality until treatment entry. J Addict Med. 2013;7(3):177-82..</w:t>
      </w:r>
    </w:p>
    <w:p w14:paraId="1CE702D6" w14:textId="77777777" w:rsidR="0019056F" w:rsidRPr="009045A0" w:rsidRDefault="0019056F" w:rsidP="0019056F">
      <w:pPr>
        <w:ind w:left="0" w:firstLine="0"/>
        <w:rPr>
          <w:rFonts w:eastAsia="Times New Roman" w:cs="Times New Roman"/>
          <w:color w:val="0000FF"/>
        </w:rPr>
      </w:pPr>
    </w:p>
    <w:p w14:paraId="65649E63"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Pierce M, Bird SM, Hickman M, Marsden J, Dunn G, Jones A, et al. Impact of treatment for opioid dependence on fatal drug-related poisoning: a national cohort study in England. Addiction. 2016;111:298-308.</w:t>
      </w:r>
    </w:p>
    <w:p w14:paraId="601D2337" w14:textId="77777777" w:rsidR="0019056F" w:rsidRPr="009045A0" w:rsidRDefault="0019056F" w:rsidP="0019056F">
      <w:pPr>
        <w:ind w:left="0" w:firstLine="0"/>
        <w:rPr>
          <w:rFonts w:eastAsia="Times New Roman" w:cs="Times New Roman"/>
          <w:color w:val="0000FF"/>
        </w:rPr>
      </w:pPr>
    </w:p>
    <w:p w14:paraId="58DCDA5B"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U.S. Department of Health and Human Services Assistant Secretary for Planning and Evaluation Office of Disability, Aging and Long-Term Care Policy. Review of Medication-Assisted Treatment Guidelines and Measures for Opioid and Alcohol Use. Washington, DC, 2015. Accessed November 9, 2016 at: https://aspe.hhs.gov/sites/default/files/pdf/205171/MATguidelines.pdf </w:t>
      </w:r>
    </w:p>
    <w:p w14:paraId="2BB1CC0C" w14:textId="77777777" w:rsidR="0019056F" w:rsidRPr="009045A0" w:rsidRDefault="0019056F" w:rsidP="0019056F">
      <w:pPr>
        <w:ind w:left="0" w:firstLine="0"/>
        <w:rPr>
          <w:rFonts w:eastAsia="Times New Roman" w:cs="Times New Roman"/>
          <w:color w:val="0000FF"/>
        </w:rPr>
      </w:pPr>
    </w:p>
    <w:p w14:paraId="5EEDACEB"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U.S. Food and Drug Administration (FDA) (a). REVIA Label. Accessed November 24, 2016 at: http://www.accessdata.fda.gov/drugsatfda_docs/label/2013/018932s017lbl.pdf </w:t>
      </w:r>
    </w:p>
    <w:p w14:paraId="5F0F94ED" w14:textId="77777777" w:rsidR="0019056F" w:rsidRPr="009045A0" w:rsidRDefault="0019056F" w:rsidP="0019056F">
      <w:pPr>
        <w:ind w:left="0" w:firstLine="0"/>
        <w:rPr>
          <w:rFonts w:eastAsia="Times New Roman" w:cs="Times New Roman"/>
          <w:color w:val="0000FF"/>
        </w:rPr>
      </w:pPr>
    </w:p>
    <w:p w14:paraId="73D134F7"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 xml:space="preserve">U.S. Food and Drug Administration (FDA) (b). VIVITROL Label. Accessed November 24, 2016 at: http://www.accessdata.fda.gov/drugsatfda_docs/label/2006/021897lbl.pdf </w:t>
      </w:r>
    </w:p>
    <w:p w14:paraId="3BE9E503" w14:textId="77777777" w:rsidR="0019056F" w:rsidRPr="009045A0" w:rsidRDefault="0019056F" w:rsidP="0019056F">
      <w:pPr>
        <w:ind w:left="0" w:firstLine="0"/>
        <w:rPr>
          <w:rFonts w:eastAsia="Times New Roman" w:cs="Times New Roman"/>
          <w:color w:val="0000FF"/>
        </w:rPr>
      </w:pPr>
    </w:p>
    <w:p w14:paraId="1703728B" w14:textId="77777777" w:rsidR="0019056F" w:rsidRPr="009045A0" w:rsidRDefault="0019056F" w:rsidP="0019056F">
      <w:pPr>
        <w:ind w:left="0" w:firstLine="0"/>
        <w:rPr>
          <w:rFonts w:eastAsia="Times New Roman" w:cs="Times New Roman"/>
          <w:color w:val="0000FF"/>
        </w:rPr>
      </w:pPr>
      <w:r w:rsidRPr="009045A0">
        <w:rPr>
          <w:rFonts w:eastAsia="Times New Roman" w:cs="Times New Roman"/>
          <w:color w:val="0000FF"/>
        </w:rPr>
        <w:t>Weiss RD; Potter JS; Griffin ML, et al. Long-term outcomes from the National Drug Abuse Treatment Clinical Trials Network Prescription Opioid Addiction Treatment Study. Drug and Alcohol Dependence. 2015;150:112-119.</w:t>
      </w:r>
    </w:p>
    <w:p w14:paraId="7A4DF8C9" w14:textId="77777777" w:rsidR="0019056F" w:rsidRPr="001B772D" w:rsidRDefault="0019056F" w:rsidP="0019056F">
      <w:pPr>
        <w:ind w:left="0" w:firstLine="0"/>
      </w:pPr>
    </w:p>
    <w:p w14:paraId="55B8DA9D" w14:textId="2815F297" w:rsidR="00837121" w:rsidRPr="001B772D" w:rsidRDefault="00837121" w:rsidP="0019056F">
      <w:pPr>
        <w:ind w:left="0" w:firstLine="0"/>
      </w:pPr>
    </w:p>
    <w:sectPr w:rsidR="00837121" w:rsidRPr="001B772D">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69F09" w14:textId="77777777" w:rsidR="009924C9" w:rsidRDefault="009924C9" w:rsidP="007E37A5">
      <w:r>
        <w:separator/>
      </w:r>
    </w:p>
  </w:endnote>
  <w:endnote w:type="continuationSeparator" w:id="0">
    <w:p w14:paraId="7A3A5439" w14:textId="77777777" w:rsidR="009924C9" w:rsidRDefault="009924C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ourceSansPro-Regular">
    <w:altName w:val="Calibri"/>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278EF352"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D6703" w14:textId="77777777" w:rsidR="009924C9" w:rsidRDefault="009924C9" w:rsidP="007E37A5">
      <w:r>
        <w:separator/>
      </w:r>
    </w:p>
  </w:footnote>
  <w:footnote w:type="continuationSeparator" w:id="0">
    <w:p w14:paraId="7CCE26E4" w14:textId="77777777" w:rsidR="009924C9" w:rsidRDefault="009924C9"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65A1C"/>
    <w:multiLevelType w:val="hybridMultilevel"/>
    <w:tmpl w:val="63B242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C1750A"/>
    <w:multiLevelType w:val="hybridMultilevel"/>
    <w:tmpl w:val="B0A650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6959B4"/>
    <w:multiLevelType w:val="multilevel"/>
    <w:tmpl w:val="109C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B062E"/>
    <w:multiLevelType w:val="hybridMultilevel"/>
    <w:tmpl w:val="5CAC9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45108"/>
    <w:multiLevelType w:val="hybridMultilevel"/>
    <w:tmpl w:val="C1987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C35DE8"/>
    <w:multiLevelType w:val="hybridMultilevel"/>
    <w:tmpl w:val="8E2E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02BA1"/>
    <w:multiLevelType w:val="multilevel"/>
    <w:tmpl w:val="05A01AD4"/>
    <w:lvl w:ilvl="0">
      <w:start w:val="1"/>
      <w:numFmt w:val="decimal"/>
      <w:lvlText w:val="%1"/>
      <w:lvlJc w:val="left"/>
      <w:pPr>
        <w:ind w:left="360" w:hanging="360"/>
      </w:pPr>
      <w:rPr>
        <w:rFonts w:hint="default"/>
      </w:rPr>
    </w:lvl>
    <w:lvl w:ilvl="1">
      <w:start w:val="1"/>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488" w:hanging="1440"/>
      </w:pPr>
      <w:rPr>
        <w:rFonts w:hint="default"/>
      </w:rPr>
    </w:lvl>
  </w:abstractNum>
  <w:abstractNum w:abstractNumId="8"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41670D"/>
    <w:multiLevelType w:val="hybridMultilevel"/>
    <w:tmpl w:val="55005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E4383"/>
    <w:multiLevelType w:val="hybridMultilevel"/>
    <w:tmpl w:val="636A2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F24899"/>
    <w:multiLevelType w:val="hybridMultilevel"/>
    <w:tmpl w:val="319A38CE"/>
    <w:lvl w:ilvl="0" w:tplc="59186DEA">
      <w:start w:val="1"/>
      <w:numFmt w:val="decimal"/>
      <w:lvlText w:val="%1."/>
      <w:lvlJc w:val="left"/>
      <w:pPr>
        <w:ind w:left="720" w:hanging="360"/>
      </w:pPr>
      <w:rPr>
        <w:rFonts w:asciiTheme="minorHAnsi" w:eastAsiaTheme="minorHAnsi" w:hAnsiTheme="minorHAnsi" w:cstheme="minorBidi"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90093"/>
    <w:multiLevelType w:val="hybridMultilevel"/>
    <w:tmpl w:val="BBBA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C73B9"/>
    <w:multiLevelType w:val="hybridMultilevel"/>
    <w:tmpl w:val="B69E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92179"/>
    <w:multiLevelType w:val="hybridMultilevel"/>
    <w:tmpl w:val="B384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3560F2"/>
    <w:multiLevelType w:val="hybridMultilevel"/>
    <w:tmpl w:val="03A0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26210"/>
    <w:multiLevelType w:val="hybridMultilevel"/>
    <w:tmpl w:val="8EEC74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F35D6A"/>
    <w:multiLevelType w:val="hybridMultilevel"/>
    <w:tmpl w:val="085A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8B1734"/>
    <w:multiLevelType w:val="hybridMultilevel"/>
    <w:tmpl w:val="BC72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9"/>
  </w:num>
  <w:num w:numId="5">
    <w:abstractNumId w:val="11"/>
  </w:num>
  <w:num w:numId="6">
    <w:abstractNumId w:val="10"/>
  </w:num>
  <w:num w:numId="7">
    <w:abstractNumId w:val="22"/>
  </w:num>
  <w:num w:numId="8">
    <w:abstractNumId w:val="21"/>
  </w:num>
  <w:num w:numId="9">
    <w:abstractNumId w:val="26"/>
  </w:num>
  <w:num w:numId="10">
    <w:abstractNumId w:val="4"/>
  </w:num>
  <w:num w:numId="11">
    <w:abstractNumId w:val="15"/>
  </w:num>
  <w:num w:numId="12">
    <w:abstractNumId w:val="18"/>
  </w:num>
  <w:num w:numId="13">
    <w:abstractNumId w:val="27"/>
  </w:num>
  <w:num w:numId="14">
    <w:abstractNumId w:val="17"/>
  </w:num>
  <w:num w:numId="15">
    <w:abstractNumId w:val="6"/>
  </w:num>
  <w:num w:numId="16">
    <w:abstractNumId w:val="0"/>
  </w:num>
  <w:num w:numId="17">
    <w:abstractNumId w:val="23"/>
  </w:num>
  <w:num w:numId="18">
    <w:abstractNumId w:val="13"/>
  </w:num>
  <w:num w:numId="19">
    <w:abstractNumId w:val="3"/>
  </w:num>
  <w:num w:numId="20">
    <w:abstractNumId w:val="1"/>
  </w:num>
  <w:num w:numId="21">
    <w:abstractNumId w:val="14"/>
  </w:num>
  <w:num w:numId="22">
    <w:abstractNumId w:val="25"/>
  </w:num>
  <w:num w:numId="23">
    <w:abstractNumId w:val="24"/>
  </w:num>
  <w:num w:numId="24">
    <w:abstractNumId w:val="5"/>
  </w:num>
  <w:num w:numId="25">
    <w:abstractNumId w:val="19"/>
  </w:num>
  <w:num w:numId="26">
    <w:abstractNumId w:val="20"/>
  </w:num>
  <w:num w:numId="27">
    <w:abstractNumId w:val="7"/>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056F"/>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72700"/>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699"/>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924C9"/>
    <w:rsid w:val="00992F92"/>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1905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InternetLink">
    <w:name w:val="Internet Link"/>
    <w:rsid w:val="0019056F"/>
    <w:rPr>
      <w:color w:val="000080"/>
      <w:u w:val="single"/>
    </w:rPr>
  </w:style>
  <w:style w:type="character" w:customStyle="1" w:styleId="Heading1Char">
    <w:name w:val="Heading 1 Char"/>
    <w:basedOn w:val="DefaultParagraphFont"/>
    <w:link w:val="Heading1"/>
    <w:uiPriority w:val="9"/>
    <w:rsid w:val="0019056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19056F"/>
    <w:pPr>
      <w:autoSpaceDE w:val="0"/>
      <w:autoSpaceDN w:val="0"/>
      <w:adjustRightInd w:val="0"/>
      <w:ind w:left="0" w:firstLine="0"/>
    </w:pPr>
    <w:rPr>
      <w:rFonts w:ascii="Arial" w:hAnsi="Arial" w:cs="Arial"/>
      <w:color w:val="000000"/>
      <w:sz w:val="24"/>
      <w:szCs w:val="24"/>
    </w:rPr>
  </w:style>
  <w:style w:type="table" w:customStyle="1" w:styleId="TableGrid1">
    <w:name w:val="Table Grid1"/>
    <w:basedOn w:val="TableNormal"/>
    <w:next w:val="TableGrid"/>
    <w:uiPriority w:val="59"/>
    <w:rsid w:val="00190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90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ryauthor">
    <w:name w:val="entryauthor"/>
    <w:basedOn w:val="DefaultParagraphFont"/>
    <w:rsid w:val="0019056F"/>
  </w:style>
  <w:style w:type="character" w:customStyle="1" w:styleId="journalname">
    <w:name w:val="journalname"/>
    <w:basedOn w:val="DefaultParagraphFont"/>
    <w:rsid w:val="0019056F"/>
  </w:style>
  <w:style w:type="character" w:customStyle="1" w:styleId="apple-converted-space">
    <w:name w:val="apple-converted-space"/>
    <w:basedOn w:val="DefaultParagraphFont"/>
    <w:rsid w:val="0019056F"/>
  </w:style>
  <w:style w:type="character" w:customStyle="1" w:styleId="volume">
    <w:name w:val="volume"/>
    <w:basedOn w:val="DefaultParagraphFont"/>
    <w:rsid w:val="0019056F"/>
  </w:style>
  <w:style w:type="paragraph" w:styleId="NormalWeb">
    <w:name w:val="Normal (Web)"/>
    <w:basedOn w:val="Normal"/>
    <w:uiPriority w:val="99"/>
    <w:semiHidden/>
    <w:unhideWhenUsed/>
    <w:rsid w:val="0019056F"/>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ref-title">
    <w:name w:val="ref-title"/>
    <w:basedOn w:val="DefaultParagraphFont"/>
    <w:rsid w:val="0019056F"/>
  </w:style>
  <w:style w:type="character" w:customStyle="1" w:styleId="ref-journal">
    <w:name w:val="ref-journal"/>
    <w:basedOn w:val="DefaultParagraphFont"/>
    <w:rsid w:val="0019056F"/>
  </w:style>
  <w:style w:type="character" w:customStyle="1" w:styleId="ref-vol">
    <w:name w:val="ref-vol"/>
    <w:basedOn w:val="DefaultParagraphFont"/>
    <w:rsid w:val="00190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crism.ca/wp-content/uploads/2019/09/CRISM_National_IOAT_Clinical_Guideline-10Sep2019-English-FINAL.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tore.samhsa.gov/system/files/sma18-5063fulldoc_0.pdf"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store.samhsa.gov/system/files/sma18-5063fulldoc_0.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bmj.com/content/bmj/suppl/2017/04/26/bmj.j1550.DC1/sorl034883.ww3.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store.samhsa.gov/system/files/sma18-5063fulldoc_0.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4CE6F648CA43F48877223EBA552F2D"/>
        <w:category>
          <w:name w:val="General"/>
          <w:gallery w:val="placeholder"/>
        </w:category>
        <w:types>
          <w:type w:val="bbPlcHdr"/>
        </w:types>
        <w:behaviors>
          <w:behavior w:val="content"/>
        </w:behaviors>
        <w:guid w:val="{38A3BA26-3732-4CAC-AECD-EF945DE49D04}"/>
      </w:docPartPr>
      <w:docPartBody>
        <w:p w:rsidR="00052FE9" w:rsidRDefault="00081EDF" w:rsidP="00081EDF">
          <w:pPr>
            <w:pStyle w:val="164CE6F648CA43F48877223EBA552F2D"/>
          </w:pPr>
          <w:r w:rsidRPr="003B1CC5">
            <w:rPr>
              <w:rStyle w:val="PlaceholderText"/>
            </w:rPr>
            <w:t>Click here to enter NQF number</w:t>
          </w:r>
        </w:p>
      </w:docPartBody>
    </w:docPart>
    <w:docPart>
      <w:docPartPr>
        <w:name w:val="DB8075621DDA4830885C99508C3E0B0E"/>
        <w:category>
          <w:name w:val="General"/>
          <w:gallery w:val="placeholder"/>
        </w:category>
        <w:types>
          <w:type w:val="bbPlcHdr"/>
        </w:types>
        <w:behaviors>
          <w:behavior w:val="content"/>
        </w:behaviors>
        <w:guid w:val="{57D6417E-D59F-4A61-A047-40EAC2BBB88A}"/>
      </w:docPartPr>
      <w:docPartBody>
        <w:p w:rsidR="00052FE9" w:rsidRDefault="00081EDF" w:rsidP="00081EDF">
          <w:pPr>
            <w:pStyle w:val="DB8075621DDA4830885C99508C3E0B0E"/>
          </w:pPr>
          <w:r w:rsidRPr="003B1CC5">
            <w:rPr>
              <w:rStyle w:val="PlaceholderText"/>
              <w:rFonts w:cstheme="minorHAnsi"/>
              <w:color w:val="A6A6A6" w:themeColor="background1" w:themeShade="A6"/>
            </w:rPr>
            <w:t>Click here to enter measure title</w:t>
          </w:r>
        </w:p>
      </w:docPartBody>
    </w:docPart>
    <w:docPart>
      <w:docPartPr>
        <w:name w:val="4B0E6ACE4EAE4A88A291D2F69D9896B1"/>
        <w:category>
          <w:name w:val="General"/>
          <w:gallery w:val="placeholder"/>
        </w:category>
        <w:types>
          <w:type w:val="bbPlcHdr"/>
        </w:types>
        <w:behaviors>
          <w:behavior w:val="content"/>
        </w:behaviors>
        <w:guid w:val="{06F71C24-49A5-4DB0-B92B-58B48BD3CF87}"/>
      </w:docPartPr>
      <w:docPartBody>
        <w:p w:rsidR="00052FE9" w:rsidRDefault="00081EDF" w:rsidP="00081EDF">
          <w:pPr>
            <w:pStyle w:val="4B0E6ACE4EAE4A88A291D2F69D9896B1"/>
          </w:pPr>
          <w:r w:rsidRPr="003B1CC5">
            <w:rPr>
              <w:rStyle w:val="PlaceholderText"/>
              <w:rFonts w:cstheme="minorHAnsi"/>
              <w:color w:val="A6A6A6" w:themeColor="background1" w:themeShade="A6"/>
            </w:rPr>
            <w:t>Click here to enter composite measure #/ title</w:t>
          </w:r>
        </w:p>
      </w:docPartBody>
    </w:docPart>
    <w:docPart>
      <w:docPartPr>
        <w:name w:val="6FEF808E6E44497AB7701BC9FE834714"/>
        <w:category>
          <w:name w:val="General"/>
          <w:gallery w:val="placeholder"/>
        </w:category>
        <w:types>
          <w:type w:val="bbPlcHdr"/>
        </w:types>
        <w:behaviors>
          <w:behavior w:val="content"/>
        </w:behaviors>
        <w:guid w:val="{34337872-24C0-4834-B8B9-16F1FA1ED15F}"/>
      </w:docPartPr>
      <w:docPartBody>
        <w:p w:rsidR="00052FE9" w:rsidRDefault="00081EDF" w:rsidP="00081EDF">
          <w:pPr>
            <w:pStyle w:val="6FEF808E6E44497AB7701BC9FE834714"/>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ourceSansPro-Regular">
    <w:altName w:val="Calibri"/>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52FE9"/>
    <w:rsid w:val="00081EDF"/>
    <w:rsid w:val="00160241"/>
    <w:rsid w:val="001F47A0"/>
    <w:rsid w:val="002B5F47"/>
    <w:rsid w:val="003A1E4B"/>
    <w:rsid w:val="00455EB5"/>
    <w:rsid w:val="00461C1C"/>
    <w:rsid w:val="004E2027"/>
    <w:rsid w:val="005F21F3"/>
    <w:rsid w:val="006A5C5B"/>
    <w:rsid w:val="008F6A9B"/>
    <w:rsid w:val="00A77B15"/>
    <w:rsid w:val="00BD54F2"/>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1EDF"/>
    <w:rPr>
      <w:color w:val="808080"/>
    </w:rPr>
  </w:style>
  <w:style w:type="paragraph" w:customStyle="1" w:styleId="164CE6F648CA43F48877223EBA552F2D">
    <w:name w:val="164CE6F648CA43F48877223EBA552F2D"/>
    <w:rsid w:val="00081EDF"/>
    <w:pPr>
      <w:spacing w:after="160" w:line="259" w:lineRule="auto"/>
    </w:pPr>
  </w:style>
  <w:style w:type="paragraph" w:customStyle="1" w:styleId="DB8075621DDA4830885C99508C3E0B0E">
    <w:name w:val="DB8075621DDA4830885C99508C3E0B0E"/>
    <w:rsid w:val="00081EDF"/>
    <w:pPr>
      <w:spacing w:after="160" w:line="259" w:lineRule="auto"/>
    </w:pPr>
  </w:style>
  <w:style w:type="paragraph" w:customStyle="1" w:styleId="4B0E6ACE4EAE4A88A291D2F69D9896B1">
    <w:name w:val="4B0E6ACE4EAE4A88A291D2F69D9896B1"/>
    <w:rsid w:val="00081EDF"/>
    <w:pPr>
      <w:spacing w:after="160" w:line="259" w:lineRule="auto"/>
    </w:pPr>
  </w:style>
  <w:style w:type="paragraph" w:customStyle="1" w:styleId="6FEF808E6E44497AB7701BC9FE834714">
    <w:name w:val="6FEF808E6E44497AB7701BC9FE834714"/>
    <w:rsid w:val="00081ED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49BB1C5C-D26B-4E4C-8B58-D2958114846C}">
  <ds:schemaRefs>
    <ds:schemaRef ds:uri="http://schemas.openxmlformats.org/officeDocument/2006/bibliography"/>
  </ds:schemaRefs>
</ds:datastoreItem>
</file>

<file path=customXml/itemProps5.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11051</Words>
  <Characters>62996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Soeren Mattke</cp:lastModifiedBy>
  <cp:revision>2</cp:revision>
  <dcterms:created xsi:type="dcterms:W3CDTF">2021-04-14T21:19:00Z</dcterms:created>
  <dcterms:modified xsi:type="dcterms:W3CDTF">2021-04-14T21:19:00Z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