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D087F" w14:textId="624C4FF9" w:rsidR="00802637" w:rsidRDefault="009105C7" w:rsidP="009105C7">
      <w:pPr>
        <w:pStyle w:val="Heading1"/>
      </w:pPr>
      <w:bookmarkStart w:id="0" w:name="_GoBack"/>
      <w:bookmarkEnd w:id="0"/>
      <w:r>
        <w:t xml:space="preserve">NQF#3175: </w:t>
      </w:r>
      <w:r w:rsidR="00787DB4">
        <w:t>A</w:t>
      </w:r>
      <w:r>
        <w:t>ttribution analysis</w:t>
      </w:r>
    </w:p>
    <w:p w14:paraId="7B3BDD01" w14:textId="422642A3" w:rsidR="009105C7" w:rsidRDefault="003F1A40" w:rsidP="003F1A40">
      <w:pPr>
        <w:pStyle w:val="Heading2"/>
      </w:pPr>
      <w:r>
        <w:t>Technical approach</w:t>
      </w:r>
    </w:p>
    <w:p w14:paraId="429A6CB8" w14:textId="6887DD44" w:rsidR="009105C7" w:rsidRDefault="009105C7" w:rsidP="009105C7">
      <w:r>
        <w:t xml:space="preserve">The care process captured by the measure consists entirely of administration of prescription drugs (in-office or pharmacy-dispensed). This allows us to identify the treating </w:t>
      </w:r>
      <w:r w:rsidR="0080760D">
        <w:t>clinician</w:t>
      </w:r>
      <w:r>
        <w:t xml:space="preserve"> directly from the claims for these drugs, using the </w:t>
      </w:r>
      <w:r w:rsidR="003F1A40">
        <w:t>National Provider Identifier (</w:t>
      </w:r>
      <w:r>
        <w:t>NPI</w:t>
      </w:r>
      <w:r w:rsidR="003F1A40">
        <w:t>)</w:t>
      </w:r>
      <w:r>
        <w:t xml:space="preserve"> for the prescriber for pharmacy-dispensed drugs and the NPI for the </w:t>
      </w:r>
      <w:r w:rsidR="0080760D">
        <w:t>clinician</w:t>
      </w:r>
      <w:r>
        <w:t xml:space="preserve"> submitting a claim for office-administered drugs. </w:t>
      </w:r>
    </w:p>
    <w:p w14:paraId="3949A456" w14:textId="2C56591E" w:rsidR="009105C7" w:rsidRDefault="009105C7" w:rsidP="009105C7">
      <w:r>
        <w:t xml:space="preserve">We refer to this attribution approach as direct attribution to distinguish it from indirect methods, which infer the treating </w:t>
      </w:r>
      <w:r w:rsidR="0080760D">
        <w:t>clinician</w:t>
      </w:r>
      <w:r>
        <w:t xml:space="preserve"> based on a patient</w:t>
      </w:r>
      <w:r w:rsidR="004B0A44">
        <w:t>’</w:t>
      </w:r>
      <w:r>
        <w:t xml:space="preserve">s office visit patterns. </w:t>
      </w:r>
    </w:p>
    <w:p w14:paraId="11938F59" w14:textId="1A6D18B6" w:rsidR="003F1A40" w:rsidRPr="00C54A94" w:rsidRDefault="003F1A40" w:rsidP="003F1A40">
      <w:r>
        <w:t xml:space="preserve">In addition, our data support the mapping of </w:t>
      </w:r>
      <w:r w:rsidR="0080760D">
        <w:t>clinician</w:t>
      </w:r>
      <w:r>
        <w:t xml:space="preserve">s to their primary </w:t>
      </w:r>
      <w:r w:rsidR="00BC5848">
        <w:t>clinician-group/practice</w:t>
      </w:r>
      <w:r>
        <w:t xml:space="preserve">s, by mapping the NPI for each </w:t>
      </w:r>
      <w:r w:rsidR="0080760D">
        <w:t>clinician</w:t>
      </w:r>
      <w:r>
        <w:t xml:space="preserve"> in the file to the tax identification number (TIN) that characterizes the </w:t>
      </w:r>
      <w:r w:rsidR="00BC5848">
        <w:t>clinician-group/practice</w:t>
      </w:r>
      <w:r>
        <w:t xml:space="preserve"> where the </w:t>
      </w:r>
      <w:r w:rsidR="0080760D">
        <w:t>clinician</w:t>
      </w:r>
      <w:r>
        <w:t xml:space="preserve"> most frequently reports in Part B non-institutional claims. In 2017, 92.8% of </w:t>
      </w:r>
      <w:r w:rsidR="00E71CF7">
        <w:t>clinician</w:t>
      </w:r>
      <w:r>
        <w:t xml:space="preserve">s reported under "a single TIN or under a dominant TIN" </w:t>
      </w:r>
      <w:r>
        <w:rPr>
          <w:vertAlign w:val="superscript"/>
        </w:rPr>
        <w:t>1</w:t>
      </w:r>
      <w:r>
        <w:t xml:space="preserve">, so these mapped primary TINs are a good indicator of the </w:t>
      </w:r>
      <w:r w:rsidR="00BC5848">
        <w:t>clinician-group/practice</w:t>
      </w:r>
      <w:r>
        <w:t xml:space="preserve">s in which the mapped </w:t>
      </w:r>
      <w:r w:rsidR="0080760D">
        <w:t>clinician</w:t>
      </w:r>
      <w:r>
        <w:t xml:space="preserve">s are working. </w:t>
      </w:r>
    </w:p>
    <w:p w14:paraId="64EF04E6" w14:textId="6659CF90" w:rsidR="003F1A40" w:rsidRDefault="003F1A40" w:rsidP="003F1A40">
      <w:r>
        <w:t xml:space="preserve">By identifying the treating </w:t>
      </w:r>
      <w:r w:rsidR="0080760D">
        <w:t>clinician</w:t>
      </w:r>
      <w:r>
        <w:t xml:space="preserve">s based on their NPI, and then mapping these </w:t>
      </w:r>
      <w:r w:rsidR="0080760D">
        <w:t>clinician</w:t>
      </w:r>
      <w:r>
        <w:t xml:space="preserve">s to their primary TINs, we can directly attribute an episode of treatment to a specific </w:t>
      </w:r>
      <w:r w:rsidR="00BC5848">
        <w:t>clinician-group/practice</w:t>
      </w:r>
      <w:r>
        <w:t xml:space="preserve">. In addition, reporting under MIPS is based on TIN, making it a logical choice for aggregation to the practice level. We refer to this attribution approach as direct attribution to distinguish it from indirect methods, which infer the treating practice based on a patient’s office visit patterns. </w:t>
      </w:r>
    </w:p>
    <w:p w14:paraId="59325ABF" w14:textId="1E7CB22A" w:rsidR="009105C7" w:rsidRDefault="005A274A" w:rsidP="009105C7">
      <w:r>
        <w:t>The objective for the direct attribution analysis is to show descriptively that (1) most patients have a limited number of prescribers</w:t>
      </w:r>
      <w:r w:rsidR="00AF32B1">
        <w:t xml:space="preserve"> </w:t>
      </w:r>
      <w:r w:rsidR="00957B85">
        <w:t xml:space="preserve">of medication-assisted treatment (MAT) </w:t>
      </w:r>
      <w:r w:rsidR="00AF32B1">
        <w:t xml:space="preserve">for </w:t>
      </w:r>
      <w:r w:rsidR="00957B85">
        <w:t>o</w:t>
      </w:r>
      <w:r w:rsidR="00AF32B1">
        <w:t xml:space="preserve">pioid </w:t>
      </w:r>
      <w:r w:rsidR="00957B85">
        <w:t>u</w:t>
      </w:r>
      <w:r w:rsidR="00AF32B1">
        <w:t xml:space="preserve">se </w:t>
      </w:r>
      <w:r w:rsidR="00957B85">
        <w:t>d</w:t>
      </w:r>
      <w:r w:rsidR="00AF32B1">
        <w:t>isorder (OUD)</w:t>
      </w:r>
      <w:r>
        <w:t>, i.e., it is plausible to attribute based on prescribing patterns</w:t>
      </w:r>
      <w:r w:rsidR="00C7ED53" w:rsidRPr="2196A3FA">
        <w:t>;</w:t>
      </w:r>
      <w:r>
        <w:t xml:space="preserve"> and (2) the attributed </w:t>
      </w:r>
      <w:r w:rsidR="00E71CF7">
        <w:t>clinician</w:t>
      </w:r>
      <w:r>
        <w:t xml:space="preserve"> appears to </w:t>
      </w:r>
      <w:r w:rsidR="00B512B7">
        <w:t>manage a substantial p</w:t>
      </w:r>
      <w:r w:rsidR="00AF32B1">
        <w:t>ortion</w:t>
      </w:r>
      <w:r w:rsidR="00B512B7">
        <w:t xml:space="preserve"> of a patient</w:t>
      </w:r>
      <w:r w:rsidR="001B348E">
        <w:t>'</w:t>
      </w:r>
      <w:r w:rsidR="00B512B7">
        <w:t>s prescription</w:t>
      </w:r>
      <w:r w:rsidR="001B348E">
        <w:t>s</w:t>
      </w:r>
      <w:r w:rsidR="00B512B7">
        <w:t>, i.e., s/he can be regarded as being responsible for that patient</w:t>
      </w:r>
      <w:r w:rsidR="004B0A44" w:rsidRPr="2196A3FA">
        <w:t>’</w:t>
      </w:r>
      <w:r w:rsidR="00B512B7">
        <w:t xml:space="preserve">s </w:t>
      </w:r>
      <w:r w:rsidR="00AF32B1">
        <w:t xml:space="preserve">OUD </w:t>
      </w:r>
      <w:r w:rsidR="00B512B7">
        <w:t xml:space="preserve">care. </w:t>
      </w:r>
    </w:p>
    <w:p w14:paraId="7BD0339D" w14:textId="28655373" w:rsidR="004B0E01" w:rsidRDefault="004B0E01" w:rsidP="009105C7">
      <w:r>
        <w:t>The results summarized here reflect the 2015-2016 measurement period</w:t>
      </w:r>
      <w:r w:rsidR="003F1A40">
        <w:t xml:space="preserve"> at the NPI and TIN levels</w:t>
      </w:r>
      <w:r>
        <w:t xml:space="preserve">. Results for the other periods are similar. </w:t>
      </w:r>
    </w:p>
    <w:p w14:paraId="523F1B59" w14:textId="30CBA97C" w:rsidR="003F1A40" w:rsidRDefault="00E71CF7" w:rsidP="003F1A40">
      <w:pPr>
        <w:pStyle w:val="Heading1"/>
      </w:pPr>
      <w:r>
        <w:t>Clinician</w:t>
      </w:r>
      <w:r w:rsidR="003F1A40">
        <w:t xml:space="preserve"> level analysis: Attribution based on NPI</w:t>
      </w:r>
    </w:p>
    <w:p w14:paraId="7D591341" w14:textId="1031C4AE" w:rsidR="009105C7" w:rsidRDefault="009105C7" w:rsidP="009105C7">
      <w:pPr>
        <w:pStyle w:val="Heading2"/>
      </w:pPr>
      <w:r>
        <w:t xml:space="preserve">Step 1: Identify number of </w:t>
      </w:r>
      <w:r w:rsidR="00E71CF7">
        <w:t>clinician</w:t>
      </w:r>
      <w:r>
        <w:t>s per patient</w:t>
      </w:r>
    </w:p>
    <w:p w14:paraId="5D44A351" w14:textId="5997D81D" w:rsidR="009105C7" w:rsidRDefault="009105C7" w:rsidP="009105C7">
      <w:r>
        <w:t xml:space="preserve">As more than one </w:t>
      </w:r>
      <w:r w:rsidR="0050212A">
        <w:t>clinician</w:t>
      </w:r>
      <w:r>
        <w:t xml:space="preserve"> can dispense or prescribe drugs for a given patient, the robustness of our direct attribution method depends on how many </w:t>
      </w:r>
      <w:r w:rsidR="00E71CF7">
        <w:t>clinician</w:t>
      </w:r>
      <w:r>
        <w:t xml:space="preserve">s each patient in our sample has. If one and only one </w:t>
      </w:r>
      <w:r w:rsidR="00E71CF7">
        <w:t>clinician</w:t>
      </w:r>
      <w:r>
        <w:t xml:space="preserve"> is the typical case, the method works well. If patients typically have multiple </w:t>
      </w:r>
      <w:r w:rsidR="00E71CF7">
        <w:t>clinician</w:t>
      </w:r>
      <w:r>
        <w:t xml:space="preserve">s, direct attribution may be difficult. </w:t>
      </w:r>
    </w:p>
    <w:p w14:paraId="19DAE185" w14:textId="314AC427" w:rsidR="00E01D37" w:rsidRDefault="009E28EE">
      <w:pPr>
        <w:rPr>
          <w:i/>
          <w:iCs/>
          <w:color w:val="44546A" w:themeColor="text2"/>
          <w:sz w:val="18"/>
          <w:szCs w:val="18"/>
        </w:rPr>
      </w:pPr>
      <w:r>
        <w:t xml:space="preserve">The below histogram </w:t>
      </w:r>
      <w:r w:rsidR="003C66A7">
        <w:t>(</w:t>
      </w:r>
      <w:r w:rsidR="003C66A7">
        <w:fldChar w:fldCharType="begin"/>
      </w:r>
      <w:r w:rsidR="003C66A7">
        <w:instrText xml:space="preserve"> REF _Ref9940814 \h </w:instrText>
      </w:r>
      <w:r w:rsidR="003C66A7">
        <w:fldChar w:fldCharType="separate"/>
      </w:r>
      <w:r w:rsidR="003C66A7">
        <w:t xml:space="preserve">Figure </w:t>
      </w:r>
      <w:r w:rsidR="003C66A7">
        <w:rPr>
          <w:noProof/>
        </w:rPr>
        <w:t>1</w:t>
      </w:r>
      <w:r w:rsidR="003C66A7">
        <w:fldChar w:fldCharType="end"/>
      </w:r>
      <w:r w:rsidR="00C11132">
        <w:t>)</w:t>
      </w:r>
      <w:r w:rsidR="003C66A7">
        <w:t xml:space="preserve"> </w:t>
      </w:r>
      <w:r>
        <w:t xml:space="preserve">displays the number of unique </w:t>
      </w:r>
      <w:r w:rsidR="00E71CF7">
        <w:t>clinician</w:t>
      </w:r>
      <w:r>
        <w:t xml:space="preserve">s (based on NPI) per patient for the </w:t>
      </w:r>
      <w:r w:rsidR="00C11132">
        <w:t>2015-2016</w:t>
      </w:r>
      <w:r>
        <w:t xml:space="preserve"> measurement period and illustrates that </w:t>
      </w:r>
      <w:r w:rsidR="003C66A7">
        <w:t>over half</w:t>
      </w:r>
      <w:r>
        <w:t xml:space="preserve"> of patients have only one prescriber</w:t>
      </w:r>
      <w:r w:rsidR="00B512B7">
        <w:t>, implying that their attribution would be unambiguous. A</w:t>
      </w:r>
      <w:r w:rsidR="003C66A7">
        <w:t xml:space="preserve">bout another quarter </w:t>
      </w:r>
      <w:r w:rsidR="00B512B7">
        <w:t xml:space="preserve">of patients </w:t>
      </w:r>
      <w:r w:rsidR="003C66A7">
        <w:t>had two prescribers</w:t>
      </w:r>
      <w:r w:rsidR="00752D93">
        <w:t>,</w:t>
      </w:r>
      <w:r w:rsidR="00B512B7">
        <w:t xml:space="preserve"> and 11 percent had three or more</w:t>
      </w:r>
      <w:r>
        <w:t xml:space="preserve">. </w:t>
      </w:r>
      <w:r w:rsidR="00C11132">
        <w:t>Table 1 shows greater detail on the number of prescribers per patient</w:t>
      </w:r>
      <w:r w:rsidR="00B512B7">
        <w:t xml:space="preserve"> and illustrates that multiple prescribers are uncommon</w:t>
      </w:r>
      <w:r w:rsidR="00C11132">
        <w:t>. (</w:t>
      </w:r>
      <w:r w:rsidR="00C11132">
        <w:fldChar w:fldCharType="begin"/>
      </w:r>
      <w:r w:rsidR="00C11132">
        <w:instrText xml:space="preserve"> REF _Ref9941795 \h </w:instrText>
      </w:r>
      <w:r w:rsidR="00C11132">
        <w:fldChar w:fldCharType="separate"/>
      </w:r>
      <w:r w:rsidR="00C11132">
        <w:t xml:space="preserve">Table </w:t>
      </w:r>
      <w:r w:rsidR="00C11132">
        <w:rPr>
          <w:noProof/>
        </w:rPr>
        <w:t>1</w:t>
      </w:r>
      <w:r w:rsidR="00C11132">
        <w:fldChar w:fldCharType="end"/>
      </w:r>
      <w:r w:rsidR="00C11132">
        <w:t>)</w:t>
      </w:r>
      <w:r w:rsidR="00B512B7">
        <w:t xml:space="preserve"> </w:t>
      </w:r>
      <w:bookmarkStart w:id="1" w:name="_Ref9940814"/>
      <w:r w:rsidR="00E01D37">
        <w:br w:type="page"/>
      </w:r>
    </w:p>
    <w:p w14:paraId="7D0A7125" w14:textId="77777777" w:rsidR="003C66A7" w:rsidRDefault="003C66A7" w:rsidP="003C66A7">
      <w:pPr>
        <w:pStyle w:val="Caption"/>
      </w:pPr>
      <w:r>
        <w:lastRenderedPageBreak/>
        <w:t xml:space="preserve">Figure </w:t>
      </w:r>
      <w:fldSimple w:instr=" SEQ Figure \* ARABIC ">
        <w:r w:rsidR="007809F2">
          <w:rPr>
            <w:noProof/>
          </w:rPr>
          <w:t>1</w:t>
        </w:r>
      </w:fldSimple>
      <w:bookmarkEnd w:id="1"/>
      <w:r>
        <w:t xml:space="preserve">: Count of Patients by the Number of Prescribers each Patient had during the </w:t>
      </w:r>
      <w:r w:rsidR="00C11132">
        <w:t xml:space="preserve">2015-2016 </w:t>
      </w:r>
      <w:r>
        <w:t>Measurement Period</w:t>
      </w:r>
    </w:p>
    <w:p w14:paraId="14A3A3BC" w14:textId="77777777" w:rsidR="003C66A7" w:rsidRDefault="00B47B17" w:rsidP="009105C7">
      <w:r>
        <w:rPr>
          <w:noProof/>
        </w:rPr>
        <w:drawing>
          <wp:inline distT="0" distB="0" distL="0" distR="0" wp14:anchorId="5CC5D1AD" wp14:editId="0A076F3B">
            <wp:extent cx="5943600" cy="3702050"/>
            <wp:effectExtent l="0" t="0" r="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CD308C" w14:textId="77777777" w:rsidR="003C66A7" w:rsidRDefault="003C66A7" w:rsidP="00D74C6E"/>
    <w:p w14:paraId="2ECC4F1D" w14:textId="7AF163E5" w:rsidR="00C11132" w:rsidRDefault="00C11132" w:rsidP="00C11132">
      <w:pPr>
        <w:pStyle w:val="Caption"/>
      </w:pPr>
      <w:bookmarkStart w:id="2" w:name="_Ref9941795"/>
      <w:r>
        <w:t xml:space="preserve">Table </w:t>
      </w:r>
      <w:fldSimple w:instr=" SEQ Table \* ARABIC ">
        <w:r w:rsidR="004B0339">
          <w:rPr>
            <w:noProof/>
          </w:rPr>
          <w:t>1</w:t>
        </w:r>
      </w:fldSimple>
      <w:bookmarkEnd w:id="2"/>
      <w:r>
        <w:t>: Count of Patients by the Number of Prescribers each Patient had during the 2015-2016 Measurement Period</w:t>
      </w:r>
    </w:p>
    <w:tbl>
      <w:tblPr>
        <w:tblStyle w:val="GridTable4-Accent3"/>
        <w:tblW w:w="5640" w:type="dxa"/>
        <w:tblLook w:val="04A0" w:firstRow="1" w:lastRow="0" w:firstColumn="1" w:lastColumn="0" w:noHBand="0" w:noVBand="1"/>
      </w:tblPr>
      <w:tblGrid>
        <w:gridCol w:w="1230"/>
        <w:gridCol w:w="966"/>
        <w:gridCol w:w="1120"/>
        <w:gridCol w:w="1231"/>
        <w:gridCol w:w="1231"/>
      </w:tblGrid>
      <w:tr w:rsidR="003C66A7" w:rsidRPr="003C66A7" w14:paraId="5EDA8332" w14:textId="77777777" w:rsidTr="003C66A7">
        <w:trPr>
          <w:cnfStyle w:val="100000000000" w:firstRow="1" w:lastRow="0" w:firstColumn="0" w:lastColumn="0" w:oddVBand="0" w:evenVBand="0" w:oddHBand="0" w:evenHBand="0" w:firstRowFirstColumn="0" w:firstRowLastColumn="0" w:lastRowFirstColumn="0" w:lastRowLastColumn="0"/>
          <w:trHeight w:val="1080"/>
        </w:trPr>
        <w:tc>
          <w:tcPr>
            <w:cnfStyle w:val="001000000000" w:firstRow="0" w:lastRow="0" w:firstColumn="1" w:lastColumn="0" w:oddVBand="0" w:evenVBand="0" w:oddHBand="0" w:evenHBand="0" w:firstRowFirstColumn="0" w:firstRowLastColumn="0" w:lastRowFirstColumn="0" w:lastRowLastColumn="0"/>
            <w:tcW w:w="1200" w:type="dxa"/>
            <w:hideMark/>
          </w:tcPr>
          <w:p w14:paraId="6F03E6B8" w14:textId="77777777" w:rsidR="003C66A7" w:rsidRPr="003C66A7" w:rsidRDefault="003C66A7" w:rsidP="003C66A7">
            <w:pPr>
              <w:rPr>
                <w:rFonts w:ascii="Calibri" w:eastAsia="Times New Roman" w:hAnsi="Calibri" w:cs="Calibri"/>
                <w:color w:val="000000"/>
              </w:rPr>
            </w:pPr>
            <w:r w:rsidRPr="003C66A7">
              <w:rPr>
                <w:rFonts w:ascii="Calibri" w:eastAsia="Times New Roman" w:hAnsi="Calibri" w:cs="Calibri"/>
                <w:color w:val="000000"/>
              </w:rPr>
              <w:t>prescribers per patent</w:t>
            </w:r>
          </w:p>
        </w:tc>
        <w:tc>
          <w:tcPr>
            <w:tcW w:w="920" w:type="dxa"/>
            <w:hideMark/>
          </w:tcPr>
          <w:p w14:paraId="03B72339" w14:textId="77777777" w:rsidR="003C66A7" w:rsidRPr="003C66A7" w:rsidRDefault="003C66A7" w:rsidP="003C66A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count of patients</w:t>
            </w:r>
          </w:p>
        </w:tc>
        <w:tc>
          <w:tcPr>
            <w:tcW w:w="1120" w:type="dxa"/>
            <w:hideMark/>
          </w:tcPr>
          <w:p w14:paraId="23CEF748" w14:textId="77777777" w:rsidR="003C66A7" w:rsidRPr="003C66A7" w:rsidRDefault="003C66A7" w:rsidP="003C66A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percent of patients</w:t>
            </w:r>
          </w:p>
        </w:tc>
        <w:tc>
          <w:tcPr>
            <w:tcW w:w="1200" w:type="dxa"/>
            <w:hideMark/>
          </w:tcPr>
          <w:p w14:paraId="55F15A20" w14:textId="77777777" w:rsidR="003C66A7" w:rsidRPr="003C66A7" w:rsidRDefault="003C66A7" w:rsidP="003C66A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cumulative sum of patients</w:t>
            </w:r>
          </w:p>
        </w:tc>
        <w:tc>
          <w:tcPr>
            <w:tcW w:w="1200" w:type="dxa"/>
            <w:hideMark/>
          </w:tcPr>
          <w:p w14:paraId="271B56B7" w14:textId="77777777" w:rsidR="003C66A7" w:rsidRPr="003C66A7" w:rsidRDefault="003C66A7" w:rsidP="003C66A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cumulative percent of patients</w:t>
            </w:r>
          </w:p>
        </w:tc>
      </w:tr>
      <w:tr w:rsidR="003C66A7" w:rsidRPr="003C66A7" w14:paraId="63CFD996" w14:textId="77777777" w:rsidTr="003C66A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7FE7F166"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1</w:t>
            </w:r>
          </w:p>
        </w:tc>
        <w:tc>
          <w:tcPr>
            <w:tcW w:w="920" w:type="dxa"/>
            <w:noWrap/>
            <w:hideMark/>
          </w:tcPr>
          <w:p w14:paraId="0024C6E7"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37074</w:t>
            </w:r>
          </w:p>
        </w:tc>
        <w:tc>
          <w:tcPr>
            <w:tcW w:w="1120" w:type="dxa"/>
            <w:noWrap/>
            <w:hideMark/>
          </w:tcPr>
          <w:p w14:paraId="1DEF2E50"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52%</w:t>
            </w:r>
          </w:p>
        </w:tc>
        <w:tc>
          <w:tcPr>
            <w:tcW w:w="1200" w:type="dxa"/>
            <w:noWrap/>
            <w:hideMark/>
          </w:tcPr>
          <w:p w14:paraId="7BD074D9"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37074</w:t>
            </w:r>
          </w:p>
        </w:tc>
        <w:tc>
          <w:tcPr>
            <w:tcW w:w="1200" w:type="dxa"/>
            <w:noWrap/>
            <w:hideMark/>
          </w:tcPr>
          <w:p w14:paraId="071FA37E"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52%</w:t>
            </w:r>
          </w:p>
        </w:tc>
      </w:tr>
      <w:tr w:rsidR="003C66A7" w:rsidRPr="003C66A7" w14:paraId="4F4C69EB" w14:textId="77777777" w:rsidTr="003C66A7">
        <w:trPr>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37DB2DE7"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2</w:t>
            </w:r>
          </w:p>
        </w:tc>
        <w:tc>
          <w:tcPr>
            <w:tcW w:w="920" w:type="dxa"/>
            <w:noWrap/>
            <w:hideMark/>
          </w:tcPr>
          <w:p w14:paraId="6E7CCBA9"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16557</w:t>
            </w:r>
          </w:p>
        </w:tc>
        <w:tc>
          <w:tcPr>
            <w:tcW w:w="1120" w:type="dxa"/>
            <w:noWrap/>
            <w:hideMark/>
          </w:tcPr>
          <w:p w14:paraId="449DFCF1"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23%</w:t>
            </w:r>
          </w:p>
        </w:tc>
        <w:tc>
          <w:tcPr>
            <w:tcW w:w="1200" w:type="dxa"/>
            <w:noWrap/>
            <w:hideMark/>
          </w:tcPr>
          <w:p w14:paraId="7BFD8EC7"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53631</w:t>
            </w:r>
          </w:p>
        </w:tc>
        <w:tc>
          <w:tcPr>
            <w:tcW w:w="1200" w:type="dxa"/>
            <w:noWrap/>
            <w:hideMark/>
          </w:tcPr>
          <w:p w14:paraId="495B5158"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76%</w:t>
            </w:r>
          </w:p>
        </w:tc>
      </w:tr>
      <w:tr w:rsidR="003C66A7" w:rsidRPr="003C66A7" w14:paraId="066CB7E6" w14:textId="77777777" w:rsidTr="003C66A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41884B1E"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3</w:t>
            </w:r>
          </w:p>
        </w:tc>
        <w:tc>
          <w:tcPr>
            <w:tcW w:w="920" w:type="dxa"/>
            <w:noWrap/>
            <w:hideMark/>
          </w:tcPr>
          <w:p w14:paraId="24B68336"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8122</w:t>
            </w:r>
          </w:p>
        </w:tc>
        <w:tc>
          <w:tcPr>
            <w:tcW w:w="1120" w:type="dxa"/>
            <w:noWrap/>
            <w:hideMark/>
          </w:tcPr>
          <w:p w14:paraId="08D462C5"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11%</w:t>
            </w:r>
          </w:p>
        </w:tc>
        <w:tc>
          <w:tcPr>
            <w:tcW w:w="1200" w:type="dxa"/>
            <w:noWrap/>
            <w:hideMark/>
          </w:tcPr>
          <w:p w14:paraId="56DDE33A"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61753</w:t>
            </w:r>
          </w:p>
        </w:tc>
        <w:tc>
          <w:tcPr>
            <w:tcW w:w="1200" w:type="dxa"/>
            <w:noWrap/>
            <w:hideMark/>
          </w:tcPr>
          <w:p w14:paraId="196302BC"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87%</w:t>
            </w:r>
          </w:p>
        </w:tc>
      </w:tr>
      <w:tr w:rsidR="003C66A7" w:rsidRPr="003C66A7" w14:paraId="7BD2C1AC" w14:textId="77777777" w:rsidTr="003C66A7">
        <w:trPr>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13D79E9E"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4</w:t>
            </w:r>
          </w:p>
        </w:tc>
        <w:tc>
          <w:tcPr>
            <w:tcW w:w="920" w:type="dxa"/>
            <w:noWrap/>
            <w:hideMark/>
          </w:tcPr>
          <w:p w14:paraId="51ECBF61"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3945</w:t>
            </w:r>
          </w:p>
        </w:tc>
        <w:tc>
          <w:tcPr>
            <w:tcW w:w="1120" w:type="dxa"/>
            <w:noWrap/>
            <w:hideMark/>
          </w:tcPr>
          <w:p w14:paraId="0276DDFC"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6%</w:t>
            </w:r>
          </w:p>
        </w:tc>
        <w:tc>
          <w:tcPr>
            <w:tcW w:w="1200" w:type="dxa"/>
            <w:noWrap/>
            <w:hideMark/>
          </w:tcPr>
          <w:p w14:paraId="252EB5AF"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65698</w:t>
            </w:r>
          </w:p>
        </w:tc>
        <w:tc>
          <w:tcPr>
            <w:tcW w:w="1200" w:type="dxa"/>
            <w:noWrap/>
            <w:hideMark/>
          </w:tcPr>
          <w:p w14:paraId="0BFCC9B4"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93%</w:t>
            </w:r>
          </w:p>
        </w:tc>
      </w:tr>
      <w:tr w:rsidR="003C66A7" w:rsidRPr="003C66A7" w14:paraId="3CFBFEE3" w14:textId="77777777" w:rsidTr="003C66A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5F5CE808"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5</w:t>
            </w:r>
          </w:p>
        </w:tc>
        <w:tc>
          <w:tcPr>
            <w:tcW w:w="920" w:type="dxa"/>
            <w:noWrap/>
            <w:hideMark/>
          </w:tcPr>
          <w:p w14:paraId="0A3E6130"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2121</w:t>
            </w:r>
          </w:p>
        </w:tc>
        <w:tc>
          <w:tcPr>
            <w:tcW w:w="1120" w:type="dxa"/>
            <w:noWrap/>
            <w:hideMark/>
          </w:tcPr>
          <w:p w14:paraId="16231F98"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3%</w:t>
            </w:r>
          </w:p>
        </w:tc>
        <w:tc>
          <w:tcPr>
            <w:tcW w:w="1200" w:type="dxa"/>
            <w:noWrap/>
            <w:hideMark/>
          </w:tcPr>
          <w:p w14:paraId="5C7FC3B0"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67819</w:t>
            </w:r>
          </w:p>
        </w:tc>
        <w:tc>
          <w:tcPr>
            <w:tcW w:w="1200" w:type="dxa"/>
            <w:noWrap/>
            <w:hideMark/>
          </w:tcPr>
          <w:p w14:paraId="2C831CFE"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96%</w:t>
            </w:r>
          </w:p>
        </w:tc>
      </w:tr>
      <w:tr w:rsidR="003C66A7" w:rsidRPr="003C66A7" w14:paraId="00591133" w14:textId="77777777" w:rsidTr="003C66A7">
        <w:trPr>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2A6E104D"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6</w:t>
            </w:r>
          </w:p>
        </w:tc>
        <w:tc>
          <w:tcPr>
            <w:tcW w:w="920" w:type="dxa"/>
            <w:noWrap/>
            <w:hideMark/>
          </w:tcPr>
          <w:p w14:paraId="5B741889"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1222</w:t>
            </w:r>
          </w:p>
        </w:tc>
        <w:tc>
          <w:tcPr>
            <w:tcW w:w="1120" w:type="dxa"/>
            <w:noWrap/>
            <w:hideMark/>
          </w:tcPr>
          <w:p w14:paraId="0FDE3350"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2%</w:t>
            </w:r>
          </w:p>
        </w:tc>
        <w:tc>
          <w:tcPr>
            <w:tcW w:w="1200" w:type="dxa"/>
            <w:noWrap/>
            <w:hideMark/>
          </w:tcPr>
          <w:p w14:paraId="5A633AFC"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69041</w:t>
            </w:r>
          </w:p>
        </w:tc>
        <w:tc>
          <w:tcPr>
            <w:tcW w:w="1200" w:type="dxa"/>
            <w:noWrap/>
            <w:hideMark/>
          </w:tcPr>
          <w:p w14:paraId="2BDAB4DB"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97%</w:t>
            </w:r>
          </w:p>
        </w:tc>
      </w:tr>
      <w:tr w:rsidR="003C66A7" w:rsidRPr="003C66A7" w14:paraId="5F80E40C" w14:textId="77777777" w:rsidTr="003C66A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73F58A9F"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7</w:t>
            </w:r>
          </w:p>
        </w:tc>
        <w:tc>
          <w:tcPr>
            <w:tcW w:w="920" w:type="dxa"/>
            <w:noWrap/>
            <w:hideMark/>
          </w:tcPr>
          <w:p w14:paraId="2DD3DF57"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686</w:t>
            </w:r>
          </w:p>
        </w:tc>
        <w:tc>
          <w:tcPr>
            <w:tcW w:w="1120" w:type="dxa"/>
            <w:noWrap/>
            <w:hideMark/>
          </w:tcPr>
          <w:p w14:paraId="342BCBEC"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w:t>
            </w:r>
          </w:p>
        </w:tc>
        <w:tc>
          <w:tcPr>
            <w:tcW w:w="1200" w:type="dxa"/>
            <w:noWrap/>
            <w:hideMark/>
          </w:tcPr>
          <w:p w14:paraId="0F3AE2DF"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69727</w:t>
            </w:r>
          </w:p>
        </w:tc>
        <w:tc>
          <w:tcPr>
            <w:tcW w:w="1200" w:type="dxa"/>
            <w:noWrap/>
            <w:hideMark/>
          </w:tcPr>
          <w:p w14:paraId="611E3916"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98%</w:t>
            </w:r>
          </w:p>
        </w:tc>
      </w:tr>
      <w:tr w:rsidR="003C66A7" w:rsidRPr="003C66A7" w14:paraId="40D6CA0B" w14:textId="77777777" w:rsidTr="003C66A7">
        <w:trPr>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6EB97F24"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8</w:t>
            </w:r>
          </w:p>
        </w:tc>
        <w:tc>
          <w:tcPr>
            <w:tcW w:w="920" w:type="dxa"/>
            <w:noWrap/>
            <w:hideMark/>
          </w:tcPr>
          <w:p w14:paraId="5D4F7FAA"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455</w:t>
            </w:r>
          </w:p>
        </w:tc>
        <w:tc>
          <w:tcPr>
            <w:tcW w:w="1120" w:type="dxa"/>
            <w:noWrap/>
            <w:hideMark/>
          </w:tcPr>
          <w:p w14:paraId="4DE172B3"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w:t>
            </w:r>
          </w:p>
        </w:tc>
        <w:tc>
          <w:tcPr>
            <w:tcW w:w="1200" w:type="dxa"/>
            <w:noWrap/>
            <w:hideMark/>
          </w:tcPr>
          <w:p w14:paraId="5CFA23FA"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70182</w:t>
            </w:r>
          </w:p>
        </w:tc>
        <w:tc>
          <w:tcPr>
            <w:tcW w:w="1200" w:type="dxa"/>
            <w:noWrap/>
            <w:hideMark/>
          </w:tcPr>
          <w:p w14:paraId="03431DB1"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99%</w:t>
            </w:r>
          </w:p>
        </w:tc>
      </w:tr>
      <w:tr w:rsidR="003C66A7" w:rsidRPr="003C66A7" w14:paraId="5A2FD2F1" w14:textId="77777777" w:rsidTr="003C66A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0B11F16D"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9</w:t>
            </w:r>
          </w:p>
        </w:tc>
        <w:tc>
          <w:tcPr>
            <w:tcW w:w="920" w:type="dxa"/>
            <w:noWrap/>
            <w:hideMark/>
          </w:tcPr>
          <w:p w14:paraId="4A679C84"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318</w:t>
            </w:r>
          </w:p>
        </w:tc>
        <w:tc>
          <w:tcPr>
            <w:tcW w:w="1120" w:type="dxa"/>
            <w:noWrap/>
            <w:hideMark/>
          </w:tcPr>
          <w:p w14:paraId="03EC5D75"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0%</w:t>
            </w:r>
          </w:p>
        </w:tc>
        <w:tc>
          <w:tcPr>
            <w:tcW w:w="1200" w:type="dxa"/>
            <w:noWrap/>
            <w:hideMark/>
          </w:tcPr>
          <w:p w14:paraId="1DC9FB64"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70500</w:t>
            </w:r>
          </w:p>
        </w:tc>
        <w:tc>
          <w:tcPr>
            <w:tcW w:w="1200" w:type="dxa"/>
            <w:noWrap/>
            <w:hideMark/>
          </w:tcPr>
          <w:p w14:paraId="68BDF368"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99%</w:t>
            </w:r>
          </w:p>
        </w:tc>
      </w:tr>
      <w:tr w:rsidR="003C66A7" w:rsidRPr="003C66A7" w14:paraId="1368185D" w14:textId="77777777" w:rsidTr="003C66A7">
        <w:trPr>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77BC528C"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10</w:t>
            </w:r>
          </w:p>
        </w:tc>
        <w:tc>
          <w:tcPr>
            <w:tcW w:w="920" w:type="dxa"/>
            <w:noWrap/>
            <w:hideMark/>
          </w:tcPr>
          <w:p w14:paraId="0EB7AD63"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180</w:t>
            </w:r>
          </w:p>
        </w:tc>
        <w:tc>
          <w:tcPr>
            <w:tcW w:w="1120" w:type="dxa"/>
            <w:noWrap/>
            <w:hideMark/>
          </w:tcPr>
          <w:p w14:paraId="3783716D"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0%</w:t>
            </w:r>
          </w:p>
        </w:tc>
        <w:tc>
          <w:tcPr>
            <w:tcW w:w="1200" w:type="dxa"/>
            <w:noWrap/>
            <w:hideMark/>
          </w:tcPr>
          <w:p w14:paraId="48A340DB"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70680</w:t>
            </w:r>
          </w:p>
        </w:tc>
        <w:tc>
          <w:tcPr>
            <w:tcW w:w="1200" w:type="dxa"/>
            <w:noWrap/>
            <w:hideMark/>
          </w:tcPr>
          <w:p w14:paraId="39FBFEBB"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100%</w:t>
            </w:r>
          </w:p>
        </w:tc>
      </w:tr>
      <w:tr w:rsidR="003C66A7" w:rsidRPr="003C66A7" w14:paraId="080B3CF0" w14:textId="77777777" w:rsidTr="003C66A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1B7B65C1"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11</w:t>
            </w:r>
          </w:p>
        </w:tc>
        <w:tc>
          <w:tcPr>
            <w:tcW w:w="920" w:type="dxa"/>
            <w:noWrap/>
            <w:hideMark/>
          </w:tcPr>
          <w:p w14:paraId="67FB58E7"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111</w:t>
            </w:r>
          </w:p>
        </w:tc>
        <w:tc>
          <w:tcPr>
            <w:tcW w:w="1120" w:type="dxa"/>
            <w:noWrap/>
            <w:hideMark/>
          </w:tcPr>
          <w:p w14:paraId="308E942C"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0%</w:t>
            </w:r>
          </w:p>
        </w:tc>
        <w:tc>
          <w:tcPr>
            <w:tcW w:w="1200" w:type="dxa"/>
            <w:noWrap/>
            <w:hideMark/>
          </w:tcPr>
          <w:p w14:paraId="68D7384B"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70791</w:t>
            </w:r>
          </w:p>
        </w:tc>
        <w:tc>
          <w:tcPr>
            <w:tcW w:w="1200" w:type="dxa"/>
            <w:noWrap/>
            <w:hideMark/>
          </w:tcPr>
          <w:p w14:paraId="23978D0F"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100%</w:t>
            </w:r>
          </w:p>
        </w:tc>
      </w:tr>
      <w:tr w:rsidR="003C66A7" w:rsidRPr="003C66A7" w14:paraId="5A280531" w14:textId="77777777" w:rsidTr="003C66A7">
        <w:trPr>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322D776A"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12 or more</w:t>
            </w:r>
          </w:p>
        </w:tc>
        <w:tc>
          <w:tcPr>
            <w:tcW w:w="920" w:type="dxa"/>
            <w:noWrap/>
            <w:hideMark/>
          </w:tcPr>
          <w:p w14:paraId="154AE824"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156</w:t>
            </w:r>
          </w:p>
        </w:tc>
        <w:tc>
          <w:tcPr>
            <w:tcW w:w="1120" w:type="dxa"/>
            <w:noWrap/>
            <w:hideMark/>
          </w:tcPr>
          <w:p w14:paraId="75B85D41"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0%</w:t>
            </w:r>
          </w:p>
        </w:tc>
        <w:tc>
          <w:tcPr>
            <w:tcW w:w="1200" w:type="dxa"/>
            <w:noWrap/>
            <w:hideMark/>
          </w:tcPr>
          <w:p w14:paraId="3CDE7EF3"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70947</w:t>
            </w:r>
          </w:p>
        </w:tc>
        <w:tc>
          <w:tcPr>
            <w:tcW w:w="1200" w:type="dxa"/>
            <w:noWrap/>
            <w:hideMark/>
          </w:tcPr>
          <w:p w14:paraId="3EB8FF54" w14:textId="77777777" w:rsidR="003C66A7" w:rsidRPr="003C66A7" w:rsidRDefault="003C66A7" w:rsidP="003C66A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100%</w:t>
            </w:r>
          </w:p>
        </w:tc>
      </w:tr>
      <w:tr w:rsidR="003C66A7" w:rsidRPr="003C66A7" w14:paraId="3D6BFEF1" w14:textId="77777777" w:rsidTr="003C66A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00" w:type="dxa"/>
            <w:noWrap/>
            <w:hideMark/>
          </w:tcPr>
          <w:p w14:paraId="4C5C142C" w14:textId="77777777" w:rsidR="003C66A7" w:rsidRPr="003C66A7" w:rsidRDefault="003C66A7" w:rsidP="003C66A7">
            <w:pPr>
              <w:jc w:val="right"/>
              <w:rPr>
                <w:rFonts w:ascii="Calibri" w:eastAsia="Times New Roman" w:hAnsi="Calibri" w:cs="Calibri"/>
                <w:color w:val="000000"/>
              </w:rPr>
            </w:pPr>
            <w:r w:rsidRPr="003C66A7">
              <w:rPr>
                <w:rFonts w:ascii="Calibri" w:eastAsia="Times New Roman" w:hAnsi="Calibri" w:cs="Calibri"/>
                <w:color w:val="000000"/>
              </w:rPr>
              <w:t>TOTAL</w:t>
            </w:r>
          </w:p>
        </w:tc>
        <w:tc>
          <w:tcPr>
            <w:tcW w:w="920" w:type="dxa"/>
            <w:noWrap/>
            <w:hideMark/>
          </w:tcPr>
          <w:p w14:paraId="037EC0FE"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70947</w:t>
            </w:r>
          </w:p>
        </w:tc>
        <w:tc>
          <w:tcPr>
            <w:tcW w:w="1120" w:type="dxa"/>
            <w:noWrap/>
            <w:hideMark/>
          </w:tcPr>
          <w:p w14:paraId="30BE7E0E" w14:textId="77777777" w:rsidR="003C66A7" w:rsidRPr="003C66A7" w:rsidRDefault="003C66A7" w:rsidP="003C66A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p>
        </w:tc>
        <w:tc>
          <w:tcPr>
            <w:tcW w:w="1200" w:type="dxa"/>
            <w:noWrap/>
            <w:hideMark/>
          </w:tcPr>
          <w:p w14:paraId="16F6B841" w14:textId="77777777" w:rsidR="003C66A7" w:rsidRPr="003C66A7" w:rsidRDefault="003C66A7" w:rsidP="003C66A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c>
          <w:tcPr>
            <w:tcW w:w="1200" w:type="dxa"/>
            <w:noWrap/>
            <w:hideMark/>
          </w:tcPr>
          <w:p w14:paraId="12074EF0" w14:textId="77777777" w:rsidR="003C66A7" w:rsidRPr="003C66A7" w:rsidRDefault="003C66A7" w:rsidP="003C66A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bl>
    <w:p w14:paraId="73202E67" w14:textId="77777777" w:rsidR="003C66A7" w:rsidRDefault="003C66A7" w:rsidP="00D74C6E"/>
    <w:p w14:paraId="6CA92191" w14:textId="1C53CA10" w:rsidR="007B3AA8" w:rsidRDefault="00A404B2" w:rsidP="00A404B2">
      <w:pPr>
        <w:pStyle w:val="Heading2"/>
      </w:pPr>
      <w:r>
        <w:t xml:space="preserve">Step 2: </w:t>
      </w:r>
      <w:r w:rsidR="007B3AA8">
        <w:t xml:space="preserve">Attribute patients to </w:t>
      </w:r>
      <w:r w:rsidR="00E71CF7">
        <w:t>clinician</w:t>
      </w:r>
      <w:r w:rsidR="007B3AA8">
        <w:t>s</w:t>
      </w:r>
    </w:p>
    <w:p w14:paraId="34A110DE" w14:textId="55A4B7E0" w:rsidR="00A404B2" w:rsidRDefault="007B3AA8" w:rsidP="00437303">
      <w:pPr>
        <w:pStyle w:val="Heading3"/>
      </w:pPr>
      <w:r>
        <w:t xml:space="preserve">Option 1: </w:t>
      </w:r>
      <w:r w:rsidR="00A404B2">
        <w:t>Attribute based on “plurality rule”</w:t>
      </w:r>
      <w:r w:rsidR="00DD7D85">
        <w:t xml:space="preserve"> using claims</w:t>
      </w:r>
    </w:p>
    <w:p w14:paraId="2210DA69" w14:textId="7D695539" w:rsidR="00A404B2" w:rsidRDefault="00A404B2" w:rsidP="009105C7">
      <w:r>
        <w:t xml:space="preserve">The plurality rule means that a </w:t>
      </w:r>
      <w:r w:rsidR="00E71CF7">
        <w:t>clinician</w:t>
      </w:r>
      <w:r>
        <w:t xml:space="preserve"> is deemed “responsible” for the patient if her/his NPI is on the largest number of prescription drug claims for the patient during a measurement period. Ties are possible under this rule, if more than one </w:t>
      </w:r>
      <w:r w:rsidR="00E71CF7">
        <w:t>clinician</w:t>
      </w:r>
      <w:r>
        <w:t xml:space="preserve"> has the same number of claims</w:t>
      </w:r>
      <w:r w:rsidR="003231E0">
        <w:t xml:space="preserve"> for a given patient</w:t>
      </w:r>
      <w:r>
        <w:t xml:space="preserve">. </w:t>
      </w:r>
    </w:p>
    <w:p w14:paraId="7B97A5BD" w14:textId="4B4417C5" w:rsidR="00472FD2" w:rsidRDefault="00003618" w:rsidP="009105C7">
      <w:r>
        <w:t>Under this rule</w:t>
      </w:r>
      <w:r w:rsidR="007B3AA8">
        <w:t>,</w:t>
      </w:r>
      <w:r>
        <w:t xml:space="preserve"> </w:t>
      </w:r>
      <w:r w:rsidR="004B0E01">
        <w:t>96 percent</w:t>
      </w:r>
      <w:r>
        <w:t xml:space="preserve"> of patients are attributed to a single </w:t>
      </w:r>
      <w:r w:rsidR="00E71CF7">
        <w:t>clinician</w:t>
      </w:r>
      <w:r w:rsidR="004B0E01">
        <w:t xml:space="preserve"> and</w:t>
      </w:r>
      <w:r>
        <w:t xml:space="preserve"> </w:t>
      </w:r>
      <w:r w:rsidR="004B0E01">
        <w:t>around four percent</w:t>
      </w:r>
      <w:r>
        <w:t xml:space="preserve"> to two</w:t>
      </w:r>
      <w:r w:rsidR="00DD7D85">
        <w:t xml:space="preserve"> </w:t>
      </w:r>
      <w:r w:rsidR="00287AEF">
        <w:t>because</w:t>
      </w:r>
      <w:r w:rsidR="00DD7D85">
        <w:t xml:space="preserve"> of ties</w:t>
      </w:r>
      <w:r>
        <w:t>,</w:t>
      </w:r>
      <w:r w:rsidR="004B0E01">
        <w:t xml:space="preserve"> whereas</w:t>
      </w:r>
      <w:r>
        <w:t xml:space="preserve"> </w:t>
      </w:r>
      <w:r w:rsidR="004B0E01">
        <w:t xml:space="preserve">attribution to three or more </w:t>
      </w:r>
      <w:r w:rsidR="00E71CF7">
        <w:t>clinician</w:t>
      </w:r>
      <w:r w:rsidR="004B0E01">
        <w:t>s is rare</w:t>
      </w:r>
      <w:r w:rsidR="00B362D4">
        <w:t xml:space="preserve"> (</w:t>
      </w:r>
      <w:r w:rsidR="00B362D4">
        <w:fldChar w:fldCharType="begin"/>
      </w:r>
      <w:r w:rsidR="00B362D4">
        <w:instrText xml:space="preserve"> REF _Ref10011495 \h </w:instrText>
      </w:r>
      <w:r w:rsidR="00B362D4">
        <w:fldChar w:fldCharType="separate"/>
      </w:r>
      <w:r w:rsidR="00B362D4">
        <w:t xml:space="preserve">Figure </w:t>
      </w:r>
      <w:r w:rsidR="00B362D4">
        <w:rPr>
          <w:noProof/>
        </w:rPr>
        <w:t>2</w:t>
      </w:r>
      <w:r w:rsidR="00B362D4">
        <w:fldChar w:fldCharType="end"/>
      </w:r>
      <w:r w:rsidR="00B362D4">
        <w:t>)</w:t>
      </w:r>
      <w:r>
        <w:t>.</w:t>
      </w:r>
      <w:r w:rsidR="00D33B50">
        <w:t xml:space="preserve"> </w:t>
      </w:r>
    </w:p>
    <w:p w14:paraId="03BE3B53" w14:textId="77777777" w:rsidR="00B362D4" w:rsidRDefault="00B362D4" w:rsidP="009105C7"/>
    <w:p w14:paraId="33F695C7" w14:textId="0E50C0A1" w:rsidR="00B362D4" w:rsidRDefault="00B362D4" w:rsidP="00B362D4">
      <w:pPr>
        <w:pStyle w:val="Caption"/>
      </w:pPr>
      <w:bookmarkStart w:id="3" w:name="_Ref10011495"/>
      <w:r>
        <w:t xml:space="preserve">Figure </w:t>
      </w:r>
      <w:fldSimple w:instr=" SEQ Figure \* ARABIC ">
        <w:r w:rsidR="007809F2">
          <w:rPr>
            <w:noProof/>
          </w:rPr>
          <w:t>2</w:t>
        </w:r>
      </w:fldSimple>
      <w:bookmarkEnd w:id="3"/>
      <w:r>
        <w:t xml:space="preserve">: Count of Patients by the Number of Plurality </w:t>
      </w:r>
      <w:r w:rsidR="00E71CF7">
        <w:t>Clinician</w:t>
      </w:r>
      <w:r>
        <w:t>s each Patient had during the Measurement Period 2015-2016</w:t>
      </w:r>
    </w:p>
    <w:p w14:paraId="15DCB6BB" w14:textId="77777777" w:rsidR="00003618" w:rsidRDefault="00B362D4" w:rsidP="009105C7">
      <w:r>
        <w:rPr>
          <w:noProof/>
        </w:rPr>
        <w:drawing>
          <wp:inline distT="0" distB="0" distL="0" distR="0" wp14:anchorId="0F3BAAB4" wp14:editId="69DCA429">
            <wp:extent cx="5835650" cy="2927350"/>
            <wp:effectExtent l="0" t="0" r="12700" b="635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F5AE9B1" w14:textId="77777777" w:rsidR="005C6B71" w:rsidRDefault="005C6B71" w:rsidP="009105C7"/>
    <w:p w14:paraId="6DC40942" w14:textId="09420575" w:rsidR="00003618" w:rsidRDefault="00DD7D85" w:rsidP="009105C7">
      <w:r>
        <w:t xml:space="preserve">The subsequent histogram </w:t>
      </w:r>
      <w:r w:rsidR="00B362D4">
        <w:t>(</w:t>
      </w:r>
      <w:r w:rsidR="00B362D4">
        <w:fldChar w:fldCharType="begin"/>
      </w:r>
      <w:r w:rsidR="00B362D4">
        <w:instrText xml:space="preserve"> REF _Ref10011613 \h </w:instrText>
      </w:r>
      <w:r w:rsidR="00B362D4">
        <w:fldChar w:fldCharType="separate"/>
      </w:r>
      <w:r w:rsidR="00B362D4">
        <w:t xml:space="preserve">Figure </w:t>
      </w:r>
      <w:r w:rsidR="00B362D4">
        <w:rPr>
          <w:noProof/>
        </w:rPr>
        <w:t>3</w:t>
      </w:r>
      <w:r w:rsidR="00B362D4">
        <w:fldChar w:fldCharType="end"/>
      </w:r>
      <w:r w:rsidR="00B362D4">
        <w:t xml:space="preserve">) </w:t>
      </w:r>
      <w:r>
        <w:t xml:space="preserve">shows </w:t>
      </w:r>
      <w:r w:rsidR="004B0A44">
        <w:t xml:space="preserve">the distribution of </w:t>
      </w:r>
      <w:r>
        <w:t>the proportion of claims</w:t>
      </w:r>
      <w:r w:rsidR="00EF53BF">
        <w:t xml:space="preserve"> for which the service was provided by </w:t>
      </w:r>
      <w:r>
        <w:t xml:space="preserve">the assigned “plurality </w:t>
      </w:r>
      <w:r w:rsidR="0050212A">
        <w:t>clinician</w:t>
      </w:r>
      <w:r>
        <w:t xml:space="preserve">”. </w:t>
      </w:r>
      <w:r w:rsidR="00BD490D">
        <w:t xml:space="preserve">On average, the assigned </w:t>
      </w:r>
      <w:r w:rsidR="00E71CF7">
        <w:t>clinician</w:t>
      </w:r>
      <w:r w:rsidR="00BD490D">
        <w:t xml:space="preserve"> issued 82 percent of a given patient</w:t>
      </w:r>
      <w:r w:rsidR="00EC6B1A">
        <w:t>'</w:t>
      </w:r>
      <w:r w:rsidR="00BD490D">
        <w:t>s prescriptions with a median of 98 percent</w:t>
      </w:r>
      <w:r w:rsidR="00EF4F4A">
        <w:t>, a first quartile of 65 percent and a third quartile of 99 percent.</w:t>
      </w:r>
      <w:r w:rsidR="00BD490D">
        <w:t xml:space="preserve"> </w:t>
      </w:r>
    </w:p>
    <w:p w14:paraId="14A420A4" w14:textId="77777777" w:rsidR="00B362D4" w:rsidRDefault="00B362D4" w:rsidP="009105C7"/>
    <w:p w14:paraId="7784EA33" w14:textId="77777777" w:rsidR="001761E2" w:rsidRDefault="001761E2" w:rsidP="009105C7"/>
    <w:p w14:paraId="41199054" w14:textId="77777777" w:rsidR="001761E2" w:rsidRDefault="001761E2" w:rsidP="009105C7"/>
    <w:p w14:paraId="0CC2AC47" w14:textId="77777777" w:rsidR="00E01D37" w:rsidRDefault="00E01D37" w:rsidP="009105C7"/>
    <w:p w14:paraId="2357D764" w14:textId="77777777" w:rsidR="00E01D37" w:rsidRDefault="00E01D37" w:rsidP="009105C7"/>
    <w:p w14:paraId="7BEEE89F" w14:textId="009E481B" w:rsidR="00E01D37" w:rsidRDefault="00E01D37" w:rsidP="009105C7"/>
    <w:p w14:paraId="5340F119" w14:textId="77777777" w:rsidR="003F1A40" w:rsidRDefault="003F1A40" w:rsidP="009105C7"/>
    <w:p w14:paraId="37367F1A" w14:textId="3262293B" w:rsidR="00DD7D85" w:rsidRDefault="00B362D4" w:rsidP="00B362D4">
      <w:pPr>
        <w:pStyle w:val="Caption"/>
      </w:pPr>
      <w:bookmarkStart w:id="4" w:name="_Ref10011613"/>
      <w:r>
        <w:t xml:space="preserve">Figure </w:t>
      </w:r>
      <w:fldSimple w:instr=" SEQ Figure \* ARABIC ">
        <w:r w:rsidR="007809F2">
          <w:rPr>
            <w:noProof/>
          </w:rPr>
          <w:t>3</w:t>
        </w:r>
      </w:fldSimple>
      <w:bookmarkEnd w:id="4"/>
      <w:r>
        <w:t xml:space="preserve">: Proportion of Claims Issued by Plurality </w:t>
      </w:r>
      <w:r w:rsidR="00E71CF7">
        <w:t>Clinician</w:t>
      </w:r>
      <w:r w:rsidR="00EC6B1A">
        <w:t>s</w:t>
      </w:r>
      <w:r>
        <w:t>, 2015-2016 Measurement Period</w:t>
      </w:r>
    </w:p>
    <w:p w14:paraId="40B6D253" w14:textId="77777777" w:rsidR="00BD490D" w:rsidRDefault="00BD490D" w:rsidP="009105C7">
      <w:r>
        <w:rPr>
          <w:noProof/>
        </w:rPr>
        <w:drawing>
          <wp:inline distT="0" distB="0" distL="0" distR="0" wp14:anchorId="33A27605" wp14:editId="7A967973">
            <wp:extent cx="3996574" cy="2921000"/>
            <wp:effectExtent l="0" t="0" r="4445" b="0"/>
            <wp:docPr id="3" name="Picture 2" desc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mg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5717" cy="2927683"/>
                    </a:xfrm>
                    <a:prstGeom prst="rect">
                      <a:avLst/>
                    </a:prstGeom>
                    <a:noFill/>
                    <a:extLst/>
                  </pic:spPr>
                </pic:pic>
              </a:graphicData>
            </a:graphic>
          </wp:inline>
        </w:drawing>
      </w:r>
    </w:p>
    <w:p w14:paraId="40AF97BD" w14:textId="77777777" w:rsidR="00DD7D85" w:rsidRDefault="00DD7D85" w:rsidP="009105C7"/>
    <w:p w14:paraId="2A34F3D7" w14:textId="42500325" w:rsidR="00DD7D85" w:rsidRDefault="007B3AA8" w:rsidP="00787DB4">
      <w:pPr>
        <w:pStyle w:val="Heading3"/>
      </w:pPr>
      <w:r>
        <w:t>Option 2</w:t>
      </w:r>
      <w:r w:rsidR="00DD7D85">
        <w:t>: Attribute based on “plurality rule” using days covered</w:t>
      </w:r>
    </w:p>
    <w:p w14:paraId="4C7B39B3" w14:textId="77777777" w:rsidR="00DD7D85" w:rsidRDefault="00DD7D85" w:rsidP="00DD7D85">
      <w:r>
        <w:t xml:space="preserve">As the number of days covered by one prescription or dispensing event can differ, we repeat the attribution analysis based on days covered rather than prescribing events. </w:t>
      </w:r>
    </w:p>
    <w:p w14:paraId="2E616384" w14:textId="7AD49884" w:rsidR="00DD7D85" w:rsidRDefault="00DD7D85" w:rsidP="00DD7D85">
      <w:r>
        <w:t>Under this rule</w:t>
      </w:r>
      <w:r w:rsidR="007B3AA8">
        <w:t>,</w:t>
      </w:r>
      <w:r>
        <w:t xml:space="preserve"> </w:t>
      </w:r>
      <w:r w:rsidR="001761E2">
        <w:t>98 percent</w:t>
      </w:r>
      <w:r>
        <w:t xml:space="preserve"> of patients are attributed to a single </w:t>
      </w:r>
      <w:r w:rsidR="00E71CF7">
        <w:t>clinician</w:t>
      </w:r>
      <w:r>
        <w:t xml:space="preserve">, </w:t>
      </w:r>
      <w:r w:rsidR="00544886">
        <w:t>one</w:t>
      </w:r>
      <w:r w:rsidR="001761E2">
        <w:t xml:space="preserve"> percent </w:t>
      </w:r>
      <w:r>
        <w:t xml:space="preserve">to two </w:t>
      </w:r>
      <w:r w:rsidR="00287AEF">
        <w:t xml:space="preserve">because of </w:t>
      </w:r>
      <w:r>
        <w:t>ties</w:t>
      </w:r>
      <w:r w:rsidR="69A257E9">
        <w:t>,</w:t>
      </w:r>
      <w:r w:rsidR="001761E2">
        <w:t xml:space="preserve"> and less than one percent to three or more</w:t>
      </w:r>
      <w:r w:rsidR="00AA0134">
        <w:t xml:space="preserve"> (</w:t>
      </w:r>
      <w:r w:rsidR="00AA0134">
        <w:fldChar w:fldCharType="begin"/>
      </w:r>
      <w:r w:rsidR="00AA0134">
        <w:instrText xml:space="preserve"> REF _Ref10541521 \h </w:instrText>
      </w:r>
      <w:r w:rsidR="00AA0134">
        <w:fldChar w:fldCharType="separate"/>
      </w:r>
      <w:r w:rsidR="00AA0134">
        <w:t xml:space="preserve">Figure </w:t>
      </w:r>
      <w:r w:rsidR="00AA0134">
        <w:rPr>
          <w:noProof/>
        </w:rPr>
        <w:t>4</w:t>
      </w:r>
      <w:r w:rsidR="00AA0134">
        <w:fldChar w:fldCharType="end"/>
      </w:r>
      <w:r w:rsidR="00AA0134">
        <w:t>)</w:t>
      </w:r>
      <w:r w:rsidR="001761E2">
        <w:t xml:space="preserve">. </w:t>
      </w:r>
    </w:p>
    <w:p w14:paraId="69339079" w14:textId="48EC0939" w:rsidR="00AA0134" w:rsidRDefault="00AA0134" w:rsidP="00AA0134">
      <w:pPr>
        <w:pStyle w:val="Caption"/>
      </w:pPr>
      <w:bookmarkStart w:id="5" w:name="_Ref10541521"/>
      <w:r>
        <w:t xml:space="preserve">Figure </w:t>
      </w:r>
      <w:fldSimple w:instr=" SEQ Figure \* ARABIC ">
        <w:r w:rsidR="007809F2">
          <w:rPr>
            <w:noProof/>
          </w:rPr>
          <w:t>4</w:t>
        </w:r>
      </w:fldSimple>
      <w:bookmarkEnd w:id="5"/>
      <w:r>
        <w:t xml:space="preserve">: Count of Patients by the Number of Plurality </w:t>
      </w:r>
      <w:r w:rsidR="00E71CF7">
        <w:t>Clinician</w:t>
      </w:r>
      <w:r>
        <w:t>s (calculated using days covered) each Patient had during the Measurement Period 2015-2016</w:t>
      </w:r>
    </w:p>
    <w:p w14:paraId="7A3A63C5" w14:textId="77777777" w:rsidR="001761E2" w:rsidRDefault="00AA0134" w:rsidP="00DD7D85">
      <w:r>
        <w:rPr>
          <w:noProof/>
        </w:rPr>
        <w:drawing>
          <wp:inline distT="0" distB="0" distL="0" distR="0" wp14:anchorId="79BE3699" wp14:editId="50929FC5">
            <wp:extent cx="5765800" cy="2901950"/>
            <wp:effectExtent l="0" t="0" r="6350" b="127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D161735" w14:textId="585E410D" w:rsidR="00DD7D85" w:rsidRDefault="00DD7D85" w:rsidP="001761E2">
      <w:r>
        <w:t xml:space="preserve">The subsequent histogram shows </w:t>
      </w:r>
      <w:r w:rsidR="00544886">
        <w:t xml:space="preserve">the distribution of </w:t>
      </w:r>
      <w:r>
        <w:t xml:space="preserve">the proportion of days covered </w:t>
      </w:r>
      <w:r w:rsidR="00544886">
        <w:t xml:space="preserve">by </w:t>
      </w:r>
      <w:r>
        <w:t xml:space="preserve">the assigned “plurality </w:t>
      </w:r>
      <w:r w:rsidR="0050212A">
        <w:t>clinician</w:t>
      </w:r>
      <w:r w:rsidR="00544886">
        <w:t>’s</w:t>
      </w:r>
      <w:r>
        <w:t>”</w:t>
      </w:r>
      <w:r w:rsidR="00544886">
        <w:t xml:space="preserve"> prescription</w:t>
      </w:r>
      <w:r w:rsidR="00EF53BF">
        <w:t>s</w:t>
      </w:r>
      <w:r>
        <w:t xml:space="preserve">. </w:t>
      </w:r>
      <w:r w:rsidR="001761E2">
        <w:t xml:space="preserve">On average, the assigned </w:t>
      </w:r>
      <w:r w:rsidR="00E71CF7">
        <w:t>clinician</w:t>
      </w:r>
      <w:r w:rsidR="001761E2">
        <w:t xml:space="preserve"> issued 84 percent of </w:t>
      </w:r>
      <w:r w:rsidR="00544886">
        <w:t xml:space="preserve">days on which </w:t>
      </w:r>
      <w:r w:rsidR="001761E2">
        <w:t>a given patient</w:t>
      </w:r>
      <w:r w:rsidR="00544886">
        <w:t xml:space="preserve"> </w:t>
      </w:r>
      <w:r w:rsidR="00F24EAF">
        <w:t>had</w:t>
      </w:r>
      <w:r w:rsidR="00544886">
        <w:t xml:space="preserve"> a valid</w:t>
      </w:r>
      <w:r w:rsidR="001761E2">
        <w:t xml:space="preserve"> prescription</w:t>
      </w:r>
      <w:r w:rsidR="00544886">
        <w:t>,</w:t>
      </w:r>
      <w:r w:rsidR="001761E2">
        <w:t xml:space="preserve"> with a median of 99 percent</w:t>
      </w:r>
      <w:r w:rsidR="00544886">
        <w:t>, a first quartile of 69 percent and a third quartile of 99 percent</w:t>
      </w:r>
      <w:r w:rsidR="00AA0134">
        <w:t xml:space="preserve"> (</w:t>
      </w:r>
      <w:r w:rsidR="00AA0134">
        <w:fldChar w:fldCharType="begin"/>
      </w:r>
      <w:r w:rsidR="00AA0134">
        <w:instrText xml:space="preserve"> REF _Ref10541647 \h </w:instrText>
      </w:r>
      <w:r w:rsidR="00AA0134">
        <w:fldChar w:fldCharType="separate"/>
      </w:r>
      <w:r w:rsidR="00AA0134">
        <w:t xml:space="preserve">Figure </w:t>
      </w:r>
      <w:r w:rsidR="00AA0134">
        <w:rPr>
          <w:noProof/>
        </w:rPr>
        <w:t>5</w:t>
      </w:r>
      <w:r w:rsidR="00AA0134">
        <w:fldChar w:fldCharType="end"/>
      </w:r>
      <w:r w:rsidR="00AA0134">
        <w:t>)</w:t>
      </w:r>
      <w:r w:rsidR="001761E2">
        <w:t>.</w:t>
      </w:r>
    </w:p>
    <w:p w14:paraId="03854E1C" w14:textId="77777777" w:rsidR="00AA0134" w:rsidRDefault="00AA0134" w:rsidP="001761E2"/>
    <w:p w14:paraId="514AEF34" w14:textId="18165301" w:rsidR="00AA0134" w:rsidRDefault="00AA0134" w:rsidP="003F1A40">
      <w:pPr>
        <w:pStyle w:val="Caption"/>
      </w:pPr>
      <w:bookmarkStart w:id="6" w:name="_Ref10541647"/>
      <w:r>
        <w:t xml:space="preserve">Figure </w:t>
      </w:r>
      <w:fldSimple w:instr=" SEQ Figure \* ARABIC ">
        <w:r w:rsidR="007809F2">
          <w:t>5</w:t>
        </w:r>
      </w:fldSimple>
      <w:bookmarkEnd w:id="6"/>
      <w:r>
        <w:t xml:space="preserve">: </w:t>
      </w:r>
      <w:r w:rsidRPr="00AA0134">
        <w:t xml:space="preserve">Proportion of </w:t>
      </w:r>
      <w:r>
        <w:t xml:space="preserve">Prescription Days Covered </w:t>
      </w:r>
      <w:r w:rsidRPr="00AA0134">
        <w:t xml:space="preserve">by Plurality </w:t>
      </w:r>
      <w:r w:rsidR="00E71CF7">
        <w:t>Clinician</w:t>
      </w:r>
      <w:r w:rsidR="003B1D92">
        <w:t>s</w:t>
      </w:r>
      <w:r w:rsidRPr="00AA0134">
        <w:t>, 2015-2016 Measurement Period</w:t>
      </w:r>
    </w:p>
    <w:p w14:paraId="42C7703D" w14:textId="77777777" w:rsidR="00DD7D85" w:rsidRDefault="001761E2" w:rsidP="009105C7">
      <w:r w:rsidRPr="001761E2">
        <w:rPr>
          <w:noProof/>
        </w:rPr>
        <w:drawing>
          <wp:inline distT="0" distB="0" distL="0" distR="0" wp14:anchorId="173E1691" wp14:editId="43F47B5D">
            <wp:extent cx="5084429" cy="3727450"/>
            <wp:effectExtent l="0" t="0" r="254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9223" cy="3730964"/>
                    </a:xfrm>
                    <a:prstGeom prst="rect">
                      <a:avLst/>
                    </a:prstGeom>
                    <a:noFill/>
                    <a:ln>
                      <a:noFill/>
                    </a:ln>
                  </pic:spPr>
                </pic:pic>
              </a:graphicData>
            </a:graphic>
          </wp:inline>
        </w:drawing>
      </w:r>
    </w:p>
    <w:p w14:paraId="78299F89" w14:textId="77777777" w:rsidR="00287AEF" w:rsidRDefault="00287AEF" w:rsidP="009105C7"/>
    <w:p w14:paraId="22EE560E" w14:textId="10723CEC" w:rsidR="00287AEF" w:rsidRDefault="007B3AA8" w:rsidP="00437303">
      <w:pPr>
        <w:pStyle w:val="Heading3"/>
      </w:pPr>
      <w:r>
        <w:t>Option 3</w:t>
      </w:r>
      <w:r w:rsidR="00287AEF">
        <w:t>: Attribute based on “majority rule” using claims</w:t>
      </w:r>
    </w:p>
    <w:p w14:paraId="2C680A6A" w14:textId="2B7B19B7" w:rsidR="00287AEF" w:rsidRDefault="00287AEF" w:rsidP="00287AEF">
      <w:r>
        <w:t xml:space="preserve">The majority rule means that a </w:t>
      </w:r>
      <w:r w:rsidR="00E71CF7">
        <w:t>clinician</w:t>
      </w:r>
      <w:r>
        <w:t xml:space="preserve"> is deemed “responsible” for the patient, if her/his NPI is on the strict majority (&gt;50%) of prescription drug claims for the patient during a measurement period. Ties are not possible under this rule. </w:t>
      </w:r>
    </w:p>
    <w:p w14:paraId="2E64483F" w14:textId="1FC14463" w:rsidR="00287AEF" w:rsidRDefault="00287AEF" w:rsidP="00287AEF">
      <w:r>
        <w:t>Under this rule</w:t>
      </w:r>
      <w:r w:rsidR="00B362D4">
        <w:t>, 88 percent</w:t>
      </w:r>
      <w:r>
        <w:t xml:space="preserve"> of patients are attributed to a </w:t>
      </w:r>
      <w:r w:rsidR="00E71CF7">
        <w:t>clinician</w:t>
      </w:r>
      <w:r w:rsidR="00C05A8B">
        <w:t>,</w:t>
      </w:r>
      <w:r w:rsidR="00F9257C">
        <w:t xml:space="preserve"> and </w:t>
      </w:r>
      <w:r w:rsidR="00B362D4">
        <w:t>12 percent</w:t>
      </w:r>
      <w:r>
        <w:t xml:space="preserve"> </w:t>
      </w:r>
      <w:r w:rsidR="00F9257C">
        <w:t xml:space="preserve">cannot be attributed because no single </w:t>
      </w:r>
      <w:r w:rsidR="00E71CF7">
        <w:t>clinician</w:t>
      </w:r>
      <w:r w:rsidR="00F9257C">
        <w:t xml:space="preserve"> had the strict majority of claims</w:t>
      </w:r>
      <w:r w:rsidR="00B362D4">
        <w:t xml:space="preserve"> (</w:t>
      </w:r>
      <w:r w:rsidR="00B362D4">
        <w:fldChar w:fldCharType="begin"/>
      </w:r>
      <w:r w:rsidR="00B362D4">
        <w:instrText xml:space="preserve"> REF _Ref10011763 \h </w:instrText>
      </w:r>
      <w:r w:rsidR="00B362D4">
        <w:fldChar w:fldCharType="separate"/>
      </w:r>
      <w:r w:rsidR="00AA0134">
        <w:t xml:space="preserve">Figure </w:t>
      </w:r>
      <w:r w:rsidR="00AA0134">
        <w:rPr>
          <w:noProof/>
        </w:rPr>
        <w:t>6</w:t>
      </w:r>
      <w:r w:rsidR="00B362D4">
        <w:fldChar w:fldCharType="end"/>
      </w:r>
      <w:r w:rsidR="00B362D4">
        <w:t xml:space="preserve">). </w:t>
      </w:r>
    </w:p>
    <w:p w14:paraId="58345427" w14:textId="15737B91" w:rsidR="007C71D8" w:rsidRDefault="007C71D8">
      <w:r>
        <w:br w:type="page"/>
      </w:r>
    </w:p>
    <w:p w14:paraId="6A8D5001" w14:textId="54693B1E" w:rsidR="00287AEF" w:rsidRDefault="00B362D4" w:rsidP="00B362D4">
      <w:pPr>
        <w:pStyle w:val="Caption"/>
      </w:pPr>
      <w:bookmarkStart w:id="7" w:name="_Ref10011763"/>
      <w:r>
        <w:t xml:space="preserve">Figure </w:t>
      </w:r>
      <w:fldSimple w:instr=" SEQ Figure \* ARABIC ">
        <w:r w:rsidR="007809F2">
          <w:rPr>
            <w:noProof/>
          </w:rPr>
          <w:t>6</w:t>
        </w:r>
      </w:fldSimple>
      <w:bookmarkEnd w:id="7"/>
      <w:r>
        <w:t xml:space="preserve">: </w:t>
      </w:r>
      <w:r w:rsidRPr="00B362D4">
        <w:t xml:space="preserve">Count of Patients by Whether or Not they had a Majority </w:t>
      </w:r>
      <w:r w:rsidR="00E71CF7">
        <w:t>Clinician</w:t>
      </w:r>
      <w:r w:rsidRPr="00B362D4">
        <w:t xml:space="preserve"> during the Measurement Period 2015-2016</w:t>
      </w:r>
    </w:p>
    <w:p w14:paraId="4A432F86" w14:textId="77777777" w:rsidR="00B362D4" w:rsidRDefault="00B362D4" w:rsidP="00287AEF">
      <w:r>
        <w:rPr>
          <w:noProof/>
        </w:rPr>
        <w:drawing>
          <wp:inline distT="0" distB="0" distL="0" distR="0" wp14:anchorId="152D6B97" wp14:editId="5716676A">
            <wp:extent cx="3930650" cy="3152851"/>
            <wp:effectExtent l="0" t="0" r="12700" b="95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E82F682" w14:textId="77777777" w:rsidR="00B362D4" w:rsidRDefault="00B362D4" w:rsidP="00287AEF"/>
    <w:p w14:paraId="51379000" w14:textId="009A64FD" w:rsidR="00287AEF" w:rsidRDefault="00287AEF" w:rsidP="00287AEF">
      <w:r>
        <w:t>The subsequent histogram</w:t>
      </w:r>
      <w:r w:rsidR="0052595E">
        <w:t xml:space="preserve"> (</w:t>
      </w:r>
      <w:r w:rsidR="00AA0134">
        <w:fldChar w:fldCharType="begin"/>
      </w:r>
      <w:r w:rsidR="00AA0134">
        <w:instrText xml:space="preserve"> REF _Ref10541730 \h </w:instrText>
      </w:r>
      <w:r w:rsidR="00AA0134">
        <w:fldChar w:fldCharType="separate"/>
      </w:r>
      <w:r w:rsidR="00AA0134">
        <w:t xml:space="preserve">Figure </w:t>
      </w:r>
      <w:r w:rsidR="00AA0134">
        <w:rPr>
          <w:noProof/>
        </w:rPr>
        <w:t>7</w:t>
      </w:r>
      <w:r w:rsidR="00AA0134">
        <w:fldChar w:fldCharType="end"/>
      </w:r>
      <w:r w:rsidR="0052595E">
        <w:t>)</w:t>
      </w:r>
      <w:r>
        <w:t xml:space="preserve"> shows the proportion of claims </w:t>
      </w:r>
      <w:r w:rsidR="00EF53BF">
        <w:t xml:space="preserve">associated with </w:t>
      </w:r>
      <w:r>
        <w:t>the assigned “</w:t>
      </w:r>
      <w:r w:rsidR="00F9257C">
        <w:t>majority</w:t>
      </w:r>
      <w:r>
        <w:t xml:space="preserve"> </w:t>
      </w:r>
      <w:r w:rsidR="0050212A">
        <w:t>clinician</w:t>
      </w:r>
      <w:r>
        <w:t xml:space="preserve">”. </w:t>
      </w:r>
      <w:r w:rsidR="0052595E">
        <w:t xml:space="preserve">On average, the assigned </w:t>
      </w:r>
      <w:r w:rsidR="00E71CF7">
        <w:t>clinician</w:t>
      </w:r>
      <w:r w:rsidR="0052595E">
        <w:t xml:space="preserve"> issued 90 percent of a given patient</w:t>
      </w:r>
      <w:r w:rsidR="00EF53BF">
        <w:t>’</w:t>
      </w:r>
      <w:r w:rsidR="0052595E">
        <w:t>s prescriptions</w:t>
      </w:r>
      <w:r w:rsidR="00EF53BF">
        <w:t>,</w:t>
      </w:r>
      <w:r w:rsidR="0052595E">
        <w:t xml:space="preserve"> with a median of 99 percent</w:t>
      </w:r>
      <w:r w:rsidR="00EF53BF">
        <w:t>, a first quartile of 81 percent and a third quartile of 99 percent</w:t>
      </w:r>
      <w:r w:rsidR="0052595E">
        <w:t xml:space="preserve">. </w:t>
      </w:r>
    </w:p>
    <w:p w14:paraId="5B9C215F" w14:textId="77777777" w:rsidR="0052595E" w:rsidRDefault="0052595E" w:rsidP="00287AEF"/>
    <w:p w14:paraId="0FB91D65" w14:textId="77777777" w:rsidR="0052595E" w:rsidRDefault="0052595E" w:rsidP="00287AEF"/>
    <w:p w14:paraId="4BA96409" w14:textId="77777777" w:rsidR="0052595E" w:rsidRDefault="0052595E" w:rsidP="00287AEF"/>
    <w:p w14:paraId="3C6F9DE3" w14:textId="77777777" w:rsidR="0052595E" w:rsidRDefault="0052595E">
      <w:pPr>
        <w:rPr>
          <w:i/>
          <w:iCs/>
          <w:color w:val="44546A" w:themeColor="text2"/>
          <w:sz w:val="18"/>
          <w:szCs w:val="18"/>
        </w:rPr>
      </w:pPr>
      <w:bookmarkStart w:id="8" w:name="_Ref10011951"/>
    </w:p>
    <w:p w14:paraId="2108E788" w14:textId="77777777" w:rsidR="00E01D37" w:rsidRDefault="00E01D37">
      <w:pPr>
        <w:rPr>
          <w:i/>
          <w:iCs/>
          <w:color w:val="44546A" w:themeColor="text2"/>
          <w:sz w:val="18"/>
          <w:szCs w:val="18"/>
        </w:rPr>
      </w:pPr>
      <w:bookmarkStart w:id="9" w:name="_Ref10541730"/>
      <w:r>
        <w:br w:type="page"/>
      </w:r>
    </w:p>
    <w:p w14:paraId="6DA70C9E" w14:textId="3E210086" w:rsidR="0052595E" w:rsidRDefault="0052595E" w:rsidP="0052595E">
      <w:pPr>
        <w:pStyle w:val="Caption"/>
      </w:pPr>
      <w:r>
        <w:t xml:space="preserve">Figure </w:t>
      </w:r>
      <w:fldSimple w:instr=" SEQ Figure \* ARABIC ">
        <w:r w:rsidR="007809F2">
          <w:rPr>
            <w:noProof/>
          </w:rPr>
          <w:t>7</w:t>
        </w:r>
      </w:fldSimple>
      <w:bookmarkEnd w:id="8"/>
      <w:bookmarkEnd w:id="9"/>
      <w:r>
        <w:t xml:space="preserve">: Proportion of Claims Issued by Majority </w:t>
      </w:r>
      <w:r w:rsidR="00E71CF7">
        <w:t>Clinician</w:t>
      </w:r>
      <w:r w:rsidR="005F6A95">
        <w:t>s</w:t>
      </w:r>
      <w:r>
        <w:t>, 2015-2016 Measurement Period</w:t>
      </w:r>
    </w:p>
    <w:p w14:paraId="3C9BFCCA" w14:textId="77777777" w:rsidR="00287AEF" w:rsidRDefault="0052595E" w:rsidP="009105C7">
      <w:r>
        <w:rPr>
          <w:noProof/>
        </w:rPr>
        <w:drawing>
          <wp:inline distT="0" distB="0" distL="0" distR="0" wp14:anchorId="341A6986" wp14:editId="744F1371">
            <wp:extent cx="4737463" cy="3454400"/>
            <wp:effectExtent l="0" t="0" r="6350" b="0"/>
            <wp:docPr id="2" name="Picture 1" desc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img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5004" cy="3459898"/>
                    </a:xfrm>
                    <a:prstGeom prst="rect">
                      <a:avLst/>
                    </a:prstGeom>
                    <a:noFill/>
                    <a:extLst/>
                  </pic:spPr>
                </pic:pic>
              </a:graphicData>
            </a:graphic>
          </wp:inline>
        </w:drawing>
      </w:r>
    </w:p>
    <w:p w14:paraId="473DA0BB" w14:textId="77777777" w:rsidR="0052595E" w:rsidRDefault="0052595E" w:rsidP="00F9257C"/>
    <w:p w14:paraId="66653F53" w14:textId="2EEEEC96" w:rsidR="00D74C6E" w:rsidRDefault="007B3AA8" w:rsidP="00437303">
      <w:pPr>
        <w:pStyle w:val="Heading3"/>
      </w:pPr>
      <w:r>
        <w:t>Option 4</w:t>
      </w:r>
      <w:r w:rsidR="00D74C6E">
        <w:t>: Attribute based on “majority rule” using days covered</w:t>
      </w:r>
    </w:p>
    <w:p w14:paraId="553B3F93" w14:textId="77777777" w:rsidR="00D74C6E" w:rsidRDefault="00D74C6E" w:rsidP="00D74C6E">
      <w:r>
        <w:t>As the number of days covered by one prescription or dispensing event can differ, we repeat</w:t>
      </w:r>
      <w:r w:rsidR="007809F2">
        <w:t>ed</w:t>
      </w:r>
      <w:r>
        <w:t xml:space="preserve"> the attribution analysis based on days covered rather than prescribing events. </w:t>
      </w:r>
    </w:p>
    <w:p w14:paraId="5D02BDDF" w14:textId="7B54C3FB" w:rsidR="00D74C6E" w:rsidRDefault="00D74C6E" w:rsidP="00D74C6E">
      <w:r>
        <w:t>Under this rule</w:t>
      </w:r>
      <w:r w:rsidR="00C05A8B">
        <w:t>,</w:t>
      </w:r>
      <w:r>
        <w:t xml:space="preserve"> </w:t>
      </w:r>
      <w:r w:rsidR="001761E2">
        <w:t>91 percent</w:t>
      </w:r>
      <w:r>
        <w:t xml:space="preserve"> of patients are attributed to a </w:t>
      </w:r>
      <w:r w:rsidR="00E71CF7">
        <w:t>clinician</w:t>
      </w:r>
      <w:r w:rsidR="00C05A8B">
        <w:t>,</w:t>
      </w:r>
      <w:r>
        <w:t xml:space="preserve"> and </w:t>
      </w:r>
      <w:r w:rsidR="001761E2">
        <w:t>nine percent</w:t>
      </w:r>
      <w:r>
        <w:t xml:space="preserve"> cannot be attributed because no single </w:t>
      </w:r>
      <w:r w:rsidR="00E71CF7">
        <w:t>clinician</w:t>
      </w:r>
      <w:r>
        <w:t xml:space="preserve"> had the strict majori</w:t>
      </w:r>
      <w:r w:rsidR="001761E2">
        <w:t>ty of claims</w:t>
      </w:r>
      <w:r w:rsidR="007809F2">
        <w:t xml:space="preserve"> (</w:t>
      </w:r>
      <w:r w:rsidR="007809F2">
        <w:fldChar w:fldCharType="begin"/>
      </w:r>
      <w:r w:rsidR="007809F2">
        <w:instrText xml:space="preserve"> REF _Ref10546152 \h </w:instrText>
      </w:r>
      <w:r w:rsidR="007809F2">
        <w:fldChar w:fldCharType="separate"/>
      </w:r>
      <w:r w:rsidR="007809F2">
        <w:t xml:space="preserve">Figure </w:t>
      </w:r>
      <w:r w:rsidR="007809F2">
        <w:rPr>
          <w:noProof/>
        </w:rPr>
        <w:t>8</w:t>
      </w:r>
      <w:r w:rsidR="007809F2">
        <w:fldChar w:fldCharType="end"/>
      </w:r>
      <w:r w:rsidR="007809F2">
        <w:t>)</w:t>
      </w:r>
      <w:r w:rsidR="001761E2">
        <w:t xml:space="preserve">. </w:t>
      </w:r>
    </w:p>
    <w:p w14:paraId="4D3AFB30" w14:textId="7813C4D5" w:rsidR="007C71D8" w:rsidRDefault="007C71D8">
      <w:r>
        <w:br w:type="page"/>
      </w:r>
    </w:p>
    <w:p w14:paraId="6AC33ED8" w14:textId="7DEF5FB4" w:rsidR="007809F2" w:rsidRDefault="007809F2" w:rsidP="007809F2">
      <w:pPr>
        <w:pStyle w:val="Caption"/>
      </w:pPr>
      <w:bookmarkStart w:id="10" w:name="_Ref10546152"/>
      <w:r>
        <w:t xml:space="preserve">Figure </w:t>
      </w:r>
      <w:fldSimple w:instr=" SEQ Figure \* ARABIC ">
        <w:r>
          <w:rPr>
            <w:noProof/>
          </w:rPr>
          <w:t>8</w:t>
        </w:r>
      </w:fldSimple>
      <w:bookmarkEnd w:id="10"/>
      <w:r>
        <w:t xml:space="preserve">: Count of Patients by Whether or Not they had a Majority </w:t>
      </w:r>
      <w:r w:rsidR="00E71CF7">
        <w:t>Clinician</w:t>
      </w:r>
      <w:r>
        <w:t xml:space="preserve"> (calculated using days covered) during the Measurement Period 2015-2016</w:t>
      </w:r>
    </w:p>
    <w:p w14:paraId="5F4EDF93" w14:textId="77777777" w:rsidR="00D74C6E" w:rsidRDefault="007809F2" w:rsidP="00D74C6E">
      <w:r>
        <w:rPr>
          <w:noProof/>
        </w:rPr>
        <w:drawing>
          <wp:inline distT="0" distB="0" distL="0" distR="0" wp14:anchorId="18A9C71F" wp14:editId="5A54B90D">
            <wp:extent cx="5281613" cy="4302125"/>
            <wp:effectExtent l="0" t="0" r="14605" b="317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FE3F4F3" w14:textId="77777777" w:rsidR="007809F2" w:rsidRDefault="007809F2" w:rsidP="001761E2"/>
    <w:p w14:paraId="1738F35C" w14:textId="60B9BBBA" w:rsidR="00D74C6E" w:rsidRDefault="00D74C6E" w:rsidP="001761E2">
      <w:r>
        <w:t xml:space="preserve">The subsequent histogram shows the proportion of days covered </w:t>
      </w:r>
      <w:r w:rsidR="00EF53BF">
        <w:t xml:space="preserve">by </w:t>
      </w:r>
      <w:r>
        <w:t xml:space="preserve">the assigned “majority </w:t>
      </w:r>
      <w:r w:rsidR="0050212A">
        <w:t>clinician</w:t>
      </w:r>
      <w:r w:rsidR="00EF53BF">
        <w:t>’</w:t>
      </w:r>
      <w:r>
        <w:t xml:space="preserve">s” </w:t>
      </w:r>
      <w:r w:rsidR="00EF53BF">
        <w:t>prescription</w:t>
      </w:r>
      <w:r>
        <w:t xml:space="preserve">. </w:t>
      </w:r>
      <w:r w:rsidR="001761E2" w:rsidRPr="001761E2">
        <w:t xml:space="preserve">On average, the assigned </w:t>
      </w:r>
      <w:r w:rsidR="00E71CF7">
        <w:t>clinician</w:t>
      </w:r>
      <w:r w:rsidR="001761E2" w:rsidRPr="001761E2">
        <w:t xml:space="preserve"> issued </w:t>
      </w:r>
      <w:r w:rsidR="001761E2">
        <w:t>89</w:t>
      </w:r>
      <w:r w:rsidR="001761E2" w:rsidRPr="001761E2">
        <w:t xml:space="preserve"> percent of </w:t>
      </w:r>
      <w:r w:rsidR="00EF53BF">
        <w:t xml:space="preserve">days in which </w:t>
      </w:r>
      <w:r w:rsidR="001761E2" w:rsidRPr="001761E2">
        <w:t xml:space="preserve">a given </w:t>
      </w:r>
      <w:r w:rsidR="00EF53BF" w:rsidRPr="001761E2">
        <w:t>patient</w:t>
      </w:r>
      <w:r w:rsidR="00EF53BF">
        <w:t xml:space="preserve"> has a valid</w:t>
      </w:r>
      <w:r w:rsidR="00EF53BF" w:rsidRPr="001761E2">
        <w:t xml:space="preserve"> </w:t>
      </w:r>
      <w:r w:rsidR="001761E2" w:rsidRPr="001761E2">
        <w:t>prescription</w:t>
      </w:r>
      <w:r w:rsidR="00EF53BF">
        <w:t>,</w:t>
      </w:r>
      <w:r w:rsidR="001761E2" w:rsidRPr="001761E2">
        <w:t xml:space="preserve"> with a median of 99 percent</w:t>
      </w:r>
      <w:r w:rsidR="00EF53BF">
        <w:t>, a first quartile of 81 percent and a third quartile of 99 percent</w:t>
      </w:r>
      <w:r w:rsidR="007809F2">
        <w:t xml:space="preserve"> (</w:t>
      </w:r>
      <w:r w:rsidR="007809F2">
        <w:fldChar w:fldCharType="begin"/>
      </w:r>
      <w:r w:rsidR="007809F2">
        <w:instrText xml:space="preserve"> REF _Ref10546212 \h </w:instrText>
      </w:r>
      <w:r w:rsidR="007809F2">
        <w:fldChar w:fldCharType="separate"/>
      </w:r>
      <w:r w:rsidR="007809F2">
        <w:t xml:space="preserve">Figure </w:t>
      </w:r>
      <w:r w:rsidR="007809F2">
        <w:rPr>
          <w:noProof/>
        </w:rPr>
        <w:t>9</w:t>
      </w:r>
      <w:r w:rsidR="007809F2">
        <w:fldChar w:fldCharType="end"/>
      </w:r>
      <w:r w:rsidR="007809F2">
        <w:t>)</w:t>
      </w:r>
      <w:r w:rsidR="001761E2" w:rsidRPr="001761E2">
        <w:t>.</w:t>
      </w:r>
    </w:p>
    <w:p w14:paraId="7EDCC53E" w14:textId="77777777" w:rsidR="00E01D37" w:rsidRDefault="00E01D37">
      <w:r>
        <w:br w:type="page"/>
      </w:r>
    </w:p>
    <w:p w14:paraId="7687DDE5" w14:textId="1AB0B0C6" w:rsidR="00D74C6E" w:rsidRDefault="007809F2" w:rsidP="007809F2">
      <w:pPr>
        <w:pStyle w:val="Caption"/>
      </w:pPr>
      <w:bookmarkStart w:id="11" w:name="_Ref10546212"/>
      <w:r>
        <w:t xml:space="preserve">Figure </w:t>
      </w:r>
      <w:fldSimple w:instr=" SEQ Figure \* ARABIC ">
        <w:r>
          <w:rPr>
            <w:noProof/>
          </w:rPr>
          <w:t>9</w:t>
        </w:r>
      </w:fldSimple>
      <w:bookmarkEnd w:id="11"/>
      <w:r>
        <w:t xml:space="preserve">: </w:t>
      </w:r>
      <w:r w:rsidRPr="00AA0134">
        <w:t xml:space="preserve">Proportion of </w:t>
      </w:r>
      <w:r>
        <w:t xml:space="preserve">Prescription Days Covered </w:t>
      </w:r>
      <w:r w:rsidRPr="00AA0134">
        <w:t xml:space="preserve">by </w:t>
      </w:r>
      <w:r>
        <w:t>Majority</w:t>
      </w:r>
      <w:r w:rsidRPr="00AA0134">
        <w:t xml:space="preserve"> </w:t>
      </w:r>
      <w:r w:rsidR="00E71CF7">
        <w:t>Clinician</w:t>
      </w:r>
      <w:r w:rsidR="00C72EC0">
        <w:t>s</w:t>
      </w:r>
      <w:r w:rsidRPr="00AA0134">
        <w:t>, 2015-2016 Measurement Period</w:t>
      </w:r>
    </w:p>
    <w:p w14:paraId="55589C7E" w14:textId="77777777" w:rsidR="0011277E" w:rsidRDefault="007809F2" w:rsidP="009105C7">
      <w:r>
        <w:rPr>
          <w:noProof/>
        </w:rPr>
        <w:drawing>
          <wp:inline distT="0" distB="0" distL="0" distR="0" wp14:anchorId="324E14DE" wp14:editId="30B96FE9">
            <wp:extent cx="4730750" cy="3073205"/>
            <wp:effectExtent l="0" t="0" r="0" b="0"/>
            <wp:docPr id="12" name="Picture 2" descr="img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mg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6819" cy="3077148"/>
                    </a:xfrm>
                    <a:prstGeom prst="rect">
                      <a:avLst/>
                    </a:prstGeom>
                    <a:noFill/>
                    <a:extLst/>
                  </pic:spPr>
                </pic:pic>
              </a:graphicData>
            </a:graphic>
          </wp:inline>
        </w:drawing>
      </w:r>
    </w:p>
    <w:p w14:paraId="437862D1" w14:textId="77777777" w:rsidR="00E01D37" w:rsidRDefault="00E01D37" w:rsidP="0011277E">
      <w:pPr>
        <w:pStyle w:val="Heading2"/>
      </w:pPr>
      <w:r>
        <w:t>Concordance analysis</w:t>
      </w:r>
    </w:p>
    <w:p w14:paraId="40C8AA95" w14:textId="7EDCC58E" w:rsidR="004B0339" w:rsidRDefault="004B0339" w:rsidP="00E01D37">
      <w:r>
        <w:fldChar w:fldCharType="begin"/>
      </w:r>
      <w:r>
        <w:instrText xml:space="preserve"> REF _Ref10642193 \h </w:instrText>
      </w:r>
      <w:r>
        <w:fldChar w:fldCharType="separate"/>
      </w:r>
      <w:r>
        <w:t xml:space="preserve">Table </w:t>
      </w:r>
      <w:r>
        <w:rPr>
          <w:noProof/>
        </w:rPr>
        <w:t>2</w:t>
      </w:r>
      <w:r>
        <w:fldChar w:fldCharType="end"/>
      </w:r>
      <w:r>
        <w:t xml:space="preserve"> displays the degree of agreement between</w:t>
      </w:r>
      <w:r w:rsidR="002F6D9D">
        <w:t xml:space="preserve"> each pairing of</w:t>
      </w:r>
      <w:r>
        <w:t xml:space="preserve"> the four potential attribution rules</w:t>
      </w:r>
      <w:r w:rsidR="00F76A19">
        <w:t>.</w:t>
      </w:r>
      <w:r>
        <w:t xml:space="preserve"> </w:t>
      </w:r>
      <w:r w:rsidR="00F76A19">
        <w:t xml:space="preserve">Each of the six values in the table represents the </w:t>
      </w:r>
      <w:r>
        <w:t xml:space="preserve">proportion of cases </w:t>
      </w:r>
      <w:r w:rsidR="00256548">
        <w:t xml:space="preserve">in which </w:t>
      </w:r>
      <w:r>
        <w:t xml:space="preserve">a patient would be assigned to the same </w:t>
      </w:r>
      <w:r w:rsidR="00E71CF7">
        <w:t>clinician</w:t>
      </w:r>
      <w:r>
        <w:t xml:space="preserve"> under </w:t>
      </w:r>
      <w:r w:rsidR="00F76A19">
        <w:t>both of</w:t>
      </w:r>
      <w:r>
        <w:t xml:space="preserve"> two </w:t>
      </w:r>
      <w:r w:rsidR="00F76A19">
        <w:t xml:space="preserve">attribution </w:t>
      </w:r>
      <w:r>
        <w:t>rules. The results show that the different rules typically yield the same assignment. For example, 88 percent of</w:t>
      </w:r>
      <w:r w:rsidR="00474DF9">
        <w:t xml:space="preserve"> all</w:t>
      </w:r>
      <w:r>
        <w:t xml:space="preserve"> patients would be attributed to the same </w:t>
      </w:r>
      <w:r w:rsidR="00E71CF7">
        <w:t>clinician</w:t>
      </w:r>
      <w:r>
        <w:t xml:space="preserve">s under </w:t>
      </w:r>
      <w:r w:rsidR="00474DF9">
        <w:t xml:space="preserve">either </w:t>
      </w:r>
      <w:r>
        <w:t xml:space="preserve">the plurality rule using days covered </w:t>
      </w:r>
      <w:r w:rsidR="00F76A19">
        <w:t>or</w:t>
      </w:r>
      <w:r w:rsidR="008A206D">
        <w:t xml:space="preserve"> </w:t>
      </w:r>
      <w:r>
        <w:t xml:space="preserve">under the majority rule using number of claims. </w:t>
      </w:r>
      <w:r w:rsidR="00474DF9">
        <w:t>The results also show that the attribution rule with the highest agreement with the other three rules was p</w:t>
      </w:r>
      <w:r>
        <w:t xml:space="preserve">lurality </w:t>
      </w:r>
      <w:r w:rsidR="00474DF9">
        <w:t xml:space="preserve">by </w:t>
      </w:r>
      <w:r>
        <w:t>days covered</w:t>
      </w:r>
      <w:r w:rsidR="00474DF9">
        <w:t>.</w:t>
      </w:r>
    </w:p>
    <w:p w14:paraId="6841BC9C" w14:textId="77777777" w:rsidR="004B0339" w:rsidRDefault="004B0339" w:rsidP="00E01D37"/>
    <w:p w14:paraId="6552C05A" w14:textId="0FF9592A" w:rsidR="004B0339" w:rsidRDefault="004B0339" w:rsidP="004B0339">
      <w:pPr>
        <w:pStyle w:val="Caption"/>
      </w:pPr>
      <w:bookmarkStart w:id="12" w:name="_Ref10642193"/>
      <w:r>
        <w:t xml:space="preserve">Table </w:t>
      </w:r>
      <w:fldSimple w:instr=" SEQ Table \* ARABIC ">
        <w:r>
          <w:rPr>
            <w:noProof/>
          </w:rPr>
          <w:t>2</w:t>
        </w:r>
      </w:fldSimple>
      <w:bookmarkEnd w:id="12"/>
      <w:r>
        <w:t>: Proportion of Agreement under Different Attribution Rules</w:t>
      </w:r>
    </w:p>
    <w:tbl>
      <w:tblPr>
        <w:tblStyle w:val="PlainTable3"/>
        <w:tblW w:w="7619" w:type="dxa"/>
        <w:tblLook w:val="04A0" w:firstRow="1" w:lastRow="0" w:firstColumn="1" w:lastColumn="0" w:noHBand="0" w:noVBand="1"/>
      </w:tblPr>
      <w:tblGrid>
        <w:gridCol w:w="2035"/>
        <w:gridCol w:w="1854"/>
        <w:gridCol w:w="1899"/>
        <w:gridCol w:w="1831"/>
      </w:tblGrid>
      <w:tr w:rsidR="004B0339" w:rsidRPr="004B0339" w14:paraId="7D20B6B7" w14:textId="77777777" w:rsidTr="00F10251">
        <w:trPr>
          <w:cnfStyle w:val="100000000000" w:firstRow="1" w:lastRow="0" w:firstColumn="0" w:lastColumn="0" w:oddVBand="0" w:evenVBand="0" w:oddHBand="0" w:evenHBand="0" w:firstRowFirstColumn="0" w:firstRowLastColumn="0" w:lastRowFirstColumn="0" w:lastRowLastColumn="0"/>
          <w:trHeight w:val="679"/>
        </w:trPr>
        <w:tc>
          <w:tcPr>
            <w:cnfStyle w:val="001000000100" w:firstRow="0" w:lastRow="0" w:firstColumn="1" w:lastColumn="0" w:oddVBand="0" w:evenVBand="0" w:oddHBand="0" w:evenHBand="0" w:firstRowFirstColumn="1" w:firstRowLastColumn="0" w:lastRowFirstColumn="0" w:lastRowLastColumn="0"/>
            <w:tcW w:w="2035" w:type="dxa"/>
            <w:hideMark/>
          </w:tcPr>
          <w:p w14:paraId="1B1350AA" w14:textId="77777777" w:rsidR="004B0339" w:rsidRPr="004B0339" w:rsidRDefault="004B0339" w:rsidP="004B0339">
            <w:pPr>
              <w:rPr>
                <w:rFonts w:ascii="Times New Roman" w:eastAsia="Times New Roman" w:hAnsi="Times New Roman" w:cs="Times New Roman"/>
                <w:sz w:val="24"/>
                <w:szCs w:val="24"/>
              </w:rPr>
            </w:pPr>
          </w:p>
        </w:tc>
        <w:tc>
          <w:tcPr>
            <w:tcW w:w="1854" w:type="dxa"/>
            <w:hideMark/>
          </w:tcPr>
          <w:p w14:paraId="4F0A4F84" w14:textId="77777777" w:rsidR="004B0339" w:rsidRPr="004B0339" w:rsidRDefault="004B0339" w:rsidP="004B033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Plurality by days covered</w:t>
            </w:r>
          </w:p>
        </w:tc>
        <w:tc>
          <w:tcPr>
            <w:tcW w:w="1899" w:type="dxa"/>
            <w:hideMark/>
          </w:tcPr>
          <w:p w14:paraId="599958E9" w14:textId="77777777" w:rsidR="004B0339" w:rsidRPr="004B0339" w:rsidRDefault="004B0339" w:rsidP="004B033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Plurality by claims</w:t>
            </w:r>
          </w:p>
        </w:tc>
        <w:tc>
          <w:tcPr>
            <w:tcW w:w="1831" w:type="dxa"/>
            <w:hideMark/>
          </w:tcPr>
          <w:p w14:paraId="6AF4DA4D" w14:textId="77777777" w:rsidR="004B0339" w:rsidRPr="004B0339" w:rsidRDefault="004B0339" w:rsidP="004B033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Majority by days covered</w:t>
            </w:r>
          </w:p>
        </w:tc>
      </w:tr>
      <w:tr w:rsidR="004B0339" w:rsidRPr="004B0339" w14:paraId="79CB818D" w14:textId="77777777" w:rsidTr="00F10251">
        <w:trPr>
          <w:cnfStyle w:val="000000100000" w:firstRow="0" w:lastRow="0" w:firstColumn="0" w:lastColumn="0" w:oddVBand="0" w:evenVBand="0" w:oddHBand="1" w:evenHBand="0" w:firstRowFirstColumn="0" w:firstRowLastColumn="0" w:lastRowFirstColumn="0" w:lastRowLastColumn="0"/>
          <w:trHeight w:val="810"/>
        </w:trPr>
        <w:tc>
          <w:tcPr>
            <w:cnfStyle w:val="001000000000" w:firstRow="0" w:lastRow="0" w:firstColumn="1" w:lastColumn="0" w:oddVBand="0" w:evenVBand="0" w:oddHBand="0" w:evenHBand="0" w:firstRowFirstColumn="0" w:firstRowLastColumn="0" w:lastRowFirstColumn="0" w:lastRowLastColumn="0"/>
            <w:tcW w:w="2035" w:type="dxa"/>
            <w:hideMark/>
          </w:tcPr>
          <w:p w14:paraId="21013F9F" w14:textId="77777777" w:rsidR="004B0339" w:rsidRPr="00F10251" w:rsidRDefault="004B0339" w:rsidP="004B0339">
            <w:pPr>
              <w:jc w:val="center"/>
              <w:rPr>
                <w:rFonts w:ascii="Calibri" w:eastAsia="Times New Roman" w:hAnsi="Calibri" w:cs="Calibri"/>
                <w:sz w:val="20"/>
              </w:rPr>
            </w:pPr>
            <w:r w:rsidRPr="00F10251">
              <w:rPr>
                <w:rFonts w:ascii="Calibri" w:eastAsia="Times New Roman" w:hAnsi="Calibri" w:cs="Calibri"/>
                <w:sz w:val="20"/>
              </w:rPr>
              <w:t>Plurality by claims</w:t>
            </w:r>
          </w:p>
        </w:tc>
        <w:tc>
          <w:tcPr>
            <w:tcW w:w="1854" w:type="dxa"/>
            <w:hideMark/>
          </w:tcPr>
          <w:p w14:paraId="47F2715B" w14:textId="77777777" w:rsidR="004B0339" w:rsidRPr="004B0339" w:rsidRDefault="004B0339" w:rsidP="004B033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95%</w:t>
            </w:r>
          </w:p>
        </w:tc>
        <w:tc>
          <w:tcPr>
            <w:tcW w:w="1899" w:type="dxa"/>
            <w:hideMark/>
          </w:tcPr>
          <w:p w14:paraId="3AF38B8C" w14:textId="77777777" w:rsidR="004B0339" w:rsidRPr="004B0339" w:rsidRDefault="004B0339" w:rsidP="004B033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p>
        </w:tc>
        <w:tc>
          <w:tcPr>
            <w:tcW w:w="1831" w:type="dxa"/>
            <w:hideMark/>
          </w:tcPr>
          <w:p w14:paraId="2C3D4B62" w14:textId="77777777" w:rsidR="004B0339" w:rsidRPr="004B0339" w:rsidRDefault="004B0339" w:rsidP="004B0339">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4B0339" w:rsidRPr="004B0339" w14:paraId="3BCFA3D0" w14:textId="77777777" w:rsidTr="00F10251">
        <w:trPr>
          <w:trHeight w:val="948"/>
        </w:trPr>
        <w:tc>
          <w:tcPr>
            <w:cnfStyle w:val="001000000000" w:firstRow="0" w:lastRow="0" w:firstColumn="1" w:lastColumn="0" w:oddVBand="0" w:evenVBand="0" w:oddHBand="0" w:evenHBand="0" w:firstRowFirstColumn="0" w:firstRowLastColumn="0" w:lastRowFirstColumn="0" w:lastRowLastColumn="0"/>
            <w:tcW w:w="2035" w:type="dxa"/>
            <w:hideMark/>
          </w:tcPr>
          <w:p w14:paraId="0F35EF98" w14:textId="77777777" w:rsidR="004B0339" w:rsidRPr="00F10251" w:rsidRDefault="004B0339" w:rsidP="004B0339">
            <w:pPr>
              <w:jc w:val="center"/>
              <w:rPr>
                <w:rFonts w:ascii="Calibri" w:eastAsia="Times New Roman" w:hAnsi="Calibri" w:cs="Calibri"/>
                <w:sz w:val="20"/>
              </w:rPr>
            </w:pPr>
            <w:r w:rsidRPr="00F10251">
              <w:rPr>
                <w:rFonts w:ascii="Calibri" w:eastAsia="Times New Roman" w:hAnsi="Calibri" w:cs="Calibri"/>
                <w:sz w:val="20"/>
              </w:rPr>
              <w:t>Majority by days covered</w:t>
            </w:r>
          </w:p>
        </w:tc>
        <w:tc>
          <w:tcPr>
            <w:tcW w:w="1854" w:type="dxa"/>
            <w:hideMark/>
          </w:tcPr>
          <w:p w14:paraId="233546F4" w14:textId="77777777" w:rsidR="004B0339" w:rsidRPr="004B0339" w:rsidRDefault="004B0339" w:rsidP="004B033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91%</w:t>
            </w:r>
          </w:p>
        </w:tc>
        <w:tc>
          <w:tcPr>
            <w:tcW w:w="1899" w:type="dxa"/>
            <w:hideMark/>
          </w:tcPr>
          <w:p w14:paraId="4DEFC2FA" w14:textId="77777777" w:rsidR="004B0339" w:rsidRPr="004B0339" w:rsidRDefault="004B0339" w:rsidP="004B033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88%</w:t>
            </w:r>
          </w:p>
        </w:tc>
        <w:tc>
          <w:tcPr>
            <w:tcW w:w="1831" w:type="dxa"/>
            <w:hideMark/>
          </w:tcPr>
          <w:p w14:paraId="0217BD7A" w14:textId="77777777" w:rsidR="004B0339" w:rsidRPr="004B0339" w:rsidRDefault="004B0339" w:rsidP="004B033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p>
        </w:tc>
      </w:tr>
      <w:tr w:rsidR="004B0339" w:rsidRPr="004B0339" w14:paraId="50851092" w14:textId="77777777" w:rsidTr="00F10251">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2035" w:type="dxa"/>
            <w:hideMark/>
          </w:tcPr>
          <w:p w14:paraId="27CC2C38" w14:textId="77777777" w:rsidR="004B0339" w:rsidRPr="00F10251" w:rsidRDefault="004B0339" w:rsidP="004B0339">
            <w:pPr>
              <w:jc w:val="center"/>
              <w:rPr>
                <w:rFonts w:ascii="Calibri" w:eastAsia="Times New Roman" w:hAnsi="Calibri" w:cs="Calibri"/>
                <w:sz w:val="20"/>
              </w:rPr>
            </w:pPr>
            <w:r w:rsidRPr="00F10251">
              <w:rPr>
                <w:rFonts w:ascii="Calibri" w:eastAsia="Times New Roman" w:hAnsi="Calibri" w:cs="Calibri"/>
                <w:sz w:val="20"/>
              </w:rPr>
              <w:t>Majority by claims</w:t>
            </w:r>
          </w:p>
        </w:tc>
        <w:tc>
          <w:tcPr>
            <w:tcW w:w="1854" w:type="dxa"/>
            <w:hideMark/>
          </w:tcPr>
          <w:p w14:paraId="5EC92906" w14:textId="77777777" w:rsidR="004B0339" w:rsidRPr="004B0339" w:rsidRDefault="004B0339" w:rsidP="004B033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87%</w:t>
            </w:r>
          </w:p>
        </w:tc>
        <w:tc>
          <w:tcPr>
            <w:tcW w:w="1899" w:type="dxa"/>
            <w:hideMark/>
          </w:tcPr>
          <w:p w14:paraId="6637AC5C" w14:textId="77777777" w:rsidR="004B0339" w:rsidRPr="004B0339" w:rsidRDefault="004B0339" w:rsidP="004B033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88%</w:t>
            </w:r>
          </w:p>
        </w:tc>
        <w:tc>
          <w:tcPr>
            <w:tcW w:w="1831" w:type="dxa"/>
            <w:hideMark/>
          </w:tcPr>
          <w:p w14:paraId="00DC35D2" w14:textId="77777777" w:rsidR="004B0339" w:rsidRPr="004B0339" w:rsidRDefault="004B0339" w:rsidP="004B033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86%</w:t>
            </w:r>
          </w:p>
        </w:tc>
      </w:tr>
    </w:tbl>
    <w:p w14:paraId="2F4EF197" w14:textId="0448D9DA" w:rsidR="004B0339" w:rsidRDefault="004B0339" w:rsidP="00E01D37"/>
    <w:p w14:paraId="7D4B92D6" w14:textId="77777777" w:rsidR="003F1A40" w:rsidRDefault="003F1A40" w:rsidP="003F1A40"/>
    <w:p w14:paraId="08542043" w14:textId="7693DACF" w:rsidR="003F1A40" w:rsidRDefault="00BC5848" w:rsidP="003F1A40">
      <w:pPr>
        <w:pStyle w:val="Heading1"/>
      </w:pPr>
      <w:r>
        <w:t>Clinician-group/practice</w:t>
      </w:r>
      <w:r w:rsidR="003F1A40">
        <w:t xml:space="preserve"> level analysis: Attribution based on TIN</w:t>
      </w:r>
    </w:p>
    <w:p w14:paraId="574D28FB" w14:textId="213E2BB7" w:rsidR="003F1A40" w:rsidRDefault="003F1A40" w:rsidP="003F1A40">
      <w:pPr>
        <w:pStyle w:val="Heading2"/>
      </w:pPr>
      <w:r>
        <w:t xml:space="preserve">Step 1: Identify number of </w:t>
      </w:r>
      <w:r w:rsidR="00BC5848">
        <w:t>clinician-group/practice</w:t>
      </w:r>
      <w:r>
        <w:t>s per patient</w:t>
      </w:r>
    </w:p>
    <w:p w14:paraId="462A0E28" w14:textId="0E130D6E" w:rsidR="003F1A40" w:rsidRDefault="003F1A40" w:rsidP="003F1A40">
      <w:r>
        <w:t xml:space="preserve">As more than one </w:t>
      </w:r>
      <w:r w:rsidR="00BC5848">
        <w:t>clinician-group/practice</w:t>
      </w:r>
      <w:r>
        <w:t xml:space="preserve"> can dispense or prescribe drugs for a given patient, the robustness of our direct attribution method depends on how many </w:t>
      </w:r>
      <w:r w:rsidR="00BC5848">
        <w:t>clinician-group/practice</w:t>
      </w:r>
      <w:r>
        <w:t xml:space="preserve">s each patient in our sample has. If one and only one </w:t>
      </w:r>
      <w:r w:rsidR="00BC5848">
        <w:t>clinician-group/practice</w:t>
      </w:r>
      <w:r>
        <w:t xml:space="preserve"> is the typical case, the method works well. If patients typically have multiple </w:t>
      </w:r>
      <w:r w:rsidR="00BC5848">
        <w:t>clinician-group/practice</w:t>
      </w:r>
      <w:r>
        <w:t xml:space="preserve">s, direct attribution may be difficult. </w:t>
      </w:r>
    </w:p>
    <w:p w14:paraId="566E00BA" w14:textId="4DE80BCE" w:rsidR="003F1A40" w:rsidRDefault="003F1A40" w:rsidP="003F1A40">
      <w:r>
        <w:t>The below histogram (</w:t>
      </w:r>
      <w:r>
        <w:fldChar w:fldCharType="begin"/>
      </w:r>
      <w:r>
        <w:instrText xml:space="preserve"> REF _Ref9940814 \h </w:instrText>
      </w:r>
      <w:r>
        <w:fldChar w:fldCharType="separate"/>
      </w:r>
      <w:r>
        <w:t xml:space="preserve">Figure </w:t>
      </w:r>
      <w:r>
        <w:rPr>
          <w:noProof/>
        </w:rPr>
        <w:t>1</w:t>
      </w:r>
      <w:r>
        <w:fldChar w:fldCharType="end"/>
      </w:r>
      <w:r>
        <w:t xml:space="preserve">) displays the number of unique </w:t>
      </w:r>
      <w:r w:rsidR="00BC5848">
        <w:t>clinician-group/practice</w:t>
      </w:r>
      <w:r>
        <w:t xml:space="preserve">s (based on TIN) per patient for the 2015-2016 measurement period and illustrates that over 60 percent of patients have only one </w:t>
      </w:r>
      <w:r w:rsidR="00BC5848">
        <w:t>clinician-group/practice</w:t>
      </w:r>
      <w:r>
        <w:t xml:space="preserve">, implying that their attribution would be unambiguous. Over 20 percent of patients had two </w:t>
      </w:r>
      <w:r w:rsidR="00BC5848">
        <w:t>clinician-group/practice</w:t>
      </w:r>
      <w:r>
        <w:t xml:space="preserve">s, and eight percent had three or more. Table 1 shows greater detail on the number of </w:t>
      </w:r>
      <w:r w:rsidR="00BC5848">
        <w:t>clinician-group/practice</w:t>
      </w:r>
      <w:r>
        <w:t xml:space="preserve">s per patient and illustrates that multiple </w:t>
      </w:r>
      <w:r w:rsidR="00BC5848">
        <w:t>clinician-group/practice</w:t>
      </w:r>
      <w:r>
        <w:t>s are uncommon. (</w:t>
      </w:r>
      <w:r>
        <w:fldChar w:fldCharType="begin"/>
      </w:r>
      <w:r>
        <w:instrText xml:space="preserve"> REF _Ref9941795 \h </w:instrText>
      </w:r>
      <w:r>
        <w:fldChar w:fldCharType="separate"/>
      </w:r>
      <w:r>
        <w:t xml:space="preserve">Table </w:t>
      </w:r>
      <w:r>
        <w:rPr>
          <w:noProof/>
        </w:rPr>
        <w:t>1</w:t>
      </w:r>
      <w:r>
        <w:fldChar w:fldCharType="end"/>
      </w:r>
      <w:r>
        <w:t xml:space="preserve">) </w:t>
      </w:r>
    </w:p>
    <w:p w14:paraId="3FE410E4" w14:textId="77777777" w:rsidR="003F1A40" w:rsidRDefault="003F1A40" w:rsidP="003F1A40"/>
    <w:p w14:paraId="551EC47F" w14:textId="77777777" w:rsidR="003F1A40" w:rsidRDefault="003F1A40" w:rsidP="003F1A40">
      <w:pPr>
        <w:rPr>
          <w:i/>
          <w:iCs/>
          <w:color w:val="44546A" w:themeColor="text2"/>
          <w:sz w:val="18"/>
          <w:szCs w:val="18"/>
        </w:rPr>
      </w:pPr>
      <w:r>
        <w:br w:type="page"/>
      </w:r>
    </w:p>
    <w:p w14:paraId="18652FAE" w14:textId="5A19BEF1" w:rsidR="003F1A40" w:rsidRDefault="003F1A40" w:rsidP="003F1A40">
      <w:pPr>
        <w:pStyle w:val="Caption"/>
      </w:pPr>
      <w:r>
        <w:t xml:space="preserve">Figure </w:t>
      </w:r>
      <w:fldSimple w:instr=" SEQ Figure \* ARABIC ">
        <w:r>
          <w:rPr>
            <w:noProof/>
          </w:rPr>
          <w:t>1</w:t>
        </w:r>
      </w:fldSimple>
      <w:r>
        <w:t xml:space="preserve">: Count of Patients by the Number of </w:t>
      </w:r>
      <w:r w:rsidR="00BC5848">
        <w:t>Clinician-group/practice</w:t>
      </w:r>
      <w:r>
        <w:t>s each Patient Visited during the 2015-2016 Measurement Period</w:t>
      </w:r>
    </w:p>
    <w:p w14:paraId="7CE2DD21" w14:textId="77777777" w:rsidR="003F1A40" w:rsidRPr="00B42CB9" w:rsidRDefault="003F1A40" w:rsidP="003F1A40">
      <w:r>
        <w:rPr>
          <w:noProof/>
        </w:rPr>
        <w:drawing>
          <wp:inline distT="0" distB="0" distL="0" distR="0" wp14:anchorId="0579542A" wp14:editId="1A9E818A">
            <wp:extent cx="5629275" cy="3657075"/>
            <wp:effectExtent l="0" t="0" r="9525" b="635"/>
            <wp:docPr id="8" name="Chart 8">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64A40AA" w14:textId="77777777" w:rsidR="003F1A40" w:rsidRDefault="003F1A40" w:rsidP="003F1A40"/>
    <w:p w14:paraId="099F6F09" w14:textId="28BF0CFA" w:rsidR="003F1A40" w:rsidRDefault="003F1A40" w:rsidP="003F1A40">
      <w:pPr>
        <w:pStyle w:val="Caption"/>
      </w:pPr>
      <w:r>
        <w:t xml:space="preserve">Table </w:t>
      </w:r>
      <w:fldSimple w:instr=" SEQ Table \* ARABIC ">
        <w:r>
          <w:rPr>
            <w:noProof/>
          </w:rPr>
          <w:t>1</w:t>
        </w:r>
      </w:fldSimple>
      <w:r>
        <w:t xml:space="preserve">: Count of Patients by the Number of </w:t>
      </w:r>
      <w:r w:rsidR="00BC5848">
        <w:t>Clinician-group/practice</w:t>
      </w:r>
      <w:r>
        <w:t>s each Patient Visited during the 2015-2016 Measurement Period</w:t>
      </w:r>
    </w:p>
    <w:tbl>
      <w:tblPr>
        <w:tblStyle w:val="GridTable4-Accent3"/>
        <w:tblW w:w="6048" w:type="dxa"/>
        <w:tblLook w:val="04A0" w:firstRow="1" w:lastRow="0" w:firstColumn="1" w:lastColumn="0" w:noHBand="0" w:noVBand="1"/>
      </w:tblPr>
      <w:tblGrid>
        <w:gridCol w:w="1666"/>
        <w:gridCol w:w="957"/>
        <w:gridCol w:w="67"/>
        <w:gridCol w:w="1103"/>
        <w:gridCol w:w="67"/>
        <w:gridCol w:w="1265"/>
        <w:gridCol w:w="1350"/>
      </w:tblGrid>
      <w:tr w:rsidR="003F1A40" w:rsidRPr="003C66A7" w14:paraId="3F4376D0" w14:textId="77777777" w:rsidTr="002F6C77">
        <w:trPr>
          <w:cnfStyle w:val="100000000000" w:firstRow="1" w:lastRow="0" w:firstColumn="0" w:lastColumn="0" w:oddVBand="0" w:evenVBand="0" w:oddHBand="0" w:evenHBand="0" w:firstRowFirstColumn="0" w:firstRowLastColumn="0" w:lastRowFirstColumn="0" w:lastRowLastColumn="0"/>
          <w:trHeight w:val="1080"/>
        </w:trPr>
        <w:tc>
          <w:tcPr>
            <w:cnfStyle w:val="001000000000" w:firstRow="0" w:lastRow="0" w:firstColumn="1" w:lastColumn="0" w:oddVBand="0" w:evenVBand="0" w:oddHBand="0" w:evenHBand="0" w:firstRowFirstColumn="0" w:firstRowLastColumn="0" w:lastRowFirstColumn="0" w:lastRowLastColumn="0"/>
            <w:tcW w:w="1230" w:type="dxa"/>
            <w:hideMark/>
          </w:tcPr>
          <w:p w14:paraId="4473655D" w14:textId="6FAE5DA5" w:rsidR="003F1A40" w:rsidRPr="003C66A7" w:rsidRDefault="00BC5848" w:rsidP="002F6C77">
            <w:pPr>
              <w:rPr>
                <w:rFonts w:ascii="Calibri" w:eastAsia="Times New Roman" w:hAnsi="Calibri" w:cs="Calibri"/>
                <w:color w:val="000000"/>
              </w:rPr>
            </w:pPr>
            <w:r>
              <w:rPr>
                <w:rFonts w:ascii="Calibri" w:eastAsia="Times New Roman" w:hAnsi="Calibri" w:cs="Calibri"/>
                <w:color w:val="000000"/>
              </w:rPr>
              <w:t>clinician-group/practice</w:t>
            </w:r>
            <w:r w:rsidR="003F1A40" w:rsidRPr="003C66A7">
              <w:rPr>
                <w:rFonts w:ascii="Calibri" w:eastAsia="Times New Roman" w:hAnsi="Calibri" w:cs="Calibri"/>
                <w:color w:val="000000"/>
              </w:rPr>
              <w:t>s per patent</w:t>
            </w:r>
          </w:p>
        </w:tc>
        <w:tc>
          <w:tcPr>
            <w:tcW w:w="1033" w:type="dxa"/>
            <w:gridSpan w:val="2"/>
          </w:tcPr>
          <w:p w14:paraId="1A048A5D" w14:textId="77777777" w:rsidR="003F1A40" w:rsidRPr="003C66A7" w:rsidRDefault="003F1A40" w:rsidP="002F6C7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465E53">
              <w:rPr>
                <w:rFonts w:ascii="Calibri" w:eastAsia="Times New Roman" w:hAnsi="Calibri" w:cs="Calibri"/>
                <w:color w:val="000000"/>
              </w:rPr>
              <w:t>count of patients</w:t>
            </w:r>
          </w:p>
        </w:tc>
        <w:tc>
          <w:tcPr>
            <w:tcW w:w="1170" w:type="dxa"/>
            <w:gridSpan w:val="2"/>
            <w:hideMark/>
          </w:tcPr>
          <w:p w14:paraId="3B3CC2A4" w14:textId="77777777" w:rsidR="003F1A40" w:rsidRPr="003C66A7" w:rsidRDefault="003F1A40" w:rsidP="002F6C7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percent of patients</w:t>
            </w:r>
          </w:p>
        </w:tc>
        <w:tc>
          <w:tcPr>
            <w:tcW w:w="1265" w:type="dxa"/>
            <w:hideMark/>
          </w:tcPr>
          <w:p w14:paraId="2503D18A" w14:textId="77777777" w:rsidR="003F1A40" w:rsidRPr="003C66A7" w:rsidRDefault="003F1A40" w:rsidP="002F6C7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cumulative sum of patients</w:t>
            </w:r>
          </w:p>
        </w:tc>
        <w:tc>
          <w:tcPr>
            <w:tcW w:w="1350" w:type="dxa"/>
            <w:hideMark/>
          </w:tcPr>
          <w:p w14:paraId="1E8A6B4F" w14:textId="77777777" w:rsidR="003F1A40" w:rsidRPr="003C66A7" w:rsidRDefault="003F1A40" w:rsidP="002F6C77">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3C66A7">
              <w:rPr>
                <w:rFonts w:ascii="Calibri" w:eastAsia="Times New Roman" w:hAnsi="Calibri" w:cs="Calibri"/>
                <w:color w:val="000000"/>
              </w:rPr>
              <w:t>cumulative percent of patients</w:t>
            </w:r>
          </w:p>
        </w:tc>
      </w:tr>
      <w:tr w:rsidR="003F1A40" w:rsidRPr="003C66A7" w14:paraId="1FFE79C1" w14:textId="77777777" w:rsidTr="002F6C7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1A31DD7C" w14:textId="77777777" w:rsidR="003F1A40" w:rsidRPr="003C66A7" w:rsidRDefault="003F1A40" w:rsidP="002F6C77">
            <w:pPr>
              <w:jc w:val="right"/>
              <w:rPr>
                <w:rFonts w:ascii="Calibri" w:eastAsia="Times New Roman" w:hAnsi="Calibri" w:cs="Calibri"/>
                <w:color w:val="000000"/>
              </w:rPr>
            </w:pPr>
            <w:r w:rsidRPr="00122DCC">
              <w:t>1</w:t>
            </w:r>
          </w:p>
        </w:tc>
        <w:tc>
          <w:tcPr>
            <w:tcW w:w="966" w:type="dxa"/>
          </w:tcPr>
          <w:p w14:paraId="060AA24F" w14:textId="77777777" w:rsidR="003F1A40" w:rsidRDefault="003F1A40" w:rsidP="002F6C77">
            <w:pPr>
              <w:jc w:val="right"/>
              <w:cnfStyle w:val="000000100000" w:firstRow="0" w:lastRow="0" w:firstColumn="0" w:lastColumn="0" w:oddVBand="0" w:evenVBand="0" w:oddHBand="1" w:evenHBand="0" w:firstRowFirstColumn="0" w:firstRowLastColumn="0" w:lastRowFirstColumn="0" w:lastRowLastColumn="0"/>
            </w:pPr>
            <w:r w:rsidRPr="000701F3">
              <w:t>42911</w:t>
            </w:r>
          </w:p>
        </w:tc>
        <w:tc>
          <w:tcPr>
            <w:tcW w:w="1170" w:type="dxa"/>
            <w:gridSpan w:val="2"/>
            <w:noWrap/>
            <w:hideMark/>
          </w:tcPr>
          <w:p w14:paraId="61017661"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t>65</w:t>
            </w:r>
            <w:r w:rsidRPr="00AD46E0">
              <w:t>%</w:t>
            </w:r>
          </w:p>
        </w:tc>
        <w:tc>
          <w:tcPr>
            <w:tcW w:w="1332" w:type="dxa"/>
            <w:gridSpan w:val="2"/>
            <w:noWrap/>
            <w:hideMark/>
          </w:tcPr>
          <w:p w14:paraId="10276499"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42911</w:t>
            </w:r>
          </w:p>
        </w:tc>
        <w:tc>
          <w:tcPr>
            <w:tcW w:w="1350" w:type="dxa"/>
            <w:noWrap/>
            <w:hideMark/>
          </w:tcPr>
          <w:p w14:paraId="524AF0A3"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65%</w:t>
            </w:r>
          </w:p>
        </w:tc>
      </w:tr>
      <w:tr w:rsidR="003F1A40" w:rsidRPr="003C66A7" w14:paraId="33F4D857" w14:textId="77777777" w:rsidTr="002F6C77">
        <w:trPr>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0091A11B" w14:textId="77777777" w:rsidR="003F1A40" w:rsidRPr="003C66A7" w:rsidRDefault="003F1A40" w:rsidP="002F6C77">
            <w:pPr>
              <w:jc w:val="right"/>
              <w:rPr>
                <w:rFonts w:ascii="Calibri" w:eastAsia="Times New Roman" w:hAnsi="Calibri" w:cs="Calibri"/>
                <w:color w:val="000000"/>
              </w:rPr>
            </w:pPr>
            <w:r w:rsidRPr="00122DCC">
              <w:t>2</w:t>
            </w:r>
          </w:p>
        </w:tc>
        <w:tc>
          <w:tcPr>
            <w:tcW w:w="966" w:type="dxa"/>
          </w:tcPr>
          <w:p w14:paraId="6DDE40ED" w14:textId="77777777" w:rsidR="003F1A40" w:rsidRPr="00AD46E0" w:rsidRDefault="003F1A40" w:rsidP="002F6C77">
            <w:pPr>
              <w:jc w:val="right"/>
              <w:cnfStyle w:val="000000000000" w:firstRow="0" w:lastRow="0" w:firstColumn="0" w:lastColumn="0" w:oddVBand="0" w:evenVBand="0" w:oddHBand="0" w:evenHBand="0" w:firstRowFirstColumn="0" w:firstRowLastColumn="0" w:lastRowFirstColumn="0" w:lastRowLastColumn="0"/>
            </w:pPr>
            <w:r w:rsidRPr="000701F3">
              <w:t>14501</w:t>
            </w:r>
          </w:p>
        </w:tc>
        <w:tc>
          <w:tcPr>
            <w:tcW w:w="1170" w:type="dxa"/>
            <w:gridSpan w:val="2"/>
            <w:noWrap/>
            <w:hideMark/>
          </w:tcPr>
          <w:p w14:paraId="026DC62E"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22%</w:t>
            </w:r>
          </w:p>
        </w:tc>
        <w:tc>
          <w:tcPr>
            <w:tcW w:w="1332" w:type="dxa"/>
            <w:gridSpan w:val="2"/>
            <w:noWrap/>
            <w:hideMark/>
          </w:tcPr>
          <w:p w14:paraId="485877F3"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57412</w:t>
            </w:r>
          </w:p>
        </w:tc>
        <w:tc>
          <w:tcPr>
            <w:tcW w:w="1350" w:type="dxa"/>
            <w:noWrap/>
            <w:hideMark/>
          </w:tcPr>
          <w:p w14:paraId="04FE89B0"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87%</w:t>
            </w:r>
          </w:p>
        </w:tc>
      </w:tr>
      <w:tr w:rsidR="003F1A40" w:rsidRPr="003C66A7" w14:paraId="08D8D435" w14:textId="77777777" w:rsidTr="002F6C7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531C4C4F" w14:textId="77777777" w:rsidR="003F1A40" w:rsidRPr="003C66A7" w:rsidRDefault="003F1A40" w:rsidP="002F6C77">
            <w:pPr>
              <w:jc w:val="right"/>
              <w:rPr>
                <w:rFonts w:ascii="Calibri" w:eastAsia="Times New Roman" w:hAnsi="Calibri" w:cs="Calibri"/>
                <w:color w:val="000000"/>
              </w:rPr>
            </w:pPr>
            <w:r w:rsidRPr="00122DCC">
              <w:t>3</w:t>
            </w:r>
          </w:p>
        </w:tc>
        <w:tc>
          <w:tcPr>
            <w:tcW w:w="966" w:type="dxa"/>
          </w:tcPr>
          <w:p w14:paraId="7FA85035" w14:textId="77777777" w:rsidR="003F1A40" w:rsidRPr="00AD46E0" w:rsidRDefault="003F1A40" w:rsidP="002F6C77">
            <w:pPr>
              <w:jc w:val="right"/>
              <w:cnfStyle w:val="000000100000" w:firstRow="0" w:lastRow="0" w:firstColumn="0" w:lastColumn="0" w:oddVBand="0" w:evenVBand="0" w:oddHBand="1" w:evenHBand="0" w:firstRowFirstColumn="0" w:firstRowLastColumn="0" w:lastRowFirstColumn="0" w:lastRowLastColumn="0"/>
            </w:pPr>
            <w:r w:rsidRPr="000701F3">
              <w:t>5211</w:t>
            </w:r>
          </w:p>
        </w:tc>
        <w:tc>
          <w:tcPr>
            <w:tcW w:w="1170" w:type="dxa"/>
            <w:gridSpan w:val="2"/>
            <w:noWrap/>
            <w:hideMark/>
          </w:tcPr>
          <w:p w14:paraId="7719F577"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8%</w:t>
            </w:r>
          </w:p>
        </w:tc>
        <w:tc>
          <w:tcPr>
            <w:tcW w:w="1332" w:type="dxa"/>
            <w:gridSpan w:val="2"/>
            <w:noWrap/>
            <w:hideMark/>
          </w:tcPr>
          <w:p w14:paraId="39EACBF2"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62623</w:t>
            </w:r>
          </w:p>
        </w:tc>
        <w:tc>
          <w:tcPr>
            <w:tcW w:w="1350" w:type="dxa"/>
            <w:noWrap/>
            <w:hideMark/>
          </w:tcPr>
          <w:p w14:paraId="7F9EC42C"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95%</w:t>
            </w:r>
          </w:p>
        </w:tc>
      </w:tr>
      <w:tr w:rsidR="003F1A40" w:rsidRPr="003C66A7" w14:paraId="6E64188B" w14:textId="77777777" w:rsidTr="002F6C77">
        <w:trPr>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0151B16D" w14:textId="77777777" w:rsidR="003F1A40" w:rsidRPr="003C66A7" w:rsidRDefault="003F1A40" w:rsidP="002F6C77">
            <w:pPr>
              <w:jc w:val="right"/>
              <w:rPr>
                <w:rFonts w:ascii="Calibri" w:eastAsia="Times New Roman" w:hAnsi="Calibri" w:cs="Calibri"/>
                <w:color w:val="000000"/>
              </w:rPr>
            </w:pPr>
            <w:r w:rsidRPr="00122DCC">
              <w:t>4</w:t>
            </w:r>
          </w:p>
        </w:tc>
        <w:tc>
          <w:tcPr>
            <w:tcW w:w="966" w:type="dxa"/>
          </w:tcPr>
          <w:p w14:paraId="3610509B" w14:textId="77777777" w:rsidR="003F1A40" w:rsidRPr="00AD46E0" w:rsidRDefault="003F1A40" w:rsidP="002F6C77">
            <w:pPr>
              <w:jc w:val="right"/>
              <w:cnfStyle w:val="000000000000" w:firstRow="0" w:lastRow="0" w:firstColumn="0" w:lastColumn="0" w:oddVBand="0" w:evenVBand="0" w:oddHBand="0" w:evenHBand="0" w:firstRowFirstColumn="0" w:firstRowLastColumn="0" w:lastRowFirstColumn="0" w:lastRowLastColumn="0"/>
            </w:pPr>
            <w:r w:rsidRPr="000701F3">
              <w:t>2084</w:t>
            </w:r>
          </w:p>
        </w:tc>
        <w:tc>
          <w:tcPr>
            <w:tcW w:w="1170" w:type="dxa"/>
            <w:gridSpan w:val="2"/>
            <w:noWrap/>
            <w:hideMark/>
          </w:tcPr>
          <w:p w14:paraId="2AF11205"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3%</w:t>
            </w:r>
          </w:p>
        </w:tc>
        <w:tc>
          <w:tcPr>
            <w:tcW w:w="1332" w:type="dxa"/>
            <w:gridSpan w:val="2"/>
            <w:noWrap/>
            <w:hideMark/>
          </w:tcPr>
          <w:p w14:paraId="7D4D023C"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64707</w:t>
            </w:r>
          </w:p>
        </w:tc>
        <w:tc>
          <w:tcPr>
            <w:tcW w:w="1350" w:type="dxa"/>
            <w:noWrap/>
            <w:hideMark/>
          </w:tcPr>
          <w:p w14:paraId="0E5BAF63"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98%</w:t>
            </w:r>
          </w:p>
        </w:tc>
      </w:tr>
      <w:tr w:rsidR="003F1A40" w:rsidRPr="003C66A7" w14:paraId="070219C6" w14:textId="77777777" w:rsidTr="002F6C7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110E7373" w14:textId="77777777" w:rsidR="003F1A40" w:rsidRPr="003C66A7" w:rsidRDefault="003F1A40" w:rsidP="002F6C77">
            <w:pPr>
              <w:jc w:val="right"/>
              <w:rPr>
                <w:rFonts w:ascii="Calibri" w:eastAsia="Times New Roman" w:hAnsi="Calibri" w:cs="Calibri"/>
                <w:color w:val="000000"/>
              </w:rPr>
            </w:pPr>
            <w:r w:rsidRPr="00122DCC">
              <w:t>5</w:t>
            </w:r>
          </w:p>
        </w:tc>
        <w:tc>
          <w:tcPr>
            <w:tcW w:w="966" w:type="dxa"/>
          </w:tcPr>
          <w:p w14:paraId="726FCC6E" w14:textId="77777777" w:rsidR="003F1A40" w:rsidRPr="00AD46E0" w:rsidRDefault="003F1A40" w:rsidP="002F6C77">
            <w:pPr>
              <w:jc w:val="right"/>
              <w:cnfStyle w:val="000000100000" w:firstRow="0" w:lastRow="0" w:firstColumn="0" w:lastColumn="0" w:oddVBand="0" w:evenVBand="0" w:oddHBand="1" w:evenHBand="0" w:firstRowFirstColumn="0" w:firstRowLastColumn="0" w:lastRowFirstColumn="0" w:lastRowLastColumn="0"/>
            </w:pPr>
            <w:r w:rsidRPr="000701F3">
              <w:t>806</w:t>
            </w:r>
          </w:p>
        </w:tc>
        <w:tc>
          <w:tcPr>
            <w:tcW w:w="1170" w:type="dxa"/>
            <w:gridSpan w:val="2"/>
            <w:noWrap/>
            <w:hideMark/>
          </w:tcPr>
          <w:p w14:paraId="46028701"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1%</w:t>
            </w:r>
          </w:p>
        </w:tc>
        <w:tc>
          <w:tcPr>
            <w:tcW w:w="1332" w:type="dxa"/>
            <w:gridSpan w:val="2"/>
            <w:noWrap/>
            <w:hideMark/>
          </w:tcPr>
          <w:p w14:paraId="6A0212B1"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65513</w:t>
            </w:r>
          </w:p>
        </w:tc>
        <w:tc>
          <w:tcPr>
            <w:tcW w:w="1350" w:type="dxa"/>
            <w:noWrap/>
            <w:hideMark/>
          </w:tcPr>
          <w:p w14:paraId="6C940EA1"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99%</w:t>
            </w:r>
          </w:p>
        </w:tc>
      </w:tr>
      <w:tr w:rsidR="003F1A40" w:rsidRPr="003C66A7" w14:paraId="3ED220B5" w14:textId="77777777" w:rsidTr="002F6C77">
        <w:trPr>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76A367F7" w14:textId="77777777" w:rsidR="003F1A40" w:rsidRPr="003C66A7" w:rsidRDefault="003F1A40" w:rsidP="002F6C77">
            <w:pPr>
              <w:jc w:val="right"/>
              <w:rPr>
                <w:rFonts w:ascii="Calibri" w:eastAsia="Times New Roman" w:hAnsi="Calibri" w:cs="Calibri"/>
                <w:color w:val="000000"/>
              </w:rPr>
            </w:pPr>
            <w:r w:rsidRPr="00122DCC">
              <w:t>6</w:t>
            </w:r>
          </w:p>
        </w:tc>
        <w:tc>
          <w:tcPr>
            <w:tcW w:w="966" w:type="dxa"/>
          </w:tcPr>
          <w:p w14:paraId="75D860EB" w14:textId="77777777" w:rsidR="003F1A40" w:rsidRPr="00AD46E0" w:rsidRDefault="003F1A40" w:rsidP="002F6C77">
            <w:pPr>
              <w:jc w:val="right"/>
              <w:cnfStyle w:val="000000000000" w:firstRow="0" w:lastRow="0" w:firstColumn="0" w:lastColumn="0" w:oddVBand="0" w:evenVBand="0" w:oddHBand="0" w:evenHBand="0" w:firstRowFirstColumn="0" w:firstRowLastColumn="0" w:lastRowFirstColumn="0" w:lastRowLastColumn="0"/>
            </w:pPr>
            <w:r w:rsidRPr="000701F3">
              <w:t>384</w:t>
            </w:r>
          </w:p>
        </w:tc>
        <w:tc>
          <w:tcPr>
            <w:tcW w:w="1170" w:type="dxa"/>
            <w:gridSpan w:val="2"/>
            <w:noWrap/>
            <w:hideMark/>
          </w:tcPr>
          <w:p w14:paraId="090B10AF"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1%</w:t>
            </w:r>
          </w:p>
        </w:tc>
        <w:tc>
          <w:tcPr>
            <w:tcW w:w="1332" w:type="dxa"/>
            <w:gridSpan w:val="2"/>
            <w:noWrap/>
            <w:hideMark/>
          </w:tcPr>
          <w:p w14:paraId="088BC00D"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65897</w:t>
            </w:r>
          </w:p>
        </w:tc>
        <w:tc>
          <w:tcPr>
            <w:tcW w:w="1350" w:type="dxa"/>
            <w:noWrap/>
            <w:hideMark/>
          </w:tcPr>
          <w:p w14:paraId="74536838"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100%</w:t>
            </w:r>
          </w:p>
        </w:tc>
      </w:tr>
      <w:tr w:rsidR="003F1A40" w:rsidRPr="003C66A7" w14:paraId="18E48C2A" w14:textId="77777777" w:rsidTr="002F6C7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1E3D9D0B" w14:textId="77777777" w:rsidR="003F1A40" w:rsidRPr="003C66A7" w:rsidRDefault="003F1A40" w:rsidP="002F6C77">
            <w:pPr>
              <w:jc w:val="right"/>
              <w:rPr>
                <w:rFonts w:ascii="Calibri" w:eastAsia="Times New Roman" w:hAnsi="Calibri" w:cs="Calibri"/>
                <w:color w:val="000000"/>
              </w:rPr>
            </w:pPr>
            <w:r w:rsidRPr="00122DCC">
              <w:t>7</w:t>
            </w:r>
          </w:p>
        </w:tc>
        <w:tc>
          <w:tcPr>
            <w:tcW w:w="966" w:type="dxa"/>
          </w:tcPr>
          <w:p w14:paraId="3CBE67F1" w14:textId="77777777" w:rsidR="003F1A40" w:rsidRPr="00AD46E0" w:rsidRDefault="003F1A40" w:rsidP="002F6C77">
            <w:pPr>
              <w:jc w:val="right"/>
              <w:cnfStyle w:val="000000100000" w:firstRow="0" w:lastRow="0" w:firstColumn="0" w:lastColumn="0" w:oddVBand="0" w:evenVBand="0" w:oddHBand="1" w:evenHBand="0" w:firstRowFirstColumn="0" w:firstRowLastColumn="0" w:lastRowFirstColumn="0" w:lastRowLastColumn="0"/>
            </w:pPr>
            <w:r w:rsidRPr="000701F3">
              <w:t>156</w:t>
            </w:r>
          </w:p>
        </w:tc>
        <w:tc>
          <w:tcPr>
            <w:tcW w:w="1170" w:type="dxa"/>
            <w:gridSpan w:val="2"/>
            <w:noWrap/>
            <w:hideMark/>
          </w:tcPr>
          <w:p w14:paraId="6FA6642F"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0%</w:t>
            </w:r>
          </w:p>
        </w:tc>
        <w:tc>
          <w:tcPr>
            <w:tcW w:w="1332" w:type="dxa"/>
            <w:gridSpan w:val="2"/>
            <w:noWrap/>
            <w:hideMark/>
          </w:tcPr>
          <w:p w14:paraId="5D5E64E5"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66053</w:t>
            </w:r>
          </w:p>
        </w:tc>
        <w:tc>
          <w:tcPr>
            <w:tcW w:w="1350" w:type="dxa"/>
            <w:noWrap/>
            <w:hideMark/>
          </w:tcPr>
          <w:p w14:paraId="09518EEB"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100%</w:t>
            </w:r>
          </w:p>
        </w:tc>
      </w:tr>
      <w:tr w:rsidR="003F1A40" w:rsidRPr="003C66A7" w14:paraId="2714AEA7" w14:textId="77777777" w:rsidTr="002F6C77">
        <w:trPr>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12E1E2FB" w14:textId="77777777" w:rsidR="003F1A40" w:rsidRPr="003C66A7" w:rsidRDefault="003F1A40" w:rsidP="002F6C77">
            <w:pPr>
              <w:jc w:val="right"/>
              <w:rPr>
                <w:rFonts w:ascii="Calibri" w:eastAsia="Times New Roman" w:hAnsi="Calibri" w:cs="Calibri"/>
                <w:color w:val="000000"/>
              </w:rPr>
            </w:pPr>
            <w:r w:rsidRPr="00122DCC">
              <w:t>8</w:t>
            </w:r>
          </w:p>
        </w:tc>
        <w:tc>
          <w:tcPr>
            <w:tcW w:w="966" w:type="dxa"/>
          </w:tcPr>
          <w:p w14:paraId="7ECD61BD" w14:textId="77777777" w:rsidR="003F1A40" w:rsidRPr="00AD46E0" w:rsidRDefault="003F1A40" w:rsidP="002F6C77">
            <w:pPr>
              <w:jc w:val="right"/>
              <w:cnfStyle w:val="000000000000" w:firstRow="0" w:lastRow="0" w:firstColumn="0" w:lastColumn="0" w:oddVBand="0" w:evenVBand="0" w:oddHBand="0" w:evenHBand="0" w:firstRowFirstColumn="0" w:firstRowLastColumn="0" w:lastRowFirstColumn="0" w:lastRowLastColumn="0"/>
            </w:pPr>
            <w:r w:rsidRPr="000701F3">
              <w:t>79</w:t>
            </w:r>
          </w:p>
        </w:tc>
        <w:tc>
          <w:tcPr>
            <w:tcW w:w="1170" w:type="dxa"/>
            <w:gridSpan w:val="2"/>
            <w:noWrap/>
            <w:hideMark/>
          </w:tcPr>
          <w:p w14:paraId="282B9675"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0%</w:t>
            </w:r>
          </w:p>
        </w:tc>
        <w:tc>
          <w:tcPr>
            <w:tcW w:w="1332" w:type="dxa"/>
            <w:gridSpan w:val="2"/>
            <w:noWrap/>
            <w:hideMark/>
          </w:tcPr>
          <w:p w14:paraId="2B37D7A7"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66132</w:t>
            </w:r>
          </w:p>
        </w:tc>
        <w:tc>
          <w:tcPr>
            <w:tcW w:w="1350" w:type="dxa"/>
            <w:noWrap/>
            <w:hideMark/>
          </w:tcPr>
          <w:p w14:paraId="1858F0A5" w14:textId="77777777" w:rsidR="003F1A40" w:rsidRPr="003C66A7"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AD46E0">
              <w:t>100%</w:t>
            </w:r>
          </w:p>
        </w:tc>
      </w:tr>
      <w:tr w:rsidR="003F1A40" w:rsidRPr="003C66A7" w14:paraId="5DFBDB17" w14:textId="77777777" w:rsidTr="002F6C7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5F7D05CC" w14:textId="77777777" w:rsidR="003F1A40" w:rsidRPr="003C66A7" w:rsidRDefault="003F1A40" w:rsidP="002F6C77">
            <w:pPr>
              <w:jc w:val="right"/>
              <w:rPr>
                <w:rFonts w:ascii="Calibri" w:eastAsia="Times New Roman" w:hAnsi="Calibri" w:cs="Calibri"/>
                <w:color w:val="000000"/>
              </w:rPr>
            </w:pPr>
            <w:r w:rsidRPr="00122DCC">
              <w:t>9 or more</w:t>
            </w:r>
          </w:p>
        </w:tc>
        <w:tc>
          <w:tcPr>
            <w:tcW w:w="966" w:type="dxa"/>
          </w:tcPr>
          <w:p w14:paraId="5A5447BD" w14:textId="77777777" w:rsidR="003F1A40" w:rsidRPr="00AD46E0" w:rsidRDefault="003F1A40" w:rsidP="002F6C77">
            <w:pPr>
              <w:jc w:val="right"/>
              <w:cnfStyle w:val="000000100000" w:firstRow="0" w:lastRow="0" w:firstColumn="0" w:lastColumn="0" w:oddVBand="0" w:evenVBand="0" w:oddHBand="1" w:evenHBand="0" w:firstRowFirstColumn="0" w:firstRowLastColumn="0" w:lastRowFirstColumn="0" w:lastRowLastColumn="0"/>
            </w:pPr>
            <w:r w:rsidRPr="000701F3">
              <w:t>53</w:t>
            </w:r>
          </w:p>
        </w:tc>
        <w:tc>
          <w:tcPr>
            <w:tcW w:w="1170" w:type="dxa"/>
            <w:gridSpan w:val="2"/>
            <w:noWrap/>
            <w:hideMark/>
          </w:tcPr>
          <w:p w14:paraId="6E50F553"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0%</w:t>
            </w:r>
          </w:p>
        </w:tc>
        <w:tc>
          <w:tcPr>
            <w:tcW w:w="1332" w:type="dxa"/>
            <w:gridSpan w:val="2"/>
            <w:noWrap/>
            <w:hideMark/>
          </w:tcPr>
          <w:p w14:paraId="32E05EEC"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66185</w:t>
            </w:r>
          </w:p>
        </w:tc>
        <w:tc>
          <w:tcPr>
            <w:tcW w:w="1350" w:type="dxa"/>
            <w:noWrap/>
            <w:hideMark/>
          </w:tcPr>
          <w:p w14:paraId="64A6619E" w14:textId="77777777" w:rsidR="003F1A40" w:rsidRPr="003C66A7" w:rsidRDefault="003F1A40" w:rsidP="002F6C77">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AD46E0">
              <w:t>100%</w:t>
            </w:r>
          </w:p>
        </w:tc>
      </w:tr>
      <w:tr w:rsidR="003F1A40" w:rsidRPr="003C66A7" w14:paraId="0A8B1B35" w14:textId="77777777" w:rsidTr="002F6C77">
        <w:trPr>
          <w:trHeight w:val="290"/>
        </w:trPr>
        <w:tc>
          <w:tcPr>
            <w:cnfStyle w:val="001000000000" w:firstRow="0" w:lastRow="0" w:firstColumn="1" w:lastColumn="0" w:oddVBand="0" w:evenVBand="0" w:oddHBand="0" w:evenHBand="0" w:firstRowFirstColumn="0" w:firstRowLastColumn="0" w:lastRowFirstColumn="0" w:lastRowLastColumn="0"/>
            <w:tcW w:w="1230" w:type="dxa"/>
            <w:noWrap/>
            <w:hideMark/>
          </w:tcPr>
          <w:p w14:paraId="2210E264" w14:textId="77777777" w:rsidR="003F1A40" w:rsidRPr="003C66A7" w:rsidRDefault="003F1A40" w:rsidP="002F6C77">
            <w:pPr>
              <w:jc w:val="right"/>
              <w:rPr>
                <w:rFonts w:ascii="Calibri" w:eastAsia="Times New Roman" w:hAnsi="Calibri" w:cs="Calibri"/>
                <w:color w:val="000000"/>
              </w:rPr>
            </w:pPr>
            <w:r w:rsidRPr="003C66A7">
              <w:rPr>
                <w:rFonts w:ascii="Calibri" w:eastAsia="Times New Roman" w:hAnsi="Calibri" w:cs="Calibri"/>
                <w:color w:val="000000"/>
              </w:rPr>
              <w:t>TOTAL</w:t>
            </w:r>
          </w:p>
        </w:tc>
        <w:tc>
          <w:tcPr>
            <w:tcW w:w="966" w:type="dxa"/>
          </w:tcPr>
          <w:p w14:paraId="7CC9D26B" w14:textId="77777777" w:rsidR="003F1A40" w:rsidRPr="003C66A7" w:rsidDel="002208DE" w:rsidRDefault="003F1A40" w:rsidP="002F6C77">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0701F3">
              <w:t>66185</w:t>
            </w:r>
          </w:p>
        </w:tc>
        <w:tc>
          <w:tcPr>
            <w:tcW w:w="1170" w:type="dxa"/>
            <w:gridSpan w:val="2"/>
            <w:noWrap/>
            <w:hideMark/>
          </w:tcPr>
          <w:p w14:paraId="659A46A2" w14:textId="77777777" w:rsidR="003F1A40" w:rsidRPr="003C66A7" w:rsidRDefault="003F1A40" w:rsidP="002F6C77">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332" w:type="dxa"/>
            <w:gridSpan w:val="2"/>
            <w:noWrap/>
            <w:hideMark/>
          </w:tcPr>
          <w:p w14:paraId="6A94A71D" w14:textId="77777777" w:rsidR="003F1A40" w:rsidRPr="003C66A7" w:rsidRDefault="003F1A40" w:rsidP="002F6C77">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c>
          <w:tcPr>
            <w:tcW w:w="1350" w:type="dxa"/>
            <w:noWrap/>
            <w:hideMark/>
          </w:tcPr>
          <w:p w14:paraId="63DC03CF" w14:textId="77777777" w:rsidR="003F1A40" w:rsidRPr="003C66A7" w:rsidRDefault="003F1A40" w:rsidP="002F6C77">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p>
        </w:tc>
      </w:tr>
    </w:tbl>
    <w:p w14:paraId="159F6F29" w14:textId="77777777" w:rsidR="003F1A40" w:rsidRDefault="003F1A40" w:rsidP="003F1A40"/>
    <w:p w14:paraId="2078467F" w14:textId="0F4B78BB" w:rsidR="003F1A40" w:rsidRDefault="003F1A40" w:rsidP="003F1A40">
      <w:pPr>
        <w:pStyle w:val="Heading2"/>
      </w:pPr>
      <w:r>
        <w:t xml:space="preserve">Step 2: Attribute patients to </w:t>
      </w:r>
      <w:r w:rsidR="00BC5848">
        <w:t>clinician-group/practice</w:t>
      </w:r>
      <w:r>
        <w:t>s</w:t>
      </w:r>
    </w:p>
    <w:p w14:paraId="32A679E3" w14:textId="77777777" w:rsidR="003F1A40" w:rsidRDefault="003F1A40" w:rsidP="003F1A40">
      <w:pPr>
        <w:pStyle w:val="Heading3"/>
      </w:pPr>
      <w:r>
        <w:t>Option 1: Attribute based on “plurality rule” using claims</w:t>
      </w:r>
    </w:p>
    <w:p w14:paraId="379EB5DC" w14:textId="4950571F" w:rsidR="003F1A40" w:rsidRDefault="003F1A40" w:rsidP="003F1A40">
      <w:r>
        <w:t xml:space="preserve">The plurality rule means that a </w:t>
      </w:r>
      <w:r w:rsidR="00BC5848">
        <w:t>clinician-group/practice</w:t>
      </w:r>
      <w:r>
        <w:t xml:space="preserve"> is deemed “responsible” for the patient if its TIN corresponds to the largest number of prescription drug claims for the patient during a measurement period. Ties are possible under this rule, if more than one </w:t>
      </w:r>
      <w:r w:rsidR="00BC5848">
        <w:t>clinician-group/practice</w:t>
      </w:r>
      <w:r>
        <w:t xml:space="preserve"> has the same number of claims for a given patient. </w:t>
      </w:r>
    </w:p>
    <w:p w14:paraId="5EB37BD5" w14:textId="5489529D" w:rsidR="003F1A40" w:rsidRDefault="003F1A40" w:rsidP="003F1A40">
      <w:r>
        <w:t xml:space="preserve">Under this rule, nearly 97 percent of patients are attributed to a single </w:t>
      </w:r>
      <w:r w:rsidR="00BC5848">
        <w:t>clinician-group/practice</w:t>
      </w:r>
      <w:r>
        <w:t xml:space="preserve"> and three percent to two because of ties, whereas attribution to three or more </w:t>
      </w:r>
      <w:r w:rsidR="00BC5848">
        <w:t>clinician-group/practice</w:t>
      </w:r>
      <w:r>
        <w:t>s is rare (</w:t>
      </w:r>
      <w:r>
        <w:fldChar w:fldCharType="begin"/>
      </w:r>
      <w:r>
        <w:instrText xml:space="preserve"> REF _Ref10011495 \h </w:instrText>
      </w:r>
      <w:r>
        <w:fldChar w:fldCharType="separate"/>
      </w:r>
      <w:r w:rsidR="00AB780E">
        <w:t xml:space="preserve">Figure </w:t>
      </w:r>
      <w:r w:rsidR="00AB780E">
        <w:rPr>
          <w:noProof/>
        </w:rPr>
        <w:t>2</w:t>
      </w:r>
      <w:r>
        <w:fldChar w:fldCharType="end"/>
      </w:r>
      <w:r>
        <w:t xml:space="preserve">). </w:t>
      </w:r>
    </w:p>
    <w:p w14:paraId="26A27C16" w14:textId="33333644" w:rsidR="003F1A40" w:rsidRDefault="003F1A40" w:rsidP="003F1A40">
      <w:pPr>
        <w:pStyle w:val="Caption"/>
      </w:pPr>
      <w:r>
        <w:t xml:space="preserve">Figure </w:t>
      </w:r>
      <w:fldSimple w:instr=" SEQ Figure \* ARABIC ">
        <w:r>
          <w:rPr>
            <w:noProof/>
          </w:rPr>
          <w:t>2</w:t>
        </w:r>
      </w:fldSimple>
      <w:r>
        <w:t xml:space="preserve">: Count of Patients by the Number of Plurality </w:t>
      </w:r>
      <w:r w:rsidR="00BC5848">
        <w:t>Clinician-group/practice</w:t>
      </w:r>
      <w:r>
        <w:t>s each Patient had during the Measurement Period 2015-2016</w:t>
      </w:r>
    </w:p>
    <w:p w14:paraId="427F2C70" w14:textId="77777777" w:rsidR="003F1A40" w:rsidRPr="00B42CB9" w:rsidRDefault="003F1A40" w:rsidP="003F1A40">
      <w:r>
        <w:rPr>
          <w:noProof/>
        </w:rPr>
        <w:drawing>
          <wp:inline distT="0" distB="0" distL="0" distR="0" wp14:anchorId="4DDC3A0A" wp14:editId="14AB603C">
            <wp:extent cx="5676900" cy="3044769"/>
            <wp:effectExtent l="0" t="0" r="0" b="3810"/>
            <wp:docPr id="13" name="Chart 13">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3D8935D" w14:textId="77777777" w:rsidR="003F1A40" w:rsidRDefault="003F1A40" w:rsidP="003F1A40"/>
    <w:p w14:paraId="469A25FC" w14:textId="26977622" w:rsidR="00AB780E" w:rsidRDefault="003F1A40" w:rsidP="003F1A40">
      <w:r>
        <w:t>The subsequent histogram (</w:t>
      </w:r>
      <w:r>
        <w:fldChar w:fldCharType="begin"/>
      </w:r>
      <w:r>
        <w:instrText xml:space="preserve"> REF _Ref10011613 \h </w:instrText>
      </w:r>
      <w:r>
        <w:fldChar w:fldCharType="separate"/>
      </w:r>
      <w:r>
        <w:t xml:space="preserve">Figure </w:t>
      </w:r>
      <w:r>
        <w:rPr>
          <w:noProof/>
        </w:rPr>
        <w:t>3</w:t>
      </w:r>
      <w:r>
        <w:fldChar w:fldCharType="end"/>
      </w:r>
      <w:r>
        <w:t xml:space="preserve">) shows the distribution of the proportion of claims for which the service was provided by the assigned “plurality </w:t>
      </w:r>
      <w:r w:rsidR="00BC5848">
        <w:t>clinician-group/practice</w:t>
      </w:r>
      <w:r>
        <w:t xml:space="preserve">”. On average, the assigned </w:t>
      </w:r>
      <w:r w:rsidR="00BC5848">
        <w:t>clinician-group/practice</w:t>
      </w:r>
      <w:r>
        <w:t xml:space="preserve"> issued 87 percent of a given patient's prescriptions with a median of nearly 99.999 percent, a first quartile of 77 percent and a third quartile of 99.999 percent. </w:t>
      </w:r>
    </w:p>
    <w:p w14:paraId="1CED539D" w14:textId="77777777" w:rsidR="00AB780E" w:rsidRDefault="00AB780E" w:rsidP="003F1A40"/>
    <w:p w14:paraId="56A30423" w14:textId="77777777" w:rsidR="00AB780E" w:rsidRDefault="00AB780E">
      <w:r>
        <w:br w:type="page"/>
      </w:r>
    </w:p>
    <w:p w14:paraId="22B00E2A" w14:textId="1B9BB0CC" w:rsidR="003F1A40" w:rsidRDefault="003F1A40" w:rsidP="003F1A40">
      <w:pPr>
        <w:pStyle w:val="Caption"/>
      </w:pPr>
      <w:r>
        <w:t xml:space="preserve">Figure </w:t>
      </w:r>
      <w:fldSimple w:instr=" SEQ Figure \* ARABIC ">
        <w:r>
          <w:rPr>
            <w:noProof/>
          </w:rPr>
          <w:t>3</w:t>
        </w:r>
      </w:fldSimple>
      <w:r>
        <w:t xml:space="preserve">: Proportion of Claims Issued by Plurality </w:t>
      </w:r>
      <w:r w:rsidR="00BC5848">
        <w:t>Clinician-group/practice</w:t>
      </w:r>
      <w:r>
        <w:t>s, 2015-2016 Measurement Period</w:t>
      </w:r>
    </w:p>
    <w:p w14:paraId="571C1E06" w14:textId="77777777" w:rsidR="003F1A40" w:rsidRDefault="003F1A40" w:rsidP="003F1A40">
      <w:r>
        <w:rPr>
          <w:noProof/>
        </w:rPr>
        <w:drawing>
          <wp:inline distT="0" distB="0" distL="0" distR="0" wp14:anchorId="0D97A608" wp14:editId="0DC93848">
            <wp:extent cx="5216056" cy="3922632"/>
            <wp:effectExtent l="0" t="0" r="3810" b="1905"/>
            <wp:docPr id="15" name="Picture 1" descr="img12.png">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img12.png">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44534" cy="3944048"/>
                    </a:xfrm>
                    <a:prstGeom prst="rect">
                      <a:avLst/>
                    </a:prstGeom>
                    <a:noFill/>
                    <a:extLst/>
                  </pic:spPr>
                </pic:pic>
              </a:graphicData>
            </a:graphic>
          </wp:inline>
        </w:drawing>
      </w:r>
    </w:p>
    <w:p w14:paraId="6CB8B1EE" w14:textId="77777777" w:rsidR="003F1A40" w:rsidRDefault="003F1A40" w:rsidP="003F1A40"/>
    <w:p w14:paraId="048EEAEE" w14:textId="77777777" w:rsidR="003F1A40" w:rsidRDefault="003F1A40" w:rsidP="00AB780E">
      <w:pPr>
        <w:pStyle w:val="Heading3"/>
      </w:pPr>
      <w:r>
        <w:t>Option 2: Attribute based on “plurality rule” using days covered</w:t>
      </w:r>
    </w:p>
    <w:p w14:paraId="79D75C7D" w14:textId="77777777" w:rsidR="003F1A40" w:rsidRDefault="003F1A40" w:rsidP="003F1A40">
      <w:r>
        <w:t xml:space="preserve">As the number of days covered by one prescription or dispensing event can differ, we repeat the attribution analysis based on days covered rather than prescribing events. </w:t>
      </w:r>
    </w:p>
    <w:p w14:paraId="560411CF" w14:textId="3EDA4FA9" w:rsidR="003F1A40" w:rsidRDefault="003F1A40" w:rsidP="003F1A40">
      <w:r>
        <w:t xml:space="preserve">Under this rule, 99 percent of patients are attributed to a single </w:t>
      </w:r>
      <w:r w:rsidR="00BC5848">
        <w:t>clinician-group/practice</w:t>
      </w:r>
      <w:r>
        <w:t>, less than one percent to two because of ties, and one-tenth of a percent to three or more (</w:t>
      </w:r>
      <w:r>
        <w:fldChar w:fldCharType="begin"/>
      </w:r>
      <w:r>
        <w:instrText xml:space="preserve"> REF _Ref10541521 \h </w:instrText>
      </w:r>
      <w:r>
        <w:fldChar w:fldCharType="separate"/>
      </w:r>
      <w:r>
        <w:t xml:space="preserve">Figure </w:t>
      </w:r>
      <w:r>
        <w:rPr>
          <w:noProof/>
        </w:rPr>
        <w:t>4</w:t>
      </w:r>
      <w:r>
        <w:fldChar w:fldCharType="end"/>
      </w:r>
      <w:r>
        <w:t xml:space="preserve">). </w:t>
      </w:r>
    </w:p>
    <w:p w14:paraId="3EB53C78" w14:textId="07685DD5" w:rsidR="00AB780E" w:rsidRDefault="00AB780E">
      <w:r>
        <w:br w:type="page"/>
      </w:r>
    </w:p>
    <w:p w14:paraId="752C0957" w14:textId="582EE028" w:rsidR="003F1A40" w:rsidRDefault="003F1A40" w:rsidP="003F1A40">
      <w:pPr>
        <w:pStyle w:val="Caption"/>
      </w:pPr>
      <w:r>
        <w:t xml:space="preserve">Figure </w:t>
      </w:r>
      <w:fldSimple w:instr=" SEQ Figure \* ARABIC ">
        <w:r>
          <w:rPr>
            <w:noProof/>
          </w:rPr>
          <w:t>4</w:t>
        </w:r>
      </w:fldSimple>
      <w:r>
        <w:t xml:space="preserve">: Count of Patients by the Number of Plurality </w:t>
      </w:r>
      <w:r w:rsidR="00BC5848">
        <w:t>Clinician-group/practice</w:t>
      </w:r>
      <w:r>
        <w:t>s (calculated using days covered) each Patient had during the Measurement Period 2015-2016</w:t>
      </w:r>
    </w:p>
    <w:p w14:paraId="356F31F6" w14:textId="77777777" w:rsidR="003F1A40" w:rsidRPr="00B42CB9" w:rsidRDefault="003F1A40" w:rsidP="003F1A40">
      <w:r>
        <w:rPr>
          <w:noProof/>
        </w:rPr>
        <w:drawing>
          <wp:inline distT="0" distB="0" distL="0" distR="0" wp14:anchorId="7B80DE8C" wp14:editId="19E68A23">
            <wp:extent cx="5669280" cy="3092450"/>
            <wp:effectExtent l="0" t="0" r="7620" b="12700"/>
            <wp:docPr id="18" name="Chart 18">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5DC7ED1" w14:textId="77777777" w:rsidR="003F1A40" w:rsidRDefault="003F1A40" w:rsidP="003F1A40"/>
    <w:p w14:paraId="76F9C03C" w14:textId="38AC7E18" w:rsidR="003F1A40" w:rsidRDefault="003F1A40" w:rsidP="003F1A40">
      <w:r>
        <w:t xml:space="preserve">The subsequent histogram shows the distribution of the proportion of days covered by the assigned “plurality </w:t>
      </w:r>
      <w:r w:rsidR="00BC5848">
        <w:t>clinician-group/practice</w:t>
      </w:r>
      <w:r>
        <w:t xml:space="preserve">’s” prescriptions. On average, the assigned </w:t>
      </w:r>
      <w:r w:rsidR="00BC5848">
        <w:t>clinician-group/practice</w:t>
      </w:r>
      <w:r>
        <w:t xml:space="preserve"> issued 83 percent of days on which a given patient had a valid prescription, with a median of 99.999 percent, a first quartile of 68 percent and a third quartile of 99.999 percent (</w:t>
      </w:r>
      <w:r>
        <w:fldChar w:fldCharType="begin"/>
      </w:r>
      <w:r>
        <w:instrText xml:space="preserve"> REF _Ref10541647 \h </w:instrText>
      </w:r>
      <w:r>
        <w:fldChar w:fldCharType="separate"/>
      </w:r>
      <w:r>
        <w:t xml:space="preserve">Figure </w:t>
      </w:r>
      <w:r>
        <w:rPr>
          <w:noProof/>
        </w:rPr>
        <w:t>5</w:t>
      </w:r>
      <w:r>
        <w:fldChar w:fldCharType="end"/>
      </w:r>
      <w:r>
        <w:t>).</w:t>
      </w:r>
    </w:p>
    <w:p w14:paraId="6650B35B" w14:textId="77777777" w:rsidR="003F1A40" w:rsidRDefault="003F1A40" w:rsidP="003F1A40">
      <w:r>
        <w:br w:type="page"/>
      </w:r>
    </w:p>
    <w:p w14:paraId="40FDAA1C" w14:textId="39B0AC50" w:rsidR="003F1A40" w:rsidRDefault="003F1A40" w:rsidP="003F1A40">
      <w:pPr>
        <w:pStyle w:val="Caption"/>
      </w:pPr>
      <w:r>
        <w:t xml:space="preserve">Figure </w:t>
      </w:r>
      <w:fldSimple w:instr=" SEQ Figure \* ARABIC ">
        <w:r>
          <w:t>5</w:t>
        </w:r>
      </w:fldSimple>
      <w:r>
        <w:t xml:space="preserve">: </w:t>
      </w:r>
      <w:r w:rsidRPr="00AA0134">
        <w:t xml:space="preserve">Proportion of </w:t>
      </w:r>
      <w:r>
        <w:t xml:space="preserve">Prescription Days Covered </w:t>
      </w:r>
      <w:r w:rsidRPr="00AA0134">
        <w:t xml:space="preserve">by Plurality </w:t>
      </w:r>
      <w:r w:rsidR="00BC5848">
        <w:t>Clinician-group/practice</w:t>
      </w:r>
      <w:r>
        <w:t>s</w:t>
      </w:r>
      <w:r w:rsidRPr="00AA0134">
        <w:t>, 2015-2016 Measurement Period</w:t>
      </w:r>
    </w:p>
    <w:p w14:paraId="5E73DE45" w14:textId="77777777" w:rsidR="003F1A40" w:rsidRDefault="003F1A40" w:rsidP="003F1A40">
      <w:r>
        <w:rPr>
          <w:noProof/>
        </w:rPr>
        <w:drawing>
          <wp:inline distT="0" distB="0" distL="0" distR="0" wp14:anchorId="3C4E1C22" wp14:editId="1B9A1FC4">
            <wp:extent cx="4851400" cy="3648399"/>
            <wp:effectExtent l="0" t="0" r="6350" b="9525"/>
            <wp:docPr id="20" name="Picture 2" descr="img15.png">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mg15.png">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80328" cy="3670154"/>
                    </a:xfrm>
                    <a:prstGeom prst="rect">
                      <a:avLst/>
                    </a:prstGeom>
                    <a:noFill/>
                    <a:extLst/>
                  </pic:spPr>
                </pic:pic>
              </a:graphicData>
            </a:graphic>
          </wp:inline>
        </w:drawing>
      </w:r>
    </w:p>
    <w:p w14:paraId="1E22DEB3" w14:textId="77777777" w:rsidR="003F1A40" w:rsidRDefault="003F1A40" w:rsidP="003F1A40">
      <w:pPr>
        <w:rPr>
          <w:rFonts w:asciiTheme="majorHAnsi" w:eastAsiaTheme="majorEastAsia" w:hAnsiTheme="majorHAnsi" w:cstheme="majorBidi"/>
          <w:color w:val="2E74B5" w:themeColor="accent1" w:themeShade="BF"/>
          <w:sz w:val="26"/>
          <w:szCs w:val="26"/>
        </w:rPr>
      </w:pPr>
    </w:p>
    <w:p w14:paraId="3AC64681" w14:textId="77777777" w:rsidR="003F1A40" w:rsidRDefault="003F1A40" w:rsidP="003F1A40">
      <w:pPr>
        <w:pStyle w:val="Heading3"/>
      </w:pPr>
      <w:r>
        <w:t>Option 3: Attribute based on “majority rule” using claims</w:t>
      </w:r>
    </w:p>
    <w:p w14:paraId="638B95A8" w14:textId="49CF59A5" w:rsidR="003F1A40" w:rsidRDefault="003F1A40" w:rsidP="003F1A40">
      <w:r>
        <w:t xml:space="preserve">The majority rule means that a </w:t>
      </w:r>
      <w:r w:rsidR="00BC5848">
        <w:t>clinician-group/practice</w:t>
      </w:r>
      <w:r>
        <w:t xml:space="preserve"> is deemed “responsible” for the patient, if its TIN corresponds to the strict majority (&gt;50%) of prescription drug claims for the patient during a measurement period. Ties are not possible under this rule. </w:t>
      </w:r>
    </w:p>
    <w:p w14:paraId="7CF94337" w14:textId="7BEB6967" w:rsidR="003F1A40" w:rsidRDefault="003F1A40" w:rsidP="003F1A40">
      <w:r>
        <w:t xml:space="preserve">Under this rule, 87 percent of patients are attributed to a </w:t>
      </w:r>
      <w:r w:rsidR="00BC5848">
        <w:t>clinician-group/practice</w:t>
      </w:r>
      <w:r>
        <w:t xml:space="preserve">, and 13 percent cannot be attributed because no single </w:t>
      </w:r>
      <w:r w:rsidR="00BC5848">
        <w:t>clinician-group/practice</w:t>
      </w:r>
      <w:r>
        <w:t xml:space="preserve"> had the strict majority of claims (</w:t>
      </w:r>
      <w:r>
        <w:fldChar w:fldCharType="begin"/>
      </w:r>
      <w:r>
        <w:instrText xml:space="preserve"> REF _Ref10011763 \h </w:instrText>
      </w:r>
      <w:r>
        <w:fldChar w:fldCharType="separate"/>
      </w:r>
      <w:r>
        <w:t xml:space="preserve">Figure </w:t>
      </w:r>
      <w:r>
        <w:rPr>
          <w:noProof/>
        </w:rPr>
        <w:t>6</w:t>
      </w:r>
      <w:r>
        <w:fldChar w:fldCharType="end"/>
      </w:r>
      <w:r>
        <w:t xml:space="preserve">). </w:t>
      </w:r>
    </w:p>
    <w:p w14:paraId="0194987C" w14:textId="77777777" w:rsidR="003F1A40" w:rsidRDefault="003F1A40" w:rsidP="003F1A40">
      <w:r>
        <w:br w:type="page"/>
      </w:r>
    </w:p>
    <w:p w14:paraId="3CAA7822" w14:textId="19DDA5A6" w:rsidR="003F1A40" w:rsidRPr="00B42CB9" w:rsidRDefault="003F1A40" w:rsidP="003F1A40">
      <w:pPr>
        <w:pStyle w:val="Caption"/>
      </w:pPr>
      <w:r>
        <w:t xml:space="preserve">Figure </w:t>
      </w:r>
      <w:r>
        <w:rPr>
          <w:i w:val="0"/>
          <w:iCs w:val="0"/>
        </w:rPr>
        <w:fldChar w:fldCharType="begin"/>
      </w:r>
      <w:r>
        <w:rPr>
          <w:i w:val="0"/>
          <w:iCs w:val="0"/>
        </w:rPr>
        <w:instrText xml:space="preserve"> SEQ Figure \* ARABIC </w:instrText>
      </w:r>
      <w:r>
        <w:rPr>
          <w:i w:val="0"/>
          <w:iCs w:val="0"/>
        </w:rPr>
        <w:fldChar w:fldCharType="separate"/>
      </w:r>
      <w:r>
        <w:rPr>
          <w:noProof/>
        </w:rPr>
        <w:t>6</w:t>
      </w:r>
      <w:r>
        <w:rPr>
          <w:i w:val="0"/>
          <w:iCs w:val="0"/>
          <w:noProof/>
          <w:color w:val="auto"/>
          <w:sz w:val="22"/>
          <w:szCs w:val="22"/>
        </w:rPr>
        <w:fldChar w:fldCharType="end"/>
      </w:r>
      <w:r>
        <w:t xml:space="preserve">: </w:t>
      </w:r>
      <w:r w:rsidRPr="00B362D4">
        <w:t xml:space="preserve">Count of Patients by Whether or Not they had a Majority </w:t>
      </w:r>
      <w:r w:rsidR="00BC5848">
        <w:t>Clinician-group/practice</w:t>
      </w:r>
      <w:r w:rsidRPr="00B362D4">
        <w:t xml:space="preserve"> during the Measurement Period 2015-2016</w:t>
      </w:r>
    </w:p>
    <w:p w14:paraId="72CF74D6" w14:textId="77777777" w:rsidR="003F1A40" w:rsidRDefault="003F1A40" w:rsidP="003F1A40">
      <w:r>
        <w:rPr>
          <w:noProof/>
        </w:rPr>
        <w:drawing>
          <wp:inline distT="0" distB="0" distL="0" distR="0" wp14:anchorId="02C16CC3" wp14:editId="51761E0D">
            <wp:extent cx="5281295" cy="3291840"/>
            <wp:effectExtent l="0" t="0" r="14605" b="3810"/>
            <wp:docPr id="14" name="Chart 1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BC21BCC" w14:textId="77777777" w:rsidR="003F1A40" w:rsidRDefault="003F1A40" w:rsidP="003F1A40"/>
    <w:p w14:paraId="00B123E0" w14:textId="1C49327D" w:rsidR="003F1A40" w:rsidRDefault="003F1A40" w:rsidP="003F1A40">
      <w:r>
        <w:t>The subsequent histogram (</w:t>
      </w:r>
      <w:r>
        <w:fldChar w:fldCharType="begin"/>
      </w:r>
      <w:r>
        <w:instrText xml:space="preserve"> REF _Ref10541730 \h </w:instrText>
      </w:r>
      <w:r>
        <w:fldChar w:fldCharType="separate"/>
      </w:r>
      <w:r>
        <w:t xml:space="preserve">Figure </w:t>
      </w:r>
      <w:r>
        <w:rPr>
          <w:noProof/>
        </w:rPr>
        <w:t>7</w:t>
      </w:r>
      <w:r>
        <w:fldChar w:fldCharType="end"/>
      </w:r>
      <w:r>
        <w:t xml:space="preserve">) shows the proportion of claims associated with the assigned majority </w:t>
      </w:r>
      <w:r w:rsidR="00BC5848">
        <w:t>clinician-group/practice</w:t>
      </w:r>
      <w:r>
        <w:t xml:space="preserve">. On average, the assigned </w:t>
      </w:r>
      <w:r w:rsidR="00BC5848">
        <w:t>clinician-group/practice</w:t>
      </w:r>
      <w:r>
        <w:t xml:space="preserve"> issued 93 percent of a given patient’s prescriptions, with a median of 99.999 percent, a first quartile of 91 percent and a third quartile of 99.999 percent. </w:t>
      </w:r>
    </w:p>
    <w:p w14:paraId="26B9F5C9" w14:textId="77777777" w:rsidR="003F1A40" w:rsidRDefault="003F1A40" w:rsidP="003F1A40">
      <w:r>
        <w:br w:type="page"/>
      </w:r>
    </w:p>
    <w:p w14:paraId="4716D658" w14:textId="3F22AED7" w:rsidR="003F1A40" w:rsidRDefault="003F1A40" w:rsidP="003F1A40">
      <w:pPr>
        <w:pStyle w:val="Caption"/>
      </w:pPr>
      <w:r>
        <w:t xml:space="preserve">Figure </w:t>
      </w:r>
      <w:fldSimple w:instr=" SEQ Figure \* ARABIC ">
        <w:r>
          <w:rPr>
            <w:noProof/>
          </w:rPr>
          <w:t>7</w:t>
        </w:r>
      </w:fldSimple>
      <w:r>
        <w:t xml:space="preserve">: Proportion of Claims Issued by Majority </w:t>
      </w:r>
      <w:r w:rsidR="00BC5848">
        <w:t>Clinician-group/practice</w:t>
      </w:r>
      <w:r>
        <w:t>s, 2015-2016 Measurement Period</w:t>
      </w:r>
    </w:p>
    <w:p w14:paraId="5229C765" w14:textId="77777777" w:rsidR="003F1A40" w:rsidRPr="00B42CB9" w:rsidRDefault="003F1A40" w:rsidP="003F1A40">
      <w:r>
        <w:rPr>
          <w:noProof/>
        </w:rPr>
        <w:drawing>
          <wp:inline distT="0" distB="0" distL="0" distR="0" wp14:anchorId="3B6BAED1" wp14:editId="2D1E6D75">
            <wp:extent cx="4810539" cy="3617669"/>
            <wp:effectExtent l="0" t="0" r="9525" b="1905"/>
            <wp:docPr id="23" name="Picture 1" descr="img14.png">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img14.png">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5598" cy="3666595"/>
                    </a:xfrm>
                    <a:prstGeom prst="rect">
                      <a:avLst/>
                    </a:prstGeom>
                    <a:noFill/>
                    <a:extLst/>
                  </pic:spPr>
                </pic:pic>
              </a:graphicData>
            </a:graphic>
          </wp:inline>
        </w:drawing>
      </w:r>
    </w:p>
    <w:p w14:paraId="27D3528C" w14:textId="77777777" w:rsidR="003F1A40" w:rsidRDefault="003F1A40" w:rsidP="003F1A40"/>
    <w:p w14:paraId="71128B11" w14:textId="77777777" w:rsidR="003F1A40" w:rsidRDefault="003F1A40" w:rsidP="003F1A40">
      <w:pPr>
        <w:pStyle w:val="Heading3"/>
      </w:pPr>
      <w:r>
        <w:t>Option 4: Attribute based on “majority rule” using days covered</w:t>
      </w:r>
    </w:p>
    <w:p w14:paraId="6F6DEC94" w14:textId="77777777" w:rsidR="003F1A40" w:rsidRDefault="003F1A40" w:rsidP="003F1A40">
      <w:r>
        <w:t xml:space="preserve">As the number of days covered by one prescription or dispensing event can differ, we repeated the attribution analysis based on days covered rather than prescribing events. </w:t>
      </w:r>
    </w:p>
    <w:p w14:paraId="6719EF10" w14:textId="29D26012" w:rsidR="003F1A40" w:rsidRDefault="003F1A40" w:rsidP="003F1A40">
      <w:r>
        <w:t xml:space="preserve">Under this rule, 91 percent of patients are attributed to a </w:t>
      </w:r>
      <w:r w:rsidR="00BC5848">
        <w:t>clinician-group/practice</w:t>
      </w:r>
      <w:r>
        <w:t xml:space="preserve">, and nine percent cannot be attributed because no single </w:t>
      </w:r>
      <w:r w:rsidR="00BC5848">
        <w:t>clinician-group/practice</w:t>
      </w:r>
      <w:r>
        <w:t xml:space="preserve"> had the strict majority of claims (</w:t>
      </w:r>
      <w:r>
        <w:fldChar w:fldCharType="begin"/>
      </w:r>
      <w:r>
        <w:instrText xml:space="preserve"> REF _Ref10546152 \h </w:instrText>
      </w:r>
      <w:r>
        <w:fldChar w:fldCharType="separate"/>
      </w:r>
      <w:r>
        <w:t xml:space="preserve">Figure </w:t>
      </w:r>
      <w:r>
        <w:rPr>
          <w:noProof/>
        </w:rPr>
        <w:t>8</w:t>
      </w:r>
      <w:r>
        <w:fldChar w:fldCharType="end"/>
      </w:r>
      <w:r>
        <w:t xml:space="preserve">). </w:t>
      </w:r>
    </w:p>
    <w:p w14:paraId="68F5180B" w14:textId="77777777" w:rsidR="003F1A40" w:rsidRDefault="003F1A40" w:rsidP="003F1A40">
      <w:r>
        <w:br w:type="page"/>
      </w:r>
    </w:p>
    <w:p w14:paraId="1DA85908" w14:textId="06BC5B73" w:rsidR="003F1A40" w:rsidRDefault="003F1A40" w:rsidP="003F1A40">
      <w:pPr>
        <w:pStyle w:val="Caption"/>
      </w:pPr>
      <w:r>
        <w:t xml:space="preserve">Figure </w:t>
      </w:r>
      <w:fldSimple w:instr=" SEQ Figure \* ARABIC ">
        <w:r>
          <w:rPr>
            <w:noProof/>
          </w:rPr>
          <w:t>8</w:t>
        </w:r>
      </w:fldSimple>
      <w:r>
        <w:t xml:space="preserve">: Count of Patients by Whether or Not they had a Majority </w:t>
      </w:r>
      <w:r w:rsidR="00BC5848">
        <w:t>Clinician-group/practice</w:t>
      </w:r>
      <w:r>
        <w:t xml:space="preserve"> (calculated using days covered) during the Measurement Period 2015-2016</w:t>
      </w:r>
    </w:p>
    <w:p w14:paraId="5E6C451F" w14:textId="77777777" w:rsidR="003F1A40" w:rsidRDefault="003F1A40" w:rsidP="003F1A40">
      <w:r>
        <w:rPr>
          <w:noProof/>
        </w:rPr>
        <w:drawing>
          <wp:inline distT="0" distB="0" distL="0" distR="0" wp14:anchorId="0359D9B4" wp14:editId="29018AB6">
            <wp:extent cx="5281295" cy="3291840"/>
            <wp:effectExtent l="0" t="0" r="14605" b="3810"/>
            <wp:docPr id="24" name="Chart 2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AA49F75" w14:textId="77777777" w:rsidR="003F1A40" w:rsidRDefault="003F1A40" w:rsidP="003F1A40"/>
    <w:p w14:paraId="18864C9C" w14:textId="231B53AD" w:rsidR="003F1A40" w:rsidRDefault="003F1A40" w:rsidP="003F1A40">
      <w:r>
        <w:t xml:space="preserve">The subsequent histogram shows the proportion of days covered by the assigned “majority </w:t>
      </w:r>
      <w:r w:rsidR="00BC5848">
        <w:t>clinician-group/practice</w:t>
      </w:r>
      <w:r>
        <w:t xml:space="preserve">’s” prescription. </w:t>
      </w:r>
      <w:r w:rsidRPr="001761E2">
        <w:t xml:space="preserve">On average, the assigned </w:t>
      </w:r>
      <w:r w:rsidR="00BC5848">
        <w:t>clinician-group/practice</w:t>
      </w:r>
      <w:r w:rsidRPr="001761E2">
        <w:t xml:space="preserve"> issued </w:t>
      </w:r>
      <w:r>
        <w:t>91</w:t>
      </w:r>
      <w:r w:rsidRPr="001761E2">
        <w:t xml:space="preserve"> percent of </w:t>
      </w:r>
      <w:r>
        <w:t xml:space="preserve">days in which </w:t>
      </w:r>
      <w:r w:rsidRPr="001761E2">
        <w:t>a given patient</w:t>
      </w:r>
      <w:r>
        <w:t xml:space="preserve"> has a valid</w:t>
      </w:r>
      <w:r w:rsidRPr="001761E2">
        <w:t xml:space="preserve"> prescription</w:t>
      </w:r>
      <w:r>
        <w:t>,</w:t>
      </w:r>
      <w:r w:rsidRPr="001761E2">
        <w:t xml:space="preserve"> with a median of 99</w:t>
      </w:r>
      <w:r>
        <w:t>.999</w:t>
      </w:r>
      <w:r w:rsidRPr="001761E2">
        <w:t xml:space="preserve"> percent</w:t>
      </w:r>
      <w:r>
        <w:t>, a first quartile of 87 percent and a third quartile of 99.999 percent (</w:t>
      </w:r>
      <w:r>
        <w:fldChar w:fldCharType="begin"/>
      </w:r>
      <w:r>
        <w:instrText xml:space="preserve"> REF _Ref10546212 \h </w:instrText>
      </w:r>
      <w:r>
        <w:fldChar w:fldCharType="separate"/>
      </w:r>
      <w:r>
        <w:t xml:space="preserve">Figure </w:t>
      </w:r>
      <w:r>
        <w:rPr>
          <w:noProof/>
        </w:rPr>
        <w:t>9</w:t>
      </w:r>
      <w:r>
        <w:fldChar w:fldCharType="end"/>
      </w:r>
      <w:r>
        <w:t>)</w:t>
      </w:r>
      <w:r w:rsidRPr="001761E2">
        <w:t>.</w:t>
      </w:r>
    </w:p>
    <w:p w14:paraId="7335AEF2" w14:textId="77777777" w:rsidR="003F1A40" w:rsidRDefault="003F1A40" w:rsidP="003F1A40">
      <w:r>
        <w:br w:type="page"/>
      </w:r>
    </w:p>
    <w:p w14:paraId="6D85758B" w14:textId="5D7CEE3F" w:rsidR="003F1A40" w:rsidRDefault="003F1A40" w:rsidP="003F1A40">
      <w:pPr>
        <w:pStyle w:val="Caption"/>
      </w:pPr>
      <w:r>
        <w:t xml:space="preserve">Figure </w:t>
      </w:r>
      <w:fldSimple w:instr=" SEQ Figure \* ARABIC ">
        <w:r>
          <w:rPr>
            <w:noProof/>
          </w:rPr>
          <w:t>9</w:t>
        </w:r>
      </w:fldSimple>
      <w:r>
        <w:t xml:space="preserve">: </w:t>
      </w:r>
      <w:r w:rsidRPr="00AA0134">
        <w:t xml:space="preserve">Proportion of </w:t>
      </w:r>
      <w:r>
        <w:t xml:space="preserve">Prescription Days Covered </w:t>
      </w:r>
      <w:r w:rsidRPr="00AA0134">
        <w:t xml:space="preserve">by </w:t>
      </w:r>
      <w:r>
        <w:t>Majority</w:t>
      </w:r>
      <w:r w:rsidRPr="00AA0134">
        <w:t xml:space="preserve"> </w:t>
      </w:r>
      <w:r w:rsidR="00BC5848">
        <w:t>Clinician-group/practice</w:t>
      </w:r>
      <w:r>
        <w:t>s</w:t>
      </w:r>
      <w:r w:rsidRPr="00AA0134">
        <w:t>, 2015-2016 Measurement Period</w:t>
      </w:r>
    </w:p>
    <w:p w14:paraId="33FB4A9C" w14:textId="77777777" w:rsidR="003F1A40" w:rsidRPr="00057610" w:rsidRDefault="003F1A40" w:rsidP="003F1A40">
      <w:r>
        <w:rPr>
          <w:noProof/>
        </w:rPr>
        <w:drawing>
          <wp:inline distT="0" distB="0" distL="0" distR="0" wp14:anchorId="3B33240F" wp14:editId="33FB3947">
            <wp:extent cx="4683893" cy="3522428"/>
            <wp:effectExtent l="0" t="0" r="2540" b="1905"/>
            <wp:docPr id="16" name="Picture 2" descr="img17.png">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mg17.png">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90235" cy="3527198"/>
                    </a:xfrm>
                    <a:prstGeom prst="rect">
                      <a:avLst/>
                    </a:prstGeom>
                    <a:noFill/>
                    <a:extLst/>
                  </pic:spPr>
                </pic:pic>
              </a:graphicData>
            </a:graphic>
          </wp:inline>
        </w:drawing>
      </w:r>
    </w:p>
    <w:p w14:paraId="4A6A18EA" w14:textId="77777777" w:rsidR="003F1A40" w:rsidRDefault="003F1A40" w:rsidP="003F1A40"/>
    <w:p w14:paraId="634AA578" w14:textId="77777777" w:rsidR="003F1A40" w:rsidRDefault="003F1A40" w:rsidP="003F1A40">
      <w:pPr>
        <w:pStyle w:val="Heading2"/>
      </w:pPr>
      <w:r>
        <w:t>Concordance analysis</w:t>
      </w:r>
    </w:p>
    <w:p w14:paraId="41BACBFA" w14:textId="770485FD" w:rsidR="003F1A40" w:rsidRDefault="003F1A40" w:rsidP="003F1A40">
      <w:r>
        <w:fldChar w:fldCharType="begin"/>
      </w:r>
      <w:r>
        <w:instrText xml:space="preserve"> REF _Ref10642193 \h </w:instrText>
      </w:r>
      <w:r>
        <w:fldChar w:fldCharType="separate"/>
      </w:r>
      <w:r>
        <w:t xml:space="preserve">Table </w:t>
      </w:r>
      <w:r>
        <w:rPr>
          <w:noProof/>
        </w:rPr>
        <w:t>2</w:t>
      </w:r>
      <w:r>
        <w:fldChar w:fldCharType="end"/>
      </w:r>
      <w:r>
        <w:t xml:space="preserve"> displays the degree of agreement between each pairing of the four potential attribution rules. Each of the six values in the table represents the proportion of cases in which a patient would be assigned to the same </w:t>
      </w:r>
      <w:r w:rsidR="00BC5848">
        <w:t>clinician-group/practice</w:t>
      </w:r>
      <w:r>
        <w:t xml:space="preserve"> under both of two attribution rules. The results show that the different rules typically yield the same assignment. For example, 91 percent of all patients would be attributed to the same </w:t>
      </w:r>
      <w:r w:rsidR="00BC5848">
        <w:t>clinician-group/practice</w:t>
      </w:r>
      <w:r>
        <w:t>s under either the plurality rule using days covered or under the majority rule using number of claims. The results also show that the attribution rule with the highest agreement with the other three rules was plurality by days covered.</w:t>
      </w:r>
    </w:p>
    <w:p w14:paraId="3630186D" w14:textId="77777777" w:rsidR="003F1A40" w:rsidRDefault="003F1A40" w:rsidP="003F1A40"/>
    <w:p w14:paraId="6E25E8EF" w14:textId="77777777" w:rsidR="003F1A40" w:rsidRDefault="003F1A40" w:rsidP="003F1A40">
      <w:pPr>
        <w:pStyle w:val="Caption"/>
      </w:pPr>
      <w:r>
        <w:t xml:space="preserve">Table </w:t>
      </w:r>
      <w:fldSimple w:instr=" SEQ Table \* ARABIC ">
        <w:r>
          <w:rPr>
            <w:noProof/>
          </w:rPr>
          <w:t>2</w:t>
        </w:r>
      </w:fldSimple>
      <w:r>
        <w:t>: Proportion of Agreement under Different Attribution Rules</w:t>
      </w:r>
    </w:p>
    <w:tbl>
      <w:tblPr>
        <w:tblStyle w:val="PlainTable3"/>
        <w:tblW w:w="7619" w:type="dxa"/>
        <w:tblLook w:val="04A0" w:firstRow="1" w:lastRow="0" w:firstColumn="1" w:lastColumn="0" w:noHBand="0" w:noVBand="1"/>
      </w:tblPr>
      <w:tblGrid>
        <w:gridCol w:w="2035"/>
        <w:gridCol w:w="1854"/>
        <w:gridCol w:w="1899"/>
        <w:gridCol w:w="1831"/>
      </w:tblGrid>
      <w:tr w:rsidR="003F1A40" w:rsidRPr="004B0339" w14:paraId="191F523B" w14:textId="77777777" w:rsidTr="002F6C77">
        <w:trPr>
          <w:cnfStyle w:val="100000000000" w:firstRow="1" w:lastRow="0" w:firstColumn="0" w:lastColumn="0" w:oddVBand="0" w:evenVBand="0" w:oddHBand="0" w:evenHBand="0" w:firstRowFirstColumn="0" w:firstRowLastColumn="0" w:lastRowFirstColumn="0" w:lastRowLastColumn="0"/>
          <w:trHeight w:val="679"/>
        </w:trPr>
        <w:tc>
          <w:tcPr>
            <w:cnfStyle w:val="001000000100" w:firstRow="0" w:lastRow="0" w:firstColumn="1" w:lastColumn="0" w:oddVBand="0" w:evenVBand="0" w:oddHBand="0" w:evenHBand="0" w:firstRowFirstColumn="1" w:firstRowLastColumn="0" w:lastRowFirstColumn="0" w:lastRowLastColumn="0"/>
            <w:tcW w:w="2035" w:type="dxa"/>
            <w:hideMark/>
          </w:tcPr>
          <w:p w14:paraId="3F6602C6" w14:textId="77777777" w:rsidR="003F1A40" w:rsidRPr="004B0339" w:rsidRDefault="003F1A40" w:rsidP="002F6C77">
            <w:pPr>
              <w:rPr>
                <w:rFonts w:ascii="Times New Roman" w:eastAsia="Times New Roman" w:hAnsi="Times New Roman" w:cs="Times New Roman"/>
                <w:sz w:val="24"/>
                <w:szCs w:val="24"/>
              </w:rPr>
            </w:pPr>
          </w:p>
        </w:tc>
        <w:tc>
          <w:tcPr>
            <w:tcW w:w="1854" w:type="dxa"/>
            <w:hideMark/>
          </w:tcPr>
          <w:p w14:paraId="478539C6" w14:textId="77777777" w:rsidR="003F1A40" w:rsidRPr="004B0339" w:rsidRDefault="003F1A40" w:rsidP="002F6C7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Plurality by days covered</w:t>
            </w:r>
          </w:p>
        </w:tc>
        <w:tc>
          <w:tcPr>
            <w:tcW w:w="1899" w:type="dxa"/>
            <w:hideMark/>
          </w:tcPr>
          <w:p w14:paraId="5D064495" w14:textId="77777777" w:rsidR="003F1A40" w:rsidRPr="004B0339" w:rsidRDefault="003F1A40" w:rsidP="002F6C7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Plurality by claims</w:t>
            </w:r>
          </w:p>
        </w:tc>
        <w:tc>
          <w:tcPr>
            <w:tcW w:w="1831" w:type="dxa"/>
            <w:hideMark/>
          </w:tcPr>
          <w:p w14:paraId="5481F84C" w14:textId="77777777" w:rsidR="003F1A40" w:rsidRPr="004B0339" w:rsidRDefault="003F1A40" w:rsidP="002F6C77">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4B0339">
              <w:rPr>
                <w:rFonts w:ascii="Calibri" w:eastAsia="Times New Roman" w:hAnsi="Calibri" w:cs="Calibri"/>
              </w:rPr>
              <w:t>Majority by days covered</w:t>
            </w:r>
          </w:p>
        </w:tc>
      </w:tr>
      <w:tr w:rsidR="003F1A40" w:rsidRPr="004B0339" w14:paraId="401B477E" w14:textId="77777777" w:rsidTr="002F6C77">
        <w:trPr>
          <w:cnfStyle w:val="000000100000" w:firstRow="0" w:lastRow="0" w:firstColumn="0" w:lastColumn="0" w:oddVBand="0" w:evenVBand="0" w:oddHBand="1" w:evenHBand="0" w:firstRowFirstColumn="0" w:firstRowLastColumn="0" w:lastRowFirstColumn="0" w:lastRowLastColumn="0"/>
          <w:trHeight w:val="810"/>
        </w:trPr>
        <w:tc>
          <w:tcPr>
            <w:cnfStyle w:val="001000000000" w:firstRow="0" w:lastRow="0" w:firstColumn="1" w:lastColumn="0" w:oddVBand="0" w:evenVBand="0" w:oddHBand="0" w:evenHBand="0" w:firstRowFirstColumn="0" w:firstRowLastColumn="0" w:lastRowFirstColumn="0" w:lastRowLastColumn="0"/>
            <w:tcW w:w="2035" w:type="dxa"/>
            <w:hideMark/>
          </w:tcPr>
          <w:p w14:paraId="61A25402" w14:textId="77777777" w:rsidR="003F1A40" w:rsidRPr="00F10251" w:rsidRDefault="003F1A40" w:rsidP="002F6C77">
            <w:pPr>
              <w:jc w:val="center"/>
              <w:rPr>
                <w:rFonts w:ascii="Calibri" w:eastAsia="Times New Roman" w:hAnsi="Calibri" w:cs="Calibri"/>
                <w:sz w:val="20"/>
              </w:rPr>
            </w:pPr>
            <w:r w:rsidRPr="00F10251">
              <w:rPr>
                <w:rFonts w:ascii="Calibri" w:eastAsia="Times New Roman" w:hAnsi="Calibri" w:cs="Calibri"/>
                <w:sz w:val="20"/>
              </w:rPr>
              <w:t>Plurality by claims</w:t>
            </w:r>
          </w:p>
        </w:tc>
        <w:tc>
          <w:tcPr>
            <w:tcW w:w="1854" w:type="dxa"/>
            <w:vAlign w:val="bottom"/>
            <w:hideMark/>
          </w:tcPr>
          <w:p w14:paraId="2B7DC1DF" w14:textId="77777777" w:rsidR="003F1A40" w:rsidRPr="004B0339" w:rsidRDefault="003F1A40" w:rsidP="002F6C77">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Pr>
                <w:rFonts w:ascii="Calibri" w:hAnsi="Calibri" w:cs="Calibri"/>
              </w:rPr>
              <w:t>96%</w:t>
            </w:r>
          </w:p>
        </w:tc>
        <w:tc>
          <w:tcPr>
            <w:tcW w:w="1899" w:type="dxa"/>
            <w:vAlign w:val="bottom"/>
            <w:hideMark/>
          </w:tcPr>
          <w:p w14:paraId="12834621" w14:textId="77777777" w:rsidR="003F1A40" w:rsidRPr="004B0339" w:rsidRDefault="003F1A40" w:rsidP="002F6C77">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p>
        </w:tc>
        <w:tc>
          <w:tcPr>
            <w:tcW w:w="1831" w:type="dxa"/>
            <w:vAlign w:val="bottom"/>
            <w:hideMark/>
          </w:tcPr>
          <w:p w14:paraId="512629B8" w14:textId="77777777" w:rsidR="003F1A40" w:rsidRPr="004B0339" w:rsidRDefault="003F1A40" w:rsidP="002F6C77">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p>
        </w:tc>
      </w:tr>
      <w:tr w:rsidR="003F1A40" w:rsidRPr="004B0339" w14:paraId="3287F6A2" w14:textId="77777777" w:rsidTr="002F6C77">
        <w:trPr>
          <w:trHeight w:val="948"/>
        </w:trPr>
        <w:tc>
          <w:tcPr>
            <w:cnfStyle w:val="001000000000" w:firstRow="0" w:lastRow="0" w:firstColumn="1" w:lastColumn="0" w:oddVBand="0" w:evenVBand="0" w:oddHBand="0" w:evenHBand="0" w:firstRowFirstColumn="0" w:firstRowLastColumn="0" w:lastRowFirstColumn="0" w:lastRowLastColumn="0"/>
            <w:tcW w:w="2035" w:type="dxa"/>
            <w:hideMark/>
          </w:tcPr>
          <w:p w14:paraId="719289D5" w14:textId="77777777" w:rsidR="003F1A40" w:rsidRPr="00F10251" w:rsidRDefault="003F1A40" w:rsidP="002F6C77">
            <w:pPr>
              <w:jc w:val="center"/>
              <w:rPr>
                <w:rFonts w:ascii="Calibri" w:eastAsia="Times New Roman" w:hAnsi="Calibri" w:cs="Calibri"/>
                <w:sz w:val="20"/>
              </w:rPr>
            </w:pPr>
            <w:r w:rsidRPr="00F10251">
              <w:rPr>
                <w:rFonts w:ascii="Calibri" w:eastAsia="Times New Roman" w:hAnsi="Calibri" w:cs="Calibri"/>
                <w:sz w:val="20"/>
              </w:rPr>
              <w:t>Majority by days covered</w:t>
            </w:r>
          </w:p>
        </w:tc>
        <w:tc>
          <w:tcPr>
            <w:tcW w:w="1854" w:type="dxa"/>
            <w:vAlign w:val="bottom"/>
            <w:hideMark/>
          </w:tcPr>
          <w:p w14:paraId="1DBEA126" w14:textId="77777777" w:rsidR="003F1A40" w:rsidRPr="004B0339" w:rsidRDefault="003F1A40" w:rsidP="002F6C77">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Pr>
                <w:rFonts w:ascii="Calibri" w:hAnsi="Calibri" w:cs="Calibri"/>
              </w:rPr>
              <w:t>87%</w:t>
            </w:r>
          </w:p>
        </w:tc>
        <w:tc>
          <w:tcPr>
            <w:tcW w:w="1899" w:type="dxa"/>
            <w:vAlign w:val="bottom"/>
            <w:hideMark/>
          </w:tcPr>
          <w:p w14:paraId="3538F085" w14:textId="77777777" w:rsidR="003F1A40" w:rsidRPr="004B0339" w:rsidRDefault="003F1A40" w:rsidP="002F6C77">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Pr>
                <w:rFonts w:ascii="Calibri" w:hAnsi="Calibri" w:cs="Calibri"/>
              </w:rPr>
              <w:t>85%</w:t>
            </w:r>
          </w:p>
        </w:tc>
        <w:tc>
          <w:tcPr>
            <w:tcW w:w="1831" w:type="dxa"/>
            <w:vAlign w:val="bottom"/>
            <w:hideMark/>
          </w:tcPr>
          <w:p w14:paraId="646FDD41" w14:textId="77777777" w:rsidR="003F1A40" w:rsidRPr="004B0339" w:rsidRDefault="003F1A40" w:rsidP="002F6C77">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p>
        </w:tc>
      </w:tr>
      <w:tr w:rsidR="003F1A40" w:rsidRPr="004B0339" w14:paraId="27114CB4" w14:textId="77777777" w:rsidTr="002F6C77">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2035" w:type="dxa"/>
            <w:hideMark/>
          </w:tcPr>
          <w:p w14:paraId="250D6D89" w14:textId="77777777" w:rsidR="003F1A40" w:rsidRPr="00F10251" w:rsidRDefault="003F1A40" w:rsidP="002F6C77">
            <w:pPr>
              <w:jc w:val="center"/>
              <w:rPr>
                <w:rFonts w:ascii="Calibri" w:eastAsia="Times New Roman" w:hAnsi="Calibri" w:cs="Calibri"/>
                <w:sz w:val="20"/>
              </w:rPr>
            </w:pPr>
            <w:r w:rsidRPr="00F10251">
              <w:rPr>
                <w:rFonts w:ascii="Calibri" w:eastAsia="Times New Roman" w:hAnsi="Calibri" w:cs="Calibri"/>
                <w:sz w:val="20"/>
              </w:rPr>
              <w:t>Majority by claims</w:t>
            </w:r>
          </w:p>
        </w:tc>
        <w:tc>
          <w:tcPr>
            <w:tcW w:w="1854" w:type="dxa"/>
            <w:vAlign w:val="bottom"/>
            <w:hideMark/>
          </w:tcPr>
          <w:p w14:paraId="0F2FDB97" w14:textId="77777777" w:rsidR="003F1A40" w:rsidRPr="004B0339" w:rsidRDefault="003F1A40" w:rsidP="002F6C77">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Pr>
                <w:rFonts w:ascii="Calibri" w:hAnsi="Calibri" w:cs="Calibri"/>
              </w:rPr>
              <w:t>91%</w:t>
            </w:r>
          </w:p>
        </w:tc>
        <w:tc>
          <w:tcPr>
            <w:tcW w:w="1899" w:type="dxa"/>
            <w:vAlign w:val="bottom"/>
            <w:hideMark/>
          </w:tcPr>
          <w:p w14:paraId="3A07F9E3" w14:textId="77777777" w:rsidR="003F1A40" w:rsidRPr="004B0339" w:rsidRDefault="003F1A40" w:rsidP="002F6C77">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Pr>
                <w:rFonts w:ascii="Calibri" w:hAnsi="Calibri" w:cs="Calibri"/>
              </w:rPr>
              <w:t>93%</w:t>
            </w:r>
          </w:p>
        </w:tc>
        <w:tc>
          <w:tcPr>
            <w:tcW w:w="1831" w:type="dxa"/>
            <w:vAlign w:val="bottom"/>
            <w:hideMark/>
          </w:tcPr>
          <w:p w14:paraId="5F0A3E9F" w14:textId="77777777" w:rsidR="003F1A40" w:rsidRPr="004B0339" w:rsidRDefault="003F1A40" w:rsidP="002F6C77">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Pr>
                <w:rFonts w:ascii="Calibri" w:hAnsi="Calibri" w:cs="Calibri"/>
              </w:rPr>
              <w:t>84%</w:t>
            </w:r>
          </w:p>
        </w:tc>
      </w:tr>
    </w:tbl>
    <w:p w14:paraId="400D8FF5" w14:textId="77777777" w:rsidR="00437303" w:rsidRDefault="00437303" w:rsidP="00AB780E">
      <w:pPr>
        <w:pStyle w:val="Heading1"/>
      </w:pPr>
      <w:r>
        <w:t>Conclusions</w:t>
      </w:r>
    </w:p>
    <w:p w14:paraId="63588D6F" w14:textId="051847DA" w:rsidR="00437303" w:rsidRDefault="00437303" w:rsidP="00437303">
      <w:r>
        <w:t xml:space="preserve">Our results show that direct attribution of patients to </w:t>
      </w:r>
      <w:r w:rsidR="00E71CF7">
        <w:t>clinician</w:t>
      </w:r>
      <w:r>
        <w:t xml:space="preserve">s </w:t>
      </w:r>
      <w:r w:rsidR="00AB780E">
        <w:t xml:space="preserve">and </w:t>
      </w:r>
      <w:r w:rsidR="00BC5848">
        <w:t>clinician-group/practice</w:t>
      </w:r>
      <w:r w:rsidR="00AB780E">
        <w:t xml:space="preserve">s </w:t>
      </w:r>
      <w:r>
        <w:t xml:space="preserve">via identifiers contained on prescriptions is a viable method. For 52 </w:t>
      </w:r>
      <w:r w:rsidR="00AB780E">
        <w:t xml:space="preserve">and 65 </w:t>
      </w:r>
      <w:r>
        <w:t xml:space="preserve">percent of patients, prescribing of </w:t>
      </w:r>
      <w:r w:rsidR="00C84205">
        <w:t>medication-assisted</w:t>
      </w:r>
      <w:r>
        <w:t xml:space="preserve"> treatment for opioid disorders is in the hands of a single </w:t>
      </w:r>
      <w:r w:rsidR="0050212A">
        <w:t>clinician</w:t>
      </w:r>
      <w:r w:rsidR="00AB780E">
        <w:t xml:space="preserve"> or </w:t>
      </w:r>
      <w:r w:rsidR="00BC5848">
        <w:t>clinician-group/practice</w:t>
      </w:r>
      <w:r w:rsidR="00AB780E">
        <w:t>, respectively</w:t>
      </w:r>
      <w:r>
        <w:t xml:space="preserve">. For those patients, attribution is unambiguous irrespective of the exact rule for attribution. </w:t>
      </w:r>
    </w:p>
    <w:p w14:paraId="5736B696" w14:textId="3DB75CDB" w:rsidR="00437303" w:rsidRDefault="00437303" w:rsidP="00437303">
      <w:r>
        <w:t xml:space="preserve">We tested four attribution rules that assign a patient to a </w:t>
      </w:r>
      <w:r w:rsidR="00E71CF7">
        <w:t>clinician</w:t>
      </w:r>
      <w:r>
        <w:t xml:space="preserve"> </w:t>
      </w:r>
      <w:r w:rsidR="00AB780E">
        <w:t xml:space="preserve">or </w:t>
      </w:r>
      <w:r w:rsidR="00BC5848">
        <w:t>clinician-group/practice</w:t>
      </w:r>
      <w:r w:rsidR="00AB780E">
        <w:t xml:space="preserve"> </w:t>
      </w:r>
      <w:r>
        <w:t xml:space="preserve">based on number of claims or number of treatment days covered by the prescriptions and based on plurality or majority of prescriptions. The four rules show a high degree of concordance, i.e., around 90 percent of patients would be attributed to the same </w:t>
      </w:r>
      <w:r w:rsidR="00E71CF7">
        <w:t>clinician</w:t>
      </w:r>
      <w:r>
        <w:t xml:space="preserve"> regardless of which rule we chose. </w:t>
      </w:r>
    </w:p>
    <w:p w14:paraId="69077B78" w14:textId="0984D47C" w:rsidR="00437303" w:rsidRDefault="00437303" w:rsidP="00437303">
      <w:r>
        <w:t xml:space="preserve">Based on the testing results, we recommend plurality-based rules over majority-based rules, as they are more inclusive. Around 10 percent of patients do not have a </w:t>
      </w:r>
      <w:r w:rsidR="00E71CF7">
        <w:t>clinician</w:t>
      </w:r>
      <w:r w:rsidR="00AB780E">
        <w:t xml:space="preserve"> or </w:t>
      </w:r>
      <w:r w:rsidR="00BC5848">
        <w:t>clinician-group/practice</w:t>
      </w:r>
      <w:r>
        <w:t xml:space="preserve"> who handle</w:t>
      </w:r>
      <w:r w:rsidR="008A206D">
        <w:t>d</w:t>
      </w:r>
      <w:r>
        <w:t xml:space="preserve"> the strict majority of their prescriptions and would therefore remain unassigned. Excluding patients based on attribution would reduce the number of </w:t>
      </w:r>
      <w:r w:rsidR="0050212A">
        <w:t>clinician</w:t>
      </w:r>
      <w:r>
        <w:t xml:space="preserve">s </w:t>
      </w:r>
      <w:r w:rsidR="00AB780E">
        <w:t xml:space="preserve">and </w:t>
      </w:r>
      <w:r w:rsidR="00BC5848">
        <w:t>clinician-group/practice</w:t>
      </w:r>
      <w:r w:rsidR="00AB780E">
        <w:t xml:space="preserve">s </w:t>
      </w:r>
      <w:r>
        <w:t xml:space="preserve">for whom we can report the measure. </w:t>
      </w:r>
    </w:p>
    <w:p w14:paraId="5F18A8C5" w14:textId="1D5B222A" w:rsidR="00437303" w:rsidRDefault="00437303" w:rsidP="00437303">
      <w:r>
        <w:t xml:space="preserve">Our results also point to attributing based on number of treatment days as a better method than using number of prescriptions. Attribution based on days has fewer ties, i.e., cases in which we could attribute to more than one </w:t>
      </w:r>
      <w:r w:rsidR="00E71CF7">
        <w:t>clinician</w:t>
      </w:r>
      <w:r w:rsidR="00AB780E">
        <w:t xml:space="preserve"> or </w:t>
      </w:r>
      <w:r w:rsidR="00BC5848">
        <w:t>clinician-group/practice</w:t>
      </w:r>
      <w:r>
        <w:t xml:space="preserve">, and the highest degree of concordance with the other three attribution rules. Using treatment days is also a more appropriate reflection of the care process than using number of claims, as the number of treatment days covered by a single claim can vary substantially. For example, methadone is dispensed in licensed treatment centers and patients typically have to show up daily to receive their dose. Thus, even a short treatment period will generate a large number of claims. Conversely, a single injection of naltrexone lasts 30 days and some health plan permit </w:t>
      </w:r>
      <w:r w:rsidR="008A206D">
        <w:t>90-day</w:t>
      </w:r>
      <w:r>
        <w:t xml:space="preserve"> prescriptions for buprenorphine. Thus, using treatment days is a better reflection of the time that a patient was under a given </w:t>
      </w:r>
      <w:r w:rsidR="00E71CF7">
        <w:t>clinician</w:t>
      </w:r>
      <w:r w:rsidR="00AB780E">
        <w:t>’</w:t>
      </w:r>
      <w:r>
        <w:t xml:space="preserve">s </w:t>
      </w:r>
      <w:r w:rsidR="00AB780E">
        <w:t xml:space="preserve">or </w:t>
      </w:r>
      <w:r w:rsidR="00BC5848">
        <w:t>clinician-group/practice</w:t>
      </w:r>
      <w:r w:rsidR="00AB780E">
        <w:t xml:space="preserve">’s </w:t>
      </w:r>
      <w:r>
        <w:t xml:space="preserve">care. </w:t>
      </w:r>
    </w:p>
    <w:p w14:paraId="32E92FDD" w14:textId="77777777" w:rsidR="008A206D" w:rsidRDefault="008A206D" w:rsidP="00437303"/>
    <w:sectPr w:rsidR="008A206D" w:rsidSect="004B0339">
      <w:footerReference w:type="default" r:id="rId29"/>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E99E5A" w16cid:durableId="212334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576AE" w14:textId="77777777" w:rsidR="0023782F" w:rsidRDefault="0023782F" w:rsidP="0002086C">
      <w:pPr>
        <w:spacing w:after="0" w:line="240" w:lineRule="auto"/>
      </w:pPr>
      <w:r>
        <w:separator/>
      </w:r>
    </w:p>
  </w:endnote>
  <w:endnote w:type="continuationSeparator" w:id="0">
    <w:p w14:paraId="3C9EAAB6" w14:textId="77777777" w:rsidR="0023782F" w:rsidRDefault="0023782F" w:rsidP="00020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0189127"/>
      <w:docPartObj>
        <w:docPartGallery w:val="Page Numbers (Bottom of Page)"/>
        <w:docPartUnique/>
      </w:docPartObj>
    </w:sdtPr>
    <w:sdtEndPr>
      <w:rPr>
        <w:noProof/>
      </w:rPr>
    </w:sdtEndPr>
    <w:sdtContent>
      <w:p w14:paraId="4E914B9F" w14:textId="2FED13B3" w:rsidR="003F1A40" w:rsidRDefault="003F1A40">
        <w:pPr>
          <w:pStyle w:val="Footer"/>
          <w:jc w:val="right"/>
        </w:pPr>
        <w:r>
          <w:fldChar w:fldCharType="begin"/>
        </w:r>
        <w:r>
          <w:instrText xml:space="preserve"> PAGE   \* MERGEFORMAT </w:instrText>
        </w:r>
        <w:r>
          <w:fldChar w:fldCharType="separate"/>
        </w:r>
        <w:r w:rsidR="0023782F">
          <w:rPr>
            <w:noProof/>
          </w:rPr>
          <w:t>1</w:t>
        </w:r>
        <w:r>
          <w:rPr>
            <w:noProof/>
          </w:rPr>
          <w:fldChar w:fldCharType="end"/>
        </w:r>
      </w:p>
    </w:sdtContent>
  </w:sdt>
  <w:p w14:paraId="3690C386" w14:textId="77777777" w:rsidR="003F1A40" w:rsidRDefault="003F1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3CCAB" w14:textId="77777777" w:rsidR="0023782F" w:rsidRDefault="0023782F" w:rsidP="0002086C">
      <w:pPr>
        <w:spacing w:after="0" w:line="240" w:lineRule="auto"/>
      </w:pPr>
      <w:r>
        <w:separator/>
      </w:r>
    </w:p>
  </w:footnote>
  <w:footnote w:type="continuationSeparator" w:id="0">
    <w:p w14:paraId="4DE3148C" w14:textId="77777777" w:rsidR="0023782F" w:rsidRDefault="0023782F" w:rsidP="000208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2A01E5"/>
    <w:multiLevelType w:val="hybridMultilevel"/>
    <w:tmpl w:val="CE7E5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312"/>
    <w:rsid w:val="00003618"/>
    <w:rsid w:val="0002086C"/>
    <w:rsid w:val="000221E4"/>
    <w:rsid w:val="000523FE"/>
    <w:rsid w:val="000665F7"/>
    <w:rsid w:val="0011277E"/>
    <w:rsid w:val="00126419"/>
    <w:rsid w:val="001761E2"/>
    <w:rsid w:val="001B348E"/>
    <w:rsid w:val="0023782F"/>
    <w:rsid w:val="00256548"/>
    <w:rsid w:val="002733EC"/>
    <w:rsid w:val="00287AEF"/>
    <w:rsid w:val="002D1389"/>
    <w:rsid w:val="002E4511"/>
    <w:rsid w:val="002F6D9D"/>
    <w:rsid w:val="00303642"/>
    <w:rsid w:val="003170FF"/>
    <w:rsid w:val="003231E0"/>
    <w:rsid w:val="00345227"/>
    <w:rsid w:val="003B1D92"/>
    <w:rsid w:val="003C66A7"/>
    <w:rsid w:val="003F1A40"/>
    <w:rsid w:val="00437303"/>
    <w:rsid w:val="00472FD2"/>
    <w:rsid w:val="00474DF9"/>
    <w:rsid w:val="004B0339"/>
    <w:rsid w:val="004B0A44"/>
    <w:rsid w:val="004B0E01"/>
    <w:rsid w:val="004E2CC8"/>
    <w:rsid w:val="005012FA"/>
    <w:rsid w:val="0050212A"/>
    <w:rsid w:val="0052595E"/>
    <w:rsid w:val="00544886"/>
    <w:rsid w:val="005A274A"/>
    <w:rsid w:val="005C6B71"/>
    <w:rsid w:val="005D061C"/>
    <w:rsid w:val="005F6A95"/>
    <w:rsid w:val="00752D93"/>
    <w:rsid w:val="007809F2"/>
    <w:rsid w:val="00787DB4"/>
    <w:rsid w:val="007B39D3"/>
    <w:rsid w:val="007B3AA8"/>
    <w:rsid w:val="007C71D8"/>
    <w:rsid w:val="007F78BB"/>
    <w:rsid w:val="0080760D"/>
    <w:rsid w:val="008240EE"/>
    <w:rsid w:val="00864C0D"/>
    <w:rsid w:val="008A206D"/>
    <w:rsid w:val="008C773F"/>
    <w:rsid w:val="009105C7"/>
    <w:rsid w:val="00957B85"/>
    <w:rsid w:val="009D6F9A"/>
    <w:rsid w:val="009E28EE"/>
    <w:rsid w:val="00A07EE6"/>
    <w:rsid w:val="00A404B2"/>
    <w:rsid w:val="00A952B1"/>
    <w:rsid w:val="00AA0134"/>
    <w:rsid w:val="00AB780E"/>
    <w:rsid w:val="00AE03B5"/>
    <w:rsid w:val="00AF32B1"/>
    <w:rsid w:val="00B0419D"/>
    <w:rsid w:val="00B34DE9"/>
    <w:rsid w:val="00B362D4"/>
    <w:rsid w:val="00B47B17"/>
    <w:rsid w:val="00B512B7"/>
    <w:rsid w:val="00B62713"/>
    <w:rsid w:val="00BC3ACC"/>
    <w:rsid w:val="00BC5848"/>
    <w:rsid w:val="00BD490D"/>
    <w:rsid w:val="00C01674"/>
    <w:rsid w:val="00C02D5D"/>
    <w:rsid w:val="00C05A8B"/>
    <w:rsid w:val="00C11132"/>
    <w:rsid w:val="00C72EC0"/>
    <w:rsid w:val="00C7ED53"/>
    <w:rsid w:val="00C84205"/>
    <w:rsid w:val="00CD2312"/>
    <w:rsid w:val="00D25F0C"/>
    <w:rsid w:val="00D33B50"/>
    <w:rsid w:val="00D73B2E"/>
    <w:rsid w:val="00D74C6E"/>
    <w:rsid w:val="00DD7D85"/>
    <w:rsid w:val="00E01D37"/>
    <w:rsid w:val="00E71CF7"/>
    <w:rsid w:val="00E74BFD"/>
    <w:rsid w:val="00EA4E1B"/>
    <w:rsid w:val="00EA50C4"/>
    <w:rsid w:val="00EC6B1A"/>
    <w:rsid w:val="00EF4F4A"/>
    <w:rsid w:val="00EF53BF"/>
    <w:rsid w:val="00F03B94"/>
    <w:rsid w:val="00F10251"/>
    <w:rsid w:val="00F207CB"/>
    <w:rsid w:val="00F24EAF"/>
    <w:rsid w:val="00F656A4"/>
    <w:rsid w:val="00F662E8"/>
    <w:rsid w:val="00F76A19"/>
    <w:rsid w:val="00F9257C"/>
    <w:rsid w:val="00F937A3"/>
    <w:rsid w:val="00FD0504"/>
    <w:rsid w:val="18C39834"/>
    <w:rsid w:val="2196A3FA"/>
    <w:rsid w:val="4762DF81"/>
    <w:rsid w:val="69A25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DDA18"/>
  <w15:chartTrackingRefBased/>
  <w15:docId w15:val="{DDEA97B4-DD65-409C-9118-64226868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105C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105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B3AA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5C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105C7"/>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11277E"/>
    <w:pPr>
      <w:ind w:left="720"/>
      <w:contextualSpacing/>
    </w:pPr>
  </w:style>
  <w:style w:type="table" w:styleId="GridTable4-Accent3">
    <w:name w:val="Grid Table 4 Accent 3"/>
    <w:basedOn w:val="TableNormal"/>
    <w:uiPriority w:val="49"/>
    <w:rsid w:val="003C66A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3C66A7"/>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4B0A44"/>
    <w:rPr>
      <w:sz w:val="16"/>
      <w:szCs w:val="16"/>
    </w:rPr>
  </w:style>
  <w:style w:type="paragraph" w:styleId="CommentText">
    <w:name w:val="annotation text"/>
    <w:basedOn w:val="Normal"/>
    <w:link w:val="CommentTextChar"/>
    <w:uiPriority w:val="99"/>
    <w:semiHidden/>
    <w:unhideWhenUsed/>
    <w:rsid w:val="004B0A44"/>
    <w:pPr>
      <w:spacing w:line="240" w:lineRule="auto"/>
    </w:pPr>
    <w:rPr>
      <w:sz w:val="20"/>
      <w:szCs w:val="20"/>
    </w:rPr>
  </w:style>
  <w:style w:type="character" w:customStyle="1" w:styleId="CommentTextChar">
    <w:name w:val="Comment Text Char"/>
    <w:basedOn w:val="DefaultParagraphFont"/>
    <w:link w:val="CommentText"/>
    <w:uiPriority w:val="99"/>
    <w:semiHidden/>
    <w:rsid w:val="004B0A44"/>
    <w:rPr>
      <w:sz w:val="20"/>
      <w:szCs w:val="20"/>
    </w:rPr>
  </w:style>
  <w:style w:type="paragraph" w:styleId="CommentSubject">
    <w:name w:val="annotation subject"/>
    <w:basedOn w:val="CommentText"/>
    <w:next w:val="CommentText"/>
    <w:link w:val="CommentSubjectChar"/>
    <w:uiPriority w:val="99"/>
    <w:semiHidden/>
    <w:unhideWhenUsed/>
    <w:rsid w:val="004B0A44"/>
    <w:rPr>
      <w:b/>
      <w:bCs/>
    </w:rPr>
  </w:style>
  <w:style w:type="character" w:customStyle="1" w:styleId="CommentSubjectChar">
    <w:name w:val="Comment Subject Char"/>
    <w:basedOn w:val="CommentTextChar"/>
    <w:link w:val="CommentSubject"/>
    <w:uiPriority w:val="99"/>
    <w:semiHidden/>
    <w:rsid w:val="004B0A44"/>
    <w:rPr>
      <w:b/>
      <w:bCs/>
      <w:sz w:val="20"/>
      <w:szCs w:val="20"/>
    </w:rPr>
  </w:style>
  <w:style w:type="paragraph" w:styleId="BalloonText">
    <w:name w:val="Balloon Text"/>
    <w:basedOn w:val="Normal"/>
    <w:link w:val="BalloonTextChar"/>
    <w:uiPriority w:val="99"/>
    <w:semiHidden/>
    <w:unhideWhenUsed/>
    <w:rsid w:val="004B0A44"/>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B0A44"/>
    <w:rPr>
      <w:rFonts w:ascii="Times New Roman" w:hAnsi="Times New Roman" w:cs="Times New Roman"/>
      <w:sz w:val="18"/>
      <w:szCs w:val="18"/>
    </w:rPr>
  </w:style>
  <w:style w:type="character" w:customStyle="1" w:styleId="Heading3Char">
    <w:name w:val="Heading 3 Char"/>
    <w:basedOn w:val="DefaultParagraphFont"/>
    <w:link w:val="Heading3"/>
    <w:uiPriority w:val="9"/>
    <w:rsid w:val="007B3AA8"/>
    <w:rPr>
      <w:rFonts w:asciiTheme="majorHAnsi" w:eastAsiaTheme="majorEastAsia" w:hAnsiTheme="majorHAnsi" w:cstheme="majorBidi"/>
      <w:color w:val="1F4D78" w:themeColor="accent1" w:themeShade="7F"/>
      <w:sz w:val="24"/>
      <w:szCs w:val="24"/>
    </w:rPr>
  </w:style>
  <w:style w:type="table" w:styleId="PlainTable3">
    <w:name w:val="Plain Table 3"/>
    <w:basedOn w:val="TableNormal"/>
    <w:uiPriority w:val="43"/>
    <w:rsid w:val="004B033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eader">
    <w:name w:val="header"/>
    <w:basedOn w:val="Normal"/>
    <w:link w:val="HeaderChar"/>
    <w:uiPriority w:val="99"/>
    <w:unhideWhenUsed/>
    <w:rsid w:val="000208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86C"/>
  </w:style>
  <w:style w:type="paragraph" w:styleId="Footer">
    <w:name w:val="footer"/>
    <w:basedOn w:val="Normal"/>
    <w:link w:val="FooterChar"/>
    <w:uiPriority w:val="99"/>
    <w:unhideWhenUsed/>
    <w:rsid w:val="00020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979851">
      <w:bodyDiv w:val="1"/>
      <w:marLeft w:val="0"/>
      <w:marRight w:val="0"/>
      <w:marTop w:val="0"/>
      <w:marBottom w:val="0"/>
      <w:divBdr>
        <w:top w:val="none" w:sz="0" w:space="0" w:color="auto"/>
        <w:left w:val="none" w:sz="0" w:space="0" w:color="auto"/>
        <w:bottom w:val="none" w:sz="0" w:space="0" w:color="auto"/>
        <w:right w:val="none" w:sz="0" w:space="0" w:color="auto"/>
      </w:divBdr>
    </w:div>
    <w:div w:id="1049381041">
      <w:bodyDiv w:val="1"/>
      <w:marLeft w:val="0"/>
      <w:marRight w:val="0"/>
      <w:marTop w:val="0"/>
      <w:marBottom w:val="0"/>
      <w:divBdr>
        <w:top w:val="none" w:sz="0" w:space="0" w:color="auto"/>
        <w:left w:val="none" w:sz="0" w:space="0" w:color="auto"/>
        <w:bottom w:val="none" w:sz="0" w:space="0" w:color="auto"/>
        <w:right w:val="none" w:sz="0" w:space="0" w:color="auto"/>
      </w:divBdr>
    </w:div>
    <w:div w:id="116269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chart" Target="charts/chart5.xm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chart" Target="charts/chart7.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image" Target="media/image3.png"/><Relationship Id="rId25" Type="http://schemas.openxmlformats.org/officeDocument/2006/relationships/chart" Target="charts/chart9.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chart" Target="charts/chart6.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chart" Target="charts/chart8.xml"/><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image" Target="media/image5.png"/><Relationship Id="rId27" Type="http://schemas.openxmlformats.org/officeDocument/2006/relationships/chart" Target="charts/chart10.xml"/><Relationship Id="rId30" Type="http://schemas.openxmlformats.org/officeDocument/2006/relationships/fontTable" Target="fontTable.xml"/><Relationship Id="rId35" Type="http://schemas.microsoft.com/office/2016/09/relationships/commentsIds" Target="commentsId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mattke\Dropbox\OUD%20project\Output\Prescribers%20Per%20Patient.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Worksheet4.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mattke\Dropbox\OUD%20project\Output\Plurality%20Prescribers%20Per%20Patien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mattke\Dropbox\OUD%20project\Output\Plurality%20Prescribers%20Per%20Patient%20(by%20days%20supply).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mattke\Dropbox\OUD%20project\Output\Majority%20Prescribers%20Per%20Patient.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mattke\Dropbox\OUD%20project\Output\Majority%20Prescribers%20Per%20Patient%20(by%20days%20supply).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1.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Worksheet2.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625787798333906"/>
          <c:y val="0.14921057944679991"/>
          <c:w val="0.8568642742761915"/>
          <c:h val="0.69239078920802921"/>
        </c:manualLayout>
      </c:layout>
      <c:barChart>
        <c:barDir val="col"/>
        <c:grouping val="clustered"/>
        <c:varyColors val="0"/>
        <c:ser>
          <c:idx val="0"/>
          <c:order val="0"/>
          <c:tx>
            <c:strRef>
              <c:f>'4 bins'!$B$1</c:f>
              <c:strCache>
                <c:ptCount val="1"/>
                <c:pt idx="0">
                  <c:v>count of patients</c:v>
                </c:pt>
              </c:strCache>
            </c:strRef>
          </c:tx>
          <c:spPr>
            <a:solidFill>
              <a:schemeClr val="accent1"/>
            </a:solidFill>
            <a:ln w="12700">
              <a:solidFill>
                <a:schemeClr val="tx1"/>
              </a:solidFill>
            </a:ln>
            <a:effectLst/>
          </c:spPr>
          <c:invertIfNegative val="0"/>
          <c:dPt>
            <c:idx val="0"/>
            <c:invertIfNegative val="0"/>
            <c:bubble3D val="0"/>
            <c:spPr>
              <a:solidFill>
                <a:schemeClr val="accent1"/>
              </a:solidFill>
              <a:ln w="9525">
                <a:solidFill>
                  <a:sysClr val="windowText" lastClr="000000"/>
                </a:solidFill>
              </a:ln>
              <a:effectLst/>
            </c:spPr>
            <c:extLst>
              <c:ext xmlns:c16="http://schemas.microsoft.com/office/drawing/2014/chart" uri="{C3380CC4-5D6E-409C-BE32-E72D297353CC}">
                <c16:uniqueId val="{00000002-C897-4322-9AFD-0856612023BB}"/>
              </c:ext>
            </c:extLst>
          </c:dPt>
          <c:dPt>
            <c:idx val="1"/>
            <c:invertIfNegative val="0"/>
            <c:bubble3D val="0"/>
            <c:spPr>
              <a:solidFill>
                <a:schemeClr val="accent1"/>
              </a:solidFill>
              <a:ln w="9525">
                <a:solidFill>
                  <a:sysClr val="windowText" lastClr="000000"/>
                </a:solidFill>
              </a:ln>
              <a:effectLst/>
            </c:spPr>
            <c:extLst>
              <c:ext xmlns:c16="http://schemas.microsoft.com/office/drawing/2014/chart" uri="{C3380CC4-5D6E-409C-BE32-E72D297353CC}">
                <c16:uniqueId val="{00000003-C897-4322-9AFD-0856612023BB}"/>
              </c:ext>
            </c:extLst>
          </c:dPt>
          <c:dPt>
            <c:idx val="2"/>
            <c:invertIfNegative val="0"/>
            <c:bubble3D val="0"/>
            <c:spPr>
              <a:solidFill>
                <a:schemeClr val="accent1"/>
              </a:solidFill>
              <a:ln w="9525">
                <a:solidFill>
                  <a:sysClr val="windowText" lastClr="000000"/>
                </a:solidFill>
              </a:ln>
              <a:effectLst/>
            </c:spPr>
            <c:extLst>
              <c:ext xmlns:c16="http://schemas.microsoft.com/office/drawing/2014/chart" uri="{C3380CC4-5D6E-409C-BE32-E72D297353CC}">
                <c16:uniqueId val="{00000004-C897-4322-9AFD-0856612023BB}"/>
              </c:ext>
            </c:extLst>
          </c:dPt>
          <c:dPt>
            <c:idx val="3"/>
            <c:invertIfNegative val="0"/>
            <c:bubble3D val="0"/>
            <c:spPr>
              <a:solidFill>
                <a:schemeClr val="accent1"/>
              </a:solidFill>
              <a:ln w="9525">
                <a:solidFill>
                  <a:sysClr val="windowText" lastClr="000000"/>
                </a:solidFill>
              </a:ln>
              <a:effectLst/>
            </c:spPr>
            <c:extLst>
              <c:ext xmlns:c16="http://schemas.microsoft.com/office/drawing/2014/chart" uri="{C3380CC4-5D6E-409C-BE32-E72D297353CC}">
                <c16:uniqueId val="{00000005-C897-4322-9AFD-0856612023BB}"/>
              </c:ext>
            </c:extLst>
          </c:dPt>
          <c:cat>
            <c:strRef>
              <c:f>'4 bins'!$A$2:$A$5</c:f>
              <c:strCache>
                <c:ptCount val="4"/>
                <c:pt idx="0">
                  <c:v>1</c:v>
                </c:pt>
                <c:pt idx="1">
                  <c:v>2</c:v>
                </c:pt>
                <c:pt idx="2">
                  <c:v>3</c:v>
                </c:pt>
                <c:pt idx="3">
                  <c:v>4 or more</c:v>
                </c:pt>
              </c:strCache>
            </c:strRef>
          </c:cat>
          <c:val>
            <c:numRef>
              <c:f>'4 bins'!$B$2:$B$5</c:f>
              <c:numCache>
                <c:formatCode>General</c:formatCode>
                <c:ptCount val="4"/>
                <c:pt idx="0">
                  <c:v>37074</c:v>
                </c:pt>
                <c:pt idx="1">
                  <c:v>16557</c:v>
                </c:pt>
                <c:pt idx="2">
                  <c:v>8122</c:v>
                </c:pt>
                <c:pt idx="3">
                  <c:v>9194</c:v>
                </c:pt>
              </c:numCache>
            </c:numRef>
          </c:val>
          <c:extLst>
            <c:ext xmlns:c16="http://schemas.microsoft.com/office/drawing/2014/chart" uri="{C3380CC4-5D6E-409C-BE32-E72D297353CC}">
              <c16:uniqueId val="{00000000-498A-474D-A0DC-F434270FF2CE}"/>
            </c:ext>
          </c:extLst>
        </c:ser>
        <c:dLbls>
          <c:showLegendKey val="0"/>
          <c:showVal val="0"/>
          <c:showCatName val="0"/>
          <c:showSerName val="0"/>
          <c:showPercent val="0"/>
          <c:showBubbleSize val="0"/>
        </c:dLbls>
        <c:gapWidth val="0"/>
        <c:overlap val="-27"/>
        <c:axId val="1321711375"/>
        <c:axId val="1321718863"/>
      </c:barChart>
      <c:barChart>
        <c:barDir val="col"/>
        <c:grouping val="clustered"/>
        <c:varyColors val="0"/>
        <c:ser>
          <c:idx val="1"/>
          <c:order val="1"/>
          <c:spPr>
            <a:no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howLeaderLines val="0"/>
              </c:ext>
            </c:extLst>
          </c:dLbls>
          <c:cat>
            <c:strRef>
              <c:f>'4 bins'!$G$2:$G$5</c:f>
              <c:strCache>
                <c:ptCount val="4"/>
                <c:pt idx="0">
                  <c:v>37074
 (52.3%)</c:v>
                </c:pt>
                <c:pt idx="1">
                  <c:v>16557
 (23.3%)</c:v>
                </c:pt>
                <c:pt idx="2">
                  <c:v>8122
 (11.4%)</c:v>
                </c:pt>
                <c:pt idx="3">
                  <c:v>9194
 (13.0%)</c:v>
                </c:pt>
              </c:strCache>
            </c:strRef>
          </c:cat>
          <c:val>
            <c:numRef>
              <c:f>'4 bins'!$F$2:$F$5</c:f>
              <c:numCache>
                <c:formatCode>General</c:formatCode>
                <c:ptCount val="4"/>
                <c:pt idx="0">
                  <c:v>40966.769999999997</c:v>
                </c:pt>
                <c:pt idx="1">
                  <c:v>18295.485000000001</c:v>
                </c:pt>
                <c:pt idx="2">
                  <c:v>8974.81</c:v>
                </c:pt>
                <c:pt idx="3">
                  <c:v>10159.369999999999</c:v>
                </c:pt>
              </c:numCache>
            </c:numRef>
          </c:val>
          <c:extLst>
            <c:ext xmlns:c16="http://schemas.microsoft.com/office/drawing/2014/chart" uri="{C3380CC4-5D6E-409C-BE32-E72D297353CC}">
              <c16:uniqueId val="{00000001-498A-474D-A0DC-F434270FF2CE}"/>
            </c:ext>
          </c:extLst>
        </c:ser>
        <c:dLbls>
          <c:showLegendKey val="0"/>
          <c:showVal val="0"/>
          <c:showCatName val="0"/>
          <c:showSerName val="0"/>
          <c:showPercent val="0"/>
          <c:showBubbleSize val="0"/>
        </c:dLbls>
        <c:gapWidth val="0"/>
        <c:overlap val="-27"/>
        <c:axId val="1437074127"/>
        <c:axId val="1437063727"/>
      </c:barChart>
      <c:catAx>
        <c:axId val="1321711375"/>
        <c:scaling>
          <c:orientation val="minMax"/>
        </c:scaling>
        <c:delete val="0"/>
        <c:axPos val="b"/>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100" b="1" i="0" u="heavy" strike="noStrike" kern="1200" baseline="0">
                    <a:solidFill>
                      <a:sysClr val="windowText" lastClr="000000">
                        <a:lumMod val="65000"/>
                        <a:lumOff val="35000"/>
                      </a:sysClr>
                    </a:solidFill>
                    <a:latin typeface="+mn-lt"/>
                    <a:ea typeface="+mn-ea"/>
                    <a:cs typeface="+mn-cs"/>
                  </a:defRPr>
                </a:pPr>
                <a:r>
                  <a:rPr lang="en-US" sz="1100" b="1" i="0" u="heavy" strike="noStrike" kern="1200" baseline="0">
                    <a:solidFill>
                      <a:sysClr val="windowText" lastClr="000000">
                        <a:lumMod val="65000"/>
                        <a:lumOff val="35000"/>
                      </a:sysClr>
                    </a:solidFill>
                    <a:latin typeface="+mn-lt"/>
                    <a:ea typeface="+mn-ea"/>
                    <a:cs typeface="+mn-cs"/>
                  </a:rPr>
                  <a:t>Number of Prescribers Per Patient</a:t>
                </a:r>
              </a:p>
            </c:rich>
          </c:tx>
          <c:layout>
            <c:manualLayout>
              <c:xMode val="edge"/>
              <c:yMode val="edge"/>
              <c:x val="0.37501211387038158"/>
              <c:y val="0.91577801488364552"/>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100" b="1" i="0" u="heavy"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2857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8863"/>
        <c:crosses val="autoZero"/>
        <c:auto val="1"/>
        <c:lblAlgn val="ctr"/>
        <c:lblOffset val="100"/>
        <c:noMultiLvlLbl val="0"/>
      </c:catAx>
      <c:valAx>
        <c:axId val="13217188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100" b="1" i="0" u="heavy" strike="noStrike" kern="1200" baseline="0">
                    <a:solidFill>
                      <a:sysClr val="windowText" lastClr="000000">
                        <a:lumMod val="65000"/>
                        <a:lumOff val="35000"/>
                      </a:sysClr>
                    </a:solidFill>
                    <a:latin typeface="+mn-lt"/>
                    <a:ea typeface="+mn-ea"/>
                    <a:cs typeface="+mn-cs"/>
                  </a:defRPr>
                </a:pPr>
                <a:r>
                  <a:rPr lang="en-US" sz="1100" b="1" i="0" u="heavy" strike="noStrike" kern="1200" baseline="0">
                    <a:solidFill>
                      <a:sysClr val="windowText" lastClr="000000">
                        <a:lumMod val="65000"/>
                        <a:lumOff val="35000"/>
                      </a:sysClr>
                    </a:solidFill>
                    <a:latin typeface="+mn-lt"/>
                    <a:ea typeface="+mn-ea"/>
                    <a:cs typeface="+mn-cs"/>
                  </a:rPr>
                  <a:t>Count of Patients</a:t>
                </a:r>
              </a:p>
            </c:rich>
          </c:tx>
          <c:layout>
            <c:manualLayout>
              <c:xMode val="edge"/>
              <c:yMode val="edge"/>
              <c:x val="0"/>
              <c:y val="0.36838184249267297"/>
            </c:manualLayout>
          </c:layout>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100" b="1" i="0" u="heavy"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1375"/>
        <c:crosses val="autoZero"/>
        <c:crossBetween val="between"/>
      </c:valAx>
      <c:valAx>
        <c:axId val="1437063727"/>
        <c:scaling>
          <c:orientation val="minMax"/>
        </c:scaling>
        <c:delete val="0"/>
        <c:axPos val="r"/>
        <c:numFmt formatCode="General"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7074127"/>
        <c:crosses val="max"/>
        <c:crossBetween val="between"/>
      </c:valAx>
      <c:catAx>
        <c:axId val="1437074127"/>
        <c:scaling>
          <c:orientation val="minMax"/>
        </c:scaling>
        <c:delete val="1"/>
        <c:axPos val="b"/>
        <c:numFmt formatCode="General" sourceLinked="1"/>
        <c:majorTickMark val="out"/>
        <c:minorTickMark val="none"/>
        <c:tickLblPos val="nextTo"/>
        <c:crossAx val="1437063727"/>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rgbClr val="5B9BD5"/>
      </a:solidFill>
      <a:round/>
    </a:ln>
    <a:effectLst/>
  </c:spPr>
  <c:txPr>
    <a:bodyPr/>
    <a:lstStyle/>
    <a:p>
      <a:pPr>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count of patients</c:v>
                </c:pt>
              </c:strCache>
            </c:strRef>
          </c:tx>
          <c:spPr>
            <a:solidFill>
              <a:schemeClr val="accent1"/>
            </a:solidFill>
            <a:ln>
              <a:solidFill>
                <a:sysClr val="windowText" lastClr="000000"/>
              </a:solidFill>
            </a:ln>
            <a:effectLst/>
          </c:spPr>
          <c:invertIfNegative val="0"/>
          <c:cat>
            <c:strRef>
              <c:f>Sheet1!$A$2:$A$3</c:f>
              <c:strCache>
                <c:ptCount val="2"/>
                <c:pt idx="0">
                  <c:v>Yes, Patient has a Majority Practice (greater than 50% of patient's
claims are with a single practice)</c:v>
                </c:pt>
                <c:pt idx="1">
                  <c:v>No, Patient does NOT have 
Majority Practice</c:v>
                </c:pt>
              </c:strCache>
            </c:strRef>
          </c:cat>
          <c:val>
            <c:numRef>
              <c:f>Sheet1!$B$2:$B$3</c:f>
              <c:numCache>
                <c:formatCode>General</c:formatCode>
                <c:ptCount val="2"/>
                <c:pt idx="0">
                  <c:v>64258</c:v>
                </c:pt>
                <c:pt idx="1">
                  <c:v>6689</c:v>
                </c:pt>
              </c:numCache>
            </c:numRef>
          </c:val>
          <c:extLst>
            <c:ext xmlns:c16="http://schemas.microsoft.com/office/drawing/2014/chart" uri="{C3380CC4-5D6E-409C-BE32-E72D297353CC}">
              <c16:uniqueId val="{00000000-3161-4118-BD42-F5D69E9F7420}"/>
            </c:ext>
          </c:extLst>
        </c:ser>
        <c:dLbls>
          <c:showLegendKey val="0"/>
          <c:showVal val="0"/>
          <c:showCatName val="0"/>
          <c:showSerName val="0"/>
          <c:showPercent val="0"/>
          <c:showBubbleSize val="0"/>
        </c:dLbls>
        <c:gapWidth val="99"/>
        <c:overlap val="-27"/>
        <c:axId val="1382268127"/>
        <c:axId val="1382273535"/>
      </c:barChart>
      <c:barChart>
        <c:barDir val="col"/>
        <c:grouping val="clustered"/>
        <c:varyColors val="0"/>
        <c:ser>
          <c:idx val="1"/>
          <c:order val="1"/>
          <c:tx>
            <c:strRef>
              <c:f>Sheet1!$D$1</c:f>
              <c:strCache>
                <c:ptCount val="1"/>
                <c:pt idx="0">
                  <c:v>for data label</c:v>
                </c:pt>
              </c:strCache>
            </c:strRef>
          </c:tx>
          <c:spPr>
            <a:noFill/>
            <a:ln>
              <a:noFill/>
            </a:ln>
            <a:effectLst/>
          </c:spPr>
          <c:invertIfNegative val="0"/>
          <c:dLbls>
            <c:spPr>
              <a:noFill/>
              <a:ln>
                <a:noFill/>
              </a:ln>
              <a:effectLst/>
            </c:spPr>
            <c:txPr>
              <a:bodyPr rot="0" spcFirstLastPara="1" vertOverflow="clip" horzOverflow="clip" vert="horz" wrap="square" lIns="36576" tIns="18288" rIns="36576" bIns="18288"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Sheet1!$E$2:$E$3</c:f>
              <c:strCache>
                <c:ptCount val="2"/>
                <c:pt idx="0">
                  <c:v>64258
 (90.6%)</c:v>
                </c:pt>
                <c:pt idx="1">
                  <c:v>6689
 (9.4%)</c:v>
                </c:pt>
              </c:strCache>
            </c:strRef>
          </c:cat>
          <c:val>
            <c:numRef>
              <c:f>Sheet1!$D$2:$D$3</c:f>
              <c:numCache>
                <c:formatCode>General</c:formatCode>
                <c:ptCount val="2"/>
                <c:pt idx="0">
                  <c:v>64258</c:v>
                </c:pt>
                <c:pt idx="1">
                  <c:v>6689</c:v>
                </c:pt>
              </c:numCache>
            </c:numRef>
          </c:val>
          <c:extLst>
            <c:ext xmlns:c16="http://schemas.microsoft.com/office/drawing/2014/chart" uri="{C3380CC4-5D6E-409C-BE32-E72D297353CC}">
              <c16:uniqueId val="{00000001-3161-4118-BD42-F5D69E9F7420}"/>
            </c:ext>
          </c:extLst>
        </c:ser>
        <c:dLbls>
          <c:showLegendKey val="0"/>
          <c:showVal val="0"/>
          <c:showCatName val="0"/>
          <c:showSerName val="0"/>
          <c:showPercent val="0"/>
          <c:showBubbleSize val="0"/>
        </c:dLbls>
        <c:gapWidth val="219"/>
        <c:overlap val="-27"/>
        <c:axId val="648592511"/>
        <c:axId val="1382274783"/>
      </c:barChart>
      <c:catAx>
        <c:axId val="1382268127"/>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sz="1100" u="sng" baseline="0"/>
                  <a:t>Whether or Not Patient has a Majority Practice</a:t>
                </a:r>
              </a:p>
            </c:rich>
          </c:tx>
          <c:layout>
            <c:manualLayout>
              <c:xMode val="edge"/>
              <c:yMode val="edge"/>
              <c:x val="0.23911976134641219"/>
              <c:y val="0.91732253086419757"/>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82273535"/>
        <c:crosses val="autoZero"/>
        <c:auto val="1"/>
        <c:lblAlgn val="ctr"/>
        <c:lblOffset val="100"/>
        <c:noMultiLvlLbl val="0"/>
      </c:catAx>
      <c:valAx>
        <c:axId val="13822735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sz="1100" u="sng" baseline="0"/>
                  <a:t>Count of Patients</a:t>
                </a:r>
              </a:p>
            </c:rich>
          </c:tx>
          <c:layout>
            <c:manualLayout>
              <c:xMode val="edge"/>
              <c:yMode val="edge"/>
              <c:x val="1.2258925131052137E-2"/>
              <c:y val="0.23306327160493823"/>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1382268127"/>
        <c:crosses val="autoZero"/>
        <c:crossBetween val="between"/>
      </c:valAx>
      <c:valAx>
        <c:axId val="1382274783"/>
        <c:scaling>
          <c:orientation val="minMax"/>
        </c:scaling>
        <c:delete val="1"/>
        <c:axPos val="r"/>
        <c:numFmt formatCode="General" sourceLinked="1"/>
        <c:majorTickMark val="out"/>
        <c:minorTickMark val="none"/>
        <c:tickLblPos val="nextTo"/>
        <c:crossAx val="648592511"/>
        <c:crosses val="max"/>
        <c:crossBetween val="between"/>
      </c:valAx>
      <c:catAx>
        <c:axId val="648592511"/>
        <c:scaling>
          <c:orientation val="minMax"/>
        </c:scaling>
        <c:delete val="1"/>
        <c:axPos val="b"/>
        <c:numFmt formatCode="General" sourceLinked="1"/>
        <c:majorTickMark val="out"/>
        <c:minorTickMark val="none"/>
        <c:tickLblPos val="nextTo"/>
        <c:crossAx val="1382274783"/>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b="1" i="0" baseline="0"/>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625787798333906"/>
          <c:y val="0.14921057944679991"/>
          <c:w val="0.8568642742761915"/>
          <c:h val="0.69239078920802921"/>
        </c:manualLayout>
      </c:layout>
      <c:barChart>
        <c:barDir val="col"/>
        <c:grouping val="clustered"/>
        <c:varyColors val="0"/>
        <c:ser>
          <c:idx val="0"/>
          <c:order val="0"/>
          <c:tx>
            <c:strRef>
              <c:f>Sheet1!$B$1</c:f>
              <c:strCache>
                <c:ptCount val="1"/>
                <c:pt idx="0">
                  <c:v>count of patients</c:v>
                </c:pt>
              </c:strCache>
            </c:strRef>
          </c:tx>
          <c:spPr>
            <a:solidFill>
              <a:schemeClr val="accent1"/>
            </a:solidFill>
            <a:ln w="9525">
              <a:solidFill>
                <a:sysClr val="windowText" lastClr="000000"/>
              </a:solidFill>
            </a:ln>
            <a:effectLst/>
          </c:spPr>
          <c:invertIfNegative val="0"/>
          <c:cat>
            <c:strRef>
              <c:f>Sheet1!$A$2:$A$6</c:f>
              <c:strCache>
                <c:ptCount val="5"/>
                <c:pt idx="0">
                  <c:v>1</c:v>
                </c:pt>
                <c:pt idx="1">
                  <c:v>2</c:v>
                </c:pt>
                <c:pt idx="2">
                  <c:v>3</c:v>
                </c:pt>
                <c:pt idx="3">
                  <c:v>4</c:v>
                </c:pt>
                <c:pt idx="4">
                  <c:v>5 or more</c:v>
                </c:pt>
              </c:strCache>
            </c:strRef>
          </c:cat>
          <c:val>
            <c:numRef>
              <c:f>Sheet1!$B$2:$B$6</c:f>
              <c:numCache>
                <c:formatCode>General</c:formatCode>
                <c:ptCount val="5"/>
                <c:pt idx="0">
                  <c:v>68005</c:v>
                </c:pt>
                <c:pt idx="1">
                  <c:v>2546</c:v>
                </c:pt>
                <c:pt idx="2">
                  <c:v>322</c:v>
                </c:pt>
                <c:pt idx="3">
                  <c:v>57</c:v>
                </c:pt>
                <c:pt idx="4">
                  <c:v>17</c:v>
                </c:pt>
              </c:numCache>
            </c:numRef>
          </c:val>
          <c:extLst>
            <c:ext xmlns:c16="http://schemas.microsoft.com/office/drawing/2014/chart" uri="{C3380CC4-5D6E-409C-BE32-E72D297353CC}">
              <c16:uniqueId val="{00000000-1C8B-4AB0-BFFD-75F6F5B2FF17}"/>
            </c:ext>
          </c:extLst>
        </c:ser>
        <c:dLbls>
          <c:showLegendKey val="0"/>
          <c:showVal val="0"/>
          <c:showCatName val="0"/>
          <c:showSerName val="0"/>
          <c:showPercent val="0"/>
          <c:showBubbleSize val="0"/>
        </c:dLbls>
        <c:gapWidth val="33"/>
        <c:overlap val="-27"/>
        <c:axId val="1321711375"/>
        <c:axId val="1321718863"/>
      </c:barChart>
      <c:barChart>
        <c:barDir val="col"/>
        <c:grouping val="clustered"/>
        <c:varyColors val="0"/>
        <c:ser>
          <c:idx val="1"/>
          <c:order val="1"/>
          <c:tx>
            <c:strRef>
              <c:f>Sheet1!$F$1</c:f>
              <c:strCache>
                <c:ptCount val="1"/>
                <c:pt idx="0">
                  <c:v>for data label</c:v>
                </c:pt>
              </c:strCache>
            </c:strRef>
          </c:tx>
          <c:spPr>
            <a:noFill/>
            <a:ln>
              <a:noFill/>
            </a:ln>
            <a:effectLst/>
          </c:spPr>
          <c:invertIfNegative val="0"/>
          <c:dPt>
            <c:idx val="1"/>
            <c:invertIfNegative val="0"/>
            <c:bubble3D val="0"/>
            <c:spPr>
              <a:noFill/>
              <a:ln w="9525">
                <a:noFill/>
              </a:ln>
              <a:effectLst/>
            </c:spPr>
            <c:extLst>
              <c:ext xmlns:c16="http://schemas.microsoft.com/office/drawing/2014/chart" uri="{C3380CC4-5D6E-409C-BE32-E72D297353CC}">
                <c16:uniqueId val="{00000001-77A6-4AA8-A513-941AB608F38E}"/>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howLeaderLines val="0"/>
              </c:ext>
            </c:extLst>
          </c:dLbls>
          <c:cat>
            <c:strRef>
              <c:f>Sheet1!$G$2:$G$6</c:f>
              <c:strCache>
                <c:ptCount val="5"/>
                <c:pt idx="0">
                  <c:v>68005
 (95.9%)</c:v>
                </c:pt>
                <c:pt idx="1">
                  <c:v>2546
 (3.6%)</c:v>
                </c:pt>
                <c:pt idx="2">
                  <c:v>322
 (0.5%)</c:v>
                </c:pt>
                <c:pt idx="3">
                  <c:v>57
 (0.1%)</c:v>
                </c:pt>
                <c:pt idx="4">
                  <c:v>17
 (0.0%)</c:v>
                </c:pt>
              </c:strCache>
            </c:strRef>
          </c:cat>
          <c:val>
            <c:numRef>
              <c:f>Sheet1!$F$2:$F$6</c:f>
              <c:numCache>
                <c:formatCode>0</c:formatCode>
                <c:ptCount val="5"/>
                <c:pt idx="0">
                  <c:v>68073.00499999999</c:v>
                </c:pt>
                <c:pt idx="1">
                  <c:v>2548.5459999999998</c:v>
                </c:pt>
                <c:pt idx="2">
                  <c:v>322.32199999999995</c:v>
                </c:pt>
                <c:pt idx="3">
                  <c:v>57.056999999999995</c:v>
                </c:pt>
                <c:pt idx="4">
                  <c:v>17.016999999999999</c:v>
                </c:pt>
              </c:numCache>
            </c:numRef>
          </c:val>
          <c:extLst>
            <c:ext xmlns:c16="http://schemas.microsoft.com/office/drawing/2014/chart" uri="{C3380CC4-5D6E-409C-BE32-E72D297353CC}">
              <c16:uniqueId val="{00000001-1C8B-4AB0-BFFD-75F6F5B2FF17}"/>
            </c:ext>
          </c:extLst>
        </c:ser>
        <c:dLbls>
          <c:showLegendKey val="0"/>
          <c:showVal val="0"/>
          <c:showCatName val="0"/>
          <c:showSerName val="0"/>
          <c:showPercent val="0"/>
          <c:showBubbleSize val="0"/>
        </c:dLbls>
        <c:gapWidth val="0"/>
        <c:overlap val="-27"/>
        <c:axId val="1437074127"/>
        <c:axId val="1437063727"/>
      </c:barChart>
      <c:catAx>
        <c:axId val="1321711375"/>
        <c:scaling>
          <c:orientation val="minMax"/>
        </c:scaling>
        <c:delete val="0"/>
        <c:axPos val="b"/>
        <c:title>
          <c:tx>
            <c:rich>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sz="1100" b="1" i="0" u="heavy" strike="noStrike" kern="1200" baseline="0">
                    <a:solidFill>
                      <a:sysClr val="windowText" lastClr="000000">
                        <a:lumMod val="65000"/>
                        <a:lumOff val="35000"/>
                      </a:sysClr>
                    </a:solidFill>
                    <a:latin typeface="+mn-lt"/>
                    <a:ea typeface="+mn-ea"/>
                    <a:cs typeface="+mn-cs"/>
                  </a:rPr>
                  <a:t>Number of Plurality Prescribers per Patient</a:t>
                </a:r>
              </a:p>
            </c:rich>
          </c:tx>
          <c:layout>
            <c:manualLayout>
              <c:xMode val="edge"/>
              <c:yMode val="edge"/>
              <c:x val="0.32208220163992013"/>
              <c:y val="0.91416298016977826"/>
            </c:manualLayout>
          </c:layout>
          <c:overlay val="0"/>
          <c:spPr>
            <a:noFill/>
            <a:ln>
              <a:noFill/>
            </a:ln>
            <a:effectLst/>
          </c:spPr>
          <c:txPr>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2857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8863"/>
        <c:crosses val="autoZero"/>
        <c:auto val="1"/>
        <c:lblAlgn val="ctr"/>
        <c:lblOffset val="100"/>
        <c:noMultiLvlLbl val="0"/>
      </c:catAx>
      <c:valAx>
        <c:axId val="13217188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a:t>Count of Patients</a:t>
                </a:r>
              </a:p>
            </c:rich>
          </c:tx>
          <c:layout>
            <c:manualLayout>
              <c:xMode val="edge"/>
              <c:yMode val="edge"/>
              <c:x val="0"/>
              <c:y val="0.29352041949203206"/>
            </c:manualLayout>
          </c:layout>
          <c:overlay val="0"/>
          <c:spPr>
            <a:noFill/>
            <a:ln>
              <a:noFill/>
            </a:ln>
            <a:effectLst/>
          </c:spPr>
          <c:txPr>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1375"/>
        <c:crosses val="autoZero"/>
        <c:crossBetween val="between"/>
      </c:valAx>
      <c:valAx>
        <c:axId val="1437063727"/>
        <c:scaling>
          <c:orientation val="minMax"/>
        </c:scaling>
        <c:delete val="0"/>
        <c:axPos val="r"/>
        <c:numFmt formatCode="0"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7074127"/>
        <c:crosses val="max"/>
        <c:crossBetween val="between"/>
      </c:valAx>
      <c:catAx>
        <c:axId val="1437074127"/>
        <c:scaling>
          <c:orientation val="minMax"/>
        </c:scaling>
        <c:delete val="1"/>
        <c:axPos val="b"/>
        <c:numFmt formatCode="General" sourceLinked="1"/>
        <c:majorTickMark val="out"/>
        <c:minorTickMark val="none"/>
        <c:tickLblPos val="nextTo"/>
        <c:crossAx val="1437063727"/>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625787798333906"/>
          <c:y val="0.14921057944679991"/>
          <c:w val="0.8568642742761915"/>
          <c:h val="0.69239078920802921"/>
        </c:manualLayout>
      </c:layout>
      <c:barChart>
        <c:barDir val="col"/>
        <c:grouping val="clustered"/>
        <c:varyColors val="0"/>
        <c:ser>
          <c:idx val="0"/>
          <c:order val="0"/>
          <c:tx>
            <c:strRef>
              <c:f>Sheet1!$B$1</c:f>
              <c:strCache>
                <c:ptCount val="1"/>
                <c:pt idx="0">
                  <c:v>count of patients</c:v>
                </c:pt>
              </c:strCache>
            </c:strRef>
          </c:tx>
          <c:spPr>
            <a:solidFill>
              <a:schemeClr val="accent1"/>
            </a:solidFill>
            <a:ln w="9525">
              <a:solidFill>
                <a:sysClr val="windowText" lastClr="000000"/>
              </a:solidFill>
            </a:ln>
            <a:effectLst/>
          </c:spPr>
          <c:invertIfNegative val="0"/>
          <c:cat>
            <c:strRef>
              <c:f>Sheet1!$A$2:$A$5</c:f>
              <c:strCache>
                <c:ptCount val="4"/>
                <c:pt idx="0">
                  <c:v>1</c:v>
                </c:pt>
                <c:pt idx="1">
                  <c:v>2</c:v>
                </c:pt>
                <c:pt idx="2">
                  <c:v>3</c:v>
                </c:pt>
                <c:pt idx="3">
                  <c:v>4 or more</c:v>
                </c:pt>
              </c:strCache>
            </c:strRef>
          </c:cat>
          <c:val>
            <c:numRef>
              <c:f>Sheet1!$B$2:$B$5</c:f>
              <c:numCache>
                <c:formatCode>General</c:formatCode>
                <c:ptCount val="4"/>
                <c:pt idx="0">
                  <c:v>69832</c:v>
                </c:pt>
                <c:pt idx="1">
                  <c:v>983</c:v>
                </c:pt>
                <c:pt idx="2">
                  <c:v>108</c:v>
                </c:pt>
                <c:pt idx="3">
                  <c:v>24</c:v>
                </c:pt>
              </c:numCache>
            </c:numRef>
          </c:val>
          <c:extLst>
            <c:ext xmlns:c16="http://schemas.microsoft.com/office/drawing/2014/chart" uri="{C3380CC4-5D6E-409C-BE32-E72D297353CC}">
              <c16:uniqueId val="{00000000-21FC-4B33-ACA6-BB8DE1704BAC}"/>
            </c:ext>
          </c:extLst>
        </c:ser>
        <c:dLbls>
          <c:showLegendKey val="0"/>
          <c:showVal val="0"/>
          <c:showCatName val="0"/>
          <c:showSerName val="0"/>
          <c:showPercent val="0"/>
          <c:showBubbleSize val="0"/>
        </c:dLbls>
        <c:gapWidth val="33"/>
        <c:overlap val="-27"/>
        <c:axId val="1321711375"/>
        <c:axId val="1321718863"/>
      </c:barChart>
      <c:barChart>
        <c:barDir val="col"/>
        <c:grouping val="clustered"/>
        <c:varyColors val="0"/>
        <c:ser>
          <c:idx val="1"/>
          <c:order val="1"/>
          <c:tx>
            <c:strRef>
              <c:f>Sheet1!$F$1</c:f>
              <c:strCache>
                <c:ptCount val="1"/>
                <c:pt idx="0">
                  <c:v>for data label</c:v>
                </c:pt>
              </c:strCache>
            </c:strRef>
          </c:tx>
          <c:spPr>
            <a:no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howLeaderLines val="0"/>
              </c:ext>
            </c:extLst>
          </c:dLbls>
          <c:cat>
            <c:strRef>
              <c:f>Sheet1!$G$2:$G$5</c:f>
              <c:strCache>
                <c:ptCount val="4"/>
                <c:pt idx="0">
                  <c:v>69832
 (98.4%)</c:v>
                </c:pt>
                <c:pt idx="1">
                  <c:v>983
 (1.4%)</c:v>
                </c:pt>
                <c:pt idx="2">
                  <c:v>108
 (0.2%)</c:v>
                </c:pt>
                <c:pt idx="3">
                  <c:v>24
 (0.0%)</c:v>
                </c:pt>
              </c:strCache>
            </c:strRef>
          </c:cat>
          <c:val>
            <c:numRef>
              <c:f>Sheet1!$F$2:$F$5</c:f>
              <c:numCache>
                <c:formatCode>0</c:formatCode>
                <c:ptCount val="4"/>
                <c:pt idx="0">
                  <c:v>69901.831999999995</c:v>
                </c:pt>
                <c:pt idx="1">
                  <c:v>983.98299999999995</c:v>
                </c:pt>
                <c:pt idx="2">
                  <c:v>108.10799999999999</c:v>
                </c:pt>
                <c:pt idx="3">
                  <c:v>24.023999999999997</c:v>
                </c:pt>
              </c:numCache>
            </c:numRef>
          </c:val>
          <c:extLst>
            <c:ext xmlns:c16="http://schemas.microsoft.com/office/drawing/2014/chart" uri="{C3380CC4-5D6E-409C-BE32-E72D297353CC}">
              <c16:uniqueId val="{00000001-21FC-4B33-ACA6-BB8DE1704BAC}"/>
            </c:ext>
          </c:extLst>
        </c:ser>
        <c:dLbls>
          <c:showLegendKey val="0"/>
          <c:showVal val="0"/>
          <c:showCatName val="0"/>
          <c:showSerName val="0"/>
          <c:showPercent val="0"/>
          <c:showBubbleSize val="0"/>
        </c:dLbls>
        <c:gapWidth val="0"/>
        <c:overlap val="-27"/>
        <c:axId val="1437074127"/>
        <c:axId val="1437063727"/>
      </c:barChart>
      <c:catAx>
        <c:axId val="1321711375"/>
        <c:scaling>
          <c:orientation val="minMax"/>
        </c:scaling>
        <c:delete val="0"/>
        <c:axPos val="b"/>
        <c:title>
          <c:tx>
            <c:rich>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sz="1100" b="1" i="0" u="heavy" strike="noStrike" kern="1200" baseline="0">
                    <a:solidFill>
                      <a:sysClr val="windowText" lastClr="000000">
                        <a:lumMod val="65000"/>
                        <a:lumOff val="35000"/>
                      </a:sysClr>
                    </a:solidFill>
                    <a:latin typeface="+mn-lt"/>
                    <a:ea typeface="+mn-ea"/>
                    <a:cs typeface="+mn-cs"/>
                  </a:rPr>
                  <a:t>Number of Plurality Prescribers per Patient</a:t>
                </a:r>
              </a:p>
            </c:rich>
          </c:tx>
          <c:layout>
            <c:manualLayout>
              <c:xMode val="edge"/>
              <c:yMode val="edge"/>
              <c:x val="0.31741319504665438"/>
              <c:y val="0.90986267854373781"/>
            </c:manualLayout>
          </c:layout>
          <c:overlay val="0"/>
          <c:spPr>
            <a:noFill/>
            <a:ln>
              <a:noFill/>
            </a:ln>
            <a:effectLst/>
          </c:spPr>
          <c:txPr>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2857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8863"/>
        <c:crosses val="autoZero"/>
        <c:auto val="1"/>
        <c:lblAlgn val="ctr"/>
        <c:lblOffset val="100"/>
        <c:noMultiLvlLbl val="0"/>
      </c:catAx>
      <c:valAx>
        <c:axId val="13217188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a:t>Count of Patients</a:t>
                </a:r>
              </a:p>
            </c:rich>
          </c:tx>
          <c:layout>
            <c:manualLayout>
              <c:xMode val="edge"/>
              <c:yMode val="edge"/>
              <c:x val="1.0576155954074022E-3"/>
              <c:y val="0.28830855114664283"/>
            </c:manualLayout>
          </c:layout>
          <c:overlay val="0"/>
          <c:spPr>
            <a:noFill/>
            <a:ln>
              <a:noFill/>
            </a:ln>
            <a:effectLst/>
          </c:spPr>
          <c:txPr>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1375"/>
        <c:crosses val="autoZero"/>
        <c:crossBetween val="between"/>
      </c:valAx>
      <c:valAx>
        <c:axId val="1437063727"/>
        <c:scaling>
          <c:orientation val="minMax"/>
        </c:scaling>
        <c:delete val="0"/>
        <c:axPos val="r"/>
        <c:numFmt formatCode="0"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7074127"/>
        <c:crosses val="max"/>
        <c:crossBetween val="between"/>
      </c:valAx>
      <c:catAx>
        <c:axId val="1437074127"/>
        <c:scaling>
          <c:orientation val="minMax"/>
        </c:scaling>
        <c:delete val="1"/>
        <c:axPos val="b"/>
        <c:numFmt formatCode="General" sourceLinked="1"/>
        <c:majorTickMark val="out"/>
        <c:minorTickMark val="none"/>
        <c:tickLblPos val="nextTo"/>
        <c:crossAx val="1437063727"/>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count of patients</c:v>
                </c:pt>
              </c:strCache>
            </c:strRef>
          </c:tx>
          <c:spPr>
            <a:solidFill>
              <a:schemeClr val="accent1"/>
            </a:solidFill>
            <a:ln>
              <a:solidFill>
                <a:sysClr val="windowText" lastClr="000000"/>
              </a:solidFill>
            </a:ln>
            <a:effectLst/>
          </c:spPr>
          <c:invertIfNegative val="0"/>
          <c:cat>
            <c:strRef>
              <c:f>Sheet1!$A$2:$A$3</c:f>
              <c:strCache>
                <c:ptCount val="2"/>
                <c:pt idx="0">
                  <c:v>Yes, Patient has a Majority Prescriber
(greater than 50% of patient's claims
are with a single prescriber)</c:v>
                </c:pt>
                <c:pt idx="1">
                  <c:v>No, Patient does NOT have 
Majority Prescriber</c:v>
                </c:pt>
              </c:strCache>
            </c:strRef>
          </c:cat>
          <c:val>
            <c:numRef>
              <c:f>Sheet1!$B$2:$B$3</c:f>
              <c:numCache>
                <c:formatCode>General</c:formatCode>
                <c:ptCount val="2"/>
                <c:pt idx="0">
                  <c:v>62348</c:v>
                </c:pt>
                <c:pt idx="1">
                  <c:v>8599</c:v>
                </c:pt>
              </c:numCache>
            </c:numRef>
          </c:val>
          <c:extLst>
            <c:ext xmlns:c16="http://schemas.microsoft.com/office/drawing/2014/chart" uri="{C3380CC4-5D6E-409C-BE32-E72D297353CC}">
              <c16:uniqueId val="{00000000-4A72-40BF-9091-502D5C94B567}"/>
            </c:ext>
          </c:extLst>
        </c:ser>
        <c:dLbls>
          <c:showLegendKey val="0"/>
          <c:showVal val="0"/>
          <c:showCatName val="0"/>
          <c:showSerName val="0"/>
          <c:showPercent val="0"/>
          <c:showBubbleSize val="0"/>
        </c:dLbls>
        <c:gapWidth val="99"/>
        <c:overlap val="-27"/>
        <c:axId val="1382268127"/>
        <c:axId val="1382273535"/>
      </c:barChart>
      <c:barChart>
        <c:barDir val="col"/>
        <c:grouping val="clustered"/>
        <c:varyColors val="0"/>
        <c:ser>
          <c:idx val="1"/>
          <c:order val="1"/>
          <c:tx>
            <c:strRef>
              <c:f>Sheet1!$D$1</c:f>
              <c:strCache>
                <c:ptCount val="1"/>
                <c:pt idx="0">
                  <c:v>for data label</c:v>
                </c:pt>
              </c:strCache>
            </c:strRef>
          </c:tx>
          <c:spPr>
            <a:noFill/>
            <a:ln>
              <a:noFill/>
            </a:ln>
            <a:effectLst/>
          </c:spPr>
          <c:invertIfNegative val="0"/>
          <c:dLbls>
            <c:spPr>
              <a:noFill/>
              <a:ln>
                <a:noFill/>
              </a:ln>
              <a:effectLst/>
            </c:spPr>
            <c:txPr>
              <a:bodyPr rot="0" spcFirstLastPara="1" vertOverflow="clip" horzOverflow="clip" vert="horz" wrap="square" lIns="36576" tIns="18288" rIns="36576" bIns="18288"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Sheet1!$E$2:$E$3</c:f>
              <c:strCache>
                <c:ptCount val="2"/>
                <c:pt idx="0">
                  <c:v>62348
 (87.9%)</c:v>
                </c:pt>
                <c:pt idx="1">
                  <c:v>8599
 (12.1%)</c:v>
                </c:pt>
              </c:strCache>
            </c:strRef>
          </c:cat>
          <c:val>
            <c:numRef>
              <c:f>Sheet1!$D$2:$D$3</c:f>
              <c:numCache>
                <c:formatCode>General</c:formatCode>
                <c:ptCount val="2"/>
                <c:pt idx="0">
                  <c:v>62348</c:v>
                </c:pt>
                <c:pt idx="1">
                  <c:v>8599</c:v>
                </c:pt>
              </c:numCache>
            </c:numRef>
          </c:val>
          <c:extLst>
            <c:ext xmlns:c16="http://schemas.microsoft.com/office/drawing/2014/chart" uri="{C3380CC4-5D6E-409C-BE32-E72D297353CC}">
              <c16:uniqueId val="{00000001-4A72-40BF-9091-502D5C94B567}"/>
            </c:ext>
          </c:extLst>
        </c:ser>
        <c:dLbls>
          <c:showLegendKey val="0"/>
          <c:showVal val="0"/>
          <c:showCatName val="0"/>
          <c:showSerName val="0"/>
          <c:showPercent val="0"/>
          <c:showBubbleSize val="0"/>
        </c:dLbls>
        <c:gapWidth val="219"/>
        <c:overlap val="-27"/>
        <c:axId val="648592511"/>
        <c:axId val="1382274783"/>
      </c:barChart>
      <c:catAx>
        <c:axId val="1382268127"/>
        <c:scaling>
          <c:orientation val="minMax"/>
        </c:scaling>
        <c:delete val="0"/>
        <c:axPos val="b"/>
        <c:title>
          <c:tx>
            <c:rich>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i="0" u="sng" baseline="0">
                    <a:effectLst/>
                  </a:rPr>
                  <a:t>Whether or Not Patient has a Majority Prescriber</a:t>
                </a:r>
                <a:endParaRPr lang="en-US" sz="1100" baseline="0">
                  <a:effectLst/>
                </a:endParaRPr>
              </a:p>
            </c:rich>
          </c:tx>
          <c:layout>
            <c:manualLayout>
              <c:xMode val="edge"/>
              <c:yMode val="edge"/>
              <c:x val="0.20302112882093293"/>
              <c:y val="0.91178406324587069"/>
            </c:manualLayout>
          </c:layout>
          <c:overlay val="0"/>
          <c:spPr>
            <a:noFill/>
            <a:ln>
              <a:noFill/>
            </a:ln>
            <a:effectLst/>
          </c:spPr>
          <c:txPr>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82273535"/>
        <c:crosses val="autoZero"/>
        <c:auto val="1"/>
        <c:lblAlgn val="ctr"/>
        <c:lblOffset val="100"/>
        <c:noMultiLvlLbl val="0"/>
      </c:catAx>
      <c:valAx>
        <c:axId val="13822735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sz="1100" u="sng" baseline="0"/>
                  <a:t>Count of Patients</a:t>
                </a:r>
              </a:p>
            </c:rich>
          </c:tx>
          <c:layout>
            <c:manualLayout>
              <c:xMode val="edge"/>
              <c:yMode val="edge"/>
              <c:x val="1.8646788699070126E-2"/>
              <c:y val="0.18414370078740158"/>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1382268127"/>
        <c:crosses val="autoZero"/>
        <c:crossBetween val="between"/>
      </c:valAx>
      <c:valAx>
        <c:axId val="1382274783"/>
        <c:scaling>
          <c:orientation val="minMax"/>
        </c:scaling>
        <c:delete val="1"/>
        <c:axPos val="r"/>
        <c:numFmt formatCode="General" sourceLinked="1"/>
        <c:majorTickMark val="out"/>
        <c:minorTickMark val="none"/>
        <c:tickLblPos val="nextTo"/>
        <c:crossAx val="648592511"/>
        <c:crosses val="max"/>
        <c:crossBetween val="between"/>
      </c:valAx>
      <c:catAx>
        <c:axId val="648592511"/>
        <c:scaling>
          <c:orientation val="minMax"/>
        </c:scaling>
        <c:delete val="1"/>
        <c:axPos val="b"/>
        <c:numFmt formatCode="General" sourceLinked="1"/>
        <c:majorTickMark val="out"/>
        <c:minorTickMark val="none"/>
        <c:tickLblPos val="nextTo"/>
        <c:crossAx val="1382274783"/>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b="1" i="0" baseline="0"/>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count of patients</c:v>
                </c:pt>
              </c:strCache>
            </c:strRef>
          </c:tx>
          <c:spPr>
            <a:solidFill>
              <a:schemeClr val="accent1"/>
            </a:solidFill>
            <a:ln>
              <a:solidFill>
                <a:sysClr val="windowText" lastClr="000000"/>
              </a:solidFill>
            </a:ln>
            <a:effectLst/>
          </c:spPr>
          <c:invertIfNegative val="0"/>
          <c:cat>
            <c:strRef>
              <c:f>Sheet1!$A$2:$A$3</c:f>
              <c:strCache>
                <c:ptCount val="2"/>
                <c:pt idx="0">
                  <c:v>Yes, Patient has a Majority Prescriber
(greater than 50% of patient's claims
are with a single prescriber)</c:v>
                </c:pt>
                <c:pt idx="1">
                  <c:v>No, Patient does NOT have 
Majority Prescriber</c:v>
                </c:pt>
              </c:strCache>
            </c:strRef>
          </c:cat>
          <c:val>
            <c:numRef>
              <c:f>Sheet1!$B$2:$B$3</c:f>
              <c:numCache>
                <c:formatCode>General</c:formatCode>
                <c:ptCount val="2"/>
                <c:pt idx="0">
                  <c:v>64258</c:v>
                </c:pt>
                <c:pt idx="1">
                  <c:v>6689</c:v>
                </c:pt>
              </c:numCache>
            </c:numRef>
          </c:val>
          <c:extLst>
            <c:ext xmlns:c16="http://schemas.microsoft.com/office/drawing/2014/chart" uri="{C3380CC4-5D6E-409C-BE32-E72D297353CC}">
              <c16:uniqueId val="{00000000-F751-4478-878A-E7DE4F5228E8}"/>
            </c:ext>
          </c:extLst>
        </c:ser>
        <c:dLbls>
          <c:showLegendKey val="0"/>
          <c:showVal val="0"/>
          <c:showCatName val="0"/>
          <c:showSerName val="0"/>
          <c:showPercent val="0"/>
          <c:showBubbleSize val="0"/>
        </c:dLbls>
        <c:gapWidth val="99"/>
        <c:overlap val="-27"/>
        <c:axId val="1382268127"/>
        <c:axId val="1382273535"/>
      </c:barChart>
      <c:barChart>
        <c:barDir val="col"/>
        <c:grouping val="clustered"/>
        <c:varyColors val="0"/>
        <c:ser>
          <c:idx val="1"/>
          <c:order val="1"/>
          <c:tx>
            <c:strRef>
              <c:f>Sheet1!$D$1</c:f>
              <c:strCache>
                <c:ptCount val="1"/>
                <c:pt idx="0">
                  <c:v>for data label</c:v>
                </c:pt>
              </c:strCache>
            </c:strRef>
          </c:tx>
          <c:spPr>
            <a:noFill/>
            <a:ln>
              <a:noFill/>
            </a:ln>
            <a:effectLst/>
          </c:spPr>
          <c:invertIfNegative val="0"/>
          <c:dLbls>
            <c:spPr>
              <a:noFill/>
              <a:ln>
                <a:noFill/>
              </a:ln>
              <a:effectLst/>
            </c:spPr>
            <c:txPr>
              <a:bodyPr rot="0" spcFirstLastPara="1" vertOverflow="clip" horzOverflow="clip" vert="horz" wrap="square" lIns="36576" tIns="18288" rIns="36576" bIns="18288"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Sheet1!$E$2:$E$3</c:f>
              <c:strCache>
                <c:ptCount val="2"/>
                <c:pt idx="0">
                  <c:v>64258
 (90.6%)</c:v>
                </c:pt>
                <c:pt idx="1">
                  <c:v>6689
 (9.4%)</c:v>
                </c:pt>
              </c:strCache>
            </c:strRef>
          </c:cat>
          <c:val>
            <c:numRef>
              <c:f>Sheet1!$D$2:$D$3</c:f>
              <c:numCache>
                <c:formatCode>General</c:formatCode>
                <c:ptCount val="2"/>
                <c:pt idx="0">
                  <c:v>64258</c:v>
                </c:pt>
                <c:pt idx="1">
                  <c:v>6689</c:v>
                </c:pt>
              </c:numCache>
            </c:numRef>
          </c:val>
          <c:extLst>
            <c:ext xmlns:c16="http://schemas.microsoft.com/office/drawing/2014/chart" uri="{C3380CC4-5D6E-409C-BE32-E72D297353CC}">
              <c16:uniqueId val="{00000001-F751-4478-878A-E7DE4F5228E8}"/>
            </c:ext>
          </c:extLst>
        </c:ser>
        <c:dLbls>
          <c:showLegendKey val="0"/>
          <c:showVal val="0"/>
          <c:showCatName val="0"/>
          <c:showSerName val="0"/>
          <c:showPercent val="0"/>
          <c:showBubbleSize val="0"/>
        </c:dLbls>
        <c:gapWidth val="219"/>
        <c:overlap val="-27"/>
        <c:axId val="648592511"/>
        <c:axId val="1382274783"/>
      </c:barChart>
      <c:catAx>
        <c:axId val="1382268127"/>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sz="1100" u="sng" baseline="0"/>
                  <a:t>Whether or Not Patient has a Majority Prescriber</a:t>
                </a:r>
              </a:p>
            </c:rich>
          </c:tx>
          <c:layout>
            <c:manualLayout>
              <c:xMode val="edge"/>
              <c:yMode val="edge"/>
              <c:x val="0.24392923436792349"/>
              <c:y val="0.94505992865200839"/>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82273535"/>
        <c:crosses val="autoZero"/>
        <c:auto val="1"/>
        <c:lblAlgn val="ctr"/>
        <c:lblOffset val="100"/>
        <c:noMultiLvlLbl val="0"/>
      </c:catAx>
      <c:valAx>
        <c:axId val="13822735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sz="1100" u="sng" baseline="0"/>
                  <a:t>Count of Patients</a:t>
                </a:r>
              </a:p>
            </c:rich>
          </c:tx>
          <c:layout>
            <c:manualLayout>
              <c:xMode val="edge"/>
              <c:yMode val="edge"/>
              <c:x val="1.4663638368998512E-2"/>
              <c:y val="0.28429741116308799"/>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1382268127"/>
        <c:crosses val="autoZero"/>
        <c:crossBetween val="between"/>
      </c:valAx>
      <c:valAx>
        <c:axId val="1382274783"/>
        <c:scaling>
          <c:orientation val="minMax"/>
        </c:scaling>
        <c:delete val="1"/>
        <c:axPos val="r"/>
        <c:numFmt formatCode="General" sourceLinked="1"/>
        <c:majorTickMark val="out"/>
        <c:minorTickMark val="none"/>
        <c:tickLblPos val="nextTo"/>
        <c:crossAx val="648592511"/>
        <c:crosses val="max"/>
        <c:crossBetween val="between"/>
      </c:valAx>
      <c:catAx>
        <c:axId val="648592511"/>
        <c:scaling>
          <c:orientation val="minMax"/>
        </c:scaling>
        <c:delete val="1"/>
        <c:axPos val="b"/>
        <c:numFmt formatCode="General" sourceLinked="1"/>
        <c:majorTickMark val="out"/>
        <c:minorTickMark val="none"/>
        <c:tickLblPos val="nextTo"/>
        <c:crossAx val="1382274783"/>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b="1" i="0" baseline="0"/>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625787798333906"/>
          <c:y val="0.14921057944679991"/>
          <c:w val="0.8568642742761915"/>
          <c:h val="0.69239078920802921"/>
        </c:manualLayout>
      </c:layout>
      <c:barChart>
        <c:barDir val="col"/>
        <c:grouping val="clustered"/>
        <c:varyColors val="0"/>
        <c:ser>
          <c:idx val="0"/>
          <c:order val="0"/>
          <c:tx>
            <c:strRef>
              <c:f>'4 bins'!$B$1</c:f>
              <c:strCache>
                <c:ptCount val="1"/>
                <c:pt idx="0">
                  <c:v>count of patients</c:v>
                </c:pt>
              </c:strCache>
            </c:strRef>
          </c:tx>
          <c:spPr>
            <a:solidFill>
              <a:schemeClr val="accent1"/>
            </a:solidFill>
            <a:ln w="9525">
              <a:solidFill>
                <a:sysClr val="windowText" lastClr="000000"/>
              </a:solidFill>
            </a:ln>
            <a:effectLst/>
          </c:spPr>
          <c:invertIfNegative val="0"/>
          <c:cat>
            <c:strRef>
              <c:f>'4 bins'!$A$2:$A$5</c:f>
              <c:strCache>
                <c:ptCount val="4"/>
                <c:pt idx="0">
                  <c:v>1</c:v>
                </c:pt>
                <c:pt idx="1">
                  <c:v>2</c:v>
                </c:pt>
                <c:pt idx="2">
                  <c:v>3</c:v>
                </c:pt>
                <c:pt idx="3">
                  <c:v>4 or more</c:v>
                </c:pt>
              </c:strCache>
            </c:strRef>
          </c:cat>
          <c:val>
            <c:numRef>
              <c:f>'4 bins'!$B$2:$B$5</c:f>
              <c:numCache>
                <c:formatCode>General</c:formatCode>
                <c:ptCount val="4"/>
                <c:pt idx="0">
                  <c:v>42911</c:v>
                </c:pt>
                <c:pt idx="1">
                  <c:v>14501</c:v>
                </c:pt>
                <c:pt idx="2">
                  <c:v>5211</c:v>
                </c:pt>
                <c:pt idx="3">
                  <c:v>3562</c:v>
                </c:pt>
              </c:numCache>
            </c:numRef>
          </c:val>
          <c:extLst>
            <c:ext xmlns:c16="http://schemas.microsoft.com/office/drawing/2014/chart" uri="{C3380CC4-5D6E-409C-BE32-E72D297353CC}">
              <c16:uniqueId val="{00000000-C8C3-44D4-BD84-5D9AEB08B31C}"/>
            </c:ext>
          </c:extLst>
        </c:ser>
        <c:dLbls>
          <c:showLegendKey val="0"/>
          <c:showVal val="0"/>
          <c:showCatName val="0"/>
          <c:showSerName val="0"/>
          <c:showPercent val="0"/>
          <c:showBubbleSize val="0"/>
        </c:dLbls>
        <c:gapWidth val="0"/>
        <c:overlap val="-27"/>
        <c:axId val="1321711375"/>
        <c:axId val="1321718863"/>
      </c:barChart>
      <c:barChart>
        <c:barDir val="col"/>
        <c:grouping val="clustered"/>
        <c:varyColors val="0"/>
        <c:ser>
          <c:idx val="1"/>
          <c:order val="1"/>
          <c:spPr>
            <a:no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howLeaderLines val="0"/>
              </c:ext>
            </c:extLst>
          </c:dLbls>
          <c:cat>
            <c:strRef>
              <c:f>'9 bins'!$G$2:$G$10</c:f>
              <c:strCache>
                <c:ptCount val="9"/>
                <c:pt idx="0">
                  <c:v>42911
 (64.8%)</c:v>
                </c:pt>
                <c:pt idx="1">
                  <c:v>14501
 (21.9%)</c:v>
                </c:pt>
                <c:pt idx="2">
                  <c:v>5211
 (7.9%)</c:v>
                </c:pt>
                <c:pt idx="3">
                  <c:v>2084
 (3.1%)</c:v>
                </c:pt>
                <c:pt idx="4">
                  <c:v>806
 (1.2%)</c:v>
                </c:pt>
                <c:pt idx="5">
                  <c:v>384
 (0.6%)</c:v>
                </c:pt>
                <c:pt idx="6">
                  <c:v>156
 (0.2%)</c:v>
                </c:pt>
                <c:pt idx="7">
                  <c:v>79
 (0.1%)</c:v>
                </c:pt>
                <c:pt idx="8">
                  <c:v>53
 (0.1%)</c:v>
                </c:pt>
              </c:strCache>
            </c:strRef>
          </c:cat>
          <c:val>
            <c:numRef>
              <c:f>'4 bins'!$F$2:$F$5</c:f>
              <c:numCache>
                <c:formatCode>General</c:formatCode>
                <c:ptCount val="4"/>
                <c:pt idx="0">
                  <c:v>43340.11</c:v>
                </c:pt>
                <c:pt idx="1">
                  <c:v>14646.01</c:v>
                </c:pt>
                <c:pt idx="2">
                  <c:v>5263.11</c:v>
                </c:pt>
                <c:pt idx="3">
                  <c:v>3597.62</c:v>
                </c:pt>
              </c:numCache>
            </c:numRef>
          </c:val>
          <c:extLst>
            <c:ext xmlns:c16="http://schemas.microsoft.com/office/drawing/2014/chart" uri="{C3380CC4-5D6E-409C-BE32-E72D297353CC}">
              <c16:uniqueId val="{00000001-C8C3-44D4-BD84-5D9AEB08B31C}"/>
            </c:ext>
          </c:extLst>
        </c:ser>
        <c:dLbls>
          <c:showLegendKey val="0"/>
          <c:showVal val="0"/>
          <c:showCatName val="0"/>
          <c:showSerName val="0"/>
          <c:showPercent val="0"/>
          <c:showBubbleSize val="0"/>
        </c:dLbls>
        <c:gapWidth val="0"/>
        <c:overlap val="-27"/>
        <c:axId val="1437074127"/>
        <c:axId val="1437063727"/>
      </c:barChart>
      <c:catAx>
        <c:axId val="1321711375"/>
        <c:scaling>
          <c:orientation val="minMax"/>
        </c:scaling>
        <c:delete val="0"/>
        <c:axPos val="b"/>
        <c:title>
          <c:tx>
            <c:rich>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sz="1100" b="1" i="0" u="heavy" baseline="0"/>
                  <a:t>Number of Practices Per Patient</a:t>
                </a:r>
              </a:p>
            </c:rich>
          </c:tx>
          <c:layout>
            <c:manualLayout>
              <c:xMode val="edge"/>
              <c:yMode val="edge"/>
              <c:x val="0.37287536173362945"/>
              <c:y val="0.91119499173492435"/>
            </c:manualLayout>
          </c:layout>
          <c:overlay val="0"/>
          <c:spPr>
            <a:noFill/>
            <a:ln>
              <a:noFill/>
            </a:ln>
            <a:effectLst/>
          </c:spPr>
          <c:txPr>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2857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8863"/>
        <c:crosses val="autoZero"/>
        <c:auto val="1"/>
        <c:lblAlgn val="ctr"/>
        <c:lblOffset val="100"/>
        <c:noMultiLvlLbl val="0"/>
      </c:catAx>
      <c:valAx>
        <c:axId val="13217188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sz="1100" b="1" i="0" u="heavy" baseline="0"/>
                  <a:t>Count of Patients</a:t>
                </a:r>
              </a:p>
            </c:rich>
          </c:tx>
          <c:layout>
            <c:manualLayout>
              <c:xMode val="edge"/>
              <c:yMode val="edge"/>
              <c:x val="1.3213069178535425E-3"/>
              <c:y val="0.33016558813114155"/>
            </c:manualLayout>
          </c:layout>
          <c:overlay val="0"/>
          <c:spPr>
            <a:noFill/>
            <a:ln>
              <a:noFill/>
            </a:ln>
            <a:effectLst/>
          </c:spPr>
          <c:txPr>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1375"/>
        <c:crosses val="autoZero"/>
        <c:crossBetween val="between"/>
      </c:valAx>
      <c:valAx>
        <c:axId val="1437063727"/>
        <c:scaling>
          <c:orientation val="minMax"/>
        </c:scaling>
        <c:delete val="0"/>
        <c:axPos val="r"/>
        <c:numFmt formatCode="General"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7074127"/>
        <c:crosses val="max"/>
        <c:crossBetween val="between"/>
      </c:valAx>
      <c:catAx>
        <c:axId val="1437074127"/>
        <c:scaling>
          <c:orientation val="minMax"/>
        </c:scaling>
        <c:delete val="1"/>
        <c:axPos val="b"/>
        <c:numFmt formatCode="General" sourceLinked="1"/>
        <c:majorTickMark val="out"/>
        <c:minorTickMark val="none"/>
        <c:tickLblPos val="nextTo"/>
        <c:crossAx val="1437063727"/>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625787798333906"/>
          <c:y val="0.14921057944679991"/>
          <c:w val="0.8568642742761915"/>
          <c:h val="0.69239078920802921"/>
        </c:manualLayout>
      </c:layout>
      <c:barChart>
        <c:barDir val="col"/>
        <c:grouping val="clustered"/>
        <c:varyColors val="0"/>
        <c:ser>
          <c:idx val="0"/>
          <c:order val="0"/>
          <c:tx>
            <c:strRef>
              <c:f>Sheet1!$B$1</c:f>
              <c:strCache>
                <c:ptCount val="1"/>
                <c:pt idx="0">
                  <c:v>count of patients</c:v>
                </c:pt>
              </c:strCache>
            </c:strRef>
          </c:tx>
          <c:spPr>
            <a:solidFill>
              <a:schemeClr val="accent1"/>
            </a:solidFill>
            <a:ln w="9525">
              <a:solidFill>
                <a:sysClr val="windowText" lastClr="000000"/>
              </a:solidFill>
            </a:ln>
            <a:effectLst/>
          </c:spPr>
          <c:invertIfNegative val="0"/>
          <c:cat>
            <c:strRef>
              <c:f>Sheet1!$A$2:$A$5</c:f>
              <c:strCache>
                <c:ptCount val="4"/>
                <c:pt idx="0">
                  <c:v>1</c:v>
                </c:pt>
                <c:pt idx="1">
                  <c:v>2</c:v>
                </c:pt>
                <c:pt idx="2">
                  <c:v>3</c:v>
                </c:pt>
                <c:pt idx="3">
                  <c:v>4 or more</c:v>
                </c:pt>
              </c:strCache>
            </c:strRef>
          </c:cat>
          <c:val>
            <c:numRef>
              <c:f>Sheet1!$B$2:$B$5</c:f>
              <c:numCache>
                <c:formatCode>General</c:formatCode>
                <c:ptCount val="4"/>
                <c:pt idx="0">
                  <c:v>64013</c:v>
                </c:pt>
                <c:pt idx="1">
                  <c:v>1978</c:v>
                </c:pt>
                <c:pt idx="2">
                  <c:v>154</c:v>
                </c:pt>
                <c:pt idx="3">
                  <c:v>40</c:v>
                </c:pt>
              </c:numCache>
            </c:numRef>
          </c:val>
          <c:extLst>
            <c:ext xmlns:c16="http://schemas.microsoft.com/office/drawing/2014/chart" uri="{C3380CC4-5D6E-409C-BE32-E72D297353CC}">
              <c16:uniqueId val="{00000000-0821-493D-98C7-F47B2AAC85FB}"/>
            </c:ext>
          </c:extLst>
        </c:ser>
        <c:dLbls>
          <c:showLegendKey val="0"/>
          <c:showVal val="0"/>
          <c:showCatName val="0"/>
          <c:showSerName val="0"/>
          <c:showPercent val="0"/>
          <c:showBubbleSize val="0"/>
        </c:dLbls>
        <c:gapWidth val="33"/>
        <c:overlap val="-27"/>
        <c:axId val="1321711375"/>
        <c:axId val="1321718863"/>
      </c:barChart>
      <c:barChart>
        <c:barDir val="col"/>
        <c:grouping val="clustered"/>
        <c:varyColors val="0"/>
        <c:ser>
          <c:idx val="1"/>
          <c:order val="1"/>
          <c:tx>
            <c:strRef>
              <c:f>Sheet1!$F$1</c:f>
              <c:strCache>
                <c:ptCount val="1"/>
                <c:pt idx="0">
                  <c:v>for data label</c:v>
                </c:pt>
              </c:strCache>
            </c:strRef>
          </c:tx>
          <c:spPr>
            <a:no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howLeaderLines val="0"/>
              </c:ext>
            </c:extLst>
          </c:dLbls>
          <c:cat>
            <c:strRef>
              <c:f>Sheet1!$G$2:$G$5</c:f>
              <c:strCache>
                <c:ptCount val="4"/>
                <c:pt idx="0">
                  <c:v>64013
 (96.7%)</c:v>
                </c:pt>
                <c:pt idx="1">
                  <c:v>1978
 (3.0%)</c:v>
                </c:pt>
                <c:pt idx="2">
                  <c:v>154
 (0.2%)</c:v>
                </c:pt>
                <c:pt idx="3">
                  <c:v>40
 (0.1%)</c:v>
                </c:pt>
              </c:strCache>
            </c:strRef>
          </c:cat>
          <c:val>
            <c:numRef>
              <c:f>Sheet1!$F$2:$F$5</c:f>
              <c:numCache>
                <c:formatCode>0</c:formatCode>
                <c:ptCount val="4"/>
                <c:pt idx="0">
                  <c:v>64077.012999999992</c:v>
                </c:pt>
                <c:pt idx="1">
                  <c:v>1979.9779999999998</c:v>
                </c:pt>
                <c:pt idx="2">
                  <c:v>154.154</c:v>
                </c:pt>
                <c:pt idx="3">
                  <c:v>40.039999999999992</c:v>
                </c:pt>
              </c:numCache>
            </c:numRef>
          </c:val>
          <c:extLst>
            <c:ext xmlns:c16="http://schemas.microsoft.com/office/drawing/2014/chart" uri="{C3380CC4-5D6E-409C-BE32-E72D297353CC}">
              <c16:uniqueId val="{00000001-0821-493D-98C7-F47B2AAC85FB}"/>
            </c:ext>
          </c:extLst>
        </c:ser>
        <c:dLbls>
          <c:showLegendKey val="0"/>
          <c:showVal val="0"/>
          <c:showCatName val="0"/>
          <c:showSerName val="0"/>
          <c:showPercent val="0"/>
          <c:showBubbleSize val="0"/>
        </c:dLbls>
        <c:gapWidth val="0"/>
        <c:overlap val="-27"/>
        <c:axId val="1437074127"/>
        <c:axId val="1437063727"/>
      </c:barChart>
      <c:catAx>
        <c:axId val="1321711375"/>
        <c:scaling>
          <c:orientation val="minMax"/>
        </c:scaling>
        <c:delete val="0"/>
        <c:axPos val="b"/>
        <c:title>
          <c:tx>
            <c:rich>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sz="1100" b="1" i="0" u="heavy" strike="noStrike" kern="1200" baseline="0">
                    <a:solidFill>
                      <a:sysClr val="windowText" lastClr="000000">
                        <a:lumMod val="65000"/>
                        <a:lumOff val="35000"/>
                      </a:sysClr>
                    </a:solidFill>
                    <a:latin typeface="+mn-lt"/>
                    <a:ea typeface="+mn-ea"/>
                    <a:cs typeface="+mn-cs"/>
                  </a:rPr>
                  <a:t>Number of Plurality Practices per Patient</a:t>
                </a:r>
              </a:p>
            </c:rich>
          </c:tx>
          <c:layout>
            <c:manualLayout>
              <c:xMode val="edge"/>
              <c:yMode val="edge"/>
              <c:x val="0.33743471969849925"/>
              <c:y val="0.91579035619002025"/>
            </c:manualLayout>
          </c:layout>
          <c:overlay val="0"/>
          <c:spPr>
            <a:noFill/>
            <a:ln>
              <a:noFill/>
            </a:ln>
            <a:effectLst/>
          </c:spPr>
          <c:txPr>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2857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8863"/>
        <c:crosses val="autoZero"/>
        <c:auto val="1"/>
        <c:lblAlgn val="ctr"/>
        <c:lblOffset val="100"/>
        <c:noMultiLvlLbl val="0"/>
      </c:catAx>
      <c:valAx>
        <c:axId val="13217188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a:t>Count of Patients</a:t>
                </a:r>
              </a:p>
            </c:rich>
          </c:tx>
          <c:layout>
            <c:manualLayout>
              <c:xMode val="edge"/>
              <c:yMode val="edge"/>
              <c:x val="1.3213197343620638E-3"/>
              <c:y val="0.28959427630995443"/>
            </c:manualLayout>
          </c:layout>
          <c:overlay val="0"/>
          <c:spPr>
            <a:noFill/>
            <a:ln>
              <a:noFill/>
            </a:ln>
            <a:effectLst/>
          </c:spPr>
          <c:txPr>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1375"/>
        <c:crosses val="autoZero"/>
        <c:crossBetween val="between"/>
      </c:valAx>
      <c:valAx>
        <c:axId val="1437063727"/>
        <c:scaling>
          <c:orientation val="minMax"/>
        </c:scaling>
        <c:delete val="0"/>
        <c:axPos val="r"/>
        <c:numFmt formatCode="0"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7074127"/>
        <c:crosses val="max"/>
        <c:crossBetween val="between"/>
      </c:valAx>
      <c:catAx>
        <c:axId val="1437074127"/>
        <c:scaling>
          <c:orientation val="minMax"/>
        </c:scaling>
        <c:delete val="1"/>
        <c:axPos val="b"/>
        <c:numFmt formatCode="General" sourceLinked="1"/>
        <c:majorTickMark val="out"/>
        <c:minorTickMark val="none"/>
        <c:tickLblPos val="nextTo"/>
        <c:crossAx val="1437063727"/>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625787798333906"/>
          <c:y val="0.14921057944679991"/>
          <c:w val="0.8568642742761915"/>
          <c:h val="0.69239078920802921"/>
        </c:manualLayout>
      </c:layout>
      <c:barChart>
        <c:barDir val="col"/>
        <c:grouping val="clustered"/>
        <c:varyColors val="0"/>
        <c:ser>
          <c:idx val="0"/>
          <c:order val="0"/>
          <c:tx>
            <c:strRef>
              <c:f>Sheet1!$B$1</c:f>
              <c:strCache>
                <c:ptCount val="1"/>
                <c:pt idx="0">
                  <c:v>count of patients</c:v>
                </c:pt>
              </c:strCache>
            </c:strRef>
          </c:tx>
          <c:spPr>
            <a:solidFill>
              <a:schemeClr val="accent1"/>
            </a:solidFill>
            <a:ln w="9525">
              <a:solidFill>
                <a:sysClr val="windowText" lastClr="000000"/>
              </a:solidFill>
            </a:ln>
            <a:effectLst/>
          </c:spPr>
          <c:invertIfNegative val="0"/>
          <c:cat>
            <c:strRef>
              <c:f>Sheet1!$A$2:$A$5</c:f>
              <c:strCache>
                <c:ptCount val="4"/>
                <c:pt idx="0">
                  <c:v>1</c:v>
                </c:pt>
                <c:pt idx="1">
                  <c:v>2</c:v>
                </c:pt>
                <c:pt idx="2">
                  <c:v>3</c:v>
                </c:pt>
                <c:pt idx="3">
                  <c:v>4 or more</c:v>
                </c:pt>
              </c:strCache>
            </c:strRef>
          </c:cat>
          <c:val>
            <c:numRef>
              <c:f>Sheet1!$B$2:$B$5</c:f>
              <c:numCache>
                <c:formatCode>General</c:formatCode>
                <c:ptCount val="4"/>
                <c:pt idx="0">
                  <c:v>65507</c:v>
                </c:pt>
                <c:pt idx="1">
                  <c:v>605</c:v>
                </c:pt>
                <c:pt idx="2">
                  <c:v>61</c:v>
                </c:pt>
                <c:pt idx="3">
                  <c:v>12</c:v>
                </c:pt>
              </c:numCache>
            </c:numRef>
          </c:val>
          <c:extLst>
            <c:ext xmlns:c16="http://schemas.microsoft.com/office/drawing/2014/chart" uri="{C3380CC4-5D6E-409C-BE32-E72D297353CC}">
              <c16:uniqueId val="{00000000-2130-4E38-9577-BC6680B31EC8}"/>
            </c:ext>
          </c:extLst>
        </c:ser>
        <c:dLbls>
          <c:showLegendKey val="0"/>
          <c:showVal val="0"/>
          <c:showCatName val="0"/>
          <c:showSerName val="0"/>
          <c:showPercent val="0"/>
          <c:showBubbleSize val="0"/>
        </c:dLbls>
        <c:gapWidth val="33"/>
        <c:overlap val="-27"/>
        <c:axId val="1321711375"/>
        <c:axId val="1321718863"/>
      </c:barChart>
      <c:barChart>
        <c:barDir val="col"/>
        <c:grouping val="clustered"/>
        <c:varyColors val="0"/>
        <c:ser>
          <c:idx val="1"/>
          <c:order val="1"/>
          <c:tx>
            <c:strRef>
              <c:f>Sheet1!$F$1</c:f>
              <c:strCache>
                <c:ptCount val="1"/>
                <c:pt idx="0">
                  <c:v>for data label</c:v>
                </c:pt>
              </c:strCache>
            </c:strRef>
          </c:tx>
          <c:spPr>
            <a:no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howLeaderLines val="0"/>
              </c:ext>
            </c:extLst>
          </c:dLbls>
          <c:cat>
            <c:strRef>
              <c:f>Sheet1!$G$2:$G$5</c:f>
              <c:strCache>
                <c:ptCount val="4"/>
                <c:pt idx="0">
                  <c:v>65507
 (99.0%)</c:v>
                </c:pt>
                <c:pt idx="1">
                  <c:v>605
 (0.9%)</c:v>
                </c:pt>
                <c:pt idx="2">
                  <c:v>61
 (0.1%)</c:v>
                </c:pt>
                <c:pt idx="3">
                  <c:v>12
 (0.0%)</c:v>
                </c:pt>
              </c:strCache>
            </c:strRef>
          </c:cat>
          <c:val>
            <c:numRef>
              <c:f>Sheet1!$F$2:$F$5</c:f>
              <c:numCache>
                <c:formatCode>0</c:formatCode>
                <c:ptCount val="4"/>
                <c:pt idx="0">
                  <c:v>65513.5507</c:v>
                </c:pt>
                <c:pt idx="1">
                  <c:v>605.06050000000005</c:v>
                </c:pt>
                <c:pt idx="2">
                  <c:v>61.006099999999996</c:v>
                </c:pt>
                <c:pt idx="3">
                  <c:v>12.001200000000001</c:v>
                </c:pt>
              </c:numCache>
            </c:numRef>
          </c:val>
          <c:extLst>
            <c:ext xmlns:c16="http://schemas.microsoft.com/office/drawing/2014/chart" uri="{C3380CC4-5D6E-409C-BE32-E72D297353CC}">
              <c16:uniqueId val="{00000001-2130-4E38-9577-BC6680B31EC8}"/>
            </c:ext>
          </c:extLst>
        </c:ser>
        <c:dLbls>
          <c:showLegendKey val="0"/>
          <c:showVal val="0"/>
          <c:showCatName val="0"/>
          <c:showSerName val="0"/>
          <c:showPercent val="0"/>
          <c:showBubbleSize val="0"/>
        </c:dLbls>
        <c:gapWidth val="0"/>
        <c:overlap val="-27"/>
        <c:axId val="1437074127"/>
        <c:axId val="1437063727"/>
      </c:barChart>
      <c:catAx>
        <c:axId val="1321711375"/>
        <c:scaling>
          <c:orientation val="minMax"/>
        </c:scaling>
        <c:delete val="0"/>
        <c:axPos val="b"/>
        <c:title>
          <c:tx>
            <c:rich>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sz="1100" b="1" i="0" u="heavy" strike="noStrike" kern="1200" baseline="0">
                    <a:solidFill>
                      <a:sysClr val="windowText" lastClr="000000">
                        <a:lumMod val="65000"/>
                        <a:lumOff val="35000"/>
                      </a:sysClr>
                    </a:solidFill>
                    <a:latin typeface="+mn-lt"/>
                    <a:ea typeface="+mn-ea"/>
                    <a:cs typeface="+mn-cs"/>
                  </a:rPr>
                  <a:t>Number of Plurality Practices per Patient</a:t>
                </a:r>
              </a:p>
            </c:rich>
          </c:tx>
          <c:layout>
            <c:manualLayout>
              <c:xMode val="edge"/>
              <c:yMode val="edge"/>
              <c:x val="0.34384494164706586"/>
              <c:y val="0.90548635231219654"/>
            </c:manualLayout>
          </c:layout>
          <c:overlay val="0"/>
          <c:spPr>
            <a:noFill/>
            <a:ln>
              <a:noFill/>
            </a:ln>
            <a:effectLst/>
          </c:spPr>
          <c:txPr>
            <a:bodyPr rot="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2857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8863"/>
        <c:crosses val="autoZero"/>
        <c:auto val="1"/>
        <c:lblAlgn val="ctr"/>
        <c:lblOffset val="100"/>
        <c:noMultiLvlLbl val="0"/>
      </c:catAx>
      <c:valAx>
        <c:axId val="132171886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r>
                  <a:rPr lang="en-US"/>
                  <a:t>Count of Patients</a:t>
                </a:r>
              </a:p>
            </c:rich>
          </c:tx>
          <c:layout>
            <c:manualLayout>
              <c:xMode val="edge"/>
              <c:yMode val="edge"/>
              <c:x val="1.0576155954074018E-3"/>
              <c:y val="0.3221106905971729"/>
            </c:manualLayout>
          </c:layout>
          <c:overlay val="0"/>
          <c:spPr>
            <a:noFill/>
            <a:ln>
              <a:noFill/>
            </a:ln>
            <a:effectLst/>
          </c:spPr>
          <c:txPr>
            <a:bodyPr rot="-5400000" spcFirstLastPara="1" vertOverflow="ellipsis" vert="horz" wrap="square" anchor="ctr" anchorCtr="1"/>
            <a:lstStyle/>
            <a:p>
              <a:pPr>
                <a:defRPr sz="1100" b="1" i="0" u="heavy"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21711375"/>
        <c:crosses val="autoZero"/>
        <c:crossBetween val="between"/>
      </c:valAx>
      <c:valAx>
        <c:axId val="1437063727"/>
        <c:scaling>
          <c:orientation val="minMax"/>
        </c:scaling>
        <c:delete val="0"/>
        <c:axPos val="r"/>
        <c:numFmt formatCode="0" sourceLinked="1"/>
        <c:majorTickMark val="out"/>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37074127"/>
        <c:crosses val="max"/>
        <c:crossBetween val="between"/>
      </c:valAx>
      <c:catAx>
        <c:axId val="1437074127"/>
        <c:scaling>
          <c:orientation val="minMax"/>
        </c:scaling>
        <c:delete val="1"/>
        <c:axPos val="b"/>
        <c:numFmt formatCode="General" sourceLinked="1"/>
        <c:majorTickMark val="out"/>
        <c:minorTickMark val="none"/>
        <c:tickLblPos val="nextTo"/>
        <c:crossAx val="1437063727"/>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count of patients</c:v>
                </c:pt>
              </c:strCache>
            </c:strRef>
          </c:tx>
          <c:spPr>
            <a:solidFill>
              <a:schemeClr val="accent1"/>
            </a:solidFill>
            <a:ln>
              <a:solidFill>
                <a:sysClr val="windowText" lastClr="000000"/>
              </a:solidFill>
            </a:ln>
            <a:effectLst/>
          </c:spPr>
          <c:invertIfNegative val="0"/>
          <c:cat>
            <c:strRef>
              <c:f>Sheet1!$A$2:$A$3</c:f>
              <c:strCache>
                <c:ptCount val="2"/>
                <c:pt idx="0">
                  <c:v>Yes, Patient has a Majority Practice (greater than 50% of patient's
claims are with a single practice)</c:v>
                </c:pt>
                <c:pt idx="1">
                  <c:v>No, Patient does NOT have 
Majority Practice</c:v>
                </c:pt>
              </c:strCache>
            </c:strRef>
          </c:cat>
          <c:val>
            <c:numRef>
              <c:f>Sheet1!$B$2:$B$3</c:f>
              <c:numCache>
                <c:formatCode>General</c:formatCode>
                <c:ptCount val="2"/>
                <c:pt idx="0">
                  <c:v>57749</c:v>
                </c:pt>
                <c:pt idx="1">
                  <c:v>8436</c:v>
                </c:pt>
              </c:numCache>
            </c:numRef>
          </c:val>
          <c:extLst>
            <c:ext xmlns:c16="http://schemas.microsoft.com/office/drawing/2014/chart" uri="{C3380CC4-5D6E-409C-BE32-E72D297353CC}">
              <c16:uniqueId val="{00000000-182D-43FD-9E12-32498000F016}"/>
            </c:ext>
          </c:extLst>
        </c:ser>
        <c:dLbls>
          <c:showLegendKey val="0"/>
          <c:showVal val="0"/>
          <c:showCatName val="0"/>
          <c:showSerName val="0"/>
          <c:showPercent val="0"/>
          <c:showBubbleSize val="0"/>
        </c:dLbls>
        <c:gapWidth val="99"/>
        <c:overlap val="-27"/>
        <c:axId val="1382268127"/>
        <c:axId val="1382273535"/>
      </c:barChart>
      <c:barChart>
        <c:barDir val="col"/>
        <c:grouping val="clustered"/>
        <c:varyColors val="0"/>
        <c:ser>
          <c:idx val="1"/>
          <c:order val="1"/>
          <c:tx>
            <c:strRef>
              <c:f>Sheet1!$D$1</c:f>
              <c:strCache>
                <c:ptCount val="1"/>
                <c:pt idx="0">
                  <c:v>for data label</c:v>
                </c:pt>
              </c:strCache>
            </c:strRef>
          </c:tx>
          <c:spPr>
            <a:noFill/>
            <a:ln>
              <a:noFill/>
            </a:ln>
            <a:effectLst/>
          </c:spPr>
          <c:invertIfNegative val="0"/>
          <c:dLbls>
            <c:spPr>
              <a:noFill/>
              <a:ln>
                <a:noFill/>
              </a:ln>
              <a:effectLst/>
            </c:spPr>
            <c:txPr>
              <a:bodyPr rot="0" spcFirstLastPara="1" vertOverflow="clip" horzOverflow="clip" vert="horz" wrap="square" lIns="36576" tIns="18288" rIns="36576" bIns="18288"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1"/>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Sheet1!$E$2:$E$3</c:f>
              <c:strCache>
                <c:ptCount val="2"/>
                <c:pt idx="0">
                  <c:v>57749
 (87.3%)</c:v>
                </c:pt>
                <c:pt idx="1">
                  <c:v>8436
 (12.8%)</c:v>
                </c:pt>
              </c:strCache>
            </c:strRef>
          </c:cat>
          <c:val>
            <c:numRef>
              <c:f>Sheet1!$D$2:$D$3</c:f>
              <c:numCache>
                <c:formatCode>General</c:formatCode>
                <c:ptCount val="2"/>
                <c:pt idx="0">
                  <c:v>57749</c:v>
                </c:pt>
                <c:pt idx="1">
                  <c:v>8436</c:v>
                </c:pt>
              </c:numCache>
            </c:numRef>
          </c:val>
          <c:extLst>
            <c:ext xmlns:c16="http://schemas.microsoft.com/office/drawing/2014/chart" uri="{C3380CC4-5D6E-409C-BE32-E72D297353CC}">
              <c16:uniqueId val="{00000001-182D-43FD-9E12-32498000F016}"/>
            </c:ext>
          </c:extLst>
        </c:ser>
        <c:dLbls>
          <c:showLegendKey val="0"/>
          <c:showVal val="0"/>
          <c:showCatName val="0"/>
          <c:showSerName val="0"/>
          <c:showPercent val="0"/>
          <c:showBubbleSize val="0"/>
        </c:dLbls>
        <c:gapWidth val="219"/>
        <c:overlap val="-27"/>
        <c:axId val="648592511"/>
        <c:axId val="1382274783"/>
      </c:barChart>
      <c:catAx>
        <c:axId val="1382268127"/>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sz="1100" u="sng" baseline="0"/>
                  <a:t>Whether or Not Patient has a Majority Practice</a:t>
                </a:r>
              </a:p>
            </c:rich>
          </c:tx>
          <c:layout>
            <c:manualLayout>
              <c:xMode val="edge"/>
              <c:yMode val="edge"/>
              <c:x val="0.23911976134641219"/>
              <c:y val="0.91732253086419757"/>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382273535"/>
        <c:crosses val="autoZero"/>
        <c:auto val="1"/>
        <c:lblAlgn val="ctr"/>
        <c:lblOffset val="100"/>
        <c:noMultiLvlLbl val="0"/>
      </c:catAx>
      <c:valAx>
        <c:axId val="13822735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sz="1100" u="sng" baseline="0"/>
                  <a:t>Count of Patients</a:t>
                </a:r>
              </a:p>
            </c:rich>
          </c:tx>
          <c:layout>
            <c:manualLayout>
              <c:xMode val="edge"/>
              <c:yMode val="edge"/>
              <c:x val="1.2258925131052137E-2"/>
              <c:y val="0.23306327160493823"/>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en-US"/>
          </a:p>
        </c:txPr>
        <c:crossAx val="1382268127"/>
        <c:crosses val="autoZero"/>
        <c:crossBetween val="between"/>
      </c:valAx>
      <c:valAx>
        <c:axId val="1382274783"/>
        <c:scaling>
          <c:orientation val="minMax"/>
        </c:scaling>
        <c:delete val="1"/>
        <c:axPos val="r"/>
        <c:numFmt formatCode="General" sourceLinked="1"/>
        <c:majorTickMark val="out"/>
        <c:minorTickMark val="none"/>
        <c:tickLblPos val="nextTo"/>
        <c:crossAx val="648592511"/>
        <c:crosses val="max"/>
        <c:crossBetween val="between"/>
      </c:valAx>
      <c:catAx>
        <c:axId val="648592511"/>
        <c:scaling>
          <c:orientation val="minMax"/>
        </c:scaling>
        <c:delete val="1"/>
        <c:axPos val="b"/>
        <c:numFmt formatCode="General" sourceLinked="1"/>
        <c:majorTickMark val="out"/>
        <c:minorTickMark val="none"/>
        <c:tickLblPos val="nextTo"/>
        <c:crossAx val="1382274783"/>
        <c:crosses val="autoZero"/>
        <c:auto val="1"/>
        <c:lblAlgn val="ctr"/>
        <c:lblOffset val="100"/>
        <c:noMultiLvlLbl val="0"/>
      </c:catAx>
      <c:spPr>
        <a:noFill/>
        <a:ln>
          <a:noFill/>
        </a:ln>
        <a:effectLst/>
      </c:spPr>
    </c:plotArea>
    <c:plotVisOnly val="1"/>
    <c:dispBlanksAs val="gap"/>
    <c:showDLblsOverMax val="0"/>
  </c:chart>
  <c:spPr>
    <a:solidFill>
      <a:schemeClr val="bg1"/>
    </a:solidFill>
    <a:ln w="25400" cap="flat" cmpd="sng" algn="ctr">
      <a:solidFill>
        <a:srgbClr val="5B9BD5"/>
      </a:solidFill>
      <a:round/>
    </a:ln>
    <a:effectLst/>
  </c:spPr>
  <c:txPr>
    <a:bodyPr/>
    <a:lstStyle/>
    <a:p>
      <a:pPr>
        <a:defRPr b="1" i="0" baseline="0"/>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60BCB08FEDF41B44D6A0182491695" ma:contentTypeVersion="6" ma:contentTypeDescription="Create a new document." ma:contentTypeScope="" ma:versionID="3c49622be904855653499b26ede4cf2d">
  <xsd:schema xmlns:xsd="http://www.w3.org/2001/XMLSchema" xmlns:xs="http://www.w3.org/2001/XMLSchema" xmlns:p="http://schemas.microsoft.com/office/2006/metadata/properties" xmlns:ns2="d7d1a0cf-a680-46d3-893a-31bfbe81a517" xmlns:ns3="816dc205-1193-4cab-a4bd-add186f1e6a5" targetNamespace="http://schemas.microsoft.com/office/2006/metadata/properties" ma:root="true" ma:fieldsID="a69c2453b81b1573940af9743e4c868c" ns2:_="" ns3:_="">
    <xsd:import namespace="d7d1a0cf-a680-46d3-893a-31bfbe81a517"/>
    <xsd:import namespace="816dc205-1193-4cab-a4bd-add186f1e6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d1a0cf-a680-46d3-893a-31bfbe81a5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c205-1193-4cab-a4bd-add186f1e6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79302-0154-4B5C-AC98-6FDA6568C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d1a0cf-a680-46d3-893a-31bfbe81a517"/>
    <ds:schemaRef ds:uri="816dc205-1193-4cab-a4bd-add186f1e6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1E552-A36E-438D-ADDE-AFB99F6FE99A}">
  <ds:schemaRefs>
    <ds:schemaRef ds:uri="http://schemas.microsoft.com/sharepoint/v3/contenttype/forms"/>
  </ds:schemaRefs>
</ds:datastoreItem>
</file>

<file path=customXml/itemProps3.xml><?xml version="1.0" encoding="utf-8"?>
<ds:datastoreItem xmlns:ds="http://schemas.openxmlformats.org/officeDocument/2006/customXml" ds:itemID="{343A7387-9240-4A0F-A67D-8680F109BE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565EA-F51A-4305-B5EB-37387842E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2946</Words>
  <Characters>16794</Characters>
  <Application>Microsoft Office Word</Application>
  <DocSecurity>0</DocSecurity>
  <Lines>139</Lines>
  <Paragraphs>39</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NQF#3175: Attribution analysis</vt:lpstr>
      <vt:lpstr>    Technical approach </vt:lpstr>
      <vt:lpstr>ProviderClinician level analysis: Attribution based on NPI</vt:lpstr>
      <vt:lpstr>    Step 1: Identify number of prescriberclinicians per patient</vt:lpstr>
      <vt:lpstr>    Step 2: Attribute patients to providerclinicians</vt:lpstr>
      <vt:lpstr>        Option 1: Attribute based on “plurality rule” using claims</vt:lpstr>
      <vt:lpstr>        Option 2: Attribute based on “plurality rule” using days covered</vt:lpstr>
      <vt:lpstr>        Option 3: Attribute based on “majority rule” using claims</vt:lpstr>
      <vt:lpstr>        Option 4: Attribute based on “majority rule” using days covered</vt:lpstr>
      <vt:lpstr>    Concordance analysis</vt:lpstr>
      <vt:lpstr>PracticeClinician-group/practice level analysis: Attribution based on TIN</vt:lpstr>
      <vt:lpstr>    Step 1: Identify number of practiceclinician-group/practices per patient</vt:lpstr>
      <vt:lpstr>    Step 2: Attribute patients to practiceclinician-group/practices</vt:lpstr>
      <vt:lpstr>        Option 1: Attribute based on “plurality rule” using claims</vt:lpstr>
      <vt:lpstr>        Option 2: Attribute based on “plurality rule” using days covered</vt:lpstr>
      <vt:lpstr>        Option 3: Attribute based on “majority rule” using claims</vt:lpstr>
      <vt:lpstr>        Option 4: Attribute based on “majority rule” using days covered</vt:lpstr>
      <vt:lpstr>    Concordance analysis</vt:lpstr>
      <vt:lpstr>Conclusions</vt:lpstr>
    </vt:vector>
  </TitlesOfParts>
  <Company>USC Dornsife</Company>
  <LinksUpToDate>false</LinksUpToDate>
  <CharactersWithSpaces>19701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Soeren Mattke</dc:creator>
  <cp:keywords/>
  <dc:description/>
  <cp:lastModifiedBy>Soeren Mattke</cp:lastModifiedBy>
  <cp:revision>4</cp:revision>
  <dcterms:created xsi:type="dcterms:W3CDTF">2019-10-29T17:03:00Z</dcterms:created>
  <dcterms:modified xsi:type="dcterms:W3CDTF">2019-10-29T17:03:00Z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0x010100A5D60BCB08FEDF41B44D6A0182491695</vt:lpwstr>
  </property>
</Properties>
</file>