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48BADD" w14:textId="77777777"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2D357239" w14:textId="77777777" w:rsidR="00797624" w:rsidRDefault="00797624" w:rsidP="00105D8B">
      <w:pPr>
        <w:contextualSpacing/>
        <w:rPr>
          <w:rFonts w:cstheme="minorHAnsi"/>
          <w:b/>
          <w:noProof/>
        </w:rPr>
      </w:pPr>
    </w:p>
    <w:p w14:paraId="766BC88C" w14:textId="77777777"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howingPlcHdr/>
        </w:sdtPr>
        <w:sdtEndPr>
          <w:rPr>
            <w:rStyle w:val="DefaultParagraphFont"/>
            <w:rFonts w:cstheme="minorHAnsi"/>
            <w:b/>
            <w:noProof/>
            <w:color w:val="auto"/>
          </w:rPr>
        </w:sdtEndPr>
        <w:sdtContent>
          <w:r w:rsidRPr="00870134">
            <w:rPr>
              <w:rStyle w:val="PlaceholderText"/>
            </w:rPr>
            <w:t xml:space="preserve">Click here to enter </w:t>
          </w:r>
          <w:r>
            <w:rPr>
              <w:rStyle w:val="PlaceholderText"/>
            </w:rPr>
            <w:t>NQF number</w:t>
          </w:r>
        </w:sdtContent>
      </w:sdt>
    </w:p>
    <w:p w14:paraId="1FF9ACE1" w14:textId="19843921"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3C51DB">
            <w:rPr>
              <w:rStyle w:val="Style1"/>
              <w:rFonts w:cstheme="minorHAnsi"/>
            </w:rPr>
            <w:t xml:space="preserve">Discharge to Community-Post Acute Care Measure for Home Health Agencies </w:t>
          </w:r>
        </w:sdtContent>
      </w:sdt>
    </w:p>
    <w:p w14:paraId="4869FDB1" w14:textId="77777777"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showingPlcHdr/>
          <w:date>
            <w:dateFormat w:val="M/d/yyyy"/>
            <w:lid w:val="en-US"/>
            <w:storeMappedDataAs w:val="dateTime"/>
            <w:calendar w:val="gregorian"/>
          </w:date>
        </w:sdtPr>
        <w:sdtEndPr>
          <w:rPr>
            <w:rStyle w:val="DefaultParagraphFont"/>
            <w:noProof/>
            <w:color w:val="auto"/>
            <w:u w:val="none"/>
          </w:rPr>
        </w:sdtEndPr>
        <w:sdtContent>
          <w:r w:rsidRPr="00450C58">
            <w:rPr>
              <w:rStyle w:val="PlaceholderText"/>
              <w:rFonts w:cstheme="minorHAnsi"/>
              <w:color w:val="A6A6A6" w:themeColor="background1" w:themeShade="A6"/>
            </w:rPr>
            <w:t>Click here to enter a date</w:t>
          </w:r>
        </w:sdtContent>
      </w:sdt>
    </w:p>
    <w:p w14:paraId="253653DB"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49AD964C" w14:textId="77777777" w:rsidTr="000B7D57">
        <w:trPr>
          <w:jc w:val="center"/>
        </w:trPr>
        <w:tc>
          <w:tcPr>
            <w:tcW w:w="2513" w:type="pct"/>
          </w:tcPr>
          <w:p w14:paraId="303BC942" w14:textId="77777777" w:rsidR="000B7D57" w:rsidRPr="00C775CE" w:rsidRDefault="0038706E"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Content>
                <w:r w:rsidR="0053796E">
                  <w:rPr>
                    <w:rFonts w:ascii="MS Gothic" w:eastAsia="MS Gothic" w:hAnsi="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0A4B482" w14:textId="76F735CA" w:rsidR="000B7D57" w:rsidRPr="00C775CE" w:rsidRDefault="0038706E"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Content>
                <w:r w:rsidR="003C51DB">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5B908F0F" w14:textId="77777777" w:rsidTr="000B7D57">
        <w:trPr>
          <w:jc w:val="center"/>
        </w:trPr>
        <w:tc>
          <w:tcPr>
            <w:tcW w:w="2513" w:type="pct"/>
          </w:tcPr>
          <w:p w14:paraId="236BCEDC" w14:textId="77777777" w:rsidR="000B7D57" w:rsidRPr="00C775CE" w:rsidRDefault="0038706E"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79EB866A" w14:textId="77777777" w:rsidR="000B7D57" w:rsidRPr="00C775CE" w:rsidRDefault="0038706E"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4C7C497" w14:textId="77777777" w:rsidTr="000B7D57">
        <w:trPr>
          <w:jc w:val="center"/>
        </w:trPr>
        <w:tc>
          <w:tcPr>
            <w:tcW w:w="2513" w:type="pct"/>
          </w:tcPr>
          <w:p w14:paraId="53CD2AB5" w14:textId="77777777" w:rsidR="000B7D57" w:rsidRPr="00C775CE" w:rsidRDefault="0038706E"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0EC500D" w14:textId="77777777" w:rsidR="000B7D57" w:rsidRPr="00C775CE" w:rsidRDefault="0038706E"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7F69D7C7" w14:textId="77777777" w:rsidTr="000B7D57">
        <w:trPr>
          <w:jc w:val="center"/>
        </w:trPr>
        <w:tc>
          <w:tcPr>
            <w:tcW w:w="2513" w:type="pct"/>
          </w:tcPr>
          <w:p w14:paraId="7ECD7B5E" w14:textId="77777777" w:rsidR="000B7D57" w:rsidRPr="00C775CE" w:rsidRDefault="0038706E"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2C02B86C" w14:textId="77777777" w:rsidR="000B7D57" w:rsidRDefault="000B7D57" w:rsidP="00CD364B">
            <w:pPr>
              <w:autoSpaceDE w:val="0"/>
              <w:autoSpaceDN w:val="0"/>
              <w:adjustRightInd w:val="0"/>
              <w:rPr>
                <w:rFonts w:cstheme="minorHAnsi"/>
                <w:bCs/>
                <w:color w:val="0000FF"/>
              </w:rPr>
            </w:pPr>
          </w:p>
        </w:tc>
      </w:tr>
    </w:tbl>
    <w:p w14:paraId="1A87F79D"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15B2F166" w14:textId="77777777" w:rsidTr="00145149">
        <w:trPr>
          <w:jc w:val="center"/>
        </w:trPr>
        <w:tc>
          <w:tcPr>
            <w:tcW w:w="9576" w:type="dxa"/>
          </w:tcPr>
          <w:p w14:paraId="6D33017F" w14:textId="77777777" w:rsidR="00B53E8B" w:rsidRPr="00B53E8B" w:rsidRDefault="00B53E8B" w:rsidP="00B53E8B">
            <w:pPr>
              <w:rPr>
                <w:rFonts w:cstheme="minorHAnsi"/>
                <w:b/>
                <w:noProof/>
              </w:rPr>
            </w:pPr>
            <w:r w:rsidRPr="00B53E8B">
              <w:rPr>
                <w:rFonts w:cstheme="minorHAnsi"/>
                <w:b/>
                <w:noProof/>
              </w:rPr>
              <w:t>Instructions</w:t>
            </w:r>
          </w:p>
          <w:p w14:paraId="58CD5F92" w14:textId="77777777" w:rsidR="00C14CCC" w:rsidRPr="0053796E" w:rsidRDefault="00C14CCC" w:rsidP="009D21C7">
            <w:pPr>
              <w:pStyle w:val="ListParagraph"/>
              <w:numPr>
                <w:ilvl w:val="0"/>
                <w:numId w:val="1"/>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53796E">
              <w:rPr>
                <w:rFonts w:cstheme="minorHAnsi"/>
                <w:noProof/>
              </w:rPr>
              <w:t>the testing information</w:t>
            </w:r>
            <w:r w:rsidR="00416962" w:rsidRPr="0053796E">
              <w:rPr>
                <w:rFonts w:cstheme="minorHAnsi"/>
                <w:noProof/>
              </w:rPr>
              <w:t xml:space="preserve"> in one form</w:t>
            </w:r>
            <w:r w:rsidRPr="0053796E">
              <w:rPr>
                <w:rFonts w:cstheme="minorHAnsi"/>
                <w:noProof/>
              </w:rPr>
              <w:t>.</w:t>
            </w:r>
          </w:p>
          <w:p w14:paraId="59D83662" w14:textId="77777777" w:rsidR="00702C73" w:rsidRPr="0053796E" w:rsidRDefault="00702C73" w:rsidP="009D21C7">
            <w:pPr>
              <w:pStyle w:val="ListParagraph"/>
              <w:numPr>
                <w:ilvl w:val="0"/>
                <w:numId w:val="1"/>
              </w:numPr>
              <w:rPr>
                <w:rFonts w:cstheme="minorHAnsi"/>
                <w:b/>
                <w:noProof/>
              </w:rPr>
            </w:pPr>
            <w:r w:rsidRPr="0053796E">
              <w:rPr>
                <w:rFonts w:cstheme="minorHAnsi"/>
                <w:b/>
                <w:noProof/>
              </w:rPr>
              <w:t xml:space="preserve">For </w:t>
            </w:r>
            <w:r w:rsidRPr="0053796E">
              <w:rPr>
                <w:rFonts w:cstheme="minorHAnsi"/>
                <w:b/>
                <w:noProof/>
                <w:u w:val="single"/>
              </w:rPr>
              <w:t>all</w:t>
            </w:r>
            <w:r w:rsidR="00D369E9" w:rsidRPr="0053796E">
              <w:rPr>
                <w:rFonts w:cstheme="minorHAnsi"/>
                <w:b/>
                <w:noProof/>
              </w:rPr>
              <w:t xml:space="preserve"> measures, sections 1, 2a2, 2b1, 2b2</w:t>
            </w:r>
            <w:r w:rsidRPr="0053796E">
              <w:rPr>
                <w:rFonts w:cstheme="minorHAnsi"/>
                <w:b/>
                <w:noProof/>
              </w:rPr>
              <w:t xml:space="preserve">, </w:t>
            </w:r>
            <w:r w:rsidR="004D4D8A" w:rsidRPr="0053796E">
              <w:rPr>
                <w:rFonts w:cstheme="minorHAnsi"/>
                <w:b/>
                <w:noProof/>
              </w:rPr>
              <w:t xml:space="preserve">and </w:t>
            </w:r>
            <w:r w:rsidR="00D369E9" w:rsidRPr="0053796E">
              <w:rPr>
                <w:rFonts w:cstheme="minorHAnsi"/>
                <w:b/>
                <w:noProof/>
              </w:rPr>
              <w:t>2b4</w:t>
            </w:r>
            <w:r w:rsidRPr="0053796E">
              <w:rPr>
                <w:rFonts w:cstheme="minorHAnsi"/>
                <w:b/>
                <w:noProof/>
              </w:rPr>
              <w:t xml:space="preserve"> must be completed</w:t>
            </w:r>
            <w:r w:rsidR="00E96884" w:rsidRPr="0053796E">
              <w:rPr>
                <w:rFonts w:cstheme="minorHAnsi"/>
                <w:b/>
                <w:noProof/>
              </w:rPr>
              <w:t>.</w:t>
            </w:r>
          </w:p>
          <w:p w14:paraId="56AB3F57" w14:textId="77777777" w:rsidR="00702C73" w:rsidRPr="0053796E" w:rsidRDefault="00702C73" w:rsidP="009D21C7">
            <w:pPr>
              <w:pStyle w:val="ListParagraph"/>
              <w:numPr>
                <w:ilvl w:val="0"/>
                <w:numId w:val="1"/>
              </w:numPr>
              <w:rPr>
                <w:rFonts w:cstheme="minorHAnsi"/>
                <w:noProof/>
              </w:rPr>
            </w:pPr>
            <w:r w:rsidRPr="0053796E">
              <w:rPr>
                <w:rFonts w:cstheme="minorHAnsi"/>
                <w:b/>
                <w:noProof/>
              </w:rPr>
              <w:t xml:space="preserve">For </w:t>
            </w:r>
            <w:r w:rsidRPr="0053796E">
              <w:rPr>
                <w:rFonts w:cstheme="minorHAnsi"/>
                <w:b/>
                <w:noProof/>
                <w:u w:val="single"/>
              </w:rPr>
              <w:t xml:space="preserve">outcome </w:t>
            </w:r>
            <w:r w:rsidR="00C34936" w:rsidRPr="0053796E">
              <w:rPr>
                <w:rFonts w:cstheme="minorHAnsi"/>
                <w:b/>
                <w:noProof/>
                <w:u w:val="single"/>
              </w:rPr>
              <w:t xml:space="preserve">and </w:t>
            </w:r>
            <w:r w:rsidRPr="0053796E">
              <w:rPr>
                <w:rFonts w:cstheme="minorHAnsi"/>
                <w:b/>
                <w:noProof/>
                <w:u w:val="single"/>
              </w:rPr>
              <w:t>resource use</w:t>
            </w:r>
            <w:r w:rsidRPr="0053796E">
              <w:rPr>
                <w:rFonts w:cstheme="minorHAnsi"/>
                <w:b/>
                <w:noProof/>
              </w:rPr>
              <w:t xml:space="preserve"> measures</w:t>
            </w:r>
            <w:r w:rsidRPr="0053796E">
              <w:rPr>
                <w:rFonts w:cstheme="minorHAnsi"/>
                <w:noProof/>
              </w:rPr>
              <w:t xml:space="preserve">, section </w:t>
            </w:r>
            <w:r w:rsidR="00D369E9" w:rsidRPr="0053796E">
              <w:rPr>
                <w:rFonts w:cstheme="minorHAnsi"/>
                <w:b/>
                <w:noProof/>
              </w:rPr>
              <w:t xml:space="preserve">2b3 </w:t>
            </w:r>
            <w:r w:rsidRPr="0053796E">
              <w:rPr>
                <w:rFonts w:cstheme="minorHAnsi"/>
                <w:noProof/>
              </w:rPr>
              <w:t>also must be completed</w:t>
            </w:r>
            <w:r w:rsidR="00892176" w:rsidRPr="0053796E">
              <w:rPr>
                <w:rFonts w:cstheme="minorHAnsi"/>
                <w:noProof/>
              </w:rPr>
              <w:t>.</w:t>
            </w:r>
          </w:p>
          <w:p w14:paraId="02A9E279" w14:textId="77777777" w:rsidR="00702C73" w:rsidRPr="0053796E" w:rsidRDefault="00702C73" w:rsidP="009D21C7">
            <w:pPr>
              <w:pStyle w:val="ListParagraph"/>
              <w:numPr>
                <w:ilvl w:val="0"/>
                <w:numId w:val="1"/>
              </w:numPr>
              <w:rPr>
                <w:rFonts w:cstheme="minorHAnsi"/>
                <w:noProof/>
              </w:rPr>
            </w:pPr>
            <w:r w:rsidRPr="0053796E">
              <w:rPr>
                <w:rFonts w:cstheme="minorHAnsi"/>
                <w:noProof/>
              </w:rPr>
              <w:t xml:space="preserve">If specified for </w:t>
            </w:r>
            <w:r w:rsidRPr="0053796E">
              <w:rPr>
                <w:rFonts w:cstheme="minorHAnsi"/>
                <w:b/>
                <w:noProof/>
                <w:u w:val="single"/>
              </w:rPr>
              <w:t>multiple data sources</w:t>
            </w:r>
            <w:r w:rsidR="004D4D8A" w:rsidRPr="0053796E">
              <w:rPr>
                <w:rFonts w:cstheme="minorHAnsi"/>
                <w:b/>
                <w:noProof/>
                <w:u w:val="single"/>
              </w:rPr>
              <w:t>/sets of specificaitons</w:t>
            </w:r>
            <w:r w:rsidRPr="0053796E">
              <w:rPr>
                <w:rFonts w:cstheme="minorHAnsi"/>
                <w:noProof/>
              </w:rPr>
              <w:t xml:space="preserve"> (e.g., claims and</w:t>
            </w:r>
            <w:r w:rsidR="00E96884" w:rsidRPr="0053796E">
              <w:rPr>
                <w:rFonts w:cstheme="minorHAnsi"/>
                <w:noProof/>
              </w:rPr>
              <w:t xml:space="preserve"> </w:t>
            </w:r>
            <w:r w:rsidR="00416962" w:rsidRPr="0053796E">
              <w:rPr>
                <w:rFonts w:cstheme="minorHAnsi"/>
                <w:noProof/>
              </w:rPr>
              <w:t>EHRs</w:t>
            </w:r>
            <w:r w:rsidRPr="0053796E">
              <w:rPr>
                <w:rFonts w:cstheme="minorHAnsi"/>
                <w:noProof/>
              </w:rPr>
              <w:t xml:space="preserve">), section </w:t>
            </w:r>
            <w:r w:rsidR="00D369E9" w:rsidRPr="0053796E">
              <w:rPr>
                <w:rFonts w:cstheme="minorHAnsi"/>
                <w:b/>
                <w:noProof/>
              </w:rPr>
              <w:t>2b5</w:t>
            </w:r>
            <w:r w:rsidRPr="0053796E">
              <w:rPr>
                <w:rFonts w:cstheme="minorHAnsi"/>
                <w:noProof/>
              </w:rPr>
              <w:t xml:space="preserve"> also must be completed</w:t>
            </w:r>
            <w:r w:rsidR="00E96884" w:rsidRPr="0053796E">
              <w:rPr>
                <w:rFonts w:cstheme="minorHAnsi"/>
                <w:noProof/>
              </w:rPr>
              <w:t>.</w:t>
            </w:r>
          </w:p>
          <w:p w14:paraId="4A61E4B8" w14:textId="77777777" w:rsidR="00702C73" w:rsidRPr="0053796E" w:rsidRDefault="00702C73" w:rsidP="009D21C7">
            <w:pPr>
              <w:pStyle w:val="ListParagraph"/>
              <w:numPr>
                <w:ilvl w:val="0"/>
                <w:numId w:val="1"/>
              </w:numPr>
              <w:rPr>
                <w:rFonts w:cstheme="minorHAnsi"/>
                <w:noProof/>
              </w:rPr>
            </w:pPr>
            <w:r w:rsidRPr="0053796E">
              <w:rPr>
                <w:rFonts w:cstheme="minorHAnsi"/>
                <w:noProof/>
              </w:rPr>
              <w:t xml:space="preserve">Respond to </w:t>
            </w:r>
            <w:r w:rsidRPr="0053796E">
              <w:rPr>
                <w:rFonts w:cstheme="minorHAnsi"/>
                <w:noProof/>
                <w:u w:val="single"/>
              </w:rPr>
              <w:t>all</w:t>
            </w:r>
            <w:r w:rsidRPr="0053796E">
              <w:rPr>
                <w:rFonts w:cstheme="minorHAnsi"/>
                <w:noProof/>
              </w:rPr>
              <w:t xml:space="preserve"> questions </w:t>
            </w:r>
            <w:r w:rsidR="00977591" w:rsidRPr="0053796E">
              <w:rPr>
                <w:rFonts w:cstheme="minorHAnsi"/>
                <w:noProof/>
              </w:rPr>
              <w:t>as instructed</w:t>
            </w:r>
            <w:r w:rsidR="008F589F" w:rsidRPr="0053796E">
              <w:rPr>
                <w:rFonts w:cstheme="minorHAnsi"/>
                <w:noProof/>
              </w:rPr>
              <w:t xml:space="preserve"> </w:t>
            </w:r>
            <w:r w:rsidR="00977591" w:rsidRPr="0053796E">
              <w:rPr>
                <w:rFonts w:cstheme="minorHAnsi"/>
                <w:noProof/>
              </w:rPr>
              <w:t xml:space="preserve">with </w:t>
            </w:r>
            <w:r w:rsidRPr="0053796E">
              <w:rPr>
                <w:rFonts w:cstheme="minorHAnsi"/>
                <w:noProof/>
              </w:rPr>
              <w:t>answers immediately following the question.</w:t>
            </w:r>
            <w:r w:rsidR="0096278F" w:rsidRPr="0053796E">
              <w:rPr>
                <w:rFonts w:cstheme="minorHAnsi"/>
                <w:noProof/>
              </w:rPr>
              <w:t xml:space="preserve"> All information </w:t>
            </w:r>
            <w:r w:rsidR="008F589F" w:rsidRPr="0053796E">
              <w:rPr>
                <w:rFonts w:cstheme="minorHAnsi"/>
                <w:noProof/>
              </w:rPr>
              <w:t xml:space="preserve">on testing </w:t>
            </w:r>
            <w:r w:rsidR="0096278F" w:rsidRPr="0053796E">
              <w:rPr>
                <w:rFonts w:cstheme="minorHAnsi"/>
                <w:noProof/>
              </w:rPr>
              <w:t>to demonstrate meeting</w:t>
            </w:r>
            <w:r w:rsidR="008F589F" w:rsidRPr="0053796E">
              <w:rPr>
                <w:rFonts w:cstheme="minorHAnsi"/>
                <w:noProof/>
              </w:rPr>
              <w:t xml:space="preserve"> the </w:t>
            </w:r>
            <w:r w:rsidR="008F589F" w:rsidRPr="0053796E">
              <w:t>subcriteria for reliability (2a</w:t>
            </w:r>
            <w:r w:rsidR="00145149" w:rsidRPr="0053796E">
              <w:t>2</w:t>
            </w:r>
            <w:r w:rsidR="008F589F" w:rsidRPr="0053796E">
              <w:t>) and validity (2b</w:t>
            </w:r>
            <w:r w:rsidR="00D369E9" w:rsidRPr="0053796E">
              <w:t>1</w:t>
            </w:r>
            <w:r w:rsidR="00145149" w:rsidRPr="0053796E">
              <w:t>-2b6</w:t>
            </w:r>
            <w:r w:rsidR="008F589F" w:rsidRPr="0053796E">
              <w:t xml:space="preserve">) </w:t>
            </w:r>
            <w:r w:rsidR="0096278F" w:rsidRPr="0053796E">
              <w:rPr>
                <w:rFonts w:cstheme="minorHAnsi"/>
                <w:noProof/>
              </w:rPr>
              <w:t xml:space="preserve">must be in this form. An appendix for </w:t>
            </w:r>
            <w:r w:rsidR="0096278F" w:rsidRPr="0053796E">
              <w:rPr>
                <w:rFonts w:cstheme="minorHAnsi"/>
                <w:i/>
                <w:noProof/>
              </w:rPr>
              <w:t>supplemental</w:t>
            </w:r>
            <w:r w:rsidR="0096278F" w:rsidRPr="0053796E">
              <w:rPr>
                <w:rFonts w:cstheme="minorHAnsi"/>
                <w:noProof/>
              </w:rPr>
              <w:t xml:space="preserve"> materials may be submitted, but there is no guarantee it will be reviewed.</w:t>
            </w:r>
          </w:p>
          <w:p w14:paraId="2890397E" w14:textId="77777777" w:rsidR="00C14CCC" w:rsidRPr="0053796E" w:rsidRDefault="00977591" w:rsidP="009D21C7">
            <w:pPr>
              <w:pStyle w:val="ListParagraph"/>
              <w:numPr>
                <w:ilvl w:val="0"/>
                <w:numId w:val="1"/>
              </w:numPr>
              <w:rPr>
                <w:rFonts w:cstheme="minorHAnsi"/>
                <w:noProof/>
              </w:rPr>
            </w:pPr>
            <w:r w:rsidRPr="0053796E">
              <w:t>If you are unable to check a</w:t>
            </w:r>
            <w:r w:rsidR="009D7E38" w:rsidRPr="0053796E">
              <w:t xml:space="preserve"> box, please highlight or </w:t>
            </w:r>
            <w:r w:rsidR="00C14CCC" w:rsidRPr="0053796E">
              <w:t>shade the box for your response.</w:t>
            </w:r>
          </w:p>
          <w:p w14:paraId="3FFA6EAA" w14:textId="77777777" w:rsidR="00904E91" w:rsidRPr="008F589F" w:rsidRDefault="009D7E38" w:rsidP="009D21C7">
            <w:pPr>
              <w:pStyle w:val="ListParagraph"/>
              <w:numPr>
                <w:ilvl w:val="0"/>
                <w:numId w:val="1"/>
              </w:numPr>
              <w:rPr>
                <w:rFonts w:cstheme="minorHAnsi"/>
                <w:noProof/>
              </w:rPr>
            </w:pPr>
            <w:r w:rsidRPr="0053796E">
              <w:rPr>
                <w:rFonts w:cstheme="minorHAnsi"/>
                <w:noProof/>
              </w:rPr>
              <w:t>Maximum of 2</w:t>
            </w:r>
            <w:r w:rsidR="00CD0E24" w:rsidRPr="0053796E">
              <w:rPr>
                <w:rFonts w:cstheme="minorHAnsi"/>
                <w:noProof/>
              </w:rPr>
              <w:t>5</w:t>
            </w:r>
            <w:r w:rsidR="00702C73" w:rsidRPr="0053796E">
              <w:rPr>
                <w:rFonts w:cstheme="minorHAnsi"/>
                <w:noProof/>
              </w:rPr>
              <w:t xml:space="preserve"> pages (</w:t>
            </w:r>
            <w:r w:rsidR="00702C73" w:rsidRPr="0053796E">
              <w:rPr>
                <w:rFonts w:cstheme="minorHAnsi"/>
                <w:i/>
                <w:noProof/>
              </w:rPr>
              <w:t xml:space="preserve">incuding questions/instructions; </w:t>
            </w:r>
            <w:r w:rsidR="00977591" w:rsidRPr="0053796E">
              <w:t>minimum font size 11 pt; do</w:t>
            </w:r>
            <w:r w:rsidR="00977591">
              <w:t xml:space="preserve">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5744C13" w14:textId="77777777" w:rsidR="00904E91" w:rsidRPr="00A71200" w:rsidRDefault="00977591" w:rsidP="009D21C7">
            <w:pPr>
              <w:pStyle w:val="ListParagraph"/>
              <w:numPr>
                <w:ilvl w:val="0"/>
                <w:numId w:val="1"/>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59971FFC" w14:textId="77777777" w:rsidR="00A64EBF" w:rsidRDefault="00A64EBF" w:rsidP="009D21C7">
            <w:pPr>
              <w:pStyle w:val="ListParagraph"/>
              <w:numPr>
                <w:ilvl w:val="0"/>
                <w:numId w:val="1"/>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E38A48"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112BDA6" w14:textId="77777777" w:rsidTr="00145149">
        <w:trPr>
          <w:jc w:val="center"/>
        </w:trPr>
        <w:tc>
          <w:tcPr>
            <w:tcW w:w="9576" w:type="dxa"/>
          </w:tcPr>
          <w:p w14:paraId="103CB6CA" w14:textId="77777777"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43D1391" w14:textId="77777777" w:rsidR="00B53E8B" w:rsidRPr="00A831B4" w:rsidRDefault="00B53E8B" w:rsidP="00702C73">
            <w:pPr>
              <w:rPr>
                <w:rFonts w:cstheme="minorHAnsi"/>
                <w:b/>
                <w:bCs/>
                <w:sz w:val="20"/>
                <w:szCs w:val="20"/>
              </w:rPr>
            </w:pPr>
          </w:p>
          <w:p w14:paraId="36244D49" w14:textId="77777777"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w:t>
            </w:r>
            <w:r w:rsidRPr="0053796E">
              <w:rPr>
                <w:rFonts w:cstheme="minorHAnsi"/>
              </w:rPr>
              <w:t xml:space="preserve">time when assessed </w:t>
            </w:r>
            <w:r w:rsidRPr="0053796E">
              <w:rPr>
                <w:rFonts w:cstheme="minorHAnsi"/>
                <w:bCs/>
                <w:iCs/>
              </w:rPr>
              <w:t xml:space="preserve">in the same population in the same time period </w:t>
            </w:r>
            <w:r w:rsidRPr="0053796E">
              <w:rPr>
                <w:rFonts w:cstheme="minorHAnsi"/>
              </w:rPr>
              <w:t>and/or that the measure score is precise</w:t>
            </w:r>
            <w:r w:rsidRPr="0053796E">
              <w:rPr>
                <w:rFonts w:cstheme="minorHAnsi"/>
                <w:bCs/>
                <w:iCs/>
              </w:rPr>
              <w:t>.</w:t>
            </w:r>
            <w:r w:rsidR="00125273" w:rsidRPr="0053796E">
              <w:rPr>
                <w:rFonts w:cstheme="minorHAnsi"/>
                <w:bCs/>
                <w:iCs/>
              </w:rPr>
              <w:t xml:space="preserve"> For </w:t>
            </w:r>
            <w:r w:rsidR="00651D44" w:rsidRPr="0053796E">
              <w:rPr>
                <w:rFonts w:cstheme="minorHAnsi"/>
                <w:b/>
                <w:bCs/>
                <w:iCs/>
              </w:rPr>
              <w:t xml:space="preserve">instrument-based measures </w:t>
            </w:r>
            <w:r w:rsidR="00651D44" w:rsidRPr="0053796E">
              <w:rPr>
                <w:rFonts w:cstheme="minorHAnsi"/>
                <w:bCs/>
                <w:iCs/>
              </w:rPr>
              <w:t>(including PRO-PMs)</w:t>
            </w:r>
            <w:r w:rsidR="00651D44" w:rsidRPr="0053796E">
              <w:rPr>
                <w:rFonts w:cstheme="minorHAnsi"/>
                <w:b/>
                <w:bCs/>
                <w:iCs/>
              </w:rPr>
              <w:t xml:space="preserve"> and composite performance measures</w:t>
            </w:r>
            <w:r w:rsidR="00125273" w:rsidRPr="0053796E">
              <w:rPr>
                <w:rFonts w:cstheme="minorHAnsi"/>
                <w:bCs/>
                <w:iCs/>
              </w:rPr>
              <w:t>, reliability should be demonstrated for the computed</w:t>
            </w:r>
            <w:r w:rsidR="00125273" w:rsidRPr="000F034A">
              <w:rPr>
                <w:rFonts w:cstheme="minorHAnsi"/>
                <w:bCs/>
                <w:iCs/>
              </w:rPr>
              <w:t xml:space="preserve"> performance score.</w:t>
            </w:r>
          </w:p>
          <w:p w14:paraId="29B5B86C" w14:textId="77777777" w:rsidR="00145149" w:rsidRPr="000F034A" w:rsidRDefault="00145149" w:rsidP="00145149">
            <w:pPr>
              <w:autoSpaceDE w:val="0"/>
              <w:autoSpaceDN w:val="0"/>
              <w:adjustRightInd w:val="0"/>
              <w:rPr>
                <w:rFonts w:cstheme="minorHAnsi"/>
                <w:b/>
                <w:iCs/>
              </w:rPr>
            </w:pPr>
          </w:p>
          <w:p w14:paraId="3B70C4FA" w14:textId="77777777"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w:t>
            </w:r>
            <w:r w:rsidRPr="0053796E">
              <w:rPr>
                <w:rFonts w:cstheme="minorHAnsi"/>
                <w:bCs/>
                <w:iCs/>
              </w:rPr>
              <w:t xml:space="preserve">that the measure data elements are correct and/or the </w:t>
            </w:r>
            <w:r w:rsidRPr="0053796E">
              <w:rPr>
                <w:rFonts w:cstheme="minorHAnsi"/>
              </w:rPr>
              <w:t>measure score correctly reflects the quality of care provided, adequately identifying differences in quality</w:t>
            </w:r>
            <w:r w:rsidRPr="0053796E">
              <w:rPr>
                <w:rFonts w:cstheme="minorHAnsi"/>
                <w:color w:val="0000FF"/>
              </w:rPr>
              <w:t xml:space="preserve">.  </w:t>
            </w:r>
            <w:r w:rsidR="00372FE3" w:rsidRPr="0053796E">
              <w:rPr>
                <w:rFonts w:cstheme="minorHAnsi"/>
                <w:bCs/>
                <w:iCs/>
              </w:rPr>
              <w:t xml:space="preserve">For </w:t>
            </w:r>
            <w:r w:rsidR="00651D44" w:rsidRPr="0053796E">
              <w:rPr>
                <w:rFonts w:cstheme="minorHAnsi"/>
                <w:b/>
                <w:bCs/>
                <w:iCs/>
              </w:rPr>
              <w:t>instrument</w:t>
            </w:r>
            <w:r w:rsidR="00651D44" w:rsidRPr="00651D44">
              <w:rPr>
                <w:rFonts w:cstheme="minorHAnsi"/>
                <w:b/>
                <w:bCs/>
                <w:iCs/>
              </w:rPr>
              <w: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70417812" w14:textId="77777777" w:rsidR="00145149" w:rsidRPr="000F034A" w:rsidRDefault="00145149" w:rsidP="00145149">
            <w:pPr>
              <w:rPr>
                <w:rFonts w:cstheme="minorHAnsi"/>
              </w:rPr>
            </w:pPr>
            <w:bookmarkStart w:id="0" w:name="_Toc256067249"/>
          </w:p>
          <w:p w14:paraId="1AA82ECC" w14:textId="77777777"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4117FD15" w14:textId="77777777" w:rsidR="00145149" w:rsidRPr="000F034A" w:rsidRDefault="00145149" w:rsidP="00145149">
            <w:pPr>
              <w:rPr>
                <w:rFonts w:cstheme="minorHAnsi"/>
                <w:b/>
              </w:rPr>
            </w:pPr>
            <w:r w:rsidRPr="000F034A">
              <w:rPr>
                <w:rFonts w:cstheme="minorHAnsi"/>
                <w:b/>
              </w:rPr>
              <w:lastRenderedPageBreak/>
              <w:t xml:space="preserve">AND </w:t>
            </w:r>
          </w:p>
          <w:p w14:paraId="5054F894" w14:textId="77777777"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66D11975" w14:textId="77777777" w:rsidR="00145149" w:rsidRPr="000F034A" w:rsidRDefault="00145149" w:rsidP="00145149">
            <w:pPr>
              <w:rPr>
                <w:rFonts w:cstheme="minorHAnsi"/>
                <w:b/>
                <w:bCs/>
              </w:rPr>
            </w:pPr>
          </w:p>
          <w:p w14:paraId="7ECA9995" w14:textId="77777777"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3D72E18A" w14:textId="77777777" w:rsidR="00145149" w:rsidRPr="000F034A" w:rsidRDefault="00145149" w:rsidP="009D21C7">
            <w:pPr>
              <w:numPr>
                <w:ilvl w:val="0"/>
                <w:numId w:val="2"/>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7B434113" w14:textId="77777777" w:rsidR="00145149" w:rsidRPr="000F034A" w:rsidRDefault="00145149" w:rsidP="00145149">
            <w:pPr>
              <w:rPr>
                <w:rFonts w:cstheme="minorHAnsi"/>
                <w:b/>
              </w:rPr>
            </w:pPr>
            <w:r w:rsidRPr="000F034A">
              <w:rPr>
                <w:rFonts w:cstheme="minorHAnsi"/>
                <w:b/>
              </w:rPr>
              <w:t>OR</w:t>
            </w:r>
          </w:p>
          <w:p w14:paraId="5E245CDA" w14:textId="77777777" w:rsidR="00145149" w:rsidRPr="000F034A" w:rsidRDefault="00145149" w:rsidP="009D21C7">
            <w:pPr>
              <w:numPr>
                <w:ilvl w:val="0"/>
                <w:numId w:val="2"/>
              </w:numPr>
              <w:ind w:left="0" w:firstLine="0"/>
              <w:rPr>
                <w:rFonts w:cstheme="minorHAnsi"/>
              </w:rPr>
            </w:pPr>
            <w:r w:rsidRPr="000F034A">
              <w:rPr>
                <w:rFonts w:cstheme="minorHAnsi"/>
              </w:rPr>
              <w:t xml:space="preserve">rationale/data support no risk adjustment/ stratification. </w:t>
            </w:r>
          </w:p>
          <w:p w14:paraId="340B0737" w14:textId="77777777" w:rsidR="00145149" w:rsidRPr="000F034A" w:rsidRDefault="00145149" w:rsidP="00145149">
            <w:pPr>
              <w:rPr>
                <w:rFonts w:cstheme="minorHAnsi"/>
                <w:b/>
                <w:bCs/>
              </w:rPr>
            </w:pPr>
          </w:p>
          <w:bookmarkEnd w:id="1"/>
          <w:p w14:paraId="262091AA" w14:textId="77777777"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4A80E194" w14:textId="77777777" w:rsidR="00145149" w:rsidRPr="000F034A" w:rsidRDefault="00145149" w:rsidP="00145149">
            <w:pPr>
              <w:rPr>
                <w:rFonts w:cstheme="minorHAnsi"/>
              </w:rPr>
            </w:pPr>
            <w:r w:rsidRPr="000F034A">
              <w:rPr>
                <w:rFonts w:cstheme="minorHAnsi"/>
                <w:b/>
              </w:rPr>
              <w:t>OR</w:t>
            </w:r>
          </w:p>
          <w:p w14:paraId="4D5AB4CB" w14:textId="77777777" w:rsidR="00145149" w:rsidRPr="000F034A" w:rsidRDefault="00145149" w:rsidP="00145149">
            <w:pPr>
              <w:rPr>
                <w:rFonts w:cstheme="minorHAnsi"/>
              </w:rPr>
            </w:pPr>
            <w:r w:rsidRPr="000F034A">
              <w:rPr>
                <w:rFonts w:cstheme="minorHAnsi"/>
              </w:rPr>
              <w:t xml:space="preserve">there </w:t>
            </w:r>
            <w:r w:rsidRPr="0053796E">
              <w:rPr>
                <w:rFonts w:cstheme="minorHAnsi"/>
              </w:rPr>
              <w:t>is evidence of overall less-than-optimal performance.</w:t>
            </w:r>
            <w:r w:rsidRPr="000F034A">
              <w:rPr>
                <w:rFonts w:cstheme="minorHAnsi"/>
              </w:rPr>
              <w:t xml:space="preserve"> </w:t>
            </w:r>
          </w:p>
          <w:p w14:paraId="2BD6BB45" w14:textId="77777777" w:rsidR="00145149" w:rsidRPr="000F034A" w:rsidRDefault="00145149" w:rsidP="00145149">
            <w:pPr>
              <w:rPr>
                <w:rFonts w:cstheme="minorHAnsi"/>
                <w:b/>
                <w:bCs/>
              </w:rPr>
            </w:pPr>
          </w:p>
          <w:p w14:paraId="67DB12A4" w14:textId="77777777"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5A670FD8" w14:textId="77777777" w:rsidR="00E30584" w:rsidRPr="000F034A" w:rsidRDefault="00E30584" w:rsidP="00145149">
            <w:pPr>
              <w:rPr>
                <w:rFonts w:cstheme="minorHAnsi"/>
              </w:rPr>
            </w:pPr>
          </w:p>
          <w:p w14:paraId="3ED7AB62" w14:textId="77777777"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nonresponders) and how the specified handling of missing data minimizes bias.</w:t>
            </w:r>
          </w:p>
          <w:bookmarkEnd w:id="0"/>
          <w:p w14:paraId="72D6A73D" w14:textId="77777777" w:rsidR="00145149" w:rsidRPr="00A831B4" w:rsidRDefault="00145149" w:rsidP="00145149">
            <w:pPr>
              <w:rPr>
                <w:rFonts w:cstheme="minorHAnsi"/>
                <w:b/>
                <w:bCs/>
                <w:sz w:val="20"/>
                <w:szCs w:val="20"/>
              </w:rPr>
            </w:pPr>
          </w:p>
          <w:p w14:paraId="2FDACACB"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77A29C7E" w14:textId="77777777" w:rsidR="00145149" w:rsidRPr="0053796E"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w:t>
            </w:r>
            <w:r w:rsidRPr="0053796E">
              <w:rPr>
                <w:rFonts w:cstheme="minorHAnsi"/>
                <w:sz w:val="20"/>
                <w:szCs w:val="20"/>
              </w:rPr>
              <w:t>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345A8A4E" w14:textId="77777777" w:rsidR="00145149" w:rsidRPr="00A831B4" w:rsidRDefault="00145149" w:rsidP="00145149">
            <w:pPr>
              <w:rPr>
                <w:rFonts w:cstheme="minorHAnsi"/>
                <w:sz w:val="20"/>
                <w:szCs w:val="20"/>
              </w:rPr>
            </w:pPr>
            <w:bookmarkStart w:id="5" w:name="Note11"/>
            <w:bookmarkEnd w:id="5"/>
            <w:r w:rsidRPr="0053796E">
              <w:rPr>
                <w:rFonts w:cstheme="minorHAnsi"/>
                <w:b/>
                <w:sz w:val="20"/>
                <w:szCs w:val="20"/>
              </w:rPr>
              <w:t>11.</w:t>
            </w:r>
            <w:r w:rsidRPr="0053796E">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53796E">
              <w:rPr>
                <w:rFonts w:cstheme="minorHAnsi"/>
                <w:sz w:val="20"/>
                <w:szCs w:val="20"/>
              </w:rPr>
              <w:t>Face validity of the measure score as a quality indicator may be adequate if accomplished through a systematic and transparent process</w:t>
            </w:r>
            <w:r w:rsidR="00651D44" w:rsidRPr="00651D44">
              <w:rPr>
                <w:rFonts w:cstheme="minorHAnsi"/>
                <w:sz w:val="20"/>
                <w:szCs w:val="20"/>
              </w:rPr>
              <w:t>,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1078A7FB"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7FD11342"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12DCCB55" w14:textId="77777777"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3B713533"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47022DCB"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39A3B032"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57AB3F3C" w14:textId="77777777" w:rsidR="000574AB" w:rsidRPr="00A25024" w:rsidRDefault="000574AB" w:rsidP="008A403A">
      <w:pPr>
        <w:spacing w:after="0" w:line="240" w:lineRule="auto"/>
        <w:rPr>
          <w:rFonts w:cstheme="minorHAnsi"/>
          <w:noProof/>
        </w:rPr>
      </w:pPr>
    </w:p>
    <w:p w14:paraId="5FA5CF2A"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6AC2A5BF" w14:textId="77777777" w:rsidTr="0014773C">
        <w:trPr>
          <w:jc w:val="center"/>
        </w:trPr>
        <w:tc>
          <w:tcPr>
            <w:tcW w:w="5208" w:type="dxa"/>
            <w:shd w:val="clear" w:color="auto" w:fill="D9D9D9" w:themeFill="background1" w:themeFillShade="D9"/>
          </w:tcPr>
          <w:p w14:paraId="77096D73"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3FB8C3E5"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2E40106B"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2108B614" w14:textId="77777777" w:rsidTr="0014773C">
        <w:trPr>
          <w:jc w:val="center"/>
        </w:trPr>
        <w:tc>
          <w:tcPr>
            <w:tcW w:w="5208" w:type="dxa"/>
          </w:tcPr>
          <w:p w14:paraId="485D782A" w14:textId="77777777" w:rsidR="00A01494" w:rsidRPr="00A01494" w:rsidRDefault="0038706E"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44D7ACB0" w14:textId="77777777" w:rsidR="00A01494" w:rsidRPr="00A01494" w:rsidRDefault="0038706E"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7D92814B" w14:textId="77777777" w:rsidTr="0014773C">
        <w:trPr>
          <w:jc w:val="center"/>
        </w:trPr>
        <w:tc>
          <w:tcPr>
            <w:tcW w:w="5208" w:type="dxa"/>
          </w:tcPr>
          <w:p w14:paraId="663DE472" w14:textId="77777777" w:rsidR="00A01494" w:rsidRPr="000F1B7A" w:rsidRDefault="0038706E" w:rsidP="000F1B7A">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Content>
                <w:r w:rsidR="006B082F">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6F71D8AE" w14:textId="77777777" w:rsidR="00A01494" w:rsidRPr="000F1B7A" w:rsidRDefault="0038706E" w:rsidP="000F1B7A">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Content>
                <w:r w:rsidR="006B082F">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6A17593E" w14:textId="77777777" w:rsidTr="0014773C">
        <w:trPr>
          <w:jc w:val="center"/>
        </w:trPr>
        <w:tc>
          <w:tcPr>
            <w:tcW w:w="5208" w:type="dxa"/>
          </w:tcPr>
          <w:p w14:paraId="787724A3" w14:textId="77777777" w:rsidR="00A01494" w:rsidRPr="000F1B7A" w:rsidRDefault="0038706E"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DC56DF0" w14:textId="77777777" w:rsidR="00A01494" w:rsidRPr="000F1B7A" w:rsidRDefault="0038706E"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8769852" w14:textId="77777777" w:rsidTr="0014773C">
        <w:trPr>
          <w:jc w:val="center"/>
        </w:trPr>
        <w:tc>
          <w:tcPr>
            <w:tcW w:w="5208" w:type="dxa"/>
          </w:tcPr>
          <w:p w14:paraId="1CC77D30" w14:textId="77777777" w:rsidR="00A01494" w:rsidRPr="000F1B7A" w:rsidRDefault="0038706E"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2C1A4FDD" w14:textId="77777777" w:rsidR="00A01494" w:rsidRPr="000F1B7A" w:rsidRDefault="0038706E"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5BCF056" w14:textId="77777777" w:rsidTr="0014773C">
        <w:trPr>
          <w:jc w:val="center"/>
        </w:trPr>
        <w:tc>
          <w:tcPr>
            <w:tcW w:w="5208" w:type="dxa"/>
          </w:tcPr>
          <w:p w14:paraId="48BE3CC2" w14:textId="77777777" w:rsidR="00A01494" w:rsidRPr="000F1B7A" w:rsidRDefault="0038706E"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452DB671" w14:textId="77777777" w:rsidR="00A01494" w:rsidRPr="000F1B7A" w:rsidRDefault="0038706E"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24BB579B" w14:textId="77777777" w:rsidTr="0014773C">
        <w:trPr>
          <w:jc w:val="center"/>
        </w:trPr>
        <w:tc>
          <w:tcPr>
            <w:tcW w:w="5208" w:type="dxa"/>
          </w:tcPr>
          <w:p w14:paraId="3C5CBA35" w14:textId="645039AD" w:rsidR="00A01494" w:rsidRPr="000F1B7A" w:rsidRDefault="0038706E" w:rsidP="00524BC5">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Content>
                <w:r w:rsidR="00524BC5">
                  <w:rPr>
                    <w:rFonts w:ascii="MS Gothic" w:eastAsia="MS Gothic" w:hAnsi="MS Gothic" w:cstheme="minorHAnsi" w:hint="eastAsia"/>
                    <w:bCs/>
                    <w:color w:val="0000FF"/>
                  </w:rPr>
                  <w:t>☒</w:t>
                </w:r>
              </w:sdtContent>
            </w:sdt>
            <w:r w:rsidR="00B82A57" w:rsidRPr="000F1B7A">
              <w:rPr>
                <w:rFonts w:cstheme="minorHAnsi"/>
                <w:bCs/>
              </w:rPr>
              <w:t xml:space="preserve"> </w:t>
            </w:r>
            <w:r w:rsidR="00524BC5" w:rsidRPr="000F1B7A">
              <w:rPr>
                <w:rFonts w:cstheme="minorHAnsi"/>
                <w:bCs/>
              </w:rPr>
              <w:t>other</w:t>
            </w:r>
            <w:r w:rsidR="00A01494" w:rsidRPr="000F1B7A">
              <w:rPr>
                <w:rFonts w:cstheme="minorHAnsi"/>
                <w:bCs/>
              </w:rPr>
              <w:t xml:space="preserve">:  </w:t>
            </w:r>
            <w:sdt>
              <w:sdtPr>
                <w:rPr>
                  <w:rStyle w:val="Style1"/>
                </w:rPr>
                <w:id w:val="1834251992"/>
                <w:text/>
              </w:sdtPr>
              <w:sdtEndPr>
                <w:rPr>
                  <w:rStyle w:val="DefaultParagraphFont"/>
                  <w:rFonts w:cstheme="minorHAnsi"/>
                  <w:bCs/>
                  <w:color w:val="auto"/>
                </w:rPr>
              </w:sdtEndPr>
              <w:sdtContent>
                <w:r w:rsidR="00524BC5">
                  <w:rPr>
                    <w:rStyle w:val="Style1"/>
                  </w:rPr>
                  <w:t>Medicare eligibility data</w:t>
                </w:r>
              </w:sdtContent>
            </w:sdt>
          </w:p>
        </w:tc>
        <w:tc>
          <w:tcPr>
            <w:tcW w:w="4847" w:type="dxa"/>
          </w:tcPr>
          <w:p w14:paraId="4C60481D" w14:textId="63A5AFDF" w:rsidR="00A01494" w:rsidRPr="000F1B7A" w:rsidRDefault="0038706E" w:rsidP="0053796E">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Content>
                <w:r w:rsidR="0053796E">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Fonts w:cs="Arial"/>
                  <w:color w:val="000000"/>
                  <w:shd w:val="clear" w:color="auto" w:fill="FFFFFF"/>
                </w:rPr>
                <w:id w:val="1976178076"/>
                <w:text/>
              </w:sdtPr>
              <w:sdtContent>
                <w:r w:rsidR="007A13A4" w:rsidRPr="007A13A4">
                  <w:rPr>
                    <w:rFonts w:cs="Arial"/>
                    <w:color w:val="000000"/>
                    <w:shd w:val="clear" w:color="auto" w:fill="FFFFFF"/>
                  </w:rPr>
                  <w:t>Home Health Outcome and Assessment Information Set (OASIS) Version: C1; Online Survey Certification &amp; Reporting System (OSCAR</w:t>
                </w:r>
                <w:r>
                  <w:rPr>
                    <w:rFonts w:cs="Arial"/>
                    <w:color w:val="000000"/>
                    <w:shd w:val="clear" w:color="auto" w:fill="FFFFFF"/>
                  </w:rPr>
                  <w:t xml:space="preserve">); Common Medicare Environment database </w:t>
                </w:r>
              </w:sdtContent>
            </w:sdt>
          </w:p>
        </w:tc>
      </w:tr>
    </w:tbl>
    <w:p w14:paraId="421C8B55" w14:textId="268B72B5"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r w:rsidR="007A13A4">
        <w:rPr>
          <w:rFonts w:cstheme="minorHAnsi"/>
          <w:b/>
          <w:bCs/>
        </w:rPr>
        <w:tab/>
      </w:r>
    </w:p>
    <w:p w14:paraId="5C1A144B" w14:textId="2B0730C4" w:rsidR="00C355B9" w:rsidRDefault="00524BC5" w:rsidP="00DB3627">
      <w:pPr>
        <w:autoSpaceDE w:val="0"/>
        <w:autoSpaceDN w:val="0"/>
        <w:adjustRightInd w:val="0"/>
        <w:spacing w:after="0" w:line="240" w:lineRule="auto"/>
        <w:rPr>
          <w:rFonts w:cstheme="minorHAnsi"/>
          <w:bCs/>
        </w:rPr>
      </w:pPr>
      <w:r>
        <w:rPr>
          <w:rFonts w:cstheme="minorHAnsi"/>
          <w:b/>
          <w:bCs/>
        </w:rPr>
        <w:t>1.</w:t>
      </w:r>
      <w:r w:rsidRPr="00A25024">
        <w:rPr>
          <w:rFonts w:cstheme="minorHAnsi"/>
          <w:b/>
          <w:bCs/>
        </w:rPr>
        <w:t>2. If an existing dataset</w:t>
      </w:r>
      <w:r>
        <w:rPr>
          <w:rFonts w:cstheme="minorHAnsi"/>
          <w:b/>
          <w:bCs/>
        </w:rPr>
        <w:t xml:space="preserve"> was used</w:t>
      </w:r>
      <w:r w:rsidRPr="00A25024">
        <w:rPr>
          <w:rFonts w:cstheme="minorHAnsi"/>
          <w:b/>
          <w:bCs/>
        </w:rPr>
        <w:t xml:space="preserve">, identify the </w:t>
      </w:r>
      <w:r>
        <w:rPr>
          <w:rFonts w:cstheme="minorHAnsi"/>
          <w:b/>
          <w:bCs/>
        </w:rPr>
        <w:t xml:space="preserve">specific </w:t>
      </w:r>
      <w:r w:rsidRPr="00A25024">
        <w:rPr>
          <w:rFonts w:cstheme="minorHAnsi"/>
          <w:b/>
          <w:bCs/>
        </w:rPr>
        <w:t>dataset</w:t>
      </w:r>
      <w:r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6F8967F8" w14:textId="1C21ADC9" w:rsidR="0053796E" w:rsidRPr="001D27E5" w:rsidRDefault="0053796E" w:rsidP="0053796E">
      <w:pPr>
        <w:autoSpaceDE w:val="0"/>
        <w:autoSpaceDN w:val="0"/>
        <w:adjustRightInd w:val="0"/>
        <w:spacing w:after="0" w:line="240" w:lineRule="auto"/>
      </w:pPr>
      <w:r w:rsidRPr="76FB6C18">
        <w:rPr>
          <w:rFonts w:ascii="Calibri" w:eastAsia="Calibri" w:hAnsi="Calibri" w:cs="Calibri"/>
        </w:rPr>
        <w:t xml:space="preserve">This measure is based on </w:t>
      </w:r>
      <w:r w:rsidR="00C66A40">
        <w:rPr>
          <w:rFonts w:ascii="Calibri" w:eastAsia="Calibri" w:hAnsi="Calibri" w:cs="Calibri"/>
        </w:rPr>
        <w:t xml:space="preserve">Medicare’s eligibility database as well as </w:t>
      </w:r>
      <w:r w:rsidRPr="76FB6C18">
        <w:rPr>
          <w:rFonts w:ascii="Calibri" w:eastAsia="Calibri" w:hAnsi="Calibri" w:cs="Calibri"/>
        </w:rPr>
        <w:t xml:space="preserve">Medicare </w:t>
      </w:r>
      <w:r>
        <w:rPr>
          <w:rFonts w:ascii="Calibri" w:eastAsia="Calibri" w:hAnsi="Calibri" w:cs="Calibri"/>
        </w:rPr>
        <w:t>fee-for service (</w:t>
      </w:r>
      <w:r w:rsidRPr="76FB6C18">
        <w:rPr>
          <w:rFonts w:ascii="Calibri" w:eastAsia="Calibri" w:hAnsi="Calibri" w:cs="Calibri"/>
        </w:rPr>
        <w:t>FFS</w:t>
      </w:r>
      <w:r>
        <w:rPr>
          <w:rFonts w:ascii="Calibri" w:eastAsia="Calibri" w:hAnsi="Calibri" w:cs="Calibri"/>
        </w:rPr>
        <w:t>)</w:t>
      </w:r>
      <w:r w:rsidRPr="76FB6C18">
        <w:rPr>
          <w:rFonts w:ascii="Calibri" w:eastAsia="Calibri" w:hAnsi="Calibri" w:cs="Calibri"/>
        </w:rPr>
        <w:t xml:space="preserve"> administrative claims </w:t>
      </w:r>
      <w:r w:rsidR="00C66A40">
        <w:rPr>
          <w:rFonts w:ascii="Calibri" w:eastAsia="Calibri" w:hAnsi="Calibri" w:cs="Calibri"/>
        </w:rPr>
        <w:t>from home health</w:t>
      </w:r>
      <w:r w:rsidR="000C2448">
        <w:rPr>
          <w:rFonts w:ascii="Calibri" w:eastAsia="Calibri" w:hAnsi="Calibri" w:cs="Calibri"/>
        </w:rPr>
        <w:t>,</w:t>
      </w:r>
      <w:r w:rsidR="00C66A40">
        <w:rPr>
          <w:rFonts w:ascii="Calibri" w:eastAsia="Calibri" w:hAnsi="Calibri" w:cs="Calibri"/>
        </w:rPr>
        <w:t xml:space="preserve"> </w:t>
      </w:r>
      <w:r w:rsidRPr="76FB6C18">
        <w:rPr>
          <w:rFonts w:ascii="Calibri" w:eastAsia="Calibri" w:hAnsi="Calibri" w:cs="Calibri"/>
        </w:rPr>
        <w:t>inpatient</w:t>
      </w:r>
      <w:r w:rsidR="00C66A40">
        <w:rPr>
          <w:rFonts w:ascii="Calibri" w:eastAsia="Calibri" w:hAnsi="Calibri" w:cs="Calibri"/>
        </w:rPr>
        <w:t xml:space="preserve">, outpatient, and physician office settings. </w:t>
      </w:r>
      <w:r w:rsidRPr="76FB6C18">
        <w:rPr>
          <w:rFonts w:ascii="Calibri" w:eastAsia="Calibri" w:hAnsi="Calibri" w:cs="Calibri"/>
        </w:rPr>
        <w:t xml:space="preserve">The eligibility files provide </w:t>
      </w:r>
      <w:r w:rsidR="00C66A40">
        <w:rPr>
          <w:rFonts w:ascii="Calibri" w:eastAsia="Calibri" w:hAnsi="Calibri" w:cs="Calibri"/>
        </w:rPr>
        <w:t xml:space="preserve">beneficiary-level </w:t>
      </w:r>
      <w:r w:rsidRPr="76FB6C18">
        <w:rPr>
          <w:rFonts w:ascii="Calibri" w:eastAsia="Calibri" w:hAnsi="Calibri" w:cs="Calibri"/>
        </w:rPr>
        <w:t>information such as date of birth, date of death, sex, reasons for Medicare eligibility,</w:t>
      </w:r>
      <w:r w:rsidR="00C66A40">
        <w:rPr>
          <w:rFonts w:ascii="Calibri" w:eastAsia="Calibri" w:hAnsi="Calibri" w:cs="Calibri"/>
        </w:rPr>
        <w:t xml:space="preserve"> enrollment histories in Medicare Parts A and B</w:t>
      </w:r>
      <w:r w:rsidR="00975FA7">
        <w:rPr>
          <w:rFonts w:ascii="Calibri" w:eastAsia="Calibri" w:hAnsi="Calibri" w:cs="Calibri"/>
        </w:rPr>
        <w:t>, and beneficiary dual eligibility status</w:t>
      </w:r>
      <w:r w:rsidR="00C66A40">
        <w:rPr>
          <w:rFonts w:ascii="Calibri" w:eastAsia="Calibri" w:hAnsi="Calibri" w:cs="Calibri"/>
        </w:rPr>
        <w:t xml:space="preserve">. </w:t>
      </w:r>
      <w:r w:rsidR="00AC6CD3">
        <w:t xml:space="preserve">The Medicare FFS claims files provide information about each home health and PAC stay, including dates of admission and discharge, diagnoses and procedures, and indicators for care received in the intensive care unit, coronary care unit, and emergency department. Furthermore, claims from all three file settings are used to construct for each patient a complete history of care before the index home health stay, which is used for constructing risk adjustment variables. </w:t>
      </w:r>
      <w:r w:rsidRPr="001D27E5">
        <w:rPr>
          <w:rFonts w:ascii="Calibri" w:eastAsia="Calibri" w:hAnsi="Calibri" w:cs="Calibri"/>
        </w:rPr>
        <w:t>No data beyond the bills submitted in the normal course of business are required from providers for the calculation of this measure.</w:t>
      </w:r>
    </w:p>
    <w:p w14:paraId="0566966D" w14:textId="77777777" w:rsidR="0053796E" w:rsidRPr="001D27E5" w:rsidRDefault="0053796E" w:rsidP="0053796E">
      <w:pPr>
        <w:autoSpaceDE w:val="0"/>
        <w:autoSpaceDN w:val="0"/>
        <w:adjustRightInd w:val="0"/>
        <w:spacing w:after="0" w:line="240" w:lineRule="auto"/>
        <w:rPr>
          <w:rFonts w:ascii="Calibri" w:eastAsia="Calibri" w:hAnsi="Calibri" w:cs="Calibri"/>
        </w:rPr>
      </w:pPr>
    </w:p>
    <w:p w14:paraId="4BA5747E" w14:textId="77777777" w:rsidR="0053796E" w:rsidRPr="0002043F" w:rsidRDefault="0053796E" w:rsidP="0053796E">
      <w:pPr>
        <w:spacing w:line="240" w:lineRule="auto"/>
        <w:rPr>
          <w:rFonts w:ascii="Calibri" w:eastAsia="Calibri" w:hAnsi="Calibri" w:cs="Calibri"/>
        </w:rPr>
      </w:pPr>
      <w:r w:rsidRPr="001D27E5">
        <w:t xml:space="preserve">The measure was originally developed using </w:t>
      </w:r>
      <w:r w:rsidRPr="00867F05">
        <w:t>calendar year (CY) 2012-2013 data.</w:t>
      </w:r>
      <w:r w:rsidRPr="001D27E5">
        <w:t xml:space="preserve"> </w:t>
      </w:r>
      <w:r w:rsidRPr="001D27E5">
        <w:rPr>
          <w:rStyle w:val="Style1"/>
          <w:color w:val="auto"/>
        </w:rPr>
        <w:t xml:space="preserve">This measure submission is based on </w:t>
      </w:r>
      <w:r>
        <w:rPr>
          <w:rStyle w:val="Style1"/>
          <w:color w:val="auto"/>
        </w:rPr>
        <w:t>CY 2015-2016</w:t>
      </w:r>
      <w:r w:rsidRPr="001D27E5">
        <w:rPr>
          <w:rStyle w:val="Style1"/>
          <w:color w:val="auto"/>
        </w:rPr>
        <w:t xml:space="preserve"> data; i.e., </w:t>
      </w:r>
      <w:r>
        <w:rPr>
          <w:rStyle w:val="Style1"/>
          <w:color w:val="auto"/>
        </w:rPr>
        <w:t>home health</w:t>
      </w:r>
      <w:r w:rsidRPr="001D27E5">
        <w:rPr>
          <w:rStyle w:val="Style1"/>
          <w:color w:val="auto"/>
        </w:rPr>
        <w:t xml:space="preserve"> discharges from </w:t>
      </w:r>
      <w:r>
        <w:rPr>
          <w:rStyle w:val="Style1"/>
          <w:color w:val="auto"/>
        </w:rPr>
        <w:t>January</w:t>
      </w:r>
      <w:r w:rsidRPr="001D27E5">
        <w:rPr>
          <w:rStyle w:val="Style1"/>
          <w:color w:val="auto"/>
        </w:rPr>
        <w:t xml:space="preserve"> 1, 2015 through </w:t>
      </w:r>
      <w:r>
        <w:rPr>
          <w:rStyle w:val="Style1"/>
          <w:color w:val="auto"/>
        </w:rPr>
        <w:t>December</w:t>
      </w:r>
      <w:r w:rsidRPr="001D27E5">
        <w:rPr>
          <w:rStyle w:val="Style1"/>
          <w:color w:val="auto"/>
        </w:rPr>
        <w:t xml:space="preserve"> 3</w:t>
      </w:r>
      <w:r>
        <w:rPr>
          <w:rStyle w:val="Style1"/>
          <w:color w:val="auto"/>
        </w:rPr>
        <w:t>1</w:t>
      </w:r>
      <w:r w:rsidRPr="001D27E5">
        <w:rPr>
          <w:rStyle w:val="Style1"/>
          <w:color w:val="auto"/>
        </w:rPr>
        <w:t>, 201</w:t>
      </w:r>
      <w:r>
        <w:rPr>
          <w:rStyle w:val="Style1"/>
          <w:color w:val="auto"/>
        </w:rPr>
        <w:t>6</w:t>
      </w:r>
      <w:r w:rsidRPr="001D27E5">
        <w:rPr>
          <w:rStyle w:val="Style1"/>
          <w:color w:val="auto"/>
        </w:rPr>
        <w:t>. We used the data sources listed below t</w:t>
      </w:r>
      <w:r w:rsidRPr="001D27E5">
        <w:rPr>
          <w:rFonts w:ascii="Calibri" w:eastAsia="Calibri" w:hAnsi="Calibri" w:cs="Calibri"/>
        </w:rPr>
        <w:t xml:space="preserve">o develop </w:t>
      </w:r>
      <w:r w:rsidRPr="76FB6C18">
        <w:rPr>
          <w:rFonts w:ascii="Calibri" w:eastAsia="Calibri" w:hAnsi="Calibri" w:cs="Calibri"/>
        </w:rPr>
        <w:t xml:space="preserve">the claims analytic file </w:t>
      </w:r>
      <w:r>
        <w:rPr>
          <w:rFonts w:ascii="Calibri" w:eastAsia="Calibri" w:hAnsi="Calibri" w:cs="Calibri"/>
        </w:rPr>
        <w:t>for measure specification and testing.</w:t>
      </w:r>
    </w:p>
    <w:p w14:paraId="417B0CE8" w14:textId="35FEC7C5" w:rsidR="0053796E" w:rsidRPr="00DC352C" w:rsidRDefault="0053796E">
      <w:pPr>
        <w:pStyle w:val="ListParagraph"/>
        <w:numPr>
          <w:ilvl w:val="0"/>
          <w:numId w:val="7"/>
        </w:numPr>
        <w:autoSpaceDE w:val="0"/>
        <w:autoSpaceDN w:val="0"/>
        <w:adjustRightInd w:val="0"/>
        <w:spacing w:after="0" w:line="240" w:lineRule="auto"/>
        <w:rPr>
          <w:rStyle w:val="Hyperlink"/>
          <w:color w:val="auto"/>
          <w:u w:val="none"/>
        </w:rPr>
      </w:pPr>
      <w:r w:rsidRPr="00BE52F7">
        <w:rPr>
          <w:rFonts w:ascii="Calibri" w:eastAsia="Calibri" w:hAnsi="Calibri" w:cs="Calibri"/>
        </w:rPr>
        <w:t xml:space="preserve">Medicare Enrollment Database: Information </w:t>
      </w:r>
      <w:r w:rsidRPr="001272F7">
        <w:rPr>
          <w:rFonts w:ascii="Calibri" w:eastAsia="Calibri" w:hAnsi="Calibri" w:cs="Calibri"/>
        </w:rPr>
        <w:t xml:space="preserve">is available at: </w:t>
      </w:r>
      <w:hyperlink r:id="rId13">
        <w:r w:rsidRPr="001272F7">
          <w:rPr>
            <w:rStyle w:val="Hyperlink"/>
            <w:rFonts w:ascii="Calibri" w:eastAsia="Calibri" w:hAnsi="Calibri" w:cs="Calibri"/>
          </w:rPr>
          <w:t>http://aspe.hhs.gov/datacncl/datadir/cms.htm</w:t>
        </w:r>
      </w:hyperlink>
    </w:p>
    <w:p w14:paraId="7433FA47" w14:textId="5AF2B995" w:rsidR="00AC6CD3" w:rsidRPr="00002C04" w:rsidRDefault="00AC6CD3" w:rsidP="00AC6CD3">
      <w:pPr>
        <w:pStyle w:val="ListParagraph"/>
        <w:numPr>
          <w:ilvl w:val="0"/>
          <w:numId w:val="7"/>
        </w:numPr>
        <w:autoSpaceDE w:val="0"/>
        <w:autoSpaceDN w:val="0"/>
        <w:adjustRightInd w:val="0"/>
        <w:spacing w:after="0" w:line="240" w:lineRule="auto"/>
      </w:pPr>
      <w:r>
        <w:rPr>
          <w:rFonts w:ascii="Calibri" w:eastAsia="Calibri" w:hAnsi="Calibri" w:cs="Calibri"/>
        </w:rPr>
        <w:t xml:space="preserve">Medicare Claims data from home health, inpatient, outpatient, and physician office settings. Data dictionaries for the Standard analytical files are provided online by Centers for Medicare &amp; </w:t>
      </w:r>
      <w:r>
        <w:rPr>
          <w:rFonts w:ascii="Calibri" w:eastAsia="Calibri" w:hAnsi="Calibri" w:cs="Calibri"/>
        </w:rPr>
        <w:lastRenderedPageBreak/>
        <w:t>Medicaid Services (CMS) contractor, Research Data Assistance Center (ResDAC),</w:t>
      </w:r>
      <w:r w:rsidR="000F22D2">
        <w:rPr>
          <w:rFonts w:ascii="Calibri" w:eastAsia="Calibri" w:hAnsi="Calibri" w:cs="Calibri"/>
        </w:rPr>
        <w:t xml:space="preserve"> at the University of Minnesota</w:t>
      </w:r>
      <w:r>
        <w:rPr>
          <w:rFonts w:ascii="Calibri" w:eastAsia="Calibri" w:hAnsi="Calibri" w:cs="Calibri"/>
        </w:rPr>
        <w:t xml:space="preserve"> </w:t>
      </w:r>
    </w:p>
    <w:p w14:paraId="09155FD2" w14:textId="77777777" w:rsidR="00AC6CD3" w:rsidRDefault="00AC6CD3" w:rsidP="00AC6CD3">
      <w:pPr>
        <w:pStyle w:val="ListParagraph"/>
        <w:widowControl w:val="0"/>
        <w:numPr>
          <w:ilvl w:val="1"/>
          <w:numId w:val="7"/>
        </w:numPr>
        <w:tabs>
          <w:tab w:val="left" w:pos="1560"/>
        </w:tabs>
        <w:kinsoku w:val="0"/>
        <w:overflowPunct w:val="0"/>
        <w:autoSpaceDE w:val="0"/>
        <w:autoSpaceDN w:val="0"/>
        <w:adjustRightInd w:val="0"/>
        <w:spacing w:before="1" w:after="0" w:line="240" w:lineRule="auto"/>
        <w:contextualSpacing w:val="0"/>
      </w:pPr>
      <w:r>
        <w:t xml:space="preserve">Home Health </w:t>
      </w:r>
      <w:r>
        <w:rPr>
          <w:rFonts w:ascii="Calibri" w:eastAsia="Calibri" w:hAnsi="Calibri" w:cs="Calibri"/>
        </w:rPr>
        <w:t>Research Identifiable File (</w:t>
      </w:r>
      <w:r>
        <w:t>RIF)</w:t>
      </w:r>
      <w:hyperlink r:id="rId14" w:history="1">
        <w:r>
          <w:t>:</w:t>
        </w:r>
        <w:r>
          <w:rPr>
            <w:spacing w:val="-3"/>
          </w:rPr>
          <w:t xml:space="preserve"> </w:t>
        </w:r>
        <w:r>
          <w:t>http://www.resdac.org/cms-data/files/hha-rif</w:t>
        </w:r>
      </w:hyperlink>
      <w:r>
        <w:t>/</w:t>
      </w:r>
      <w:r w:rsidRPr="002E2B55">
        <w:t>data-documentation</w:t>
      </w:r>
    </w:p>
    <w:p w14:paraId="1409AFAB" w14:textId="77777777" w:rsidR="00AC6CD3" w:rsidRDefault="00AC6CD3" w:rsidP="00AC6CD3">
      <w:pPr>
        <w:pStyle w:val="ListParagraph"/>
        <w:widowControl w:val="0"/>
        <w:numPr>
          <w:ilvl w:val="1"/>
          <w:numId w:val="7"/>
        </w:numPr>
        <w:tabs>
          <w:tab w:val="left" w:pos="1560"/>
        </w:tabs>
        <w:kinsoku w:val="0"/>
        <w:overflowPunct w:val="0"/>
        <w:autoSpaceDE w:val="0"/>
        <w:autoSpaceDN w:val="0"/>
        <w:adjustRightInd w:val="0"/>
        <w:spacing w:before="23" w:after="0" w:line="240" w:lineRule="auto"/>
        <w:contextualSpacing w:val="0"/>
      </w:pPr>
      <w:r>
        <w:t>Inpatient RIF</w:t>
      </w:r>
      <w:hyperlink r:id="rId15" w:history="1">
        <w:r>
          <w:t>:</w:t>
        </w:r>
        <w:r>
          <w:rPr>
            <w:spacing w:val="-1"/>
          </w:rPr>
          <w:t xml:space="preserve"> </w:t>
        </w:r>
        <w:r>
          <w:t>http://www.resdac.org/cms-data/files/ip-rif</w:t>
        </w:r>
      </w:hyperlink>
      <w:r>
        <w:t>/</w:t>
      </w:r>
      <w:r w:rsidRPr="002E2B55">
        <w:t>data-documentation</w:t>
      </w:r>
    </w:p>
    <w:p w14:paraId="52A4E552" w14:textId="77777777" w:rsidR="00AC6CD3" w:rsidRDefault="00AC6CD3" w:rsidP="00AC6CD3">
      <w:pPr>
        <w:pStyle w:val="ListParagraph"/>
        <w:widowControl w:val="0"/>
        <w:numPr>
          <w:ilvl w:val="1"/>
          <w:numId w:val="7"/>
        </w:numPr>
        <w:tabs>
          <w:tab w:val="left" w:pos="1560"/>
        </w:tabs>
        <w:kinsoku w:val="0"/>
        <w:overflowPunct w:val="0"/>
        <w:autoSpaceDE w:val="0"/>
        <w:autoSpaceDN w:val="0"/>
        <w:adjustRightInd w:val="0"/>
        <w:spacing w:before="20" w:after="0" w:line="240" w:lineRule="auto"/>
        <w:contextualSpacing w:val="0"/>
      </w:pPr>
      <w:r>
        <w:t>Outpatient RIF</w:t>
      </w:r>
      <w:hyperlink r:id="rId16" w:history="1">
        <w:r>
          <w:t>:</w:t>
        </w:r>
        <w:r>
          <w:rPr>
            <w:spacing w:val="-1"/>
          </w:rPr>
          <w:t xml:space="preserve"> </w:t>
        </w:r>
        <w:r>
          <w:t>http://www.resdac.org/cms-data/files/op-rif</w:t>
        </w:r>
      </w:hyperlink>
      <w:r>
        <w:t>/</w:t>
      </w:r>
      <w:r w:rsidRPr="002E2B55">
        <w:t>data-documentation</w:t>
      </w:r>
    </w:p>
    <w:p w14:paraId="1AFE6F74" w14:textId="77777777" w:rsidR="00AC6CD3" w:rsidRDefault="00AC6CD3" w:rsidP="00AC6CD3">
      <w:pPr>
        <w:pStyle w:val="ListParagraph"/>
        <w:widowControl w:val="0"/>
        <w:numPr>
          <w:ilvl w:val="1"/>
          <w:numId w:val="7"/>
        </w:numPr>
        <w:tabs>
          <w:tab w:val="left" w:pos="1560"/>
        </w:tabs>
        <w:kinsoku w:val="0"/>
        <w:overflowPunct w:val="0"/>
        <w:autoSpaceDE w:val="0"/>
        <w:autoSpaceDN w:val="0"/>
        <w:adjustRightInd w:val="0"/>
        <w:spacing w:before="21" w:after="0" w:line="256" w:lineRule="auto"/>
        <w:ind w:right="2294"/>
        <w:contextualSpacing w:val="0"/>
      </w:pPr>
      <w:r>
        <w:t>Carrier (Physician Office) RIF</w:t>
      </w:r>
      <w:hyperlink r:id="rId17" w:history="1">
        <w:r>
          <w:t>:</w:t>
        </w:r>
        <w:r>
          <w:rPr>
            <w:spacing w:val="-19"/>
          </w:rPr>
          <w:t xml:space="preserve"> </w:t>
        </w:r>
        <w:r>
          <w:t>http://www.resdac.org/cms-</w:t>
        </w:r>
      </w:hyperlink>
      <w:r>
        <w:t xml:space="preserve"> data/files/carrier-rif/</w:t>
      </w:r>
      <w:r w:rsidRPr="002E2B55">
        <w:t>data-documentation</w:t>
      </w:r>
    </w:p>
    <w:p w14:paraId="218182CC" w14:textId="77777777" w:rsidR="0053796E" w:rsidRPr="00514842" w:rsidRDefault="0053796E" w:rsidP="009D21C7">
      <w:pPr>
        <w:pStyle w:val="ListParagraph"/>
        <w:numPr>
          <w:ilvl w:val="0"/>
          <w:numId w:val="7"/>
        </w:numPr>
        <w:autoSpaceDE w:val="0"/>
        <w:autoSpaceDN w:val="0"/>
        <w:adjustRightInd w:val="0"/>
        <w:spacing w:after="0" w:line="240" w:lineRule="auto"/>
      </w:pPr>
      <w:r w:rsidRPr="76FB6C18">
        <w:t xml:space="preserve">AHRQ CCS groupings of ICD-9 and ICD-10 codes: </w:t>
      </w:r>
      <w:hyperlink r:id="rId18" w:history="1">
        <w:r w:rsidRPr="00354416">
          <w:rPr>
            <w:rStyle w:val="Hyperlink"/>
          </w:rPr>
          <w:t>https://www.hcup-us.ahrq.gov/toolssoftware/ccs/ccs.jsp</w:t>
        </w:r>
      </w:hyperlink>
      <w:r w:rsidRPr="76FB6C18">
        <w:t xml:space="preserve">(ICD-9) and </w:t>
      </w:r>
      <w:hyperlink r:id="rId19" w:history="1">
        <w:r w:rsidRPr="00354416">
          <w:rPr>
            <w:rStyle w:val="Hyperlink"/>
          </w:rPr>
          <w:t>https://www.hcup-us.ahrq.gov/toolssoftware/ccs10/ccs10.jsp</w:t>
        </w:r>
      </w:hyperlink>
      <w:hyperlink w:history="1"/>
      <w:r w:rsidRPr="76FB6C18">
        <w:t xml:space="preserve"> (ICD-10)</w:t>
      </w:r>
    </w:p>
    <w:p w14:paraId="00839A1D" w14:textId="77777777" w:rsidR="0053796E" w:rsidRPr="00514842" w:rsidRDefault="0053796E" w:rsidP="009D21C7">
      <w:pPr>
        <w:pStyle w:val="ListParagraph"/>
        <w:numPr>
          <w:ilvl w:val="0"/>
          <w:numId w:val="7"/>
        </w:numPr>
        <w:autoSpaceDE w:val="0"/>
        <w:autoSpaceDN w:val="0"/>
        <w:adjustRightInd w:val="0"/>
        <w:spacing w:before="120" w:after="0" w:line="240" w:lineRule="auto"/>
      </w:pPr>
      <w:r w:rsidRPr="76FB6C18">
        <w:t>CMS-HCC mappings of ICD-9 and ICD-10 cod</w:t>
      </w:r>
      <w:r>
        <w:t xml:space="preserve">es: </w:t>
      </w:r>
      <w:r w:rsidRPr="76FB6C18">
        <w:t xml:space="preserve">The full set of CMS-HCC mappings is not currently available </w:t>
      </w:r>
      <w:r>
        <w:t>publicly. A</w:t>
      </w:r>
      <w:r w:rsidRPr="76FB6C18">
        <w:t xml:space="preserve"> </w:t>
      </w:r>
      <w:r>
        <w:t>sub</w:t>
      </w:r>
      <w:r w:rsidRPr="76FB6C18">
        <w:t xml:space="preserve">set of mappings </w:t>
      </w:r>
      <w:r>
        <w:t xml:space="preserve">is </w:t>
      </w:r>
      <w:r w:rsidRPr="76FB6C18">
        <w:t xml:space="preserve">included in the software </w:t>
      </w:r>
      <w:r>
        <w:t>available at</w:t>
      </w:r>
      <w:r w:rsidRPr="76FB6C18">
        <w:t xml:space="preserve">: </w:t>
      </w:r>
      <w:hyperlink r:id="rId20" w:history="1">
        <w:r w:rsidRPr="002A7BFF">
          <w:rPr>
            <w:rStyle w:val="Hyperlink"/>
          </w:rPr>
          <w:t>https://www.cms.gov/Medicare/Health-Plans/MedicareAdvtgSpecRateStats/Risk-Adjustors.html</w:t>
        </w:r>
      </w:hyperlink>
    </w:p>
    <w:p w14:paraId="53BC0162" w14:textId="77777777" w:rsidR="0053796E" w:rsidRPr="00514842" w:rsidRDefault="0053796E" w:rsidP="0053796E">
      <w:pPr>
        <w:autoSpaceDE w:val="0"/>
        <w:autoSpaceDN w:val="0"/>
        <w:adjustRightInd w:val="0"/>
        <w:spacing w:after="0" w:line="240" w:lineRule="auto"/>
        <w:rPr>
          <w:rFonts w:ascii="Calibri" w:eastAsia="Calibri" w:hAnsi="Calibri" w:cs="Calibri"/>
        </w:rPr>
      </w:pPr>
    </w:p>
    <w:p w14:paraId="6E8DE4F1" w14:textId="2F7DF228" w:rsidR="0053796E" w:rsidRDefault="0053796E" w:rsidP="0053796E">
      <w:pPr>
        <w:spacing w:after="0" w:line="240" w:lineRule="auto"/>
      </w:pPr>
      <w:r>
        <w:t xml:space="preserve">We used </w:t>
      </w:r>
      <w:r w:rsidR="004370F6">
        <w:t>three</w:t>
      </w:r>
      <w:r w:rsidR="009B0C3A">
        <w:t xml:space="preserve"> </w:t>
      </w:r>
      <w:r>
        <w:t>additional data source</w:t>
      </w:r>
      <w:r w:rsidR="009B0C3A">
        <w:t>s</w:t>
      </w:r>
      <w:r>
        <w:t xml:space="preserve"> </w:t>
      </w:r>
      <w:r w:rsidRPr="00514842">
        <w:rPr>
          <w:rFonts w:cstheme="minorHAnsi"/>
        </w:rPr>
        <w:t xml:space="preserve">for measure testing </w:t>
      </w:r>
      <w:r>
        <w:rPr>
          <w:rFonts w:cstheme="minorHAnsi"/>
        </w:rPr>
        <w:t xml:space="preserve">only, </w:t>
      </w:r>
      <w:r w:rsidRPr="00514842">
        <w:rPr>
          <w:rFonts w:cstheme="minorHAnsi"/>
        </w:rPr>
        <w:t xml:space="preserve">not </w:t>
      </w:r>
      <w:r>
        <w:rPr>
          <w:rFonts w:cstheme="minorHAnsi"/>
        </w:rPr>
        <w:t xml:space="preserve">for </w:t>
      </w:r>
      <w:r w:rsidRPr="00514842">
        <w:rPr>
          <w:rFonts w:cstheme="minorHAnsi"/>
        </w:rPr>
        <w:t>specification</w:t>
      </w:r>
      <w:r>
        <w:t xml:space="preserve">: </w:t>
      </w:r>
    </w:p>
    <w:p w14:paraId="5494DCC6" w14:textId="548F0044" w:rsidR="0053796E" w:rsidRDefault="006231EF" w:rsidP="00E27D37">
      <w:pPr>
        <w:numPr>
          <w:ilvl w:val="0"/>
          <w:numId w:val="8"/>
        </w:numPr>
        <w:autoSpaceDE w:val="0"/>
        <w:autoSpaceDN w:val="0"/>
        <w:adjustRightInd w:val="0"/>
        <w:spacing w:after="0" w:line="240" w:lineRule="auto"/>
        <w:rPr>
          <w:rFonts w:cstheme="minorHAnsi"/>
        </w:rPr>
      </w:pPr>
      <w:r>
        <w:rPr>
          <w:rFonts w:cstheme="minorHAnsi"/>
        </w:rPr>
        <w:t>Home Health Outcome and Assessment Information Set (OASIS</w:t>
      </w:r>
      <w:r w:rsidR="0053796E">
        <w:rPr>
          <w:rFonts w:cstheme="minorHAnsi"/>
        </w:rPr>
        <w:t xml:space="preserve">) Version </w:t>
      </w:r>
      <w:r>
        <w:rPr>
          <w:rFonts w:cstheme="minorHAnsi"/>
        </w:rPr>
        <w:t>C1</w:t>
      </w:r>
      <w:r w:rsidR="0053796E" w:rsidRPr="002D4496">
        <w:t xml:space="preserve">: </w:t>
      </w:r>
      <w:r w:rsidR="0053796E">
        <w:rPr>
          <w:rFonts w:cstheme="minorHAnsi"/>
        </w:rPr>
        <w:t xml:space="preserve">documentation available at: </w:t>
      </w:r>
      <w:hyperlink r:id="rId21" w:history="1">
        <w:r w:rsidR="00E27D37" w:rsidRPr="00B66296">
          <w:rPr>
            <w:rStyle w:val="Hyperlink"/>
            <w:rFonts w:cstheme="minorHAnsi"/>
          </w:rPr>
          <w:t>https://www.cms.gov/Medicare/Quality-Initiatives-Patient-Assessment-Instruments/HomeHealthQualityInits/HHQIArchives.html</w:t>
        </w:r>
      </w:hyperlink>
      <w:r w:rsidR="00E27D37">
        <w:rPr>
          <w:rStyle w:val="Hyperlink"/>
          <w:rFonts w:cstheme="minorHAnsi"/>
        </w:rPr>
        <w:t xml:space="preserve"> </w:t>
      </w:r>
    </w:p>
    <w:p w14:paraId="1EDED7A0" w14:textId="195CA8BB" w:rsidR="009B0C3A" w:rsidRDefault="0053796E" w:rsidP="009B0C3A">
      <w:pPr>
        <w:numPr>
          <w:ilvl w:val="1"/>
          <w:numId w:val="8"/>
        </w:numPr>
        <w:autoSpaceDE w:val="0"/>
        <w:autoSpaceDN w:val="0"/>
        <w:adjustRightInd w:val="0"/>
        <w:spacing w:after="0" w:line="240" w:lineRule="auto"/>
        <w:rPr>
          <w:rFonts w:cstheme="minorHAnsi"/>
        </w:rPr>
      </w:pPr>
      <w:r w:rsidRPr="00DC352C">
        <w:rPr>
          <w:rFonts w:cstheme="minorHAnsi"/>
        </w:rPr>
        <w:t xml:space="preserve">We used </w:t>
      </w:r>
      <w:r w:rsidR="00EE041D" w:rsidRPr="00DC352C">
        <w:rPr>
          <w:rFonts w:cstheme="minorHAnsi"/>
        </w:rPr>
        <w:t>OASIS</w:t>
      </w:r>
      <w:r w:rsidRPr="00DC352C">
        <w:rPr>
          <w:rFonts w:cstheme="minorHAnsi"/>
        </w:rPr>
        <w:t xml:space="preserve"> items for measure validation, including </w:t>
      </w:r>
      <w:r w:rsidR="00EE041D" w:rsidRPr="00DC352C">
        <w:rPr>
          <w:rFonts w:cstheme="minorHAnsi"/>
        </w:rPr>
        <w:t>OASIS</w:t>
      </w:r>
      <w:r w:rsidRPr="00DC352C">
        <w:rPr>
          <w:rFonts w:cstheme="minorHAnsi"/>
        </w:rPr>
        <w:t xml:space="preserve"> </w:t>
      </w:r>
      <w:r w:rsidR="00E86E46">
        <w:rPr>
          <w:rFonts w:cstheme="minorHAnsi"/>
        </w:rPr>
        <w:t>start of care date, reason for assessment, Integumentarey Status (M1306), Activities of Daily</w:t>
      </w:r>
      <w:r w:rsidR="00413EED">
        <w:rPr>
          <w:rFonts w:cstheme="minorHAnsi"/>
        </w:rPr>
        <w:t xml:space="preserve"> Living (M1800) as a proxy for S</w:t>
      </w:r>
      <w:r w:rsidR="00E86E46">
        <w:rPr>
          <w:rFonts w:cstheme="minorHAnsi"/>
        </w:rPr>
        <w:t>ection GG discharge functional st</w:t>
      </w:r>
      <w:r w:rsidR="00332232">
        <w:rPr>
          <w:rFonts w:cstheme="minorHAnsi"/>
        </w:rPr>
        <w:t xml:space="preserve">atus, and Emergent Care (M2310) </w:t>
      </w:r>
      <w:r w:rsidR="00E27D37" w:rsidRPr="00DC352C">
        <w:rPr>
          <w:rFonts w:cstheme="minorHAnsi"/>
        </w:rPr>
        <w:t>CY</w:t>
      </w:r>
      <w:r w:rsidR="00A21FD1">
        <w:rPr>
          <w:rFonts w:cstheme="minorHAnsi"/>
        </w:rPr>
        <w:t xml:space="preserve"> </w:t>
      </w:r>
      <w:r w:rsidR="00E27D37" w:rsidRPr="00DC352C">
        <w:rPr>
          <w:rFonts w:cstheme="minorHAnsi"/>
        </w:rPr>
        <w:t>2015-2016 data</w:t>
      </w:r>
      <w:r w:rsidRPr="00DC352C">
        <w:rPr>
          <w:rFonts w:cstheme="minorHAnsi"/>
        </w:rPr>
        <w:t xml:space="preserve">. </w:t>
      </w:r>
      <w:r w:rsidRPr="00DC352C">
        <w:t xml:space="preserve"> </w:t>
      </w:r>
    </w:p>
    <w:p w14:paraId="055DF3D7" w14:textId="0DD7C177" w:rsidR="00107FF4" w:rsidRPr="004370F6" w:rsidRDefault="002E7D24" w:rsidP="00DC352C">
      <w:pPr>
        <w:pStyle w:val="ListParagraph"/>
        <w:numPr>
          <w:ilvl w:val="0"/>
          <w:numId w:val="7"/>
        </w:numPr>
        <w:autoSpaceDE w:val="0"/>
        <w:autoSpaceDN w:val="0"/>
        <w:adjustRightInd w:val="0"/>
        <w:spacing w:after="0" w:line="240" w:lineRule="auto"/>
        <w:rPr>
          <w:rStyle w:val="Hyperlink"/>
        </w:rPr>
      </w:pPr>
      <w:r w:rsidRPr="00172C95">
        <w:t xml:space="preserve">Common Medicare Environment (CME) database: </w:t>
      </w:r>
      <w:r w:rsidRPr="00107FF4">
        <w:t xml:space="preserve">CMS has designated the </w:t>
      </w:r>
      <w:r w:rsidR="00537228" w:rsidRPr="00107FF4">
        <w:t xml:space="preserve">CME </w:t>
      </w:r>
      <w:r w:rsidRPr="00107FF4">
        <w:t>database as the single, enterprise-wide authoritative source for Medicare beneficiary enrollment and demographic data. The CME database integrates and standardizes different types of beneficiary data from CMS legacy systems. The CME database receives information from the EDB and also contains additional information not available in the EDB.</w:t>
      </w:r>
      <w:r w:rsidR="00537228" w:rsidRPr="00107FF4">
        <w:t xml:space="preserve"> We extracted patient-level dual eligibility information from the CME database for the social risk factors analysis.</w:t>
      </w:r>
      <w:r w:rsidR="00107FF4">
        <w:t xml:space="preserve"> Description of the CME available at: </w:t>
      </w:r>
      <w:r w:rsidR="00107FF4" w:rsidRPr="00DC352C">
        <w:rPr>
          <w:rStyle w:val="Hyperlink"/>
          <w:rFonts w:cstheme="minorHAnsi"/>
        </w:rPr>
        <w:t xml:space="preserve">https://www.ccwdata.org/documents/10280/19002256/medicare-enrollment-impact-of-conversion-from-edb-to-cme.pdf </w:t>
      </w:r>
    </w:p>
    <w:p w14:paraId="0DBFAFDE" w14:textId="428BDE0E" w:rsidR="004370F6" w:rsidRPr="004E68A7" w:rsidRDefault="004370F6" w:rsidP="00DC352C">
      <w:pPr>
        <w:pStyle w:val="ListParagraph"/>
        <w:numPr>
          <w:ilvl w:val="0"/>
          <w:numId w:val="7"/>
        </w:numPr>
        <w:autoSpaceDE w:val="0"/>
        <w:autoSpaceDN w:val="0"/>
        <w:adjustRightInd w:val="0"/>
        <w:spacing w:after="0" w:line="240" w:lineRule="auto"/>
        <w:rPr>
          <w:rFonts w:cs="Arial"/>
          <w:color w:val="000000"/>
          <w:shd w:val="clear" w:color="auto" w:fill="FFFFFF"/>
        </w:rPr>
      </w:pPr>
      <w:r w:rsidRPr="004370F6">
        <w:rPr>
          <w:rFonts w:cs="Arial"/>
          <w:color w:val="000000"/>
          <w:shd w:val="clear" w:color="auto" w:fill="FFFFFF"/>
        </w:rPr>
        <w:t>Online Survey Certification &amp; Reporting System (OSCAR)</w:t>
      </w:r>
      <w:r>
        <w:rPr>
          <w:rFonts w:cs="Arial"/>
          <w:color w:val="000000"/>
          <w:shd w:val="clear" w:color="auto" w:fill="FFFFFF"/>
        </w:rPr>
        <w:t xml:space="preserve">: </w:t>
      </w:r>
      <w:r w:rsidR="004E68A7" w:rsidRPr="004E68A7">
        <w:rPr>
          <w:rFonts w:cs="Arial"/>
          <w:color w:val="000000"/>
          <w:shd w:val="clear" w:color="auto" w:fill="FFFFFF"/>
        </w:rPr>
        <w:t>contains data on characteristics of home health agencies, including the name and address of the facility and the type of Medicare services the home health agency provides, among other information. </w:t>
      </w:r>
      <w:r w:rsidR="004E68A7">
        <w:rPr>
          <w:rFonts w:cs="Arial"/>
          <w:color w:val="000000"/>
          <w:shd w:val="clear" w:color="auto" w:fill="FFFFFF"/>
        </w:rPr>
        <w:t xml:space="preserve">This information was used to generate </w:t>
      </w:r>
      <w:r w:rsidR="004E68A7" w:rsidRPr="001E5584">
        <w:rPr>
          <w:rFonts w:cs="Arial"/>
          <w:b/>
          <w:color w:val="000000"/>
          <w:shd w:val="clear" w:color="auto" w:fill="FFFFFF"/>
        </w:rPr>
        <w:t>Table 1</w:t>
      </w:r>
      <w:r w:rsidR="004E68A7">
        <w:rPr>
          <w:rFonts w:cs="Arial"/>
          <w:color w:val="000000"/>
          <w:shd w:val="clear" w:color="auto" w:fill="FFFFFF"/>
        </w:rPr>
        <w:t xml:space="preserve"> (provider-level characteristics). </w:t>
      </w:r>
    </w:p>
    <w:p w14:paraId="3C3FE8E5" w14:textId="77777777" w:rsidR="0053796E" w:rsidRPr="002E7D24" w:rsidRDefault="0053796E" w:rsidP="002E7D24">
      <w:pPr>
        <w:autoSpaceDE w:val="0"/>
        <w:autoSpaceDN w:val="0"/>
        <w:adjustRightInd w:val="0"/>
        <w:spacing w:after="0" w:line="240" w:lineRule="auto"/>
        <w:ind w:left="1440"/>
        <w:rPr>
          <w:rFonts w:cstheme="minorHAnsi"/>
        </w:rPr>
      </w:pPr>
    </w:p>
    <w:p w14:paraId="7AD66DA2" w14:textId="2782C6BA"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 xml:space="preserve">used </w:t>
      </w:r>
      <w:r w:rsidR="00CB13C2" w:rsidRPr="00A25024">
        <w:rPr>
          <w:rFonts w:cstheme="minorHAnsi"/>
          <w:b/>
        </w:rPr>
        <w:t xml:space="preserve">in </w:t>
      </w:r>
      <w:r w:rsidR="000968F8" w:rsidRPr="00A25024">
        <w:rPr>
          <w:rFonts w:cstheme="minorHAnsi"/>
          <w:b/>
        </w:rPr>
        <w:t>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id w:val="950514773"/>
          <w:text/>
        </w:sdtPr>
        <w:sdtContent>
          <w:r w:rsidR="00BC7481" w:rsidRPr="00BC7481">
            <w:t>Calendar year 2015-2016 (i.e., home health discharges from January 1, 2015 through December 31, 2016.</w:t>
          </w:r>
          <w:r w:rsidR="00BC7481">
            <w:t xml:space="preserve">  By having a two year data collection period for the HH setting, there is a larger number of eligible home health</w:t>
          </w:r>
          <w:r w:rsidR="004A0A1E">
            <w:t xml:space="preserve"> stays for each home health agency. Therefore, more agencies are able to meet the public reporting threshold (i.e., a minimum of 20 home health stays). </w:t>
          </w:r>
        </w:sdtContent>
      </w:sdt>
    </w:p>
    <w:p w14:paraId="0F38D4E5" w14:textId="77777777" w:rsidR="006B082F" w:rsidRPr="00BF17A6" w:rsidRDefault="006B082F" w:rsidP="00DB3627">
      <w:pPr>
        <w:autoSpaceDE w:val="0"/>
        <w:autoSpaceDN w:val="0"/>
        <w:adjustRightInd w:val="0"/>
        <w:spacing w:after="0" w:line="240" w:lineRule="auto"/>
        <w:rPr>
          <w:rFonts w:cstheme="minorHAnsi"/>
          <w:bCs/>
          <w:color w:val="C00000"/>
        </w:rPr>
      </w:pPr>
    </w:p>
    <w:p w14:paraId="124BFE2E"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7ACE67A4" w14:textId="77777777" w:rsidTr="000414E8">
        <w:trPr>
          <w:jc w:val="center"/>
        </w:trPr>
        <w:tc>
          <w:tcPr>
            <w:tcW w:w="5027" w:type="dxa"/>
            <w:shd w:val="clear" w:color="auto" w:fill="D9D9D9" w:themeFill="background1" w:themeFillShade="D9"/>
          </w:tcPr>
          <w:p w14:paraId="0862EBE7"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5600B171" w14:textId="77777777" w:rsidR="009A6A57" w:rsidRPr="00A01494" w:rsidRDefault="009A6A57" w:rsidP="009A6A57">
            <w:pPr>
              <w:autoSpaceDE w:val="0"/>
              <w:autoSpaceDN w:val="0"/>
              <w:adjustRightInd w:val="0"/>
              <w:rPr>
                <w:rFonts w:cstheme="minorHAnsi"/>
                <w:b/>
                <w:bCs/>
              </w:rPr>
            </w:pPr>
            <w:r>
              <w:rPr>
                <w:rFonts w:cstheme="minorHAnsi"/>
                <w:b/>
                <w:bCs/>
              </w:rPr>
              <w:lastRenderedPageBreak/>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73A4228D" w14:textId="77777777" w:rsidR="000414E8" w:rsidRPr="00A01494" w:rsidRDefault="000414E8" w:rsidP="00D61410">
            <w:pPr>
              <w:autoSpaceDE w:val="0"/>
              <w:autoSpaceDN w:val="0"/>
              <w:adjustRightInd w:val="0"/>
              <w:rPr>
                <w:rFonts w:cstheme="minorHAnsi"/>
                <w:b/>
                <w:bCs/>
              </w:rPr>
            </w:pPr>
            <w:r w:rsidRPr="00A01494">
              <w:rPr>
                <w:rFonts w:cstheme="minorHAnsi"/>
                <w:b/>
                <w:bCs/>
              </w:rPr>
              <w:lastRenderedPageBreak/>
              <w:t>Measure Tested</w:t>
            </w:r>
            <w:r>
              <w:rPr>
                <w:rFonts w:cstheme="minorHAnsi"/>
                <w:b/>
                <w:bCs/>
              </w:rPr>
              <w:t xml:space="preserve"> at Level of:</w:t>
            </w:r>
          </w:p>
        </w:tc>
      </w:tr>
      <w:tr w:rsidR="000414E8" w:rsidRPr="00A01494" w14:paraId="6B1060F5" w14:textId="77777777" w:rsidTr="000414E8">
        <w:trPr>
          <w:jc w:val="center"/>
        </w:trPr>
        <w:tc>
          <w:tcPr>
            <w:tcW w:w="5027" w:type="dxa"/>
          </w:tcPr>
          <w:p w14:paraId="5B6AF87C" w14:textId="77777777" w:rsidR="000414E8" w:rsidRPr="00A01494" w:rsidRDefault="0038706E"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31CB9B45" w14:textId="77777777" w:rsidR="000414E8" w:rsidRPr="00A01494" w:rsidRDefault="0038706E"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4B8A7756" w14:textId="77777777" w:rsidTr="000414E8">
        <w:trPr>
          <w:jc w:val="center"/>
        </w:trPr>
        <w:tc>
          <w:tcPr>
            <w:tcW w:w="5027" w:type="dxa"/>
          </w:tcPr>
          <w:p w14:paraId="6E648E5D" w14:textId="77777777" w:rsidR="000414E8" w:rsidRPr="00A01494" w:rsidRDefault="0038706E"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22B66D43" w14:textId="77777777" w:rsidR="000414E8" w:rsidRPr="00A01494" w:rsidRDefault="0038706E"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55572DAF" w14:textId="77777777" w:rsidTr="000414E8">
        <w:trPr>
          <w:jc w:val="center"/>
        </w:trPr>
        <w:tc>
          <w:tcPr>
            <w:tcW w:w="5027" w:type="dxa"/>
          </w:tcPr>
          <w:p w14:paraId="1A10E979" w14:textId="77777777" w:rsidR="000414E8" w:rsidRPr="00A01494" w:rsidRDefault="0038706E"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Content>
                <w:r w:rsidR="006B082F">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15D98886" w14:textId="77777777" w:rsidR="000414E8" w:rsidRPr="00A01494" w:rsidRDefault="0038706E"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Content>
                <w:r w:rsidR="006B082F">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42A215B1" w14:textId="77777777" w:rsidTr="000414E8">
        <w:trPr>
          <w:jc w:val="center"/>
        </w:trPr>
        <w:tc>
          <w:tcPr>
            <w:tcW w:w="5027" w:type="dxa"/>
          </w:tcPr>
          <w:p w14:paraId="0C806479" w14:textId="77777777" w:rsidR="000414E8" w:rsidRPr="00A01494" w:rsidRDefault="0038706E"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349B3DE4" w14:textId="77777777" w:rsidR="000414E8" w:rsidRPr="00A01494" w:rsidRDefault="0038706E"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5F92770E" w14:textId="77777777" w:rsidTr="000414E8">
        <w:trPr>
          <w:jc w:val="center"/>
        </w:trPr>
        <w:tc>
          <w:tcPr>
            <w:tcW w:w="5027" w:type="dxa"/>
          </w:tcPr>
          <w:p w14:paraId="5F26F42D" w14:textId="77777777" w:rsidR="000414E8" w:rsidRPr="00A01494" w:rsidRDefault="0038706E"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74724A1F" w14:textId="77777777" w:rsidR="000414E8" w:rsidRPr="00A01494" w:rsidRDefault="0038706E"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10EE2E3A" w14:textId="77777777" w:rsidR="000414E8" w:rsidRPr="00A25024" w:rsidRDefault="000414E8" w:rsidP="00DB3627">
      <w:pPr>
        <w:autoSpaceDE w:val="0"/>
        <w:autoSpaceDN w:val="0"/>
        <w:adjustRightInd w:val="0"/>
        <w:spacing w:after="0" w:line="240" w:lineRule="auto"/>
        <w:rPr>
          <w:rFonts w:cstheme="minorHAnsi"/>
          <w:bCs/>
        </w:rPr>
      </w:pPr>
    </w:p>
    <w:p w14:paraId="1C702E41"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16AB3C85" w14:textId="77777777" w:rsidR="00695ED4" w:rsidRDefault="00695ED4" w:rsidP="00695ED4">
      <w:pPr>
        <w:autoSpaceDE w:val="0"/>
        <w:autoSpaceDN w:val="0"/>
        <w:adjustRightInd w:val="0"/>
        <w:spacing w:after="0" w:line="240" w:lineRule="auto"/>
      </w:pPr>
    </w:p>
    <w:p w14:paraId="423D8A0A" w14:textId="2C753025" w:rsidR="00695ED4" w:rsidRDefault="00695ED4" w:rsidP="00695ED4">
      <w:pPr>
        <w:autoSpaceDE w:val="0"/>
        <w:autoSpaceDN w:val="0"/>
        <w:adjustRightInd w:val="0"/>
        <w:spacing w:after="0" w:line="240" w:lineRule="auto"/>
      </w:pPr>
      <w:r>
        <w:t xml:space="preserve">This measure is based on national data. All home health agencies paid under Medicare’s HH Prospective Payment System and included in the HH Quality Reporting Program (QRP) were included, provided they had eligible stays. A total of </w:t>
      </w:r>
      <w:r w:rsidR="003C4FA7">
        <w:t>11,674 home health agencies (HHA</w:t>
      </w:r>
      <w:r>
        <w:t>s</w:t>
      </w:r>
      <w:r w:rsidR="003C4FA7">
        <w:t>)</w:t>
      </w:r>
      <w:r>
        <w:t xml:space="preserve"> with eligible stays in </w:t>
      </w:r>
      <w:r w:rsidR="003C4FA7">
        <w:t>CY 2015-2016</w:t>
      </w:r>
      <w:r>
        <w:t xml:space="preserve"> were included in measure specification, testing and analysis, with differences noted in </w:t>
      </w:r>
      <w:r w:rsidR="00503A27">
        <w:t xml:space="preserve">section </w:t>
      </w:r>
      <w:r w:rsidRPr="001E5584">
        <w:rPr>
          <w:b/>
        </w:rPr>
        <w:t>1.7</w:t>
      </w:r>
      <w:r>
        <w:t>. Throughout this form, we use “</w:t>
      </w:r>
      <w:r w:rsidR="005160F0">
        <w:rPr>
          <w:i/>
        </w:rPr>
        <w:t>K</w:t>
      </w:r>
      <w:r>
        <w:t xml:space="preserve">” to refer to number of providers. </w:t>
      </w:r>
    </w:p>
    <w:p w14:paraId="4DE585A9" w14:textId="77777777" w:rsidR="003C4FA7" w:rsidRDefault="003C4FA7" w:rsidP="00695ED4">
      <w:pPr>
        <w:autoSpaceDE w:val="0"/>
        <w:autoSpaceDN w:val="0"/>
        <w:adjustRightInd w:val="0"/>
        <w:spacing w:after="0" w:line="240" w:lineRule="auto"/>
      </w:pPr>
    </w:p>
    <w:p w14:paraId="675090B0" w14:textId="64C2FC0B" w:rsidR="008A680C" w:rsidRDefault="008A680C" w:rsidP="00173658">
      <w:pPr>
        <w:autoSpaceDE w:val="0"/>
        <w:autoSpaceDN w:val="0"/>
        <w:adjustRightInd w:val="0"/>
        <w:spacing w:after="0" w:line="240" w:lineRule="auto"/>
        <w:jc w:val="center"/>
        <w:rPr>
          <w:rFonts w:cstheme="minorHAnsi"/>
          <w:bCs/>
        </w:rPr>
      </w:pPr>
      <w:r w:rsidRPr="00D107D1">
        <w:rPr>
          <w:rFonts w:cstheme="minorHAnsi"/>
          <w:b/>
          <w:bCs/>
        </w:rPr>
        <w:t xml:space="preserve">Table 1. </w:t>
      </w:r>
      <w:r w:rsidRPr="00C857D8">
        <w:rPr>
          <w:rFonts w:cstheme="minorHAnsi"/>
          <w:b/>
          <w:bCs/>
        </w:rPr>
        <w:t>Characteristics of 11,674 HHAs included in Specification and Testing of the Discharge to Community-PAC HH QRP Measure (CY 2015-2016)</w:t>
      </w:r>
    </w:p>
    <w:tbl>
      <w:tblPr>
        <w:tblStyle w:val="CMSTable"/>
        <w:tblW w:w="8100" w:type="dxa"/>
        <w:jc w:val="center"/>
        <w:tblLook w:val="06A0" w:firstRow="1" w:lastRow="0" w:firstColumn="1" w:lastColumn="0" w:noHBand="1" w:noVBand="1"/>
      </w:tblPr>
      <w:tblGrid>
        <w:gridCol w:w="2610"/>
        <w:gridCol w:w="1615"/>
        <w:gridCol w:w="2345"/>
        <w:gridCol w:w="1530"/>
      </w:tblGrid>
      <w:tr w:rsidR="003C4FA7" w:rsidRPr="00863F09" w14:paraId="0B56F511" w14:textId="77777777" w:rsidTr="00173658">
        <w:trPr>
          <w:cnfStyle w:val="100000000000" w:firstRow="1" w:lastRow="0" w:firstColumn="0" w:lastColumn="0" w:oddVBand="0" w:evenVBand="0" w:oddHBand="0" w:evenHBand="0" w:firstRowFirstColumn="0" w:firstRowLastColumn="0" w:lastRowFirstColumn="0" w:lastRowLastColumn="0"/>
          <w:jc w:val="center"/>
        </w:trPr>
        <w:tc>
          <w:tcPr>
            <w:tcW w:w="2610" w:type="dxa"/>
            <w:tcBorders>
              <w:top w:val="single" w:sz="4" w:space="0" w:color="auto"/>
            </w:tcBorders>
          </w:tcPr>
          <w:p w14:paraId="7945910A" w14:textId="77777777" w:rsidR="003C4FA7" w:rsidRPr="00863F09" w:rsidRDefault="003C4FA7" w:rsidP="007C7E7C">
            <w:pPr>
              <w:autoSpaceDE w:val="0"/>
              <w:autoSpaceDN w:val="0"/>
              <w:adjustRightInd w:val="0"/>
              <w:rPr>
                <w:rFonts w:asciiTheme="minorHAnsi" w:hAnsiTheme="minorHAnsi" w:cstheme="minorHAnsi"/>
                <w:b/>
                <w:bCs/>
              </w:rPr>
            </w:pPr>
            <w:r w:rsidRPr="00863F09">
              <w:rPr>
                <w:rFonts w:asciiTheme="minorHAnsi" w:hAnsiTheme="minorHAnsi" w:cstheme="minorHAnsi"/>
                <w:b/>
                <w:bCs/>
              </w:rPr>
              <w:t xml:space="preserve">Characteristic </w:t>
            </w:r>
          </w:p>
        </w:tc>
        <w:tc>
          <w:tcPr>
            <w:tcW w:w="1615" w:type="dxa"/>
            <w:tcBorders>
              <w:top w:val="single" w:sz="4" w:space="0" w:color="auto"/>
            </w:tcBorders>
          </w:tcPr>
          <w:p w14:paraId="7CDA1501" w14:textId="67B2C2C6" w:rsidR="003C4FA7" w:rsidRPr="00863F09" w:rsidRDefault="005160F0" w:rsidP="007C7E7C">
            <w:pPr>
              <w:autoSpaceDE w:val="0"/>
              <w:autoSpaceDN w:val="0"/>
              <w:adjustRightInd w:val="0"/>
              <w:rPr>
                <w:rFonts w:asciiTheme="minorHAnsi" w:hAnsiTheme="minorHAnsi" w:cstheme="minorHAnsi"/>
                <w:b/>
                <w:bCs/>
              </w:rPr>
            </w:pPr>
            <w:r>
              <w:rPr>
                <w:rFonts w:asciiTheme="minorHAnsi" w:hAnsiTheme="minorHAnsi" w:cstheme="minorHAnsi"/>
                <w:b/>
                <w:i/>
              </w:rPr>
              <w:t>K</w:t>
            </w:r>
            <w:r w:rsidR="003C4FA7" w:rsidRPr="00863F09">
              <w:rPr>
                <w:rFonts w:asciiTheme="minorHAnsi" w:hAnsiTheme="minorHAnsi" w:cstheme="minorHAnsi"/>
                <w:b/>
              </w:rPr>
              <w:t xml:space="preserve"> (%)</w:t>
            </w:r>
          </w:p>
        </w:tc>
        <w:tc>
          <w:tcPr>
            <w:tcW w:w="2345" w:type="dxa"/>
            <w:tcBorders>
              <w:top w:val="single" w:sz="4" w:space="0" w:color="auto"/>
            </w:tcBorders>
          </w:tcPr>
          <w:p w14:paraId="5564C89D" w14:textId="77777777" w:rsidR="003C4FA7" w:rsidRPr="00863F09" w:rsidRDefault="003C4FA7" w:rsidP="007C7E7C">
            <w:pPr>
              <w:autoSpaceDE w:val="0"/>
              <w:autoSpaceDN w:val="0"/>
              <w:adjustRightInd w:val="0"/>
              <w:rPr>
                <w:rFonts w:asciiTheme="minorHAnsi" w:hAnsiTheme="minorHAnsi" w:cstheme="minorHAnsi"/>
                <w:b/>
                <w:bCs/>
              </w:rPr>
            </w:pPr>
            <w:r w:rsidRPr="00863F09">
              <w:rPr>
                <w:rFonts w:asciiTheme="minorHAnsi" w:hAnsiTheme="minorHAnsi" w:cstheme="minorHAnsi"/>
                <w:b/>
                <w:bCs/>
              </w:rPr>
              <w:t xml:space="preserve">Characteristic </w:t>
            </w:r>
          </w:p>
        </w:tc>
        <w:tc>
          <w:tcPr>
            <w:tcW w:w="1530" w:type="dxa"/>
            <w:tcBorders>
              <w:top w:val="single" w:sz="4" w:space="0" w:color="auto"/>
            </w:tcBorders>
          </w:tcPr>
          <w:p w14:paraId="1671159D" w14:textId="71473CAD" w:rsidR="003C4FA7" w:rsidRPr="00863F09" w:rsidRDefault="005160F0" w:rsidP="007C7E7C">
            <w:pPr>
              <w:autoSpaceDE w:val="0"/>
              <w:autoSpaceDN w:val="0"/>
              <w:adjustRightInd w:val="0"/>
              <w:rPr>
                <w:rFonts w:asciiTheme="minorHAnsi" w:hAnsiTheme="minorHAnsi" w:cstheme="minorHAnsi"/>
              </w:rPr>
            </w:pPr>
            <w:r>
              <w:rPr>
                <w:rFonts w:asciiTheme="minorHAnsi" w:hAnsiTheme="minorHAnsi" w:cstheme="minorHAnsi"/>
                <w:b/>
                <w:i/>
              </w:rPr>
              <w:t>K</w:t>
            </w:r>
            <w:r w:rsidR="003C4FA7" w:rsidRPr="00863F09">
              <w:rPr>
                <w:rFonts w:asciiTheme="minorHAnsi" w:hAnsiTheme="minorHAnsi" w:cstheme="minorHAnsi"/>
                <w:b/>
              </w:rPr>
              <w:t xml:space="preserve"> (%)</w:t>
            </w:r>
          </w:p>
        </w:tc>
      </w:tr>
      <w:tr w:rsidR="003C4FA7" w:rsidRPr="00863F09" w14:paraId="0C3A8062" w14:textId="77777777" w:rsidTr="00173658">
        <w:trPr>
          <w:jc w:val="center"/>
        </w:trPr>
        <w:tc>
          <w:tcPr>
            <w:tcW w:w="2610" w:type="dxa"/>
          </w:tcPr>
          <w:p w14:paraId="2204362A" w14:textId="77777777" w:rsidR="003C4FA7" w:rsidRPr="00863F09" w:rsidRDefault="003C4FA7" w:rsidP="007C7E7C">
            <w:pPr>
              <w:autoSpaceDE w:val="0"/>
              <w:autoSpaceDN w:val="0"/>
              <w:adjustRightInd w:val="0"/>
              <w:rPr>
                <w:rFonts w:asciiTheme="minorHAnsi" w:hAnsiTheme="minorHAnsi" w:cstheme="minorHAnsi"/>
                <w:b/>
                <w:bCs/>
              </w:rPr>
            </w:pPr>
            <w:r w:rsidRPr="00863F09">
              <w:rPr>
                <w:rFonts w:asciiTheme="minorHAnsi" w:hAnsiTheme="minorHAnsi" w:cstheme="minorHAnsi"/>
                <w:b/>
              </w:rPr>
              <w:t>Census Region</w:t>
            </w:r>
          </w:p>
        </w:tc>
        <w:tc>
          <w:tcPr>
            <w:tcW w:w="1615" w:type="dxa"/>
          </w:tcPr>
          <w:p w14:paraId="169EAA73" w14:textId="77777777" w:rsidR="003C4FA7" w:rsidRPr="00863F09" w:rsidRDefault="003C4FA7" w:rsidP="007C7E7C">
            <w:pPr>
              <w:autoSpaceDE w:val="0"/>
              <w:autoSpaceDN w:val="0"/>
              <w:adjustRightInd w:val="0"/>
              <w:jc w:val="center"/>
              <w:rPr>
                <w:rFonts w:asciiTheme="minorHAnsi" w:hAnsiTheme="minorHAnsi" w:cstheme="minorHAnsi"/>
                <w:bCs/>
              </w:rPr>
            </w:pPr>
          </w:p>
        </w:tc>
        <w:tc>
          <w:tcPr>
            <w:tcW w:w="2345" w:type="dxa"/>
          </w:tcPr>
          <w:p w14:paraId="5FFDB24D" w14:textId="77777777" w:rsidR="003C4FA7" w:rsidRPr="00863F09" w:rsidRDefault="003C4FA7" w:rsidP="007C7E7C">
            <w:pPr>
              <w:autoSpaceDE w:val="0"/>
              <w:autoSpaceDN w:val="0"/>
              <w:adjustRightInd w:val="0"/>
              <w:rPr>
                <w:rFonts w:asciiTheme="minorHAnsi" w:hAnsiTheme="minorHAnsi" w:cstheme="minorHAnsi"/>
                <w:b/>
                <w:bCs/>
              </w:rPr>
            </w:pPr>
            <w:r w:rsidRPr="00863F09">
              <w:rPr>
                <w:rFonts w:asciiTheme="minorHAnsi" w:hAnsiTheme="minorHAnsi" w:cstheme="minorHAnsi"/>
                <w:b/>
              </w:rPr>
              <w:t xml:space="preserve">Ownership type </w:t>
            </w:r>
          </w:p>
        </w:tc>
        <w:tc>
          <w:tcPr>
            <w:tcW w:w="1530" w:type="dxa"/>
          </w:tcPr>
          <w:p w14:paraId="22AE1A7A" w14:textId="77777777" w:rsidR="003C4FA7" w:rsidRPr="00863F09" w:rsidRDefault="003C4FA7" w:rsidP="007C7E7C">
            <w:pPr>
              <w:autoSpaceDE w:val="0"/>
              <w:autoSpaceDN w:val="0"/>
              <w:adjustRightInd w:val="0"/>
              <w:jc w:val="center"/>
              <w:rPr>
                <w:rFonts w:asciiTheme="minorHAnsi" w:hAnsiTheme="minorHAnsi" w:cstheme="minorHAnsi"/>
                <w:bCs/>
              </w:rPr>
            </w:pPr>
          </w:p>
        </w:tc>
      </w:tr>
      <w:tr w:rsidR="007366EA" w:rsidRPr="00863F09" w14:paraId="27CE3BBD" w14:textId="77777777" w:rsidTr="00173658">
        <w:trPr>
          <w:jc w:val="center"/>
        </w:trPr>
        <w:tc>
          <w:tcPr>
            <w:tcW w:w="2610" w:type="dxa"/>
            <w:vAlign w:val="center"/>
          </w:tcPr>
          <w:p w14:paraId="3B5BDCB6" w14:textId="77777777" w:rsidR="007366EA" w:rsidRPr="003C4FA7" w:rsidRDefault="007366EA" w:rsidP="007366EA">
            <w:pPr>
              <w:autoSpaceDE w:val="0"/>
              <w:autoSpaceDN w:val="0"/>
              <w:adjustRightInd w:val="0"/>
              <w:rPr>
                <w:rFonts w:asciiTheme="minorHAnsi" w:hAnsiTheme="minorHAnsi" w:cstheme="minorHAnsi"/>
                <w:bCs/>
              </w:rPr>
            </w:pPr>
            <w:r w:rsidRPr="003C4FA7">
              <w:rPr>
                <w:rFonts w:asciiTheme="minorHAnsi" w:hAnsiTheme="minorHAnsi" w:cstheme="minorHAnsi"/>
              </w:rPr>
              <w:t xml:space="preserve">     New England</w:t>
            </w:r>
          </w:p>
        </w:tc>
        <w:tc>
          <w:tcPr>
            <w:tcW w:w="1615" w:type="dxa"/>
            <w:vAlign w:val="bottom"/>
          </w:tcPr>
          <w:p w14:paraId="4E2EF2EE" w14:textId="77777777" w:rsidR="007366EA" w:rsidRPr="00514842" w:rsidRDefault="007366EA" w:rsidP="007366EA">
            <w:pPr>
              <w:autoSpaceDE w:val="0"/>
              <w:autoSpaceDN w:val="0"/>
              <w:adjustRightInd w:val="0"/>
              <w:jc w:val="center"/>
              <w:rPr>
                <w:rFonts w:cstheme="minorHAnsi"/>
                <w:bCs/>
              </w:rPr>
            </w:pPr>
            <w:r>
              <w:rPr>
                <w:rFonts w:ascii="Calibri" w:hAnsi="Calibri" w:cs="Calibri"/>
                <w:color w:val="000000"/>
              </w:rPr>
              <w:t>389 (3.3%)</w:t>
            </w:r>
          </w:p>
        </w:tc>
        <w:tc>
          <w:tcPr>
            <w:tcW w:w="2345" w:type="dxa"/>
            <w:vAlign w:val="center"/>
          </w:tcPr>
          <w:p w14:paraId="7A2A72DE" w14:textId="77777777" w:rsidR="007366EA" w:rsidRPr="007366EA" w:rsidRDefault="007366EA" w:rsidP="007366EA">
            <w:pPr>
              <w:autoSpaceDE w:val="0"/>
              <w:autoSpaceDN w:val="0"/>
              <w:adjustRightInd w:val="0"/>
              <w:rPr>
                <w:rFonts w:asciiTheme="minorHAnsi" w:hAnsiTheme="minorHAnsi" w:cstheme="minorHAnsi"/>
                <w:bCs/>
              </w:rPr>
            </w:pPr>
            <w:r w:rsidRPr="007366EA">
              <w:rPr>
                <w:rFonts w:asciiTheme="minorHAnsi" w:hAnsiTheme="minorHAnsi" w:cstheme="minorHAnsi"/>
              </w:rPr>
              <w:t xml:space="preserve">     Government</w:t>
            </w:r>
          </w:p>
        </w:tc>
        <w:tc>
          <w:tcPr>
            <w:tcW w:w="1530" w:type="dxa"/>
          </w:tcPr>
          <w:p w14:paraId="4985A9C1" w14:textId="77777777" w:rsidR="007366EA" w:rsidRPr="007366EA" w:rsidRDefault="007366EA" w:rsidP="007366EA">
            <w:pPr>
              <w:autoSpaceDE w:val="0"/>
              <w:autoSpaceDN w:val="0"/>
              <w:adjustRightInd w:val="0"/>
              <w:jc w:val="center"/>
              <w:rPr>
                <w:rFonts w:asciiTheme="minorHAnsi" w:hAnsiTheme="minorHAnsi" w:cstheme="minorHAnsi"/>
                <w:bCs/>
              </w:rPr>
            </w:pPr>
            <w:r w:rsidRPr="007366EA">
              <w:rPr>
                <w:rFonts w:asciiTheme="minorHAnsi" w:hAnsiTheme="minorHAnsi" w:cstheme="minorHAnsi"/>
              </w:rPr>
              <w:t>538 (4.6%)</w:t>
            </w:r>
          </w:p>
        </w:tc>
      </w:tr>
      <w:tr w:rsidR="007366EA" w:rsidRPr="00863F09" w14:paraId="1E1773F1" w14:textId="77777777" w:rsidTr="00173658">
        <w:trPr>
          <w:jc w:val="center"/>
        </w:trPr>
        <w:tc>
          <w:tcPr>
            <w:tcW w:w="2610" w:type="dxa"/>
            <w:vAlign w:val="center"/>
          </w:tcPr>
          <w:p w14:paraId="2DD68758" w14:textId="77777777" w:rsidR="007366EA" w:rsidRPr="003C4FA7" w:rsidRDefault="007366EA" w:rsidP="007366EA">
            <w:pPr>
              <w:autoSpaceDE w:val="0"/>
              <w:autoSpaceDN w:val="0"/>
              <w:adjustRightInd w:val="0"/>
              <w:rPr>
                <w:rFonts w:asciiTheme="minorHAnsi" w:hAnsiTheme="minorHAnsi" w:cstheme="minorHAnsi"/>
                <w:bCs/>
              </w:rPr>
            </w:pPr>
            <w:r w:rsidRPr="003C4FA7">
              <w:rPr>
                <w:rFonts w:asciiTheme="minorHAnsi" w:hAnsiTheme="minorHAnsi" w:cstheme="minorHAnsi"/>
              </w:rPr>
              <w:t xml:space="preserve">     Mid Atlantic</w:t>
            </w:r>
          </w:p>
        </w:tc>
        <w:tc>
          <w:tcPr>
            <w:tcW w:w="1615" w:type="dxa"/>
            <w:vAlign w:val="bottom"/>
          </w:tcPr>
          <w:p w14:paraId="1A1311F7" w14:textId="77777777" w:rsidR="007366EA" w:rsidRPr="00514842" w:rsidRDefault="007366EA" w:rsidP="007366EA">
            <w:pPr>
              <w:autoSpaceDE w:val="0"/>
              <w:autoSpaceDN w:val="0"/>
              <w:adjustRightInd w:val="0"/>
              <w:jc w:val="center"/>
              <w:rPr>
                <w:rFonts w:cstheme="minorHAnsi"/>
                <w:bCs/>
              </w:rPr>
            </w:pPr>
            <w:r>
              <w:rPr>
                <w:rFonts w:ascii="Calibri" w:hAnsi="Calibri" w:cs="Calibri"/>
                <w:color w:val="000000"/>
              </w:rPr>
              <w:t>522 (4.5%)</w:t>
            </w:r>
          </w:p>
        </w:tc>
        <w:tc>
          <w:tcPr>
            <w:tcW w:w="2345" w:type="dxa"/>
            <w:vAlign w:val="center"/>
          </w:tcPr>
          <w:p w14:paraId="68A4DFC9" w14:textId="77777777" w:rsidR="007366EA" w:rsidRPr="007366EA" w:rsidRDefault="007366EA" w:rsidP="007366EA">
            <w:pPr>
              <w:autoSpaceDE w:val="0"/>
              <w:autoSpaceDN w:val="0"/>
              <w:adjustRightInd w:val="0"/>
              <w:rPr>
                <w:rFonts w:asciiTheme="minorHAnsi" w:hAnsiTheme="minorHAnsi" w:cstheme="minorHAnsi"/>
                <w:bCs/>
              </w:rPr>
            </w:pPr>
            <w:r w:rsidRPr="007366EA">
              <w:rPr>
                <w:rFonts w:asciiTheme="minorHAnsi" w:hAnsiTheme="minorHAnsi" w:cstheme="minorHAnsi"/>
              </w:rPr>
              <w:t xml:space="preserve">     Not-For-Profit</w:t>
            </w:r>
          </w:p>
        </w:tc>
        <w:tc>
          <w:tcPr>
            <w:tcW w:w="1530" w:type="dxa"/>
          </w:tcPr>
          <w:p w14:paraId="1829FE8F" w14:textId="77777777" w:rsidR="007366EA" w:rsidRPr="007366EA" w:rsidRDefault="007366EA" w:rsidP="007366EA">
            <w:pPr>
              <w:autoSpaceDE w:val="0"/>
              <w:autoSpaceDN w:val="0"/>
              <w:adjustRightInd w:val="0"/>
              <w:jc w:val="center"/>
              <w:rPr>
                <w:rFonts w:asciiTheme="minorHAnsi" w:hAnsiTheme="minorHAnsi" w:cstheme="minorHAnsi"/>
                <w:bCs/>
              </w:rPr>
            </w:pPr>
            <w:r w:rsidRPr="007366EA">
              <w:rPr>
                <w:rFonts w:asciiTheme="minorHAnsi" w:hAnsiTheme="minorHAnsi" w:cstheme="minorHAnsi"/>
              </w:rPr>
              <w:t>1,804 (15.5%)</w:t>
            </w:r>
          </w:p>
        </w:tc>
      </w:tr>
      <w:tr w:rsidR="007366EA" w:rsidRPr="00863F09" w14:paraId="1CC9462A" w14:textId="77777777" w:rsidTr="00173658">
        <w:trPr>
          <w:jc w:val="center"/>
        </w:trPr>
        <w:tc>
          <w:tcPr>
            <w:tcW w:w="2610" w:type="dxa"/>
            <w:vAlign w:val="center"/>
          </w:tcPr>
          <w:p w14:paraId="04C79CAD" w14:textId="77777777" w:rsidR="007366EA" w:rsidRPr="003C4FA7" w:rsidRDefault="007366EA" w:rsidP="007366EA">
            <w:pPr>
              <w:autoSpaceDE w:val="0"/>
              <w:autoSpaceDN w:val="0"/>
              <w:adjustRightInd w:val="0"/>
              <w:rPr>
                <w:rFonts w:asciiTheme="minorHAnsi" w:hAnsiTheme="minorHAnsi" w:cstheme="minorHAnsi"/>
                <w:bCs/>
              </w:rPr>
            </w:pPr>
            <w:r w:rsidRPr="003C4FA7">
              <w:rPr>
                <w:rFonts w:asciiTheme="minorHAnsi" w:hAnsiTheme="minorHAnsi" w:cstheme="minorHAnsi"/>
              </w:rPr>
              <w:t xml:space="preserve">     East North Central</w:t>
            </w:r>
          </w:p>
        </w:tc>
        <w:tc>
          <w:tcPr>
            <w:tcW w:w="1615" w:type="dxa"/>
            <w:vAlign w:val="bottom"/>
          </w:tcPr>
          <w:p w14:paraId="78D24E32" w14:textId="77777777" w:rsidR="007366EA" w:rsidRPr="00514842" w:rsidRDefault="007366EA" w:rsidP="007366EA">
            <w:pPr>
              <w:autoSpaceDE w:val="0"/>
              <w:autoSpaceDN w:val="0"/>
              <w:adjustRightInd w:val="0"/>
              <w:jc w:val="center"/>
              <w:rPr>
                <w:rFonts w:cstheme="minorHAnsi"/>
                <w:bCs/>
              </w:rPr>
            </w:pPr>
            <w:r>
              <w:rPr>
                <w:rFonts w:ascii="Calibri" w:hAnsi="Calibri" w:cs="Calibri"/>
                <w:color w:val="000000"/>
              </w:rPr>
              <w:t>2,377 (20.4%)</w:t>
            </w:r>
          </w:p>
        </w:tc>
        <w:tc>
          <w:tcPr>
            <w:tcW w:w="2345" w:type="dxa"/>
            <w:vAlign w:val="center"/>
          </w:tcPr>
          <w:p w14:paraId="370EBA98" w14:textId="77777777" w:rsidR="007366EA" w:rsidRPr="007366EA" w:rsidRDefault="007366EA" w:rsidP="007366EA">
            <w:pPr>
              <w:autoSpaceDE w:val="0"/>
              <w:autoSpaceDN w:val="0"/>
              <w:adjustRightInd w:val="0"/>
              <w:rPr>
                <w:rFonts w:asciiTheme="minorHAnsi" w:hAnsiTheme="minorHAnsi" w:cstheme="minorHAnsi"/>
                <w:bCs/>
              </w:rPr>
            </w:pPr>
            <w:r w:rsidRPr="007366EA">
              <w:rPr>
                <w:rFonts w:asciiTheme="minorHAnsi" w:hAnsiTheme="minorHAnsi" w:cstheme="minorHAnsi"/>
              </w:rPr>
              <w:t xml:space="preserve">     Proprietary</w:t>
            </w:r>
          </w:p>
        </w:tc>
        <w:tc>
          <w:tcPr>
            <w:tcW w:w="1530" w:type="dxa"/>
          </w:tcPr>
          <w:p w14:paraId="4B191862" w14:textId="77777777" w:rsidR="007366EA" w:rsidRPr="007366EA" w:rsidRDefault="007366EA" w:rsidP="007366EA">
            <w:pPr>
              <w:autoSpaceDE w:val="0"/>
              <w:autoSpaceDN w:val="0"/>
              <w:adjustRightInd w:val="0"/>
              <w:jc w:val="center"/>
              <w:rPr>
                <w:rFonts w:asciiTheme="minorHAnsi" w:hAnsiTheme="minorHAnsi" w:cstheme="minorHAnsi"/>
                <w:bCs/>
              </w:rPr>
            </w:pPr>
            <w:r w:rsidRPr="007366EA">
              <w:rPr>
                <w:rFonts w:asciiTheme="minorHAnsi" w:hAnsiTheme="minorHAnsi" w:cstheme="minorHAnsi"/>
              </w:rPr>
              <w:t>9,332 (79.9%)</w:t>
            </w:r>
          </w:p>
        </w:tc>
      </w:tr>
      <w:tr w:rsidR="003C4FA7" w:rsidRPr="00863F09" w14:paraId="4CB4FDB9" w14:textId="77777777" w:rsidTr="00173658">
        <w:trPr>
          <w:jc w:val="center"/>
        </w:trPr>
        <w:tc>
          <w:tcPr>
            <w:tcW w:w="2610" w:type="dxa"/>
            <w:vAlign w:val="center"/>
          </w:tcPr>
          <w:p w14:paraId="70957593" w14:textId="77777777" w:rsidR="003C4FA7" w:rsidRPr="003C4FA7" w:rsidRDefault="003C4FA7" w:rsidP="003C4FA7">
            <w:pPr>
              <w:autoSpaceDE w:val="0"/>
              <w:autoSpaceDN w:val="0"/>
              <w:adjustRightInd w:val="0"/>
              <w:rPr>
                <w:rFonts w:asciiTheme="minorHAnsi" w:hAnsiTheme="minorHAnsi" w:cstheme="minorHAnsi"/>
                <w:bCs/>
              </w:rPr>
            </w:pPr>
            <w:r w:rsidRPr="003C4FA7">
              <w:rPr>
                <w:rFonts w:asciiTheme="minorHAnsi" w:hAnsiTheme="minorHAnsi" w:cstheme="minorHAnsi"/>
              </w:rPr>
              <w:t xml:space="preserve">     West North Central</w:t>
            </w:r>
          </w:p>
        </w:tc>
        <w:tc>
          <w:tcPr>
            <w:tcW w:w="1615" w:type="dxa"/>
            <w:vAlign w:val="bottom"/>
          </w:tcPr>
          <w:p w14:paraId="30CC6AB6" w14:textId="77777777" w:rsidR="003C4FA7" w:rsidRPr="00514842" w:rsidRDefault="003C4FA7" w:rsidP="003C4FA7">
            <w:pPr>
              <w:autoSpaceDE w:val="0"/>
              <w:autoSpaceDN w:val="0"/>
              <w:adjustRightInd w:val="0"/>
              <w:jc w:val="center"/>
              <w:rPr>
                <w:rFonts w:cstheme="minorHAnsi"/>
                <w:bCs/>
              </w:rPr>
            </w:pPr>
            <w:r>
              <w:rPr>
                <w:rFonts w:ascii="Calibri" w:hAnsi="Calibri" w:cs="Calibri"/>
                <w:color w:val="000000"/>
              </w:rPr>
              <w:t>750 (6.4%)</w:t>
            </w:r>
          </w:p>
        </w:tc>
        <w:tc>
          <w:tcPr>
            <w:tcW w:w="2345" w:type="dxa"/>
          </w:tcPr>
          <w:p w14:paraId="2D268795" w14:textId="77777777" w:rsidR="003C4FA7" w:rsidRPr="00863F09" w:rsidRDefault="003C4FA7" w:rsidP="003C4FA7">
            <w:pPr>
              <w:autoSpaceDE w:val="0"/>
              <w:autoSpaceDN w:val="0"/>
              <w:adjustRightInd w:val="0"/>
              <w:ind w:left="345"/>
              <w:rPr>
                <w:rFonts w:asciiTheme="minorHAnsi" w:hAnsiTheme="minorHAnsi" w:cstheme="minorHAnsi"/>
                <w:bCs/>
              </w:rPr>
            </w:pPr>
          </w:p>
        </w:tc>
        <w:tc>
          <w:tcPr>
            <w:tcW w:w="1530" w:type="dxa"/>
          </w:tcPr>
          <w:p w14:paraId="3A2C3333" w14:textId="77777777" w:rsidR="003C4FA7" w:rsidRPr="00863F09" w:rsidRDefault="003C4FA7" w:rsidP="003C4FA7">
            <w:pPr>
              <w:autoSpaceDE w:val="0"/>
              <w:autoSpaceDN w:val="0"/>
              <w:adjustRightInd w:val="0"/>
              <w:jc w:val="center"/>
              <w:rPr>
                <w:rFonts w:asciiTheme="minorHAnsi" w:hAnsiTheme="minorHAnsi" w:cstheme="minorHAnsi"/>
                <w:bCs/>
              </w:rPr>
            </w:pPr>
          </w:p>
        </w:tc>
      </w:tr>
      <w:tr w:rsidR="003C4FA7" w:rsidRPr="00863F09" w14:paraId="7C084C91" w14:textId="77777777" w:rsidTr="00173658">
        <w:trPr>
          <w:jc w:val="center"/>
        </w:trPr>
        <w:tc>
          <w:tcPr>
            <w:tcW w:w="2610" w:type="dxa"/>
            <w:vAlign w:val="center"/>
          </w:tcPr>
          <w:p w14:paraId="56768603" w14:textId="77777777" w:rsidR="003C4FA7" w:rsidRPr="003C4FA7" w:rsidRDefault="003C4FA7" w:rsidP="003C4FA7">
            <w:pPr>
              <w:autoSpaceDE w:val="0"/>
              <w:autoSpaceDN w:val="0"/>
              <w:adjustRightInd w:val="0"/>
              <w:rPr>
                <w:rFonts w:asciiTheme="minorHAnsi" w:hAnsiTheme="minorHAnsi" w:cstheme="minorHAnsi"/>
                <w:bCs/>
              </w:rPr>
            </w:pPr>
            <w:r w:rsidRPr="003C4FA7">
              <w:rPr>
                <w:rFonts w:asciiTheme="minorHAnsi" w:hAnsiTheme="minorHAnsi" w:cstheme="minorHAnsi"/>
              </w:rPr>
              <w:t xml:space="preserve">     South Atlantic</w:t>
            </w:r>
          </w:p>
        </w:tc>
        <w:tc>
          <w:tcPr>
            <w:tcW w:w="1615" w:type="dxa"/>
            <w:vAlign w:val="bottom"/>
          </w:tcPr>
          <w:p w14:paraId="1BFFF8D5" w14:textId="77777777" w:rsidR="003C4FA7" w:rsidRPr="00514842" w:rsidRDefault="003C4FA7" w:rsidP="003C4FA7">
            <w:pPr>
              <w:autoSpaceDE w:val="0"/>
              <w:autoSpaceDN w:val="0"/>
              <w:adjustRightInd w:val="0"/>
              <w:jc w:val="center"/>
              <w:rPr>
                <w:rFonts w:cstheme="minorHAnsi"/>
                <w:bCs/>
              </w:rPr>
            </w:pPr>
            <w:r>
              <w:rPr>
                <w:rFonts w:ascii="Calibri" w:hAnsi="Calibri" w:cs="Calibri"/>
                <w:color w:val="000000"/>
              </w:rPr>
              <w:t>1,868 (16.0%)</w:t>
            </w:r>
          </w:p>
        </w:tc>
        <w:tc>
          <w:tcPr>
            <w:tcW w:w="2345" w:type="dxa"/>
          </w:tcPr>
          <w:p w14:paraId="45F9D1C1" w14:textId="77777777" w:rsidR="003C4FA7" w:rsidRPr="00863F09" w:rsidRDefault="003C4FA7" w:rsidP="003C4FA7">
            <w:pPr>
              <w:autoSpaceDE w:val="0"/>
              <w:autoSpaceDN w:val="0"/>
              <w:adjustRightInd w:val="0"/>
              <w:ind w:left="345"/>
              <w:rPr>
                <w:rFonts w:asciiTheme="minorHAnsi" w:hAnsiTheme="minorHAnsi" w:cstheme="minorHAnsi"/>
                <w:bCs/>
              </w:rPr>
            </w:pPr>
          </w:p>
        </w:tc>
        <w:tc>
          <w:tcPr>
            <w:tcW w:w="1530" w:type="dxa"/>
          </w:tcPr>
          <w:p w14:paraId="1BF0B2CE" w14:textId="77777777" w:rsidR="003C4FA7" w:rsidRPr="00863F09" w:rsidRDefault="003C4FA7" w:rsidP="003C4FA7">
            <w:pPr>
              <w:autoSpaceDE w:val="0"/>
              <w:autoSpaceDN w:val="0"/>
              <w:adjustRightInd w:val="0"/>
              <w:jc w:val="center"/>
              <w:rPr>
                <w:rFonts w:asciiTheme="minorHAnsi" w:hAnsiTheme="minorHAnsi" w:cstheme="minorHAnsi"/>
                <w:bCs/>
              </w:rPr>
            </w:pPr>
          </w:p>
        </w:tc>
      </w:tr>
      <w:tr w:rsidR="003C4FA7" w:rsidRPr="00863F09" w14:paraId="6DA1920A" w14:textId="77777777" w:rsidTr="00173658">
        <w:trPr>
          <w:jc w:val="center"/>
        </w:trPr>
        <w:tc>
          <w:tcPr>
            <w:tcW w:w="2610" w:type="dxa"/>
            <w:vAlign w:val="center"/>
          </w:tcPr>
          <w:p w14:paraId="656E5EAB" w14:textId="77777777" w:rsidR="003C4FA7" w:rsidRPr="003C4FA7" w:rsidRDefault="003C4FA7" w:rsidP="003C4FA7">
            <w:pPr>
              <w:autoSpaceDE w:val="0"/>
              <w:autoSpaceDN w:val="0"/>
              <w:adjustRightInd w:val="0"/>
              <w:rPr>
                <w:rFonts w:asciiTheme="minorHAnsi" w:hAnsiTheme="minorHAnsi" w:cstheme="minorHAnsi"/>
                <w:bCs/>
              </w:rPr>
            </w:pPr>
            <w:r w:rsidRPr="003C4FA7">
              <w:rPr>
                <w:rFonts w:asciiTheme="minorHAnsi" w:hAnsiTheme="minorHAnsi" w:cstheme="minorHAnsi"/>
              </w:rPr>
              <w:t xml:space="preserve">     East South Central </w:t>
            </w:r>
          </w:p>
        </w:tc>
        <w:tc>
          <w:tcPr>
            <w:tcW w:w="1615" w:type="dxa"/>
            <w:vAlign w:val="bottom"/>
          </w:tcPr>
          <w:p w14:paraId="5632BA09" w14:textId="77777777" w:rsidR="003C4FA7" w:rsidRPr="00514842" w:rsidRDefault="003C4FA7" w:rsidP="003C4FA7">
            <w:pPr>
              <w:autoSpaceDE w:val="0"/>
              <w:autoSpaceDN w:val="0"/>
              <w:adjustRightInd w:val="0"/>
              <w:jc w:val="center"/>
              <w:rPr>
                <w:rFonts w:cstheme="minorHAnsi"/>
                <w:bCs/>
              </w:rPr>
            </w:pPr>
            <w:r>
              <w:rPr>
                <w:rFonts w:ascii="Calibri" w:hAnsi="Calibri" w:cs="Calibri"/>
                <w:color w:val="000000"/>
              </w:rPr>
              <w:t>432 (3.7%)</w:t>
            </w:r>
          </w:p>
        </w:tc>
        <w:tc>
          <w:tcPr>
            <w:tcW w:w="2345" w:type="dxa"/>
          </w:tcPr>
          <w:p w14:paraId="7317C508" w14:textId="77777777" w:rsidR="003C4FA7" w:rsidRPr="00863F09" w:rsidRDefault="003C4FA7" w:rsidP="003C4FA7">
            <w:pPr>
              <w:autoSpaceDE w:val="0"/>
              <w:autoSpaceDN w:val="0"/>
              <w:adjustRightInd w:val="0"/>
              <w:rPr>
                <w:rFonts w:asciiTheme="minorHAnsi" w:hAnsiTheme="minorHAnsi" w:cstheme="minorHAnsi"/>
                <w:b/>
                <w:bCs/>
              </w:rPr>
            </w:pPr>
          </w:p>
        </w:tc>
        <w:tc>
          <w:tcPr>
            <w:tcW w:w="1530" w:type="dxa"/>
          </w:tcPr>
          <w:p w14:paraId="71EEB4F8" w14:textId="77777777" w:rsidR="003C4FA7" w:rsidRPr="00863F09" w:rsidRDefault="003C4FA7" w:rsidP="003C4FA7">
            <w:pPr>
              <w:autoSpaceDE w:val="0"/>
              <w:autoSpaceDN w:val="0"/>
              <w:adjustRightInd w:val="0"/>
              <w:jc w:val="center"/>
              <w:rPr>
                <w:rFonts w:asciiTheme="minorHAnsi" w:hAnsiTheme="minorHAnsi" w:cstheme="minorHAnsi"/>
                <w:bCs/>
              </w:rPr>
            </w:pPr>
          </w:p>
        </w:tc>
      </w:tr>
      <w:tr w:rsidR="003C4FA7" w:rsidRPr="00863F09" w14:paraId="31FABA42" w14:textId="77777777" w:rsidTr="00173658">
        <w:trPr>
          <w:trHeight w:val="80"/>
          <w:jc w:val="center"/>
        </w:trPr>
        <w:tc>
          <w:tcPr>
            <w:tcW w:w="2610" w:type="dxa"/>
            <w:vAlign w:val="center"/>
          </w:tcPr>
          <w:p w14:paraId="6A6C84E3" w14:textId="77777777" w:rsidR="003C4FA7" w:rsidRPr="003C4FA7" w:rsidRDefault="003C4FA7" w:rsidP="003C4FA7">
            <w:pPr>
              <w:autoSpaceDE w:val="0"/>
              <w:autoSpaceDN w:val="0"/>
              <w:adjustRightInd w:val="0"/>
              <w:rPr>
                <w:rFonts w:asciiTheme="minorHAnsi" w:hAnsiTheme="minorHAnsi" w:cstheme="minorHAnsi"/>
                <w:bCs/>
              </w:rPr>
            </w:pPr>
            <w:r w:rsidRPr="003C4FA7">
              <w:rPr>
                <w:rFonts w:asciiTheme="minorHAnsi" w:hAnsiTheme="minorHAnsi" w:cstheme="minorHAnsi"/>
              </w:rPr>
              <w:t xml:space="preserve">     West South Central</w:t>
            </w:r>
          </w:p>
        </w:tc>
        <w:tc>
          <w:tcPr>
            <w:tcW w:w="1615" w:type="dxa"/>
            <w:vAlign w:val="bottom"/>
          </w:tcPr>
          <w:p w14:paraId="6032F106" w14:textId="77777777" w:rsidR="003C4FA7" w:rsidRPr="00514842" w:rsidRDefault="003C4FA7" w:rsidP="003C4FA7">
            <w:pPr>
              <w:autoSpaceDE w:val="0"/>
              <w:autoSpaceDN w:val="0"/>
              <w:adjustRightInd w:val="0"/>
              <w:jc w:val="center"/>
              <w:rPr>
                <w:rFonts w:cstheme="minorHAnsi"/>
                <w:bCs/>
              </w:rPr>
            </w:pPr>
            <w:r>
              <w:rPr>
                <w:rFonts w:ascii="Calibri" w:hAnsi="Calibri" w:cs="Calibri"/>
                <w:color w:val="000000"/>
              </w:rPr>
              <w:t>3,128 (26.8%)</w:t>
            </w:r>
          </w:p>
        </w:tc>
        <w:tc>
          <w:tcPr>
            <w:tcW w:w="2345" w:type="dxa"/>
          </w:tcPr>
          <w:p w14:paraId="1D5556FD" w14:textId="77777777" w:rsidR="003C4FA7" w:rsidRPr="00863F09" w:rsidRDefault="003C4FA7" w:rsidP="003C4FA7">
            <w:pPr>
              <w:autoSpaceDE w:val="0"/>
              <w:autoSpaceDN w:val="0"/>
              <w:adjustRightInd w:val="0"/>
              <w:rPr>
                <w:rFonts w:asciiTheme="minorHAnsi" w:hAnsiTheme="minorHAnsi" w:cstheme="minorHAnsi"/>
                <w:b/>
                <w:bCs/>
              </w:rPr>
            </w:pPr>
            <w:r w:rsidRPr="00863F09">
              <w:rPr>
                <w:rFonts w:asciiTheme="minorHAnsi" w:hAnsiTheme="minorHAnsi" w:cstheme="minorHAnsi"/>
                <w:b/>
                <w:bCs/>
              </w:rPr>
              <w:t>Rurality</w:t>
            </w:r>
          </w:p>
        </w:tc>
        <w:tc>
          <w:tcPr>
            <w:tcW w:w="1530" w:type="dxa"/>
          </w:tcPr>
          <w:p w14:paraId="6DF6D949" w14:textId="77777777" w:rsidR="003C4FA7" w:rsidRPr="00863F09" w:rsidRDefault="003C4FA7" w:rsidP="003C4FA7">
            <w:pPr>
              <w:autoSpaceDE w:val="0"/>
              <w:autoSpaceDN w:val="0"/>
              <w:adjustRightInd w:val="0"/>
              <w:jc w:val="center"/>
              <w:rPr>
                <w:rFonts w:asciiTheme="minorHAnsi" w:hAnsiTheme="minorHAnsi" w:cstheme="minorHAnsi"/>
                <w:bCs/>
              </w:rPr>
            </w:pPr>
          </w:p>
        </w:tc>
      </w:tr>
      <w:tr w:rsidR="003C4FA7" w:rsidRPr="00863F09" w14:paraId="4D2A42FA" w14:textId="77777777" w:rsidTr="00173658">
        <w:trPr>
          <w:jc w:val="center"/>
        </w:trPr>
        <w:tc>
          <w:tcPr>
            <w:tcW w:w="2610" w:type="dxa"/>
            <w:vAlign w:val="center"/>
          </w:tcPr>
          <w:p w14:paraId="7AC84FD0" w14:textId="77777777" w:rsidR="003C4FA7" w:rsidRPr="003C4FA7" w:rsidRDefault="003C4FA7" w:rsidP="003C4FA7">
            <w:pPr>
              <w:autoSpaceDE w:val="0"/>
              <w:autoSpaceDN w:val="0"/>
              <w:adjustRightInd w:val="0"/>
              <w:rPr>
                <w:rFonts w:asciiTheme="minorHAnsi" w:hAnsiTheme="minorHAnsi" w:cstheme="minorHAnsi"/>
                <w:bCs/>
              </w:rPr>
            </w:pPr>
            <w:r w:rsidRPr="003C4FA7">
              <w:rPr>
                <w:rFonts w:asciiTheme="minorHAnsi" w:hAnsiTheme="minorHAnsi" w:cstheme="minorHAnsi"/>
              </w:rPr>
              <w:t xml:space="preserve">     Mountain</w:t>
            </w:r>
          </w:p>
        </w:tc>
        <w:tc>
          <w:tcPr>
            <w:tcW w:w="1615" w:type="dxa"/>
            <w:vAlign w:val="bottom"/>
          </w:tcPr>
          <w:p w14:paraId="71AAD698" w14:textId="77777777" w:rsidR="003C4FA7" w:rsidRPr="00514842" w:rsidRDefault="003C4FA7" w:rsidP="003C4FA7">
            <w:pPr>
              <w:autoSpaceDE w:val="0"/>
              <w:autoSpaceDN w:val="0"/>
              <w:adjustRightInd w:val="0"/>
              <w:jc w:val="center"/>
              <w:rPr>
                <w:rFonts w:cstheme="minorHAnsi"/>
                <w:bCs/>
              </w:rPr>
            </w:pPr>
            <w:r>
              <w:rPr>
                <w:rFonts w:ascii="Calibri" w:hAnsi="Calibri" w:cs="Calibri"/>
                <w:color w:val="000000"/>
              </w:rPr>
              <w:t>720 (6.2%)</w:t>
            </w:r>
          </w:p>
        </w:tc>
        <w:tc>
          <w:tcPr>
            <w:tcW w:w="2345" w:type="dxa"/>
          </w:tcPr>
          <w:p w14:paraId="41F7851F" w14:textId="77777777" w:rsidR="003C4FA7" w:rsidRPr="00863F09" w:rsidRDefault="003C4FA7" w:rsidP="003C4FA7">
            <w:pPr>
              <w:autoSpaceDE w:val="0"/>
              <w:autoSpaceDN w:val="0"/>
              <w:adjustRightInd w:val="0"/>
              <w:rPr>
                <w:rFonts w:asciiTheme="minorHAnsi" w:hAnsiTheme="minorHAnsi" w:cstheme="minorHAnsi"/>
                <w:bCs/>
              </w:rPr>
            </w:pPr>
            <w:r w:rsidRPr="00863F09">
              <w:rPr>
                <w:rFonts w:asciiTheme="minorHAnsi" w:hAnsiTheme="minorHAnsi" w:cstheme="minorHAnsi"/>
              </w:rPr>
              <w:t>Rural</w:t>
            </w:r>
          </w:p>
        </w:tc>
        <w:tc>
          <w:tcPr>
            <w:tcW w:w="1530" w:type="dxa"/>
          </w:tcPr>
          <w:p w14:paraId="4FBAD27F" w14:textId="77777777" w:rsidR="003C4FA7" w:rsidRPr="00863F09" w:rsidRDefault="007366EA" w:rsidP="003C4FA7">
            <w:pPr>
              <w:autoSpaceDE w:val="0"/>
              <w:autoSpaceDN w:val="0"/>
              <w:adjustRightInd w:val="0"/>
              <w:jc w:val="center"/>
              <w:rPr>
                <w:rFonts w:asciiTheme="minorHAnsi" w:hAnsiTheme="minorHAnsi" w:cstheme="minorHAnsi"/>
                <w:bCs/>
              </w:rPr>
            </w:pPr>
            <w:r>
              <w:rPr>
                <w:rFonts w:ascii="Calibri" w:hAnsi="Calibri" w:cs="Calibri"/>
                <w:color w:val="000000"/>
              </w:rPr>
              <w:t>2,214 (19.0%)</w:t>
            </w:r>
          </w:p>
        </w:tc>
      </w:tr>
      <w:tr w:rsidR="003C4FA7" w:rsidRPr="00863F09" w14:paraId="76435F98" w14:textId="77777777" w:rsidTr="00173658">
        <w:trPr>
          <w:jc w:val="center"/>
        </w:trPr>
        <w:tc>
          <w:tcPr>
            <w:tcW w:w="2610" w:type="dxa"/>
            <w:vAlign w:val="center"/>
          </w:tcPr>
          <w:p w14:paraId="69585FC9" w14:textId="77777777" w:rsidR="003C4FA7" w:rsidRPr="003C4FA7" w:rsidRDefault="003C4FA7" w:rsidP="003C4FA7">
            <w:pPr>
              <w:autoSpaceDE w:val="0"/>
              <w:autoSpaceDN w:val="0"/>
              <w:adjustRightInd w:val="0"/>
              <w:rPr>
                <w:rFonts w:asciiTheme="minorHAnsi" w:hAnsiTheme="minorHAnsi" w:cstheme="minorHAnsi"/>
                <w:bCs/>
              </w:rPr>
            </w:pPr>
            <w:r w:rsidRPr="003C4FA7">
              <w:rPr>
                <w:rFonts w:asciiTheme="minorHAnsi" w:hAnsiTheme="minorHAnsi" w:cstheme="minorHAnsi"/>
              </w:rPr>
              <w:t xml:space="preserve">     Pacific</w:t>
            </w:r>
          </w:p>
        </w:tc>
        <w:tc>
          <w:tcPr>
            <w:tcW w:w="1615" w:type="dxa"/>
            <w:vAlign w:val="bottom"/>
          </w:tcPr>
          <w:p w14:paraId="7E5FA298" w14:textId="77777777" w:rsidR="003C4FA7" w:rsidRPr="00514842" w:rsidRDefault="003C4FA7" w:rsidP="003C4FA7">
            <w:pPr>
              <w:autoSpaceDE w:val="0"/>
              <w:autoSpaceDN w:val="0"/>
              <w:adjustRightInd w:val="0"/>
              <w:jc w:val="center"/>
              <w:rPr>
                <w:rFonts w:cstheme="minorHAnsi"/>
                <w:bCs/>
              </w:rPr>
            </w:pPr>
            <w:r>
              <w:rPr>
                <w:rFonts w:ascii="Calibri" w:hAnsi="Calibri" w:cs="Calibri"/>
                <w:color w:val="000000"/>
              </w:rPr>
              <w:t>1,436</w:t>
            </w:r>
            <w:r w:rsidR="007366EA">
              <w:rPr>
                <w:rFonts w:ascii="Calibri" w:hAnsi="Calibri" w:cs="Calibri"/>
                <w:color w:val="000000"/>
              </w:rPr>
              <w:t xml:space="preserve"> (12.3%)</w:t>
            </w:r>
          </w:p>
        </w:tc>
        <w:tc>
          <w:tcPr>
            <w:tcW w:w="2345" w:type="dxa"/>
          </w:tcPr>
          <w:p w14:paraId="35ED95BC" w14:textId="77777777" w:rsidR="003C4FA7" w:rsidRPr="00863F09" w:rsidRDefault="003C4FA7" w:rsidP="003C4FA7">
            <w:pPr>
              <w:autoSpaceDE w:val="0"/>
              <w:autoSpaceDN w:val="0"/>
              <w:adjustRightInd w:val="0"/>
              <w:rPr>
                <w:rFonts w:asciiTheme="minorHAnsi" w:hAnsiTheme="minorHAnsi" w:cstheme="minorHAnsi"/>
                <w:bCs/>
              </w:rPr>
            </w:pPr>
            <w:r w:rsidRPr="00863F09">
              <w:rPr>
                <w:rFonts w:asciiTheme="minorHAnsi" w:hAnsiTheme="minorHAnsi" w:cstheme="minorHAnsi"/>
              </w:rPr>
              <w:t xml:space="preserve">Urban </w:t>
            </w:r>
          </w:p>
        </w:tc>
        <w:tc>
          <w:tcPr>
            <w:tcW w:w="1530" w:type="dxa"/>
          </w:tcPr>
          <w:p w14:paraId="76961227" w14:textId="77777777" w:rsidR="003C4FA7" w:rsidRPr="00863F09" w:rsidRDefault="007366EA" w:rsidP="003C4FA7">
            <w:pPr>
              <w:autoSpaceDE w:val="0"/>
              <w:autoSpaceDN w:val="0"/>
              <w:adjustRightInd w:val="0"/>
              <w:jc w:val="center"/>
              <w:rPr>
                <w:rFonts w:asciiTheme="minorHAnsi" w:hAnsiTheme="minorHAnsi" w:cstheme="minorHAnsi"/>
                <w:bCs/>
              </w:rPr>
            </w:pPr>
            <w:r>
              <w:rPr>
                <w:rFonts w:ascii="Calibri" w:hAnsi="Calibri" w:cs="Calibri"/>
                <w:color w:val="000000"/>
              </w:rPr>
              <w:t>9,460 (81.0%)</w:t>
            </w:r>
          </w:p>
        </w:tc>
      </w:tr>
      <w:tr w:rsidR="003C4FA7" w:rsidRPr="00863F09" w14:paraId="6B541E5B" w14:textId="77777777" w:rsidTr="00173658">
        <w:trPr>
          <w:jc w:val="center"/>
        </w:trPr>
        <w:tc>
          <w:tcPr>
            <w:tcW w:w="2610" w:type="dxa"/>
            <w:tcBorders>
              <w:bottom w:val="single" w:sz="4" w:space="0" w:color="auto"/>
            </w:tcBorders>
            <w:vAlign w:val="center"/>
          </w:tcPr>
          <w:p w14:paraId="11B74D1F" w14:textId="77777777" w:rsidR="003C4FA7" w:rsidRPr="003C4FA7" w:rsidRDefault="003C4FA7" w:rsidP="003C4FA7">
            <w:pPr>
              <w:autoSpaceDE w:val="0"/>
              <w:autoSpaceDN w:val="0"/>
              <w:adjustRightInd w:val="0"/>
              <w:rPr>
                <w:rFonts w:asciiTheme="minorHAnsi" w:hAnsiTheme="minorHAnsi" w:cstheme="minorHAnsi"/>
                <w:bCs/>
              </w:rPr>
            </w:pPr>
            <w:r w:rsidRPr="003C4FA7">
              <w:rPr>
                <w:rFonts w:asciiTheme="minorHAnsi" w:hAnsiTheme="minorHAnsi" w:cstheme="minorHAnsi"/>
              </w:rPr>
              <w:t xml:space="preserve">     US Territories</w:t>
            </w:r>
          </w:p>
        </w:tc>
        <w:tc>
          <w:tcPr>
            <w:tcW w:w="1615" w:type="dxa"/>
            <w:tcBorders>
              <w:bottom w:val="single" w:sz="4" w:space="0" w:color="auto"/>
            </w:tcBorders>
          </w:tcPr>
          <w:p w14:paraId="40165E53" w14:textId="77777777" w:rsidR="003C4FA7" w:rsidRPr="007366EA" w:rsidRDefault="003C4FA7" w:rsidP="003C4FA7">
            <w:pPr>
              <w:autoSpaceDE w:val="0"/>
              <w:autoSpaceDN w:val="0"/>
              <w:adjustRightInd w:val="0"/>
              <w:jc w:val="center"/>
              <w:rPr>
                <w:rFonts w:asciiTheme="minorHAnsi" w:hAnsiTheme="minorHAnsi" w:cstheme="minorHAnsi"/>
                <w:bCs/>
              </w:rPr>
            </w:pPr>
            <w:r w:rsidRPr="007366EA">
              <w:rPr>
                <w:rFonts w:asciiTheme="minorHAnsi" w:hAnsiTheme="minorHAnsi" w:cstheme="minorHAnsi"/>
                <w:bCs/>
              </w:rPr>
              <w:t>52</w:t>
            </w:r>
            <w:r w:rsidR="007366EA" w:rsidRPr="007366EA">
              <w:rPr>
                <w:rFonts w:asciiTheme="minorHAnsi" w:hAnsiTheme="minorHAnsi" w:cstheme="minorHAnsi"/>
                <w:bCs/>
              </w:rPr>
              <w:t xml:space="preserve"> (0.4%)</w:t>
            </w:r>
          </w:p>
        </w:tc>
        <w:tc>
          <w:tcPr>
            <w:tcW w:w="2345" w:type="dxa"/>
            <w:tcBorders>
              <w:bottom w:val="single" w:sz="4" w:space="0" w:color="auto"/>
            </w:tcBorders>
          </w:tcPr>
          <w:p w14:paraId="352D7B9B" w14:textId="77777777" w:rsidR="003C4FA7" w:rsidRPr="00863F09" w:rsidRDefault="003C4FA7" w:rsidP="003C4FA7">
            <w:pPr>
              <w:autoSpaceDE w:val="0"/>
              <w:autoSpaceDN w:val="0"/>
              <w:adjustRightInd w:val="0"/>
              <w:rPr>
                <w:rFonts w:asciiTheme="minorHAnsi" w:hAnsiTheme="minorHAnsi" w:cstheme="minorHAnsi"/>
                <w:bCs/>
              </w:rPr>
            </w:pPr>
          </w:p>
        </w:tc>
        <w:tc>
          <w:tcPr>
            <w:tcW w:w="1530" w:type="dxa"/>
            <w:tcBorders>
              <w:bottom w:val="single" w:sz="4" w:space="0" w:color="auto"/>
            </w:tcBorders>
          </w:tcPr>
          <w:p w14:paraId="2CEBC0E7" w14:textId="77777777" w:rsidR="003C4FA7" w:rsidRPr="00863F09" w:rsidRDefault="003C4FA7" w:rsidP="003C4FA7">
            <w:pPr>
              <w:autoSpaceDE w:val="0"/>
              <w:autoSpaceDN w:val="0"/>
              <w:adjustRightInd w:val="0"/>
              <w:jc w:val="center"/>
              <w:rPr>
                <w:rFonts w:asciiTheme="minorHAnsi" w:hAnsiTheme="minorHAnsi" w:cstheme="minorHAnsi"/>
                <w:bCs/>
              </w:rPr>
            </w:pPr>
          </w:p>
        </w:tc>
      </w:tr>
    </w:tbl>
    <w:p w14:paraId="0C1DD23C" w14:textId="03FB92BB" w:rsidR="001615B2" w:rsidRDefault="001615B2" w:rsidP="001615B2">
      <w:pPr>
        <w:autoSpaceDE w:val="0"/>
        <w:autoSpaceDN w:val="0"/>
        <w:adjustRightInd w:val="0"/>
        <w:spacing w:after="0" w:line="240" w:lineRule="auto"/>
        <w:rPr>
          <w:rFonts w:cstheme="minorHAnsi"/>
          <w:b/>
          <w:bCs/>
        </w:rPr>
      </w:pPr>
      <w:r>
        <w:rPr>
          <w:rFonts w:cstheme="minorHAnsi"/>
          <w:bCs/>
          <w:sz w:val="18"/>
        </w:rPr>
        <w:t>Acumen</w:t>
      </w:r>
      <w:r w:rsidRPr="0090361B">
        <w:rPr>
          <w:rFonts w:cstheme="minorHAnsi"/>
          <w:bCs/>
          <w:sz w:val="18"/>
        </w:rPr>
        <w:t xml:space="preserve"> Analysis of Medicare Claims File for </w:t>
      </w:r>
      <w:r>
        <w:rPr>
          <w:rFonts w:cstheme="minorHAnsi"/>
          <w:bCs/>
          <w:sz w:val="18"/>
        </w:rPr>
        <w:t>HH</w:t>
      </w:r>
      <w:r w:rsidR="00987BCC">
        <w:rPr>
          <w:rFonts w:cstheme="minorHAnsi"/>
          <w:bCs/>
          <w:sz w:val="18"/>
        </w:rPr>
        <w:t xml:space="preserve"> and </w:t>
      </w:r>
      <w:r w:rsidR="00987BCC" w:rsidRPr="00763AA0">
        <w:rPr>
          <w:rFonts w:cstheme="minorHAnsi"/>
          <w:bCs/>
          <w:sz w:val="18"/>
        </w:rPr>
        <w:t>O</w:t>
      </w:r>
      <w:r w:rsidR="00987BCC">
        <w:rPr>
          <w:rFonts w:cstheme="minorHAnsi"/>
          <w:bCs/>
          <w:sz w:val="18"/>
        </w:rPr>
        <w:t>nline</w:t>
      </w:r>
      <w:r w:rsidR="00987BCC" w:rsidRPr="00763AA0">
        <w:rPr>
          <w:rFonts w:cstheme="minorHAnsi"/>
          <w:bCs/>
          <w:sz w:val="18"/>
        </w:rPr>
        <w:t xml:space="preserve"> S</w:t>
      </w:r>
      <w:r w:rsidR="00987BCC">
        <w:rPr>
          <w:rFonts w:cstheme="minorHAnsi"/>
          <w:bCs/>
          <w:sz w:val="18"/>
        </w:rPr>
        <w:t>urvey Certification and Reporting (OSCAR) data</w:t>
      </w:r>
      <w:r w:rsidR="00987BCC" w:rsidRPr="0090361B">
        <w:rPr>
          <w:rFonts w:cstheme="minorHAnsi"/>
          <w:bCs/>
          <w:sz w:val="18"/>
        </w:rPr>
        <w:t>,</w:t>
      </w:r>
      <w:r w:rsidRPr="0090361B">
        <w:rPr>
          <w:rFonts w:cstheme="minorHAnsi"/>
          <w:bCs/>
          <w:sz w:val="18"/>
        </w:rPr>
        <w:t xml:space="preserve"> </w:t>
      </w:r>
      <w:r>
        <w:rPr>
          <w:rFonts w:cstheme="minorHAnsi"/>
          <w:bCs/>
          <w:sz w:val="18"/>
        </w:rPr>
        <w:t>CY</w:t>
      </w:r>
      <w:r w:rsidRPr="0090361B">
        <w:rPr>
          <w:rFonts w:cstheme="minorHAnsi"/>
          <w:bCs/>
          <w:sz w:val="18"/>
        </w:rPr>
        <w:t xml:space="preserve"> 201</w:t>
      </w:r>
      <w:r>
        <w:rPr>
          <w:rFonts w:cstheme="minorHAnsi"/>
          <w:bCs/>
          <w:sz w:val="18"/>
        </w:rPr>
        <w:t>5</w:t>
      </w:r>
      <w:r w:rsidRPr="0090361B">
        <w:rPr>
          <w:rFonts w:cstheme="minorHAnsi"/>
          <w:bCs/>
          <w:sz w:val="18"/>
        </w:rPr>
        <w:t>-201</w:t>
      </w:r>
      <w:r>
        <w:rPr>
          <w:rFonts w:cstheme="minorHAnsi"/>
          <w:bCs/>
          <w:sz w:val="18"/>
        </w:rPr>
        <w:t>6.</w:t>
      </w:r>
    </w:p>
    <w:p w14:paraId="693C8D85" w14:textId="77777777" w:rsidR="00821635" w:rsidRPr="00A25024" w:rsidRDefault="00821635" w:rsidP="00DB3627">
      <w:pPr>
        <w:autoSpaceDE w:val="0"/>
        <w:autoSpaceDN w:val="0"/>
        <w:adjustRightInd w:val="0"/>
        <w:spacing w:after="0" w:line="240" w:lineRule="auto"/>
        <w:rPr>
          <w:rFonts w:cstheme="minorHAnsi"/>
          <w:bCs/>
        </w:rPr>
      </w:pPr>
    </w:p>
    <w:p w14:paraId="530E19E2" w14:textId="77777777" w:rsidR="002C2E09"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3C68231C" w14:textId="77777777" w:rsidR="005834C6" w:rsidRDefault="005834C6" w:rsidP="00DB3627">
      <w:pPr>
        <w:autoSpaceDE w:val="0"/>
        <w:autoSpaceDN w:val="0"/>
        <w:adjustRightInd w:val="0"/>
        <w:spacing w:after="0" w:line="240" w:lineRule="auto"/>
      </w:pPr>
    </w:p>
    <w:p w14:paraId="0217B60D" w14:textId="33669D13" w:rsidR="005834C6" w:rsidRPr="00AC5FAF" w:rsidRDefault="00096CAF" w:rsidP="00DB3627">
      <w:pPr>
        <w:autoSpaceDE w:val="0"/>
        <w:autoSpaceDN w:val="0"/>
        <w:adjustRightInd w:val="0"/>
        <w:spacing w:after="0" w:line="240" w:lineRule="auto"/>
        <w:rPr>
          <w:b/>
        </w:rPr>
      </w:pPr>
      <w:r>
        <w:t xml:space="preserve">Measure specification and testing was based on national data. All eligible HH patient stays discharged between January 1, 2015 and </w:t>
      </w:r>
      <w:r w:rsidR="00B86735">
        <w:t>December</w:t>
      </w:r>
      <w:r>
        <w:t xml:space="preserve"> 31, 2016 were included in the measure. </w:t>
      </w:r>
      <w:r w:rsidR="009F60D4">
        <w:t>This was</w:t>
      </w:r>
      <w:r w:rsidR="00C85ED0">
        <w:t xml:space="preserve"> the most recent data </w:t>
      </w:r>
      <w:r w:rsidR="009F60D4">
        <w:t xml:space="preserve">time range that was </w:t>
      </w:r>
      <w:r w:rsidR="00C85ED0">
        <w:t xml:space="preserve">available </w:t>
      </w:r>
      <w:r w:rsidR="009F60D4">
        <w:t>for measure testing</w:t>
      </w:r>
      <w:r w:rsidR="00C85ED0">
        <w:t xml:space="preserve">. </w:t>
      </w:r>
      <w:r>
        <w:rPr>
          <w:rStyle w:val="areply"/>
        </w:rPr>
        <w:t xml:space="preserve">For patients with multiple HH stays in the measure calculation period, all eligible stays were included. </w:t>
      </w:r>
      <w:r>
        <w:t xml:space="preserve">A total of </w:t>
      </w:r>
      <w:r w:rsidR="00673EE5" w:rsidRPr="00413EED">
        <w:rPr>
          <w:bCs/>
          <w:color w:val="000000"/>
        </w:rPr>
        <w:t>6,279,286</w:t>
      </w:r>
      <w:r w:rsidR="00673EE5">
        <w:rPr>
          <w:b/>
          <w:bCs/>
          <w:color w:val="000000"/>
        </w:rPr>
        <w:t xml:space="preserve"> </w:t>
      </w:r>
      <w:r>
        <w:rPr>
          <w:rStyle w:val="areply"/>
        </w:rPr>
        <w:t xml:space="preserve">patient stays were included in measure specification, testing, and analyses with differences noted </w:t>
      </w:r>
      <w:r w:rsidR="00413EED">
        <w:rPr>
          <w:rStyle w:val="areply"/>
        </w:rPr>
        <w:t>in section</w:t>
      </w:r>
      <w:r w:rsidR="00413EED" w:rsidRPr="00413EED">
        <w:rPr>
          <w:rStyle w:val="areply"/>
        </w:rPr>
        <w:t xml:space="preserve"> </w:t>
      </w:r>
      <w:r w:rsidRPr="001E5584">
        <w:rPr>
          <w:rStyle w:val="areply"/>
          <w:b/>
        </w:rPr>
        <w:t>1.7</w:t>
      </w:r>
      <w:r>
        <w:rPr>
          <w:rStyle w:val="areply"/>
        </w:rPr>
        <w:t xml:space="preserve">. These eligible stays are referred to as index </w:t>
      </w:r>
      <w:r w:rsidR="00EB2B9E">
        <w:rPr>
          <w:rStyle w:val="areply"/>
        </w:rPr>
        <w:t>HH stays</w:t>
      </w:r>
      <w:r>
        <w:rPr>
          <w:rStyle w:val="areply"/>
        </w:rPr>
        <w:t xml:space="preserve">. </w:t>
      </w:r>
      <w:r w:rsidRPr="00413EED">
        <w:rPr>
          <w:b/>
        </w:rPr>
        <w:t>Table 2</w:t>
      </w:r>
      <w:r w:rsidRPr="00A41698">
        <w:t xml:space="preserve"> presents </w:t>
      </w:r>
      <w:r>
        <w:t xml:space="preserve">demographic </w:t>
      </w:r>
      <w:r w:rsidRPr="00A41698">
        <w:t xml:space="preserve">characteristics </w:t>
      </w:r>
      <w:r>
        <w:t>of the patient stays included in measure specification and testing.</w:t>
      </w:r>
      <w:r w:rsidRPr="00A41698">
        <w:t xml:space="preserve"> </w:t>
      </w:r>
      <w:r w:rsidRPr="007D3664">
        <w:t xml:space="preserve">Additional characteristics, </w:t>
      </w:r>
      <w:r>
        <w:t xml:space="preserve">including but not </w:t>
      </w:r>
      <w:r>
        <w:lastRenderedPageBreak/>
        <w:t xml:space="preserve">limited to principal </w:t>
      </w:r>
      <w:r w:rsidRPr="007D3664">
        <w:t xml:space="preserve">diagnoses, </w:t>
      </w:r>
      <w:r>
        <w:t xml:space="preserve">comorbidities, and prior service use </w:t>
      </w:r>
      <w:r w:rsidRPr="007D3664">
        <w:t xml:space="preserve">are available in </w:t>
      </w:r>
      <w:r w:rsidR="00426BC1">
        <w:rPr>
          <w:rFonts w:cstheme="minorHAnsi"/>
          <w:b/>
        </w:rPr>
        <w:t>attached excel document</w:t>
      </w:r>
      <w:r w:rsidR="00426BC1" w:rsidRPr="005029B4">
        <w:rPr>
          <w:rFonts w:cstheme="minorHAnsi"/>
          <w:b/>
        </w:rPr>
        <w:t>.</w:t>
      </w:r>
      <w:r>
        <w:rPr>
          <w:b/>
        </w:rPr>
        <w:t xml:space="preserve"> </w:t>
      </w:r>
      <w:r>
        <w:t>Throughout this form, we use “</w:t>
      </w:r>
      <w:r w:rsidRPr="006045D3">
        <w:rPr>
          <w:i/>
        </w:rPr>
        <w:t>N</w:t>
      </w:r>
      <w:r>
        <w:t>” to refer to number of patient stays.</w:t>
      </w:r>
    </w:p>
    <w:p w14:paraId="1B3ABA72" w14:textId="77777777" w:rsidR="005834C6" w:rsidRDefault="005834C6" w:rsidP="00DB3627">
      <w:pPr>
        <w:autoSpaceDE w:val="0"/>
        <w:autoSpaceDN w:val="0"/>
        <w:adjustRightInd w:val="0"/>
        <w:spacing w:after="0" w:line="240" w:lineRule="auto"/>
      </w:pPr>
    </w:p>
    <w:p w14:paraId="6D571B09" w14:textId="11A33F65" w:rsidR="005834C6" w:rsidRPr="00514842" w:rsidRDefault="005834C6" w:rsidP="00173658">
      <w:pPr>
        <w:autoSpaceDE w:val="0"/>
        <w:autoSpaceDN w:val="0"/>
        <w:adjustRightInd w:val="0"/>
        <w:spacing w:after="0" w:line="240" w:lineRule="auto"/>
        <w:jc w:val="center"/>
        <w:rPr>
          <w:rFonts w:cstheme="minorHAnsi"/>
          <w:bCs/>
        </w:rPr>
      </w:pPr>
      <w:r w:rsidRPr="005B22FB">
        <w:rPr>
          <w:b/>
        </w:rPr>
        <w:t>Table 2</w:t>
      </w:r>
      <w:r>
        <w:rPr>
          <w:b/>
        </w:rPr>
        <w:t>.</w:t>
      </w:r>
      <w:r w:rsidRPr="00A41698">
        <w:t xml:space="preserve"> </w:t>
      </w:r>
      <w:r w:rsidRPr="00C857D8">
        <w:rPr>
          <w:b/>
        </w:rPr>
        <w:t xml:space="preserve">Demographic Characteristics of HH Patient Stays Included in Specification and Testing of the </w:t>
      </w:r>
      <w:r w:rsidRPr="00C857D8">
        <w:rPr>
          <w:rFonts w:cstheme="minorHAnsi"/>
          <w:b/>
          <w:bCs/>
        </w:rPr>
        <w:t>Discharge to</w:t>
      </w:r>
      <w:r w:rsidR="005160F0">
        <w:rPr>
          <w:rFonts w:cstheme="minorHAnsi"/>
          <w:b/>
          <w:bCs/>
        </w:rPr>
        <w:t xml:space="preserve"> Community-PAC HH QRP Measure (N</w:t>
      </w:r>
      <w:r w:rsidRPr="00C857D8">
        <w:rPr>
          <w:rFonts w:cstheme="minorHAnsi"/>
          <w:b/>
          <w:bCs/>
        </w:rPr>
        <w:t xml:space="preserve"> = </w:t>
      </w:r>
      <w:r w:rsidR="00EB2B9E" w:rsidRPr="00C857D8">
        <w:rPr>
          <w:b/>
          <w:bCs/>
          <w:color w:val="000000"/>
        </w:rPr>
        <w:t>6,279,</w:t>
      </w:r>
      <w:r w:rsidR="00750B6F" w:rsidRPr="00750B6F">
        <w:rPr>
          <w:b/>
          <w:bCs/>
          <w:color w:val="000000"/>
        </w:rPr>
        <w:t xml:space="preserve"> </w:t>
      </w:r>
      <w:r w:rsidR="00750B6F" w:rsidRPr="00C857D8">
        <w:rPr>
          <w:b/>
          <w:bCs/>
          <w:color w:val="000000"/>
        </w:rPr>
        <w:t>286</w:t>
      </w:r>
      <w:r w:rsidR="00EB2B9E" w:rsidRPr="00C857D8">
        <w:rPr>
          <w:b/>
          <w:bCs/>
          <w:color w:val="000000"/>
        </w:rPr>
        <w:t>)</w:t>
      </w:r>
    </w:p>
    <w:tbl>
      <w:tblPr>
        <w:tblStyle w:val="ListTable6Colorful"/>
        <w:tblW w:w="0" w:type="auto"/>
        <w:jc w:val="center"/>
        <w:tblLook w:val="06A0" w:firstRow="1" w:lastRow="0" w:firstColumn="1" w:lastColumn="0" w:noHBand="1" w:noVBand="1"/>
      </w:tblPr>
      <w:tblGrid>
        <w:gridCol w:w="2319"/>
        <w:gridCol w:w="1909"/>
        <w:gridCol w:w="1468"/>
        <w:gridCol w:w="1875"/>
        <w:gridCol w:w="1789"/>
      </w:tblGrid>
      <w:tr w:rsidR="00C85ED0" w:rsidRPr="00514842" w14:paraId="5DE475C3" w14:textId="0EE5EA07" w:rsidTr="00C85ED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19" w:type="dxa"/>
          </w:tcPr>
          <w:p w14:paraId="5960AF6F" w14:textId="77777777" w:rsidR="00C85ED0" w:rsidRPr="00514842" w:rsidRDefault="00C85ED0" w:rsidP="007C7E7C">
            <w:pPr>
              <w:autoSpaceDE w:val="0"/>
              <w:autoSpaceDN w:val="0"/>
              <w:adjustRightInd w:val="0"/>
              <w:rPr>
                <w:rFonts w:cstheme="minorHAnsi"/>
                <w:bCs w:val="0"/>
                <w:color w:val="auto"/>
              </w:rPr>
            </w:pPr>
            <w:r>
              <w:rPr>
                <w:rFonts w:cstheme="minorHAnsi"/>
                <w:bCs w:val="0"/>
                <w:color w:val="auto"/>
              </w:rPr>
              <w:t>Characteristic</w:t>
            </w:r>
          </w:p>
        </w:tc>
        <w:tc>
          <w:tcPr>
            <w:tcW w:w="1909" w:type="dxa"/>
          </w:tcPr>
          <w:p w14:paraId="6D37147B" w14:textId="77777777" w:rsidR="00C85ED0" w:rsidRPr="00514842" w:rsidRDefault="00C85ED0" w:rsidP="007C7E7C">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cstheme="minorHAnsi"/>
                <w:b w:val="0"/>
              </w:rPr>
            </w:pPr>
            <w:r>
              <w:rPr>
                <w:rFonts w:cstheme="minorHAnsi"/>
              </w:rPr>
              <w:t>N (%)</w:t>
            </w:r>
          </w:p>
        </w:tc>
        <w:tc>
          <w:tcPr>
            <w:tcW w:w="1468" w:type="dxa"/>
          </w:tcPr>
          <w:p w14:paraId="7519A6BF" w14:textId="77777777" w:rsidR="00C85ED0" w:rsidRPr="00514842" w:rsidRDefault="00C85ED0" w:rsidP="007C7E7C">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cstheme="minorHAnsi"/>
                <w:bCs w:val="0"/>
                <w:color w:val="auto"/>
              </w:rPr>
            </w:pPr>
            <w:r>
              <w:rPr>
                <w:rFonts w:cstheme="minorHAnsi"/>
                <w:bCs w:val="0"/>
                <w:color w:val="auto"/>
              </w:rPr>
              <w:t>Characteristic</w:t>
            </w:r>
          </w:p>
        </w:tc>
        <w:tc>
          <w:tcPr>
            <w:tcW w:w="1875" w:type="dxa"/>
          </w:tcPr>
          <w:p w14:paraId="741ED529" w14:textId="77777777" w:rsidR="00C85ED0" w:rsidRPr="00EB11EF" w:rsidRDefault="00C85ED0" w:rsidP="007C7E7C">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cstheme="minorHAnsi"/>
              </w:rPr>
            </w:pPr>
            <w:r w:rsidRPr="00EB11EF">
              <w:rPr>
                <w:rFonts w:cstheme="minorHAnsi"/>
              </w:rPr>
              <w:t>N (%)</w:t>
            </w:r>
          </w:p>
        </w:tc>
        <w:tc>
          <w:tcPr>
            <w:tcW w:w="1789" w:type="dxa"/>
          </w:tcPr>
          <w:p w14:paraId="254FC7DD" w14:textId="77777777" w:rsidR="00C85ED0" w:rsidRPr="00EB11EF" w:rsidRDefault="00C85ED0" w:rsidP="007C7E7C">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cstheme="minorHAnsi"/>
              </w:rPr>
            </w:pPr>
          </w:p>
        </w:tc>
      </w:tr>
      <w:tr w:rsidR="00C85ED0" w:rsidRPr="00514842" w14:paraId="79F053E9" w14:textId="00B34168" w:rsidTr="00C85ED0">
        <w:trPr>
          <w:jc w:val="center"/>
        </w:trPr>
        <w:tc>
          <w:tcPr>
            <w:cnfStyle w:val="001000000000" w:firstRow="0" w:lastRow="0" w:firstColumn="1" w:lastColumn="0" w:oddVBand="0" w:evenVBand="0" w:oddHBand="0" w:evenHBand="0" w:firstRowFirstColumn="0" w:firstRowLastColumn="0" w:lastRowFirstColumn="0" w:lastRowLastColumn="0"/>
            <w:tcW w:w="2319" w:type="dxa"/>
          </w:tcPr>
          <w:p w14:paraId="20869B06" w14:textId="77777777" w:rsidR="00C85ED0" w:rsidRPr="00514842" w:rsidRDefault="00C85ED0" w:rsidP="007C7E7C">
            <w:pPr>
              <w:autoSpaceDE w:val="0"/>
              <w:autoSpaceDN w:val="0"/>
              <w:adjustRightInd w:val="0"/>
              <w:rPr>
                <w:rFonts w:cstheme="minorHAnsi"/>
                <w:bCs w:val="0"/>
                <w:color w:val="auto"/>
              </w:rPr>
            </w:pPr>
            <w:r w:rsidRPr="00514842">
              <w:rPr>
                <w:rFonts w:cstheme="minorHAnsi"/>
                <w:bCs w:val="0"/>
                <w:color w:val="auto"/>
              </w:rPr>
              <w:t>Male</w:t>
            </w:r>
          </w:p>
        </w:tc>
        <w:tc>
          <w:tcPr>
            <w:tcW w:w="1909" w:type="dxa"/>
          </w:tcPr>
          <w:p w14:paraId="66F5FF35" w14:textId="6B30D45E" w:rsidR="00C85ED0" w:rsidRPr="00514842" w:rsidRDefault="00C85ED0" w:rsidP="007C7E7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theme="minorHAnsi"/>
                <w:bCs/>
                <w:color w:val="auto"/>
              </w:rPr>
            </w:pPr>
            <w:r>
              <w:rPr>
                <w:color w:val="000000"/>
              </w:rPr>
              <w:t>2,338,796 (37.2%)</w:t>
            </w:r>
          </w:p>
        </w:tc>
        <w:tc>
          <w:tcPr>
            <w:tcW w:w="1468" w:type="dxa"/>
          </w:tcPr>
          <w:p w14:paraId="064C7FC8" w14:textId="77777777" w:rsidR="00C85ED0" w:rsidRPr="00986495" w:rsidRDefault="00C85ED0" w:rsidP="007C7E7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theme="minorHAnsi"/>
                <w:b/>
                <w:color w:val="auto"/>
              </w:rPr>
            </w:pPr>
            <w:r w:rsidRPr="00986495">
              <w:rPr>
                <w:rFonts w:cstheme="minorHAnsi"/>
                <w:b/>
                <w:bCs/>
                <w:color w:val="auto"/>
              </w:rPr>
              <w:t>Race</w:t>
            </w:r>
          </w:p>
        </w:tc>
        <w:tc>
          <w:tcPr>
            <w:tcW w:w="1875" w:type="dxa"/>
          </w:tcPr>
          <w:p w14:paraId="3FCEC1DF" w14:textId="77777777" w:rsidR="00C85ED0" w:rsidRPr="00514842" w:rsidRDefault="00C85ED0" w:rsidP="007C7E7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theme="minorHAnsi"/>
              </w:rPr>
            </w:pPr>
          </w:p>
        </w:tc>
        <w:tc>
          <w:tcPr>
            <w:tcW w:w="1789" w:type="dxa"/>
          </w:tcPr>
          <w:p w14:paraId="77E0D745" w14:textId="77777777" w:rsidR="00C85ED0" w:rsidRPr="00514842" w:rsidRDefault="00C85ED0" w:rsidP="007C7E7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theme="minorHAnsi"/>
              </w:rPr>
            </w:pPr>
          </w:p>
        </w:tc>
      </w:tr>
      <w:tr w:rsidR="00C85ED0" w:rsidRPr="00514842" w14:paraId="0AA2074E" w14:textId="07AF5D85" w:rsidTr="00C85ED0">
        <w:trPr>
          <w:jc w:val="center"/>
        </w:trPr>
        <w:tc>
          <w:tcPr>
            <w:cnfStyle w:val="001000000000" w:firstRow="0" w:lastRow="0" w:firstColumn="1" w:lastColumn="0" w:oddVBand="0" w:evenVBand="0" w:oddHBand="0" w:evenHBand="0" w:firstRowFirstColumn="0" w:firstRowLastColumn="0" w:lastRowFirstColumn="0" w:lastRowLastColumn="0"/>
            <w:tcW w:w="2319" w:type="dxa"/>
          </w:tcPr>
          <w:p w14:paraId="13D011ED" w14:textId="77777777" w:rsidR="00C85ED0" w:rsidRPr="00514842" w:rsidRDefault="00C85ED0" w:rsidP="007C7E7C">
            <w:pPr>
              <w:autoSpaceDE w:val="0"/>
              <w:autoSpaceDN w:val="0"/>
              <w:adjustRightInd w:val="0"/>
              <w:rPr>
                <w:rFonts w:cstheme="minorHAnsi"/>
                <w:bCs w:val="0"/>
                <w:color w:val="auto"/>
              </w:rPr>
            </w:pPr>
            <w:r w:rsidRPr="00514842">
              <w:rPr>
                <w:rFonts w:cstheme="minorHAnsi"/>
                <w:bCs w:val="0"/>
                <w:color w:val="auto"/>
              </w:rPr>
              <w:t>Female</w:t>
            </w:r>
          </w:p>
        </w:tc>
        <w:tc>
          <w:tcPr>
            <w:tcW w:w="1909" w:type="dxa"/>
          </w:tcPr>
          <w:p w14:paraId="304C6360" w14:textId="7CF61810" w:rsidR="00C85ED0" w:rsidRPr="00514842" w:rsidRDefault="00C85ED0" w:rsidP="007C7E7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theme="minorHAnsi"/>
                <w:bCs/>
                <w:color w:val="auto"/>
              </w:rPr>
            </w:pPr>
            <w:r>
              <w:rPr>
                <w:color w:val="000000"/>
              </w:rPr>
              <w:t>3,940,490 (62.8%)</w:t>
            </w:r>
          </w:p>
        </w:tc>
        <w:tc>
          <w:tcPr>
            <w:tcW w:w="1468" w:type="dxa"/>
          </w:tcPr>
          <w:p w14:paraId="7D8D2F24" w14:textId="77777777" w:rsidR="00C85ED0" w:rsidRPr="00514842" w:rsidRDefault="00C85ED0" w:rsidP="007C7E7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theme="minorHAnsi"/>
                <w:color w:val="auto"/>
              </w:rPr>
            </w:pPr>
            <w:r>
              <w:rPr>
                <w:rFonts w:cstheme="minorHAnsi"/>
                <w:bCs/>
                <w:color w:val="auto"/>
              </w:rPr>
              <w:t xml:space="preserve">   </w:t>
            </w:r>
            <w:r w:rsidRPr="00514842">
              <w:rPr>
                <w:rFonts w:cstheme="minorHAnsi"/>
                <w:bCs/>
                <w:color w:val="auto"/>
              </w:rPr>
              <w:t>White</w:t>
            </w:r>
          </w:p>
        </w:tc>
        <w:tc>
          <w:tcPr>
            <w:tcW w:w="1875" w:type="dxa"/>
          </w:tcPr>
          <w:p w14:paraId="2C566D0B" w14:textId="5DA4709C" w:rsidR="00C85ED0" w:rsidRPr="00514842" w:rsidRDefault="00C85ED0" w:rsidP="007C7E7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theme="minorHAnsi"/>
              </w:rPr>
            </w:pPr>
            <w:r>
              <w:rPr>
                <w:color w:val="000000"/>
              </w:rPr>
              <w:t>5,156,630 (82.1%)</w:t>
            </w:r>
          </w:p>
        </w:tc>
        <w:tc>
          <w:tcPr>
            <w:tcW w:w="1789" w:type="dxa"/>
          </w:tcPr>
          <w:p w14:paraId="6DA36219" w14:textId="77777777" w:rsidR="00C85ED0" w:rsidRDefault="00C85ED0" w:rsidP="007C7E7C">
            <w:pPr>
              <w:autoSpaceDE w:val="0"/>
              <w:autoSpaceDN w:val="0"/>
              <w:adjustRightInd w:val="0"/>
              <w:cnfStyle w:val="000000000000" w:firstRow="0" w:lastRow="0" w:firstColumn="0" w:lastColumn="0" w:oddVBand="0" w:evenVBand="0" w:oddHBand="0" w:evenHBand="0" w:firstRowFirstColumn="0" w:firstRowLastColumn="0" w:lastRowFirstColumn="0" w:lastRowLastColumn="0"/>
              <w:rPr>
                <w:color w:val="000000"/>
              </w:rPr>
            </w:pPr>
          </w:p>
        </w:tc>
      </w:tr>
      <w:tr w:rsidR="00C85ED0" w:rsidRPr="00514842" w14:paraId="49A4F304" w14:textId="2FF74E6C" w:rsidTr="00C85ED0">
        <w:trPr>
          <w:jc w:val="center"/>
        </w:trPr>
        <w:tc>
          <w:tcPr>
            <w:cnfStyle w:val="001000000000" w:firstRow="0" w:lastRow="0" w:firstColumn="1" w:lastColumn="0" w:oddVBand="0" w:evenVBand="0" w:oddHBand="0" w:evenHBand="0" w:firstRowFirstColumn="0" w:firstRowLastColumn="0" w:lastRowFirstColumn="0" w:lastRowLastColumn="0"/>
            <w:tcW w:w="2319" w:type="dxa"/>
          </w:tcPr>
          <w:p w14:paraId="04FEF9AE" w14:textId="77777777" w:rsidR="00C85ED0" w:rsidRPr="00514842" w:rsidRDefault="00C85ED0" w:rsidP="007C7E7C">
            <w:pPr>
              <w:autoSpaceDE w:val="0"/>
              <w:autoSpaceDN w:val="0"/>
              <w:adjustRightInd w:val="0"/>
              <w:rPr>
                <w:rFonts w:cstheme="minorHAnsi"/>
                <w:bCs w:val="0"/>
                <w:color w:val="auto"/>
              </w:rPr>
            </w:pPr>
            <w:r w:rsidRPr="00D93BC4">
              <w:t>Male &lt; 65</w:t>
            </w:r>
          </w:p>
        </w:tc>
        <w:tc>
          <w:tcPr>
            <w:tcW w:w="1909" w:type="dxa"/>
          </w:tcPr>
          <w:p w14:paraId="44BD407B" w14:textId="6B288F21" w:rsidR="00C85ED0" w:rsidRPr="00514842" w:rsidRDefault="00C85ED0" w:rsidP="007C7E7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theme="minorHAnsi"/>
                <w:bCs/>
                <w:color w:val="auto"/>
              </w:rPr>
            </w:pPr>
            <w:r>
              <w:rPr>
                <w:rFonts w:cstheme="minorHAnsi"/>
                <w:bCs/>
              </w:rPr>
              <w:t>345,496 (5.5%)</w:t>
            </w:r>
          </w:p>
        </w:tc>
        <w:tc>
          <w:tcPr>
            <w:tcW w:w="1468" w:type="dxa"/>
          </w:tcPr>
          <w:p w14:paraId="2B5F9856" w14:textId="77777777" w:rsidR="00C85ED0" w:rsidRPr="00514842" w:rsidRDefault="00C85ED0" w:rsidP="007C7E7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theme="minorHAnsi"/>
                <w:color w:val="auto"/>
              </w:rPr>
            </w:pPr>
            <w:r>
              <w:rPr>
                <w:rFonts w:cstheme="minorHAnsi"/>
                <w:bCs/>
                <w:color w:val="auto"/>
              </w:rPr>
              <w:t xml:space="preserve">   </w:t>
            </w:r>
            <w:r w:rsidRPr="00514842">
              <w:rPr>
                <w:rFonts w:cstheme="minorHAnsi"/>
                <w:bCs/>
                <w:color w:val="auto"/>
              </w:rPr>
              <w:t>Black</w:t>
            </w:r>
          </w:p>
        </w:tc>
        <w:tc>
          <w:tcPr>
            <w:tcW w:w="1875" w:type="dxa"/>
          </w:tcPr>
          <w:p w14:paraId="0D63D311" w14:textId="3907C4E6" w:rsidR="00C85ED0" w:rsidRPr="00D93BC4" w:rsidRDefault="00C85ED0" w:rsidP="009C5142">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Pr>
                <w:color w:val="000000"/>
              </w:rPr>
              <w:t>744,178 (11.9%)</w:t>
            </w:r>
          </w:p>
        </w:tc>
        <w:tc>
          <w:tcPr>
            <w:tcW w:w="1789" w:type="dxa"/>
          </w:tcPr>
          <w:p w14:paraId="3D884A18" w14:textId="77777777" w:rsidR="00C85ED0" w:rsidRDefault="00C85ED0" w:rsidP="009C5142">
            <w:pPr>
              <w:autoSpaceDE w:val="0"/>
              <w:autoSpaceDN w:val="0"/>
              <w:adjustRightInd w:val="0"/>
              <w:cnfStyle w:val="000000000000" w:firstRow="0" w:lastRow="0" w:firstColumn="0" w:lastColumn="0" w:oddVBand="0" w:evenVBand="0" w:oddHBand="0" w:evenHBand="0" w:firstRowFirstColumn="0" w:firstRowLastColumn="0" w:lastRowFirstColumn="0" w:lastRowLastColumn="0"/>
              <w:rPr>
                <w:color w:val="000000"/>
              </w:rPr>
            </w:pPr>
          </w:p>
        </w:tc>
      </w:tr>
      <w:tr w:rsidR="00C85ED0" w:rsidRPr="00514842" w14:paraId="7AD3412B" w14:textId="308F51C9" w:rsidTr="00C85ED0">
        <w:trPr>
          <w:jc w:val="center"/>
        </w:trPr>
        <w:tc>
          <w:tcPr>
            <w:cnfStyle w:val="001000000000" w:firstRow="0" w:lastRow="0" w:firstColumn="1" w:lastColumn="0" w:oddVBand="0" w:evenVBand="0" w:oddHBand="0" w:evenHBand="0" w:firstRowFirstColumn="0" w:firstRowLastColumn="0" w:lastRowFirstColumn="0" w:lastRowLastColumn="0"/>
            <w:tcW w:w="2319" w:type="dxa"/>
          </w:tcPr>
          <w:p w14:paraId="580BB100" w14:textId="77777777" w:rsidR="00C85ED0" w:rsidRPr="00514842" w:rsidRDefault="00C85ED0" w:rsidP="007C7E7C">
            <w:pPr>
              <w:autoSpaceDE w:val="0"/>
              <w:autoSpaceDN w:val="0"/>
              <w:adjustRightInd w:val="0"/>
              <w:rPr>
                <w:rFonts w:cstheme="minorHAnsi"/>
                <w:bCs w:val="0"/>
              </w:rPr>
            </w:pPr>
            <w:r w:rsidRPr="001B50B4">
              <w:t>Female &lt; 65</w:t>
            </w:r>
          </w:p>
        </w:tc>
        <w:tc>
          <w:tcPr>
            <w:tcW w:w="1909" w:type="dxa"/>
          </w:tcPr>
          <w:p w14:paraId="539230F4" w14:textId="63AE385B" w:rsidR="00C85ED0" w:rsidRPr="00514842" w:rsidRDefault="00C85ED0" w:rsidP="007C7E7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theme="minorHAnsi"/>
                <w:bCs/>
              </w:rPr>
            </w:pPr>
            <w:r>
              <w:rPr>
                <w:rFonts w:cstheme="minorHAnsi"/>
                <w:bCs/>
              </w:rPr>
              <w:t>411,993 (6.6%)</w:t>
            </w:r>
          </w:p>
        </w:tc>
        <w:tc>
          <w:tcPr>
            <w:tcW w:w="1468" w:type="dxa"/>
          </w:tcPr>
          <w:p w14:paraId="2A6CE652" w14:textId="77777777" w:rsidR="00C85ED0" w:rsidRPr="00514842" w:rsidRDefault="00C85ED0" w:rsidP="007C7E7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bCs/>
                <w:color w:val="auto"/>
              </w:rPr>
              <w:t xml:space="preserve">   </w:t>
            </w:r>
            <w:r w:rsidRPr="00514842">
              <w:rPr>
                <w:rFonts w:cstheme="minorHAnsi"/>
                <w:bCs/>
                <w:color w:val="auto"/>
              </w:rPr>
              <w:t>Other</w:t>
            </w:r>
          </w:p>
        </w:tc>
        <w:tc>
          <w:tcPr>
            <w:tcW w:w="1875" w:type="dxa"/>
          </w:tcPr>
          <w:p w14:paraId="2ECC9DEC" w14:textId="3CCC6BA5" w:rsidR="00C85ED0" w:rsidRPr="001B50B4" w:rsidRDefault="00C85ED0" w:rsidP="007C7E7C">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Pr>
                <w:color w:val="000000"/>
              </w:rPr>
              <w:t>378,478 (6.0%)</w:t>
            </w:r>
          </w:p>
        </w:tc>
        <w:tc>
          <w:tcPr>
            <w:tcW w:w="1789" w:type="dxa"/>
          </w:tcPr>
          <w:p w14:paraId="05416869" w14:textId="77777777" w:rsidR="00C85ED0" w:rsidRDefault="00C85ED0" w:rsidP="007C7E7C">
            <w:pPr>
              <w:autoSpaceDE w:val="0"/>
              <w:autoSpaceDN w:val="0"/>
              <w:adjustRightInd w:val="0"/>
              <w:cnfStyle w:val="000000000000" w:firstRow="0" w:lastRow="0" w:firstColumn="0" w:lastColumn="0" w:oddVBand="0" w:evenVBand="0" w:oddHBand="0" w:evenHBand="0" w:firstRowFirstColumn="0" w:firstRowLastColumn="0" w:lastRowFirstColumn="0" w:lastRowLastColumn="0"/>
              <w:rPr>
                <w:color w:val="000000"/>
              </w:rPr>
            </w:pPr>
          </w:p>
        </w:tc>
      </w:tr>
    </w:tbl>
    <w:p w14:paraId="2E4A7D33" w14:textId="4D453D57" w:rsidR="007422FD" w:rsidRDefault="00447FDA" w:rsidP="00DB3627">
      <w:pPr>
        <w:autoSpaceDE w:val="0"/>
        <w:autoSpaceDN w:val="0"/>
        <w:adjustRightInd w:val="0"/>
        <w:spacing w:after="0" w:line="240" w:lineRule="auto"/>
        <w:rPr>
          <w:rFonts w:cstheme="minorHAnsi"/>
          <w:bCs/>
        </w:rPr>
      </w:pPr>
      <w:r>
        <w:rPr>
          <w:rFonts w:cstheme="minorHAnsi"/>
          <w:bCs/>
          <w:sz w:val="18"/>
        </w:rPr>
        <w:t>Acumen</w:t>
      </w:r>
      <w:r w:rsidRPr="0090361B">
        <w:rPr>
          <w:rFonts w:cstheme="minorHAnsi"/>
          <w:bCs/>
          <w:sz w:val="18"/>
        </w:rPr>
        <w:t xml:space="preserve"> Analysis of Medicare Claims File for </w:t>
      </w:r>
      <w:r>
        <w:rPr>
          <w:rFonts w:cstheme="minorHAnsi"/>
          <w:bCs/>
          <w:sz w:val="18"/>
        </w:rPr>
        <w:t>HH</w:t>
      </w:r>
      <w:r w:rsidRPr="0090361B">
        <w:rPr>
          <w:rFonts w:cstheme="minorHAnsi"/>
          <w:bCs/>
          <w:sz w:val="18"/>
        </w:rPr>
        <w:t xml:space="preserve">, </w:t>
      </w:r>
      <w:r>
        <w:rPr>
          <w:rFonts w:cstheme="minorHAnsi"/>
          <w:bCs/>
          <w:sz w:val="18"/>
        </w:rPr>
        <w:t>CY</w:t>
      </w:r>
      <w:r w:rsidRPr="0090361B">
        <w:rPr>
          <w:rFonts w:cstheme="minorHAnsi"/>
          <w:bCs/>
          <w:sz w:val="18"/>
        </w:rPr>
        <w:t xml:space="preserve"> 201</w:t>
      </w:r>
      <w:r>
        <w:rPr>
          <w:rFonts w:cstheme="minorHAnsi"/>
          <w:bCs/>
          <w:sz w:val="18"/>
        </w:rPr>
        <w:t>5</w:t>
      </w:r>
      <w:r w:rsidRPr="0090361B">
        <w:rPr>
          <w:rFonts w:cstheme="minorHAnsi"/>
          <w:bCs/>
          <w:sz w:val="18"/>
        </w:rPr>
        <w:t>-201</w:t>
      </w:r>
      <w:r>
        <w:rPr>
          <w:rFonts w:cstheme="minorHAnsi"/>
          <w:bCs/>
          <w:sz w:val="18"/>
        </w:rPr>
        <w:t>6.</w:t>
      </w:r>
      <w:r w:rsidR="007422FD" w:rsidRPr="00A25024">
        <w:rPr>
          <w:rFonts w:cstheme="minorHAnsi"/>
          <w:bCs/>
        </w:rPr>
        <w:br/>
      </w:r>
    </w:p>
    <w:p w14:paraId="7AB1E44B" w14:textId="77777777"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5205C0E3" w14:textId="77777777" w:rsidR="00F368B6" w:rsidRPr="00BF17A6" w:rsidRDefault="00F368B6" w:rsidP="00E37E1B">
      <w:pPr>
        <w:autoSpaceDE w:val="0"/>
        <w:autoSpaceDN w:val="0"/>
        <w:adjustRightInd w:val="0"/>
        <w:spacing w:after="0" w:line="240" w:lineRule="auto"/>
        <w:rPr>
          <w:rFonts w:cstheme="minorHAnsi"/>
          <w:bCs/>
          <w:color w:val="C00000"/>
        </w:rPr>
      </w:pPr>
    </w:p>
    <w:p w14:paraId="450AC1B0" w14:textId="77777777" w:rsidR="00857F49" w:rsidRPr="00E86E46" w:rsidRDefault="009C5142" w:rsidP="00DC352C">
      <w:pPr>
        <w:autoSpaceDE w:val="0"/>
        <w:autoSpaceDN w:val="0"/>
        <w:adjustRightInd w:val="0"/>
        <w:spacing w:after="0" w:line="240" w:lineRule="auto"/>
        <w:rPr>
          <w:rFonts w:cstheme="minorHAnsi"/>
          <w:bCs/>
        </w:rPr>
      </w:pPr>
      <w:r w:rsidRPr="00E86E46">
        <w:rPr>
          <w:rFonts w:cstheme="minorHAnsi"/>
          <w:bCs/>
        </w:rPr>
        <w:t>The 6,279,286 patient stays at the 11,674 Home Health Agencies described above were included in all aspects of measure testing, with differences described below.</w:t>
      </w:r>
      <w:r w:rsidR="00E23B36" w:rsidRPr="00E86E46">
        <w:rPr>
          <w:rFonts w:cstheme="minorHAnsi"/>
          <w:bCs/>
        </w:rPr>
        <w:t xml:space="preserve"> </w:t>
      </w:r>
    </w:p>
    <w:p w14:paraId="76181DED" w14:textId="5D26444D" w:rsidR="0000142A" w:rsidRPr="00DC352C" w:rsidRDefault="00C85ED0" w:rsidP="00B84EF9">
      <w:pPr>
        <w:pStyle w:val="ListParagraph"/>
        <w:numPr>
          <w:ilvl w:val="0"/>
          <w:numId w:val="22"/>
        </w:numPr>
        <w:autoSpaceDE w:val="0"/>
        <w:autoSpaceDN w:val="0"/>
        <w:adjustRightInd w:val="0"/>
        <w:spacing w:after="0" w:line="240" w:lineRule="auto"/>
        <w:rPr>
          <w:rFonts w:cstheme="minorHAnsi"/>
          <w:bCs/>
        </w:rPr>
      </w:pPr>
      <w:r>
        <w:rPr>
          <w:rFonts w:cstheme="minorHAnsi"/>
          <w:b/>
        </w:rPr>
        <w:t>Critical d</w:t>
      </w:r>
      <w:r w:rsidRPr="005029B4">
        <w:rPr>
          <w:rFonts w:cstheme="minorHAnsi"/>
          <w:b/>
        </w:rPr>
        <w:t>ata element validity testing:</w:t>
      </w:r>
      <w:r w:rsidRPr="005029B4">
        <w:rPr>
          <w:rFonts w:cstheme="minorHAnsi"/>
          <w:bCs/>
        </w:rPr>
        <w:t xml:space="preserve"> </w:t>
      </w:r>
      <w:r w:rsidR="0000142A" w:rsidRPr="00DC352C">
        <w:rPr>
          <w:rFonts w:cstheme="minorHAnsi"/>
          <w:bCs/>
        </w:rPr>
        <w:t>Some aspects of validity testing (</w:t>
      </w:r>
      <w:r w:rsidR="0000142A" w:rsidRPr="001E5584">
        <w:rPr>
          <w:rFonts w:cstheme="minorHAnsi"/>
          <w:b/>
          <w:bCs/>
        </w:rPr>
        <w:t>2b1</w:t>
      </w:r>
      <w:r w:rsidR="0000142A" w:rsidRPr="00DC352C">
        <w:rPr>
          <w:rFonts w:cstheme="minorHAnsi"/>
          <w:bCs/>
        </w:rPr>
        <w:t>) utilized OASIS-C1 assessment data.</w:t>
      </w:r>
    </w:p>
    <w:p w14:paraId="1C6EA70B" w14:textId="543E6720" w:rsidR="0000142A" w:rsidRPr="00DC352C" w:rsidRDefault="0000142A" w:rsidP="00DC352C">
      <w:pPr>
        <w:pStyle w:val="ListParagraph"/>
        <w:numPr>
          <w:ilvl w:val="1"/>
          <w:numId w:val="22"/>
        </w:numPr>
        <w:autoSpaceDE w:val="0"/>
        <w:autoSpaceDN w:val="0"/>
        <w:adjustRightInd w:val="0"/>
        <w:spacing w:after="0" w:line="240" w:lineRule="auto"/>
        <w:rPr>
          <w:rFonts w:cstheme="minorHAnsi"/>
          <w:bCs/>
        </w:rPr>
      </w:pPr>
      <w:r w:rsidRPr="00DC352C">
        <w:rPr>
          <w:rFonts w:cstheme="minorHAnsi"/>
          <w:b/>
          <w:bCs/>
        </w:rPr>
        <w:t>Agreement between Claims Discharge Status Code and Discharge Status on OASIS-C1 Assessment</w:t>
      </w:r>
      <w:r w:rsidRPr="00DC352C">
        <w:rPr>
          <w:rFonts w:cstheme="minorHAnsi"/>
          <w:bCs/>
        </w:rPr>
        <w:t xml:space="preserve">: </w:t>
      </w:r>
      <w:r w:rsidR="0078704B" w:rsidRPr="00DC352C">
        <w:rPr>
          <w:rFonts w:cstheme="minorHAnsi"/>
          <w:bCs/>
        </w:rPr>
        <w:t>W</w:t>
      </w:r>
      <w:r w:rsidR="00B84EF9" w:rsidRPr="00DC352C">
        <w:rPr>
          <w:rFonts w:cstheme="minorHAnsi"/>
          <w:bCs/>
        </w:rPr>
        <w:t xml:space="preserve">e matched index HH stays with OASIS-C1 Assessments based on patient and facility identifiers, and </w:t>
      </w:r>
      <w:r w:rsidR="0078704B" w:rsidRPr="00DC352C">
        <w:rPr>
          <w:rFonts w:cstheme="minorHAnsi"/>
          <w:bCs/>
        </w:rPr>
        <w:t xml:space="preserve">the </w:t>
      </w:r>
      <w:r w:rsidR="00B84EF9" w:rsidRPr="00DC352C">
        <w:rPr>
          <w:rFonts w:cstheme="minorHAnsi"/>
          <w:bCs/>
        </w:rPr>
        <w:t>start of care date. A total of</w:t>
      </w:r>
      <w:r w:rsidR="00B43EE3" w:rsidRPr="0037102E">
        <w:rPr>
          <w:rFonts w:cstheme="minorHAnsi"/>
          <w:bCs/>
        </w:rPr>
        <w:t xml:space="preserve"> </w:t>
      </w:r>
      <w:r w:rsidR="001165D5" w:rsidRPr="001165D5">
        <w:rPr>
          <w:rFonts w:cstheme="minorHAnsi"/>
          <w:bCs/>
        </w:rPr>
        <w:t xml:space="preserve">6,154,523 </w:t>
      </w:r>
      <w:r w:rsidR="00B84EF9" w:rsidRPr="00DC352C">
        <w:rPr>
          <w:rFonts w:cstheme="minorHAnsi"/>
          <w:bCs/>
        </w:rPr>
        <w:t xml:space="preserve">index HH stays were </w:t>
      </w:r>
      <w:r w:rsidR="00E23B36" w:rsidRPr="00DC352C">
        <w:rPr>
          <w:rFonts w:cstheme="minorHAnsi"/>
          <w:bCs/>
        </w:rPr>
        <w:t>successfully</w:t>
      </w:r>
      <w:r w:rsidR="00B84EF9" w:rsidRPr="00DC352C">
        <w:rPr>
          <w:rFonts w:cstheme="minorHAnsi"/>
          <w:bCs/>
        </w:rPr>
        <w:t xml:space="preserve"> matched to OASIS</w:t>
      </w:r>
      <w:r w:rsidR="00857F49" w:rsidRPr="00DC352C">
        <w:rPr>
          <w:rFonts w:cstheme="minorHAnsi"/>
          <w:bCs/>
        </w:rPr>
        <w:t>-</w:t>
      </w:r>
      <w:r w:rsidR="00B84EF9" w:rsidRPr="00DC352C">
        <w:rPr>
          <w:rFonts w:cstheme="minorHAnsi"/>
          <w:bCs/>
        </w:rPr>
        <w:t xml:space="preserve">C1 </w:t>
      </w:r>
      <w:r w:rsidR="00857F49" w:rsidRPr="00DC352C">
        <w:rPr>
          <w:rFonts w:cstheme="minorHAnsi"/>
          <w:bCs/>
        </w:rPr>
        <w:t>a</w:t>
      </w:r>
      <w:r w:rsidR="00B84EF9" w:rsidRPr="00DC352C">
        <w:rPr>
          <w:rFonts w:cstheme="minorHAnsi"/>
          <w:bCs/>
        </w:rPr>
        <w:t xml:space="preserve">ssessments and were included in data element validity testing of the claims </w:t>
      </w:r>
      <w:r w:rsidR="00E23B36" w:rsidRPr="00DC352C">
        <w:rPr>
          <w:rFonts w:cstheme="minorHAnsi"/>
          <w:bCs/>
        </w:rPr>
        <w:t>discharge</w:t>
      </w:r>
      <w:r w:rsidR="00B84EF9" w:rsidRPr="00DC352C">
        <w:rPr>
          <w:rFonts w:cstheme="minorHAnsi"/>
          <w:bCs/>
        </w:rPr>
        <w:t xml:space="preserve"> status code presented in </w:t>
      </w:r>
      <w:r w:rsidR="00413EED">
        <w:rPr>
          <w:rFonts w:cstheme="minorHAnsi"/>
          <w:bCs/>
        </w:rPr>
        <w:t>s</w:t>
      </w:r>
      <w:r w:rsidR="00B84EF9" w:rsidRPr="00DC352C">
        <w:rPr>
          <w:rFonts w:cstheme="minorHAnsi"/>
          <w:bCs/>
        </w:rPr>
        <w:t xml:space="preserve">ection </w:t>
      </w:r>
      <w:r w:rsidR="00857F49" w:rsidRPr="001E5584">
        <w:rPr>
          <w:rFonts w:cstheme="minorHAnsi"/>
          <w:b/>
          <w:bCs/>
        </w:rPr>
        <w:t>2b1.3</w:t>
      </w:r>
      <w:r w:rsidRPr="001E5584">
        <w:rPr>
          <w:rFonts w:cstheme="minorHAnsi"/>
          <w:b/>
          <w:bCs/>
        </w:rPr>
        <w:t xml:space="preserve"> </w:t>
      </w:r>
      <w:r w:rsidRPr="00DC352C">
        <w:rPr>
          <w:rFonts w:cstheme="minorHAnsi"/>
          <w:bCs/>
        </w:rPr>
        <w:t>(</w:t>
      </w:r>
      <w:r w:rsidRPr="001E5584">
        <w:rPr>
          <w:rFonts w:cstheme="minorHAnsi"/>
          <w:b/>
          <w:bCs/>
        </w:rPr>
        <w:t xml:space="preserve">Table </w:t>
      </w:r>
      <w:r w:rsidR="00503A27" w:rsidRPr="001E5584">
        <w:rPr>
          <w:rFonts w:cstheme="minorHAnsi"/>
          <w:b/>
          <w:bCs/>
        </w:rPr>
        <w:t>5</w:t>
      </w:r>
      <w:r w:rsidRPr="00DC352C">
        <w:rPr>
          <w:rFonts w:cstheme="minorHAnsi"/>
          <w:bCs/>
        </w:rPr>
        <w:t>)</w:t>
      </w:r>
      <w:r w:rsidR="00B84EF9" w:rsidRPr="00DC352C">
        <w:rPr>
          <w:rFonts w:cstheme="minorHAnsi"/>
          <w:bCs/>
        </w:rPr>
        <w:t xml:space="preserve">. </w:t>
      </w:r>
    </w:p>
    <w:p w14:paraId="7AC6C0B6" w14:textId="07E3DFB2" w:rsidR="00110912" w:rsidRDefault="00E23F63" w:rsidP="00DC352C">
      <w:pPr>
        <w:pStyle w:val="ListParagraph"/>
        <w:numPr>
          <w:ilvl w:val="1"/>
          <w:numId w:val="22"/>
        </w:numPr>
        <w:autoSpaceDE w:val="0"/>
        <w:autoSpaceDN w:val="0"/>
        <w:adjustRightInd w:val="0"/>
        <w:spacing w:after="0" w:line="240" w:lineRule="auto"/>
        <w:rPr>
          <w:rFonts w:cstheme="minorHAnsi"/>
          <w:b/>
          <w:bCs/>
        </w:rPr>
      </w:pPr>
      <w:r w:rsidRPr="00DC352C">
        <w:rPr>
          <w:rFonts w:cstheme="minorHAnsi"/>
          <w:b/>
          <w:bCs/>
        </w:rPr>
        <w:t>Known-groups Validity Testing</w:t>
      </w:r>
      <w:r w:rsidR="00413EED">
        <w:rPr>
          <w:rFonts w:cstheme="minorHAnsi"/>
          <w:b/>
          <w:bCs/>
        </w:rPr>
        <w:t xml:space="preserve"> (S</w:t>
      </w:r>
      <w:r w:rsidR="0024791D">
        <w:rPr>
          <w:rFonts w:cstheme="minorHAnsi"/>
          <w:b/>
          <w:bCs/>
        </w:rPr>
        <w:t>ection 2b1.3)</w:t>
      </w:r>
      <w:r w:rsidRPr="00DC352C">
        <w:rPr>
          <w:rFonts w:cstheme="minorHAnsi"/>
          <w:b/>
          <w:bCs/>
        </w:rPr>
        <w:t>:</w:t>
      </w:r>
      <w:r w:rsidR="00B43EE3" w:rsidRPr="00426AA9">
        <w:rPr>
          <w:rFonts w:cstheme="minorHAnsi"/>
          <w:b/>
          <w:bCs/>
        </w:rPr>
        <w:t xml:space="preserve"> </w:t>
      </w:r>
    </w:p>
    <w:p w14:paraId="7F6FB345" w14:textId="1A7634EC" w:rsidR="00110912" w:rsidRPr="00DC352C" w:rsidRDefault="00B43EE3" w:rsidP="00DC352C">
      <w:pPr>
        <w:pStyle w:val="ListParagraph"/>
        <w:numPr>
          <w:ilvl w:val="2"/>
          <w:numId w:val="22"/>
        </w:numPr>
        <w:autoSpaceDE w:val="0"/>
        <w:autoSpaceDN w:val="0"/>
        <w:adjustRightInd w:val="0"/>
        <w:spacing w:after="0" w:line="240" w:lineRule="auto"/>
        <w:rPr>
          <w:rFonts w:cstheme="minorHAnsi"/>
          <w:b/>
          <w:bCs/>
        </w:rPr>
      </w:pPr>
      <w:r>
        <w:rPr>
          <w:rFonts w:cstheme="minorHAnsi"/>
          <w:bCs/>
        </w:rPr>
        <w:t xml:space="preserve">Data </w:t>
      </w:r>
      <w:r w:rsidR="00110912">
        <w:rPr>
          <w:rFonts w:cstheme="minorHAnsi"/>
          <w:bCs/>
        </w:rPr>
        <w:t xml:space="preserve">for the M2310 (Reason for Emergent Care) </w:t>
      </w:r>
      <w:r w:rsidR="00CD3F13">
        <w:rPr>
          <w:rFonts w:cstheme="minorHAnsi"/>
          <w:bCs/>
        </w:rPr>
        <w:t>item</w:t>
      </w:r>
      <w:r w:rsidR="00CD3F13" w:rsidDel="00110912">
        <w:rPr>
          <w:rFonts w:cstheme="minorHAnsi"/>
          <w:bCs/>
        </w:rPr>
        <w:t xml:space="preserve"> </w:t>
      </w:r>
      <w:r w:rsidR="00CD3F13">
        <w:rPr>
          <w:rFonts w:cstheme="minorHAnsi"/>
          <w:bCs/>
        </w:rPr>
        <w:t>were</w:t>
      </w:r>
      <w:r>
        <w:rPr>
          <w:rFonts w:cstheme="minorHAnsi"/>
          <w:bCs/>
        </w:rPr>
        <w:t xml:space="preserve"> collected from transfer</w:t>
      </w:r>
      <w:r w:rsidR="00110912">
        <w:rPr>
          <w:rFonts w:cstheme="minorHAnsi"/>
          <w:bCs/>
        </w:rPr>
        <w:t xml:space="preserve"> to inpatient facility</w:t>
      </w:r>
      <w:r w:rsidR="00293E97">
        <w:rPr>
          <w:rFonts w:cstheme="minorHAnsi"/>
          <w:bCs/>
        </w:rPr>
        <w:t xml:space="preserve"> or discharge from agency</w:t>
      </w:r>
      <w:r>
        <w:rPr>
          <w:rFonts w:cstheme="minorHAnsi"/>
          <w:bCs/>
        </w:rPr>
        <w:t xml:space="preserve"> </w:t>
      </w:r>
      <w:r w:rsidR="00110912">
        <w:rPr>
          <w:rFonts w:cstheme="minorHAnsi"/>
          <w:bCs/>
        </w:rPr>
        <w:t>a</w:t>
      </w:r>
      <w:r>
        <w:rPr>
          <w:rFonts w:cstheme="minorHAnsi"/>
          <w:bCs/>
        </w:rPr>
        <w:t xml:space="preserve">ssessments. Thus data element validity testing </w:t>
      </w:r>
      <w:r w:rsidR="00110912">
        <w:rPr>
          <w:rFonts w:cstheme="minorHAnsi"/>
          <w:bCs/>
        </w:rPr>
        <w:t xml:space="preserve">was conducted on </w:t>
      </w:r>
      <w:r w:rsidR="00293E97">
        <w:rPr>
          <w:rFonts w:cstheme="minorHAnsi"/>
          <w:bCs/>
        </w:rPr>
        <w:t xml:space="preserve">HH </w:t>
      </w:r>
      <w:r w:rsidR="00110912">
        <w:rPr>
          <w:rFonts w:cstheme="minorHAnsi"/>
          <w:bCs/>
        </w:rPr>
        <w:t>stays ending in a transfer or discharge assessment</w:t>
      </w:r>
      <w:r>
        <w:rPr>
          <w:rFonts w:cstheme="minorHAnsi"/>
          <w:bCs/>
        </w:rPr>
        <w:t xml:space="preserve"> (n = 5,634,182). </w:t>
      </w:r>
    </w:p>
    <w:p w14:paraId="2204A2CC" w14:textId="790715A2" w:rsidR="00B43EE3" w:rsidRDefault="00B43EE3" w:rsidP="00DC352C">
      <w:pPr>
        <w:pStyle w:val="ListParagraph"/>
        <w:numPr>
          <w:ilvl w:val="2"/>
          <w:numId w:val="22"/>
        </w:numPr>
        <w:autoSpaceDE w:val="0"/>
        <w:autoSpaceDN w:val="0"/>
        <w:adjustRightInd w:val="0"/>
        <w:spacing w:after="0" w:line="240" w:lineRule="auto"/>
        <w:rPr>
          <w:rFonts w:cstheme="minorHAnsi"/>
          <w:b/>
          <w:bCs/>
        </w:rPr>
      </w:pPr>
      <w:r w:rsidRPr="001165D5">
        <w:t>Data on functional statu</w:t>
      </w:r>
      <w:r>
        <w:t>s</w:t>
      </w:r>
      <w:r w:rsidR="00110912">
        <w:t xml:space="preserve"> (M1800-M1890)</w:t>
      </w:r>
      <w:r>
        <w:t xml:space="preserve"> and cognitive function</w:t>
      </w:r>
      <w:r w:rsidR="00110912">
        <w:t xml:space="preserve"> (M1700)</w:t>
      </w:r>
      <w:r w:rsidR="00503A27">
        <w:t xml:space="preserve"> items</w:t>
      </w:r>
      <w:r w:rsidRPr="001165D5">
        <w:t xml:space="preserve"> were collected </w:t>
      </w:r>
      <w:r w:rsidR="00110912">
        <w:t>from</w:t>
      </w:r>
      <w:r w:rsidRPr="001165D5">
        <w:t xml:space="preserve"> discharge</w:t>
      </w:r>
      <w:r w:rsidR="00293E97">
        <w:t xml:space="preserve"> from agency</w:t>
      </w:r>
      <w:r w:rsidRPr="001165D5">
        <w:t xml:space="preserve"> assessments. Thus data element validity testing </w:t>
      </w:r>
      <w:r w:rsidR="00110912">
        <w:t>was</w:t>
      </w:r>
      <w:r w:rsidRPr="001165D5">
        <w:t xml:space="preserve"> conducted on HH stays </w:t>
      </w:r>
      <w:r w:rsidR="00293E97">
        <w:t>ending in a</w:t>
      </w:r>
      <w:r w:rsidRPr="001165D5">
        <w:t xml:space="preserve"> discharge assessment </w:t>
      </w:r>
      <w:r>
        <w:t xml:space="preserve">where data was available </w:t>
      </w:r>
      <w:r w:rsidRPr="001165D5">
        <w:t>(</w:t>
      </w:r>
      <w:r>
        <w:t>n= 4,542,500</w:t>
      </w:r>
      <w:r w:rsidRPr="001165D5">
        <w:t>)</w:t>
      </w:r>
      <w:r w:rsidR="002C489E">
        <w:t>.</w:t>
      </w:r>
    </w:p>
    <w:p w14:paraId="461EEE49" w14:textId="43A5EF83" w:rsidR="005A05B3" w:rsidRPr="00E86E46" w:rsidRDefault="00C85ED0" w:rsidP="005A05B3">
      <w:pPr>
        <w:pStyle w:val="ListParagraph"/>
        <w:numPr>
          <w:ilvl w:val="0"/>
          <w:numId w:val="22"/>
        </w:numPr>
        <w:autoSpaceDE w:val="0"/>
        <w:autoSpaceDN w:val="0"/>
        <w:adjustRightInd w:val="0"/>
        <w:spacing w:after="0" w:line="240" w:lineRule="auto"/>
        <w:rPr>
          <w:rFonts w:cstheme="minorHAnsi"/>
          <w:bCs/>
        </w:rPr>
      </w:pPr>
      <w:r w:rsidRPr="005029B4">
        <w:rPr>
          <w:rFonts w:cstheme="minorHAnsi"/>
          <w:b/>
        </w:rPr>
        <w:t>Performance measure score testing:</w:t>
      </w:r>
      <w:r w:rsidRPr="005029B4">
        <w:rPr>
          <w:rFonts w:cstheme="minorHAnsi"/>
        </w:rPr>
        <w:t xml:space="preserve"> </w:t>
      </w:r>
      <w:r w:rsidR="00413EED">
        <w:rPr>
          <w:rFonts w:cstheme="minorHAnsi"/>
          <w:bCs/>
        </w:rPr>
        <w:t>Facility-level testing (s</w:t>
      </w:r>
      <w:r w:rsidR="005A05B3" w:rsidRPr="00DC352C">
        <w:rPr>
          <w:rFonts w:cstheme="minorHAnsi"/>
          <w:bCs/>
        </w:rPr>
        <w:t>ection</w:t>
      </w:r>
      <w:r w:rsidR="0024791D">
        <w:rPr>
          <w:rFonts w:cstheme="minorHAnsi"/>
          <w:bCs/>
        </w:rPr>
        <w:t>s</w:t>
      </w:r>
      <w:r w:rsidR="00A04776" w:rsidRPr="00DC352C">
        <w:rPr>
          <w:rFonts w:cstheme="minorHAnsi"/>
          <w:bCs/>
        </w:rPr>
        <w:t xml:space="preserve"> </w:t>
      </w:r>
      <w:r w:rsidR="00A04776" w:rsidRPr="001E5584">
        <w:rPr>
          <w:rFonts w:cstheme="minorHAnsi"/>
          <w:b/>
          <w:bCs/>
        </w:rPr>
        <w:t>2a2</w:t>
      </w:r>
      <w:r w:rsidR="0037102E">
        <w:rPr>
          <w:rFonts w:cstheme="minorHAnsi"/>
          <w:bCs/>
        </w:rPr>
        <w:t xml:space="preserve">, </w:t>
      </w:r>
      <w:r w:rsidR="0037102E" w:rsidRPr="001E5584">
        <w:rPr>
          <w:rFonts w:cstheme="minorHAnsi"/>
          <w:b/>
          <w:bCs/>
        </w:rPr>
        <w:t>2b1.3</w:t>
      </w:r>
      <w:r w:rsidR="0037102E">
        <w:rPr>
          <w:rFonts w:cstheme="minorHAnsi"/>
          <w:bCs/>
        </w:rPr>
        <w:t xml:space="preserve">, </w:t>
      </w:r>
      <w:r w:rsidR="0037102E" w:rsidRPr="001E5584">
        <w:rPr>
          <w:rFonts w:cstheme="minorHAnsi"/>
          <w:b/>
          <w:bCs/>
        </w:rPr>
        <w:t>2b4.2</w:t>
      </w:r>
      <w:r w:rsidR="005A05B3" w:rsidRPr="00DC352C">
        <w:rPr>
          <w:rFonts w:cstheme="minorHAnsi"/>
          <w:bCs/>
        </w:rPr>
        <w:t xml:space="preserve">) were </w:t>
      </w:r>
      <w:r w:rsidR="00A66AEF" w:rsidRPr="00DC352C">
        <w:rPr>
          <w:rFonts w:cstheme="minorHAnsi"/>
          <w:bCs/>
        </w:rPr>
        <w:t>restricted</w:t>
      </w:r>
      <w:r w:rsidR="005A05B3" w:rsidRPr="00DC352C">
        <w:rPr>
          <w:rFonts w:cstheme="minorHAnsi"/>
          <w:bCs/>
        </w:rPr>
        <w:t xml:space="preserve"> to 10,131 </w:t>
      </w:r>
      <w:r w:rsidR="0024791D">
        <w:rPr>
          <w:rFonts w:cstheme="minorHAnsi"/>
          <w:bCs/>
        </w:rPr>
        <w:t xml:space="preserve">HHAs </w:t>
      </w:r>
      <w:r w:rsidR="005A05B3" w:rsidRPr="00DC352C">
        <w:rPr>
          <w:rFonts w:cstheme="minorHAnsi"/>
          <w:bCs/>
        </w:rPr>
        <w:t>with 20 or more stays in CY 2015-2016; we applied this restriction because this measure will only be publically reported for providers with a minimum of 20 stays in the two-year measure calculation period.</w:t>
      </w:r>
    </w:p>
    <w:p w14:paraId="5D33DC3F" w14:textId="5DD13717" w:rsidR="009C5142" w:rsidRPr="00DC352C" w:rsidRDefault="009C5142" w:rsidP="00DC352C">
      <w:pPr>
        <w:pStyle w:val="ListParagraph"/>
        <w:autoSpaceDE w:val="0"/>
        <w:autoSpaceDN w:val="0"/>
        <w:adjustRightInd w:val="0"/>
        <w:spacing w:after="0" w:line="240" w:lineRule="auto"/>
        <w:ind w:left="1080"/>
        <w:rPr>
          <w:rFonts w:cstheme="minorHAnsi"/>
          <w:bCs/>
          <w:color w:val="C00000"/>
        </w:rPr>
      </w:pPr>
    </w:p>
    <w:p w14:paraId="28ECF034" w14:textId="77777777"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24C7C812" w14:textId="77777777" w:rsidR="005A48EA" w:rsidRDefault="005A48EA" w:rsidP="00E37E1B">
      <w:pPr>
        <w:autoSpaceDE w:val="0"/>
        <w:autoSpaceDN w:val="0"/>
        <w:adjustRightInd w:val="0"/>
        <w:spacing w:after="0" w:line="240" w:lineRule="auto"/>
        <w:rPr>
          <w:rFonts w:cstheme="minorHAnsi"/>
          <w:bCs/>
        </w:rPr>
      </w:pPr>
    </w:p>
    <w:p w14:paraId="2E341A67" w14:textId="77777777" w:rsidR="00FB7588" w:rsidRPr="003C3B14" w:rsidRDefault="00FB7588" w:rsidP="00FB7588">
      <w:pPr>
        <w:spacing w:after="0" w:line="240" w:lineRule="auto"/>
        <w:rPr>
          <w:rFonts w:ascii="Calibri" w:eastAsia="Calibri" w:hAnsi="Calibri" w:cs="Calibri"/>
        </w:rPr>
      </w:pPr>
      <w:r>
        <w:t xml:space="preserve">Data for rural location, and Medicaid dual status were readily available through the enrollment database (EDB) and Common Medicare Environment (CME) and analyzed during the measure testing process. </w:t>
      </w:r>
      <w:r>
        <w:lastRenderedPageBreak/>
        <w:t>While a scoping review</w:t>
      </w:r>
      <w:r>
        <w:rPr>
          <w:vertAlign w:val="superscript"/>
        </w:rPr>
        <w:footnoteReference w:id="1"/>
      </w:r>
      <w:r>
        <w:t xml:space="preserve"> found general agreement that persons of lower socioeconomic status are not disadvantaged in terms of HH care services, there is a well-documented socioeconomic gradient seen with primary and acute care services. </w:t>
      </w:r>
      <w:r w:rsidRPr="00F96B56">
        <w:t xml:space="preserve">In addition, </w:t>
      </w:r>
      <w:r>
        <w:t xml:space="preserve">due to the availability of data and previous evidence on the importance of dual eligibility in similar claims-based measures, we test patient-level dual eligibility. For example, starting in fiscal year 2019, CMS's Hospital Readmission Reduction Program will assess </w:t>
      </w:r>
      <w:r w:rsidRPr="003C3B14">
        <w:t xml:space="preserve">penalties based on a hospital's performance relative to other hospitals treating a similar proportion of dual eligible patients. </w:t>
      </w:r>
    </w:p>
    <w:p w14:paraId="1FE5AEF9" w14:textId="77777777" w:rsidR="00FB7588" w:rsidRDefault="00FB7588" w:rsidP="00FB7588">
      <w:pPr>
        <w:spacing w:line="240" w:lineRule="auto"/>
        <w:rPr>
          <w:rFonts w:ascii="Calibri" w:eastAsia="Calibri" w:hAnsi="Calibri" w:cs="Calibri"/>
        </w:rPr>
      </w:pPr>
      <w:r>
        <w:rPr>
          <w:rFonts w:ascii="Calibri" w:eastAsia="Calibri" w:hAnsi="Calibri" w:cs="Calibri"/>
        </w:rPr>
        <w:t xml:space="preserve"> </w:t>
      </w:r>
    </w:p>
    <w:p w14:paraId="497639DC" w14:textId="77777777" w:rsidR="00FB7588" w:rsidRDefault="00FB7588" w:rsidP="00FB7588">
      <w:pPr>
        <w:spacing w:line="240" w:lineRule="auto"/>
      </w:pPr>
      <w:r>
        <w:rPr>
          <w:rStyle w:val="normaltextrun"/>
        </w:rPr>
        <w:t>We then conducted the following analysis for each social risk factor:</w:t>
      </w:r>
    </w:p>
    <w:p w14:paraId="579677A0" w14:textId="77777777" w:rsidR="00FB7588" w:rsidRDefault="00FB7588" w:rsidP="00FB7588">
      <w:pPr>
        <w:pStyle w:val="paragraph"/>
        <w:numPr>
          <w:ilvl w:val="0"/>
          <w:numId w:val="12"/>
        </w:numPr>
        <w:spacing w:before="0" w:beforeAutospacing="0" w:after="0" w:afterAutospacing="0"/>
        <w:ind w:left="360" w:firstLine="0"/>
        <w:textAlignment w:val="baseline"/>
        <w:rPr>
          <w:rStyle w:val="eop"/>
        </w:rPr>
      </w:pPr>
      <w:r>
        <w:rPr>
          <w:rStyle w:val="normaltextrun"/>
        </w:rPr>
        <w:t>Calculated the prevalence of patients with each social risk factor;</w:t>
      </w:r>
      <w:r>
        <w:rPr>
          <w:rStyle w:val="eop"/>
        </w:rPr>
        <w:t> </w:t>
      </w:r>
    </w:p>
    <w:p w14:paraId="427812A3" w14:textId="77777777" w:rsidR="00FB7588" w:rsidRDefault="00FB7588" w:rsidP="00FB7588">
      <w:pPr>
        <w:pStyle w:val="paragraph"/>
        <w:numPr>
          <w:ilvl w:val="0"/>
          <w:numId w:val="12"/>
        </w:numPr>
        <w:spacing w:before="0" w:beforeAutospacing="0" w:after="0" w:afterAutospacing="0"/>
        <w:ind w:left="360" w:firstLine="0"/>
        <w:textAlignment w:val="baseline"/>
        <w:rPr>
          <w:rStyle w:val="normaltextrun"/>
        </w:rPr>
      </w:pPr>
      <w:r>
        <w:rPr>
          <w:rStyle w:val="normaltextrun"/>
        </w:rPr>
        <w:t xml:space="preserve">Compared the unplanned admission rates following return to the community and successful discharge to community rates for patients with and without each social risk factor; </w:t>
      </w:r>
    </w:p>
    <w:p w14:paraId="136FC512" w14:textId="76B4E5FA" w:rsidR="00FB7588" w:rsidRDefault="00FB7588" w:rsidP="00FB7588">
      <w:pPr>
        <w:pStyle w:val="paragraph"/>
        <w:numPr>
          <w:ilvl w:val="0"/>
          <w:numId w:val="12"/>
        </w:numPr>
        <w:spacing w:before="0" w:beforeAutospacing="0" w:after="0" w:afterAutospacing="0"/>
        <w:textAlignment w:val="baseline"/>
      </w:pPr>
      <w:r>
        <w:t>Calculated the distribution of agency-level SDS factor p</w:t>
      </w:r>
      <w:r w:rsidRPr="00B72B0D">
        <w:t>revalence</w:t>
      </w:r>
      <w:r>
        <w:t xml:space="preserve">; </w:t>
      </w:r>
    </w:p>
    <w:p w14:paraId="41E7EC73" w14:textId="14E79871" w:rsidR="00FB7588" w:rsidRDefault="00FB7588" w:rsidP="00FB7588">
      <w:pPr>
        <w:pStyle w:val="paragraph"/>
        <w:numPr>
          <w:ilvl w:val="0"/>
          <w:numId w:val="12"/>
        </w:numPr>
        <w:spacing w:before="0" w:beforeAutospacing="0" w:after="0" w:afterAutospacing="0"/>
        <w:textAlignment w:val="baseline"/>
        <w:rPr>
          <w:rStyle w:val="normaltextrun"/>
        </w:rPr>
      </w:pPr>
      <w:r>
        <w:rPr>
          <w:rStyle w:val="normaltextrun"/>
        </w:rPr>
        <w:t>Calculated the difference in agency</w:t>
      </w:r>
      <w:r w:rsidR="003111EA">
        <w:rPr>
          <w:rStyle w:val="normaltextrun"/>
        </w:rPr>
        <w:t>-level risk-standardized rates; and</w:t>
      </w:r>
    </w:p>
    <w:p w14:paraId="5950B848" w14:textId="2BD8627F" w:rsidR="003111EA" w:rsidRPr="00957F6A" w:rsidRDefault="003111EA" w:rsidP="003111EA">
      <w:pPr>
        <w:pStyle w:val="paragraph"/>
        <w:numPr>
          <w:ilvl w:val="0"/>
          <w:numId w:val="12"/>
        </w:numPr>
        <w:spacing w:before="0" w:beforeAutospacing="0" w:after="0" w:afterAutospacing="0"/>
        <w:ind w:left="360" w:firstLine="0"/>
        <w:textAlignment w:val="baseline"/>
        <w:rPr>
          <w:rFonts w:asciiTheme="minorHAnsi" w:hAnsiTheme="minorHAnsi" w:cstheme="minorHAnsi"/>
        </w:rPr>
      </w:pPr>
      <w:r>
        <w:rPr>
          <w:rStyle w:val="normaltextrun"/>
          <w:rFonts w:asciiTheme="minorHAnsi" w:hAnsiTheme="minorHAnsi" w:cstheme="minorHAnsi"/>
        </w:rPr>
        <w:t>Assessed</w:t>
      </w:r>
      <w:r w:rsidRPr="00957F6A">
        <w:rPr>
          <w:rStyle w:val="normaltextrun"/>
          <w:rFonts w:asciiTheme="minorHAnsi" w:hAnsiTheme="minorHAnsi" w:cstheme="minorHAnsi"/>
        </w:rPr>
        <w:t xml:space="preserve"> the </w:t>
      </w:r>
      <w:r>
        <w:rPr>
          <w:rStyle w:val="normaltextrun"/>
          <w:rFonts w:asciiTheme="minorHAnsi" w:hAnsiTheme="minorHAnsi" w:cstheme="minorHAnsi"/>
        </w:rPr>
        <w:t xml:space="preserve">difference </w:t>
      </w:r>
      <w:r w:rsidRPr="00957F6A">
        <w:rPr>
          <w:rStyle w:val="normaltextrun"/>
          <w:rFonts w:asciiTheme="minorHAnsi" w:hAnsiTheme="minorHAnsi" w:cstheme="minorHAnsi"/>
        </w:rPr>
        <w:t>in DTC measure scores estimated with and without dual eligibility </w:t>
      </w:r>
      <w:r>
        <w:rPr>
          <w:rStyle w:val="normaltextrun"/>
          <w:rFonts w:asciiTheme="minorHAnsi" w:hAnsiTheme="minorHAnsi" w:cstheme="minorHAnsi"/>
        </w:rPr>
        <w:t xml:space="preserve">adjustment </w:t>
      </w:r>
      <w:r w:rsidRPr="00957F6A">
        <w:rPr>
          <w:rStyle w:val="normaltextrun"/>
          <w:rFonts w:asciiTheme="minorHAnsi" w:hAnsiTheme="minorHAnsi" w:cstheme="minorHAnsi"/>
        </w:rPr>
        <w:t xml:space="preserve">for </w:t>
      </w:r>
      <w:r w:rsidR="00232D2B">
        <w:rPr>
          <w:rStyle w:val="normaltextrun"/>
          <w:rFonts w:asciiTheme="minorHAnsi" w:hAnsiTheme="minorHAnsi" w:cstheme="minorHAnsi"/>
        </w:rPr>
        <w:t>agencies</w:t>
      </w:r>
      <w:r w:rsidRPr="00957F6A">
        <w:rPr>
          <w:rStyle w:val="normaltextrun"/>
          <w:rFonts w:asciiTheme="minorHAnsi" w:hAnsiTheme="minorHAnsi" w:cstheme="minorHAnsi"/>
        </w:rPr>
        <w:t xml:space="preserve"> stratified by the proportion of dual eligible patients</w:t>
      </w:r>
      <w:r w:rsidRPr="00957F6A" w:rsidDel="00203978">
        <w:rPr>
          <w:rStyle w:val="normaltextrun"/>
          <w:rFonts w:asciiTheme="minorHAnsi" w:hAnsiTheme="minorHAnsi" w:cstheme="minorHAnsi"/>
        </w:rPr>
        <w:t xml:space="preserve"> </w:t>
      </w:r>
      <w:r w:rsidRPr="00957F6A">
        <w:rPr>
          <w:rStyle w:val="normaltextrun"/>
          <w:rFonts w:asciiTheme="minorHAnsi" w:hAnsiTheme="minorHAnsi" w:cstheme="minorHAnsi"/>
        </w:rPr>
        <w:t>with</w:t>
      </w:r>
      <w:r w:rsidRPr="00957F6A">
        <w:rPr>
          <w:rStyle w:val="eop"/>
          <w:rFonts w:asciiTheme="minorHAnsi" w:hAnsiTheme="minorHAnsi" w:cstheme="minorHAnsi"/>
        </w:rPr>
        <w:t> </w:t>
      </w:r>
      <w:r w:rsidRPr="00957F6A">
        <w:rPr>
          <w:rStyle w:val="normaltextrun"/>
          <w:rFonts w:asciiTheme="minorHAnsi" w:hAnsiTheme="minorHAnsi" w:cstheme="minorHAnsi"/>
        </w:rPr>
        <w:t xml:space="preserve">full Medicaid benefits (as this was found to be more </w:t>
      </w:r>
      <w:r>
        <w:rPr>
          <w:rStyle w:val="normaltextrun"/>
          <w:rFonts w:asciiTheme="minorHAnsi" w:hAnsiTheme="minorHAnsi" w:cstheme="minorHAnsi"/>
        </w:rPr>
        <w:t xml:space="preserve">prevalent and more strongly </w:t>
      </w:r>
      <w:r w:rsidRPr="00957F6A">
        <w:rPr>
          <w:rStyle w:val="normaltextrun"/>
          <w:rFonts w:asciiTheme="minorHAnsi" w:hAnsiTheme="minorHAnsi" w:cstheme="minorHAnsi"/>
        </w:rPr>
        <w:t>related to the DTC outcome).</w:t>
      </w:r>
    </w:p>
    <w:p w14:paraId="190688FD" w14:textId="0AA929D8" w:rsidR="004348CC" w:rsidRPr="00E37E1B" w:rsidRDefault="00483E94" w:rsidP="00BD704C">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2AC20B02"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712D0EE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68A2E467" w14:textId="77777777" w:rsidR="008C54A9" w:rsidRPr="00A25024" w:rsidRDefault="008C54A9" w:rsidP="00DB3627">
      <w:pPr>
        <w:autoSpaceDE w:val="0"/>
        <w:autoSpaceDN w:val="0"/>
        <w:adjustRightInd w:val="0"/>
        <w:spacing w:after="0" w:line="240" w:lineRule="auto"/>
        <w:rPr>
          <w:rFonts w:cstheme="minorHAnsi"/>
          <w:b/>
          <w:bCs/>
        </w:rPr>
      </w:pPr>
    </w:p>
    <w:p w14:paraId="4C212DBE" w14:textId="77777777"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Content>
          <w:r w:rsidR="003B5337">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Content>
          <w:r w:rsidR="003B5337">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2FE4A233" w14:textId="77777777" w:rsidR="008C54A9" w:rsidRDefault="008C54A9" w:rsidP="008C54A9">
      <w:pPr>
        <w:autoSpaceDE w:val="0"/>
        <w:autoSpaceDN w:val="0"/>
        <w:adjustRightInd w:val="0"/>
        <w:spacing w:after="0" w:line="240" w:lineRule="auto"/>
        <w:rPr>
          <w:rFonts w:cstheme="minorHAnsi"/>
          <w:bCs/>
        </w:rPr>
      </w:pPr>
    </w:p>
    <w:p w14:paraId="5D293D7A" w14:textId="77777777" w:rsidR="00C8542F" w:rsidRPr="00CF359D" w:rsidRDefault="00C8542F" w:rsidP="00C8542F">
      <w:pPr>
        <w:pStyle w:val="Default"/>
        <w:rPr>
          <w:rFonts w:cstheme="minorHAnsi"/>
          <w:sz w:val="22"/>
        </w:rPr>
      </w:pPr>
      <w:r w:rsidRPr="00CF359D">
        <w:rPr>
          <w:rFonts w:cstheme="minorHAnsi"/>
          <w:sz w:val="22"/>
        </w:rPr>
        <w:t>NQF defines r</w:t>
      </w:r>
      <w:r w:rsidRPr="00CF359D">
        <w:rPr>
          <w:sz w:val="22"/>
        </w:rPr>
        <w:t xml:space="preserve">eliability as the repeatability or precision of measurement. It considers reliability of data elements </w:t>
      </w:r>
      <w:r w:rsidRPr="00CF359D">
        <w:rPr>
          <w:bCs/>
          <w:sz w:val="22"/>
        </w:rPr>
        <w:t>to be</w:t>
      </w:r>
      <w:r w:rsidRPr="00CF359D">
        <w:rPr>
          <w:sz w:val="22"/>
        </w:rPr>
        <w:t xml:space="preserve"> the repeatability and reproducibility of the data elements for the same population in the same time period, and </w:t>
      </w:r>
      <w:r w:rsidRPr="00CF359D">
        <w:rPr>
          <w:rFonts w:cstheme="minorHAnsi"/>
          <w:sz w:val="22"/>
        </w:rPr>
        <w:t>r</w:t>
      </w:r>
      <w:r w:rsidRPr="00CF359D">
        <w:rPr>
          <w:sz w:val="22"/>
        </w:rPr>
        <w:t>eliability of the measure score to be the proportion of variation in the performance scores due to systematic differences across the measured entities (or signal) in relation to random error (or noise).</w:t>
      </w:r>
      <w:r w:rsidRPr="00CF359D">
        <w:rPr>
          <w:rStyle w:val="FootnoteReference"/>
          <w:sz w:val="22"/>
        </w:rPr>
        <w:footnoteReference w:id="2"/>
      </w:r>
      <w:r w:rsidRPr="00CF359D">
        <w:rPr>
          <w:sz w:val="22"/>
        </w:rPr>
        <w:t xml:space="preserve"> </w:t>
      </w:r>
      <w:r w:rsidRPr="00CF359D">
        <w:rPr>
          <w:rFonts w:cstheme="minorHAnsi"/>
          <w:sz w:val="22"/>
        </w:rPr>
        <w:t xml:space="preserve"> </w:t>
      </w:r>
    </w:p>
    <w:p w14:paraId="12284971" w14:textId="77777777" w:rsidR="00C8542F" w:rsidRDefault="00C8542F" w:rsidP="00C8542F">
      <w:pPr>
        <w:autoSpaceDE w:val="0"/>
        <w:autoSpaceDN w:val="0"/>
        <w:adjustRightInd w:val="0"/>
        <w:spacing w:after="0" w:line="240" w:lineRule="auto"/>
        <w:ind w:left="360"/>
        <w:rPr>
          <w:rFonts w:cstheme="minorHAnsi"/>
          <w:bCs/>
        </w:rPr>
      </w:pPr>
    </w:p>
    <w:p w14:paraId="6D1DB6F6" w14:textId="77777777" w:rsidR="00407D01" w:rsidRDefault="00407D01" w:rsidP="00C8542F">
      <w:pPr>
        <w:autoSpaceDE w:val="0"/>
        <w:autoSpaceDN w:val="0"/>
        <w:adjustRightInd w:val="0"/>
        <w:spacing w:after="0" w:line="240" w:lineRule="auto"/>
        <w:ind w:left="360"/>
        <w:rPr>
          <w:rFonts w:cstheme="minorHAnsi"/>
          <w:bCs/>
        </w:rPr>
      </w:pPr>
    </w:p>
    <w:p w14:paraId="2800F1E8" w14:textId="77777777" w:rsidR="00407D01" w:rsidRPr="00514842" w:rsidRDefault="00407D01" w:rsidP="00C8542F">
      <w:pPr>
        <w:autoSpaceDE w:val="0"/>
        <w:autoSpaceDN w:val="0"/>
        <w:adjustRightInd w:val="0"/>
        <w:spacing w:after="0" w:line="240" w:lineRule="auto"/>
        <w:ind w:left="360"/>
        <w:rPr>
          <w:rFonts w:cstheme="minorHAnsi"/>
          <w:bCs/>
        </w:rPr>
      </w:pPr>
    </w:p>
    <w:p w14:paraId="65993541" w14:textId="77777777" w:rsidR="008A02A3" w:rsidRPr="008A02A3" w:rsidRDefault="00C85ED0" w:rsidP="00C85ED0">
      <w:pPr>
        <w:pStyle w:val="ListParagraph"/>
        <w:numPr>
          <w:ilvl w:val="0"/>
          <w:numId w:val="10"/>
        </w:numPr>
        <w:autoSpaceDE w:val="0"/>
        <w:autoSpaceDN w:val="0"/>
        <w:adjustRightInd w:val="0"/>
        <w:spacing w:after="0" w:line="240" w:lineRule="auto"/>
        <w:rPr>
          <w:rFonts w:cstheme="minorHAnsi"/>
          <w:bCs/>
        </w:rPr>
      </w:pPr>
      <w:r w:rsidRPr="005029B4">
        <w:rPr>
          <w:rFonts w:cstheme="minorHAnsi"/>
          <w:b/>
          <w:bCs/>
        </w:rPr>
        <w:lastRenderedPageBreak/>
        <w:t>Critical Data Element Reliability</w:t>
      </w:r>
    </w:p>
    <w:p w14:paraId="2E962F8C" w14:textId="419CDFB8" w:rsidR="00C8542F" w:rsidRPr="00C85ED0" w:rsidRDefault="00C8542F" w:rsidP="008A02A3">
      <w:pPr>
        <w:pStyle w:val="ListParagraph"/>
        <w:autoSpaceDE w:val="0"/>
        <w:autoSpaceDN w:val="0"/>
        <w:adjustRightInd w:val="0"/>
        <w:spacing w:after="0" w:line="240" w:lineRule="auto"/>
        <w:ind w:left="360"/>
        <w:rPr>
          <w:rFonts w:cstheme="minorHAnsi"/>
          <w:bCs/>
        </w:rPr>
      </w:pPr>
      <w:r w:rsidRPr="00C85ED0">
        <w:rPr>
          <w:rFonts w:cstheme="minorHAnsi"/>
          <w:bCs/>
        </w:rPr>
        <w:t>The DTC-PAC HH measure is calculated using Medicare FFS claims, which are used for operation of the Medicare program. Since submission of accurate claims is required for provider reimbursement, these data are considered reliable and routinely used for research purposes. Further, CMS uses auditing programs to assess accuracy of claims data. Key data elements used for risk adjustm</w:t>
      </w:r>
      <w:r w:rsidR="006B27B0" w:rsidRPr="00C85ED0">
        <w:rPr>
          <w:rFonts w:cstheme="minorHAnsi"/>
          <w:bCs/>
        </w:rPr>
        <w:t>ent of this measure including diagnosis</w:t>
      </w:r>
      <w:r w:rsidRPr="00C85ED0">
        <w:rPr>
          <w:rFonts w:cstheme="minorHAnsi"/>
          <w:bCs/>
        </w:rPr>
        <w:t xml:space="preserve"> and procedure codes are used to determine provider payment amount, and thus considered to have high reliability. Since our measure primarily uses risk adjustment variables from </w:t>
      </w:r>
      <w:r w:rsidR="0071395C" w:rsidRPr="00C85ED0">
        <w:rPr>
          <w:rFonts w:cstheme="minorHAnsi"/>
          <w:bCs/>
        </w:rPr>
        <w:t xml:space="preserve">inpatient, outpatient, carrier, and skilled nursing facility claims </w:t>
      </w:r>
      <w:r w:rsidRPr="00C85ED0">
        <w:rPr>
          <w:rFonts w:cstheme="minorHAnsi"/>
          <w:bCs/>
        </w:rPr>
        <w:t xml:space="preserve">in the year preceding the HH stay, the ability of HH providers to influence the data to improve their measure performance is minimized. The measure outcome is based on the Patient Discharge Status Code on the HH claim indicating discharge to a community setting. However, the measure does not rely on this data element alone but confirms discharge to a community destination by looking for acute or long-term care hospital claims on the day of or day after HH discharge. Presence of such a claim negates the discharge to community identified based on the HH claim. Section </w:t>
      </w:r>
      <w:r w:rsidRPr="00232D2B">
        <w:rPr>
          <w:rFonts w:cstheme="minorHAnsi"/>
          <w:b/>
          <w:bCs/>
        </w:rPr>
        <w:t>2b1.1</w:t>
      </w:r>
      <w:r w:rsidRPr="00C85ED0">
        <w:rPr>
          <w:rFonts w:cstheme="minorHAnsi"/>
          <w:bCs/>
        </w:rPr>
        <w:t xml:space="preserve"> discusses empirical data element validity testing of the Patient Discharge Status Code on the HH claim. </w:t>
      </w:r>
    </w:p>
    <w:p w14:paraId="52AAC9E0" w14:textId="77777777" w:rsidR="00C8542F" w:rsidRDefault="00C8542F" w:rsidP="00C8542F">
      <w:pPr>
        <w:pStyle w:val="ListParagraph"/>
        <w:autoSpaceDE w:val="0"/>
        <w:autoSpaceDN w:val="0"/>
        <w:adjustRightInd w:val="0"/>
        <w:spacing w:after="0" w:line="240" w:lineRule="auto"/>
        <w:rPr>
          <w:rFonts w:cstheme="minorHAnsi"/>
          <w:bCs/>
        </w:rPr>
      </w:pPr>
    </w:p>
    <w:p w14:paraId="7D0F832B" w14:textId="77777777" w:rsidR="00C8542F" w:rsidRDefault="00C8542F" w:rsidP="00C8542F">
      <w:pPr>
        <w:pStyle w:val="ListParagraph"/>
        <w:autoSpaceDE w:val="0"/>
        <w:autoSpaceDN w:val="0"/>
        <w:adjustRightInd w:val="0"/>
        <w:spacing w:after="0" w:line="240" w:lineRule="auto"/>
        <w:ind w:left="360"/>
        <w:rPr>
          <w:rStyle w:val="Style1"/>
          <w:rFonts w:cstheme="minorHAnsi"/>
          <w:color w:val="auto"/>
          <w:vertAlign w:val="superscript"/>
        </w:rPr>
      </w:pPr>
      <w:r>
        <w:rPr>
          <w:rFonts w:cstheme="minorHAnsi"/>
        </w:rPr>
        <w:t xml:space="preserve">The claims data elements used in this measure have been used in several NQF-endorsed measures, </w:t>
      </w:r>
      <w:r w:rsidRPr="00C134ED">
        <w:rPr>
          <w:rStyle w:val="Style1"/>
          <w:rFonts w:cstheme="minorHAnsi"/>
          <w:color w:val="auto"/>
        </w:rPr>
        <w:t xml:space="preserve">further supporting their reliability and appropriateness for use in quality measures. These measures </w:t>
      </w:r>
      <w:r>
        <w:rPr>
          <w:rFonts w:cstheme="minorHAnsi"/>
        </w:rPr>
        <w:t xml:space="preserve">include the following: </w:t>
      </w:r>
      <w:r w:rsidRPr="00C134ED">
        <w:rPr>
          <w:rStyle w:val="Style1"/>
          <w:rFonts w:cstheme="minorHAnsi"/>
          <w:color w:val="auto"/>
        </w:rPr>
        <w:t>(i) Hospital-Wide All-Cause Readmission Measure (HWR) (CMS/Yale) (NQF #1789),</w:t>
      </w:r>
      <w:r w:rsidRPr="005A7592">
        <w:rPr>
          <w:rStyle w:val="Style1"/>
          <w:rFonts w:cstheme="minorHAnsi"/>
          <w:color w:val="auto"/>
          <w:vertAlign w:val="superscript"/>
        </w:rPr>
        <w:footnoteReference w:id="3"/>
      </w:r>
      <w:r w:rsidRPr="00C134ED">
        <w:rPr>
          <w:rStyle w:val="Style1"/>
          <w:rFonts w:cstheme="minorHAnsi"/>
          <w:color w:val="auto"/>
        </w:rPr>
        <w:t xml:space="preserve"> (ii) Skilled Nursing Facility 30-Day All-Cause Readmission Measure (SNFRM) (NQF #2510); (iii) All-Cause Unplanned Readmission Measure for 30 Days Post Discharge from Inpatient Rehabilitation Facilities (NQF #2502); (iv) All-Cause Unplanned Readmission Measure for 30 Days Post Discharge from Long Term Care Hospitals (NQF #2512); and (v) Rehospitalization During the First 30 Days of Home Health (NQF #2380).</w:t>
      </w:r>
      <w:bookmarkStart w:id="11" w:name="_Hlk518894438"/>
      <w:r w:rsidRPr="007B3F3D">
        <w:rPr>
          <w:rStyle w:val="Style1"/>
          <w:rFonts w:cstheme="minorHAnsi"/>
          <w:color w:val="auto"/>
          <w:vertAlign w:val="superscript"/>
        </w:rPr>
        <w:footnoteReference w:id="4"/>
      </w:r>
      <w:r>
        <w:rPr>
          <w:rStyle w:val="Style1"/>
          <w:rFonts w:cstheme="minorHAnsi"/>
          <w:color w:val="auto"/>
          <w:vertAlign w:val="superscript"/>
        </w:rPr>
        <w:t xml:space="preserve">, </w:t>
      </w:r>
      <w:r w:rsidRPr="007B3F3D">
        <w:rPr>
          <w:rStyle w:val="Style1"/>
          <w:rFonts w:cstheme="minorHAnsi"/>
          <w:color w:val="auto"/>
          <w:vertAlign w:val="superscript"/>
        </w:rPr>
        <w:footnoteReference w:id="5"/>
      </w:r>
      <w:r>
        <w:rPr>
          <w:rStyle w:val="Style1"/>
          <w:rFonts w:cstheme="minorHAnsi"/>
          <w:color w:val="auto"/>
          <w:vertAlign w:val="superscript"/>
        </w:rPr>
        <w:t xml:space="preserve">, </w:t>
      </w:r>
      <w:r w:rsidRPr="007B3F3D">
        <w:rPr>
          <w:rStyle w:val="Style1"/>
          <w:rFonts w:cstheme="minorHAnsi"/>
          <w:color w:val="auto"/>
          <w:vertAlign w:val="superscript"/>
        </w:rPr>
        <w:footnoteReference w:id="6"/>
      </w:r>
      <w:r>
        <w:rPr>
          <w:rStyle w:val="Style1"/>
          <w:rFonts w:cstheme="minorHAnsi"/>
          <w:color w:val="auto"/>
          <w:vertAlign w:val="superscript"/>
        </w:rPr>
        <w:t xml:space="preserve">, </w:t>
      </w:r>
      <w:r w:rsidRPr="007B3F3D">
        <w:rPr>
          <w:rStyle w:val="Style1"/>
          <w:rFonts w:cstheme="minorHAnsi"/>
          <w:color w:val="auto"/>
          <w:vertAlign w:val="superscript"/>
        </w:rPr>
        <w:footnoteReference w:id="7"/>
      </w:r>
      <w:bookmarkEnd w:id="11"/>
    </w:p>
    <w:p w14:paraId="1E295754" w14:textId="77777777" w:rsidR="00C8542F" w:rsidRDefault="00C8542F" w:rsidP="00C8542F">
      <w:pPr>
        <w:pStyle w:val="ListParagraph"/>
        <w:autoSpaceDE w:val="0"/>
        <w:autoSpaceDN w:val="0"/>
        <w:adjustRightInd w:val="0"/>
        <w:spacing w:after="0" w:line="240" w:lineRule="auto"/>
        <w:ind w:left="360"/>
        <w:rPr>
          <w:rFonts w:cstheme="minorHAnsi"/>
        </w:rPr>
      </w:pPr>
    </w:p>
    <w:p w14:paraId="69C65587" w14:textId="77777777" w:rsidR="00C8542F" w:rsidRPr="00D81265" w:rsidRDefault="00C8542F" w:rsidP="009D21C7">
      <w:pPr>
        <w:pStyle w:val="ListParagraph"/>
        <w:numPr>
          <w:ilvl w:val="0"/>
          <w:numId w:val="10"/>
        </w:numPr>
        <w:autoSpaceDE w:val="0"/>
        <w:autoSpaceDN w:val="0"/>
        <w:adjustRightInd w:val="0"/>
        <w:spacing w:after="0" w:line="240" w:lineRule="auto"/>
        <w:rPr>
          <w:rFonts w:cstheme="minorHAnsi"/>
          <w:b/>
          <w:bCs/>
        </w:rPr>
      </w:pPr>
      <w:r w:rsidRPr="00B66F34">
        <w:rPr>
          <w:rFonts w:cstheme="minorHAnsi"/>
          <w:b/>
          <w:bCs/>
        </w:rPr>
        <w:t>Performance Measure Score Reliability</w:t>
      </w:r>
    </w:p>
    <w:p w14:paraId="78CC1041" w14:textId="4F6ECB96" w:rsidR="00C8542F" w:rsidRPr="00B86C12" w:rsidRDefault="00C8542F" w:rsidP="00C8542F">
      <w:pPr>
        <w:pStyle w:val="ListParagraph"/>
        <w:autoSpaceDE w:val="0"/>
        <w:autoSpaceDN w:val="0"/>
        <w:adjustRightInd w:val="0"/>
        <w:spacing w:after="0" w:line="240" w:lineRule="auto"/>
        <w:ind w:left="360"/>
      </w:pPr>
      <w:r>
        <w:t>We conducted two types of performance measure score reliability testing: (i) w</w:t>
      </w:r>
      <w:r w:rsidRPr="0030169A">
        <w:t>e examined a form of measure score repeatability by assessing agreement between a facility’s performance measure scores based on randomly-split independent patient stay subsets</w:t>
      </w:r>
      <w:r>
        <w:t>;</w:t>
      </w:r>
      <w:r w:rsidRPr="0030169A">
        <w:t xml:space="preserve"> and </w:t>
      </w:r>
      <w:r>
        <w:t>(ii) we examined</w:t>
      </w:r>
      <w:r w:rsidRPr="0030169A">
        <w:t xml:space="preserve"> signal-to-noise ratio</w:t>
      </w:r>
      <w:r>
        <w:t>s</w:t>
      </w:r>
      <w:r w:rsidRPr="0030169A">
        <w:t xml:space="preserve">. </w:t>
      </w:r>
      <w:r>
        <w:t>Performance-measure score reliability testing was restricted to the 10,131 HHAs that had 20 or more patient stays in the CY 2015-2016 measurement period, as only HHAs with a minimum of 20 patients stays in the two-year measurement period will be publicly reported.</w:t>
      </w:r>
      <w:r w:rsidRPr="0030169A">
        <w:t xml:space="preserve"> </w:t>
      </w:r>
    </w:p>
    <w:p w14:paraId="47988340" w14:textId="77777777" w:rsidR="00C8542F" w:rsidRPr="0034773A" w:rsidRDefault="00C8542F" w:rsidP="00C8542F">
      <w:pPr>
        <w:autoSpaceDE w:val="0"/>
        <w:autoSpaceDN w:val="0"/>
        <w:adjustRightInd w:val="0"/>
        <w:spacing w:after="0" w:line="240" w:lineRule="auto"/>
        <w:rPr>
          <w:rFonts w:cstheme="minorHAnsi"/>
          <w:b/>
          <w:bCs/>
        </w:rPr>
      </w:pPr>
    </w:p>
    <w:p w14:paraId="574754DB" w14:textId="77777777" w:rsidR="00C85ED0" w:rsidRPr="00200BBC" w:rsidRDefault="00C85ED0" w:rsidP="00C85ED0">
      <w:pPr>
        <w:pStyle w:val="ListParagraph"/>
        <w:numPr>
          <w:ilvl w:val="1"/>
          <w:numId w:val="10"/>
        </w:numPr>
        <w:autoSpaceDE w:val="0"/>
        <w:autoSpaceDN w:val="0"/>
        <w:adjustRightInd w:val="0"/>
        <w:spacing w:after="0" w:line="240" w:lineRule="auto"/>
        <w:rPr>
          <w:rFonts w:cstheme="minorHAnsi"/>
          <w:b/>
        </w:rPr>
      </w:pPr>
      <w:r>
        <w:rPr>
          <w:rFonts w:cstheme="minorHAnsi"/>
          <w:b/>
          <w:bCs/>
        </w:rPr>
        <w:t xml:space="preserve">Performance </w:t>
      </w:r>
      <w:r w:rsidRPr="005029B4">
        <w:rPr>
          <w:rFonts w:cstheme="minorHAnsi"/>
          <w:b/>
          <w:bCs/>
        </w:rPr>
        <w:t xml:space="preserve">Measure </w:t>
      </w:r>
      <w:r>
        <w:rPr>
          <w:rFonts w:cstheme="minorHAnsi"/>
          <w:b/>
          <w:bCs/>
        </w:rPr>
        <w:t xml:space="preserve">Score </w:t>
      </w:r>
      <w:r w:rsidRPr="005029B4">
        <w:rPr>
          <w:rFonts w:cstheme="minorHAnsi"/>
          <w:b/>
          <w:bCs/>
        </w:rPr>
        <w:t>Precision</w:t>
      </w:r>
      <w:r>
        <w:rPr>
          <w:rFonts w:cstheme="minorHAnsi"/>
          <w:b/>
          <w:bCs/>
        </w:rPr>
        <w:t>:</w:t>
      </w:r>
    </w:p>
    <w:p w14:paraId="6DC3F4A0" w14:textId="77777777" w:rsidR="00C85ED0" w:rsidRPr="00C85ED0" w:rsidRDefault="00C85ED0" w:rsidP="00C85ED0">
      <w:pPr>
        <w:pStyle w:val="ListParagraph"/>
        <w:autoSpaceDE w:val="0"/>
        <w:autoSpaceDN w:val="0"/>
        <w:adjustRightInd w:val="0"/>
        <w:spacing w:after="0" w:line="240" w:lineRule="auto"/>
        <w:ind w:left="1080"/>
        <w:rPr>
          <w:rFonts w:cstheme="minorHAnsi"/>
          <w:b/>
        </w:rPr>
      </w:pPr>
    </w:p>
    <w:p w14:paraId="40F00EFC" w14:textId="618D2055" w:rsidR="00C8542F" w:rsidRPr="00547F86" w:rsidRDefault="00C8542F" w:rsidP="00C85ED0">
      <w:pPr>
        <w:pStyle w:val="ListParagraph"/>
        <w:autoSpaceDE w:val="0"/>
        <w:autoSpaceDN w:val="0"/>
        <w:adjustRightInd w:val="0"/>
        <w:spacing w:after="0" w:line="240" w:lineRule="auto"/>
        <w:ind w:left="1080"/>
        <w:rPr>
          <w:rFonts w:cstheme="minorHAnsi"/>
          <w:b/>
        </w:rPr>
      </w:pPr>
      <w:r w:rsidRPr="00514842">
        <w:rPr>
          <w:rFonts w:cstheme="minorHAnsi"/>
          <w:b/>
          <w:bCs/>
        </w:rPr>
        <w:t>Signal</w:t>
      </w:r>
      <w:r>
        <w:rPr>
          <w:rFonts w:cstheme="minorHAnsi"/>
          <w:b/>
          <w:bCs/>
        </w:rPr>
        <w:t>-</w:t>
      </w:r>
      <w:r w:rsidRPr="00514842">
        <w:rPr>
          <w:rFonts w:cstheme="minorHAnsi"/>
          <w:b/>
          <w:bCs/>
        </w:rPr>
        <w:t>to</w:t>
      </w:r>
      <w:r>
        <w:rPr>
          <w:rFonts w:cstheme="minorHAnsi"/>
          <w:b/>
          <w:bCs/>
        </w:rPr>
        <w:t>-n</w:t>
      </w:r>
      <w:r w:rsidRPr="00514842">
        <w:rPr>
          <w:rFonts w:cstheme="minorHAnsi"/>
          <w:b/>
          <w:bCs/>
        </w:rPr>
        <w:t xml:space="preserve">oise </w:t>
      </w:r>
      <w:r>
        <w:rPr>
          <w:rFonts w:cstheme="minorHAnsi"/>
          <w:b/>
          <w:bCs/>
        </w:rPr>
        <w:t>r</w:t>
      </w:r>
      <w:r w:rsidRPr="00514842">
        <w:rPr>
          <w:rFonts w:cstheme="minorHAnsi"/>
          <w:b/>
          <w:bCs/>
        </w:rPr>
        <w:t>atio</w:t>
      </w:r>
      <w:r>
        <w:rPr>
          <w:rFonts w:cstheme="minorHAnsi"/>
          <w:bCs/>
        </w:rPr>
        <w:t xml:space="preserve"> is defined </w:t>
      </w:r>
      <w:r w:rsidRPr="00D035E4">
        <w:rPr>
          <w:bCs/>
        </w:rPr>
        <w:t>as</w:t>
      </w:r>
      <w:r w:rsidRPr="00D035E4">
        <w:rPr>
          <w:b/>
          <w:bCs/>
        </w:rPr>
        <w:t xml:space="preserve"> </w:t>
      </w:r>
      <w:r w:rsidRPr="00D035E4">
        <w:t>the proportion of variation in performance scores due to systematic differences across the measured entities (</w:t>
      </w:r>
      <w:r>
        <w:t>i.e.,</w:t>
      </w:r>
      <w:r w:rsidRPr="00D035E4">
        <w:t xml:space="preserve"> signal) in relation to random error (</w:t>
      </w:r>
      <w:r>
        <w:t>i.e.,</w:t>
      </w:r>
      <w:r w:rsidRPr="00D035E4">
        <w:t xml:space="preserve"> noise)</w:t>
      </w:r>
      <w:r>
        <w:t xml:space="preserve">. It is an indicator of measure score precision. </w:t>
      </w:r>
      <w:r>
        <w:rPr>
          <w:rFonts w:cstheme="minorHAnsi"/>
          <w:bCs/>
        </w:rPr>
        <w:t xml:space="preserve">We </w:t>
      </w:r>
      <w:r w:rsidRPr="004A4648">
        <w:rPr>
          <w:rFonts w:cstheme="minorHAnsi"/>
          <w:bCs/>
        </w:rPr>
        <w:t>calculate</w:t>
      </w:r>
      <w:r>
        <w:rPr>
          <w:rFonts w:cstheme="minorHAnsi"/>
          <w:bCs/>
        </w:rPr>
        <w:t xml:space="preserve">d signal-to-noise ratio </w:t>
      </w:r>
      <w:r>
        <w:rPr>
          <w:rFonts w:cstheme="minorHAnsi"/>
          <w:bCs/>
        </w:rPr>
        <w:lastRenderedPageBreak/>
        <w:t>as</w:t>
      </w:r>
      <w:r w:rsidRPr="00514842">
        <w:rPr>
          <w:rFonts w:cstheme="minorHAnsi"/>
          <w:bCs/>
        </w:rPr>
        <w:t xml:space="preserve"> the ratio of the </w:t>
      </w:r>
      <w:r>
        <w:rPr>
          <w:rFonts w:cstheme="minorHAnsi"/>
          <w:bCs/>
        </w:rPr>
        <w:t xml:space="preserve">facility’s performance measure score </w:t>
      </w:r>
      <w:r w:rsidRPr="004A4648">
        <w:rPr>
          <w:rFonts w:cstheme="minorHAnsi"/>
          <w:bCs/>
        </w:rPr>
        <w:t>(signal)</w:t>
      </w:r>
      <w:r w:rsidRPr="00514842">
        <w:rPr>
          <w:rFonts w:cstheme="minorHAnsi"/>
          <w:bCs/>
        </w:rPr>
        <w:t xml:space="preserve"> to the width of the confidence interval of the </w:t>
      </w:r>
      <w:r>
        <w:rPr>
          <w:rFonts w:cstheme="minorHAnsi"/>
          <w:bCs/>
        </w:rPr>
        <w:t xml:space="preserve">performance measure score </w:t>
      </w:r>
      <w:r w:rsidRPr="004A4648">
        <w:rPr>
          <w:rFonts w:cstheme="minorHAnsi"/>
          <w:bCs/>
        </w:rPr>
        <w:t>(noise).</w:t>
      </w:r>
    </w:p>
    <w:p w14:paraId="547BA021" w14:textId="77777777" w:rsidR="00C8542F" w:rsidRPr="00514842" w:rsidRDefault="00C8542F" w:rsidP="00C8542F">
      <w:pPr>
        <w:autoSpaceDE w:val="0"/>
        <w:autoSpaceDN w:val="0"/>
        <w:adjustRightInd w:val="0"/>
        <w:spacing w:after="0" w:line="240" w:lineRule="auto"/>
        <w:rPr>
          <w:rFonts w:cstheme="minorHAnsi"/>
          <w:bCs/>
        </w:rPr>
      </w:pPr>
    </w:p>
    <w:p w14:paraId="25BAEFE0" w14:textId="77777777" w:rsidR="00C8542F" w:rsidRPr="00A424FB" w:rsidRDefault="00C8542F" w:rsidP="00C8542F">
      <w:pPr>
        <w:autoSpaceDE w:val="0"/>
        <w:autoSpaceDN w:val="0"/>
        <w:adjustRightInd w:val="0"/>
        <w:spacing w:after="0" w:line="240" w:lineRule="auto"/>
        <w:ind w:left="1080"/>
        <w:rPr>
          <w:rFonts w:cstheme="minorHAnsi"/>
          <w:bCs/>
        </w:rPr>
      </w:pPr>
      <m:oMathPara>
        <m:oMathParaPr>
          <m:jc m:val="left"/>
        </m:oMathParaPr>
        <m:oMath>
          <m:r>
            <w:rPr>
              <w:rFonts w:ascii="Cambria Math" w:hAnsi="Cambria Math" w:cstheme="minorHAnsi"/>
              <w:sz w:val="20"/>
            </w:rPr>
            <m:t>Signal to Noise Ratio=</m:t>
          </m:r>
          <m:f>
            <m:fPr>
              <m:ctrlPr>
                <w:rPr>
                  <w:rFonts w:ascii="Cambria Math" w:hAnsi="Cambria Math" w:cstheme="minorHAnsi"/>
                  <w:sz w:val="20"/>
                </w:rPr>
              </m:ctrlPr>
            </m:fPr>
            <m:num>
              <m:r>
                <m:rPr>
                  <m:sty m:val="p"/>
                </m:rPr>
                <w:rPr>
                  <w:rFonts w:ascii="Cambria Math" w:hAnsi="Cambria Math" w:cstheme="minorHAnsi"/>
                  <w:sz w:val="20"/>
                </w:rPr>
                <m:t xml:space="preserve">Risk standardized discharge to community </m:t>
              </m:r>
              <m:d>
                <m:dPr>
                  <m:ctrlPr>
                    <w:rPr>
                      <w:rFonts w:ascii="Cambria Math" w:hAnsi="Cambria Math" w:cstheme="minorHAnsi"/>
                      <w:sz w:val="20"/>
                    </w:rPr>
                  </m:ctrlPr>
                </m:dPr>
                <m:e>
                  <m:r>
                    <m:rPr>
                      <m:sty m:val="p"/>
                    </m:rPr>
                    <w:rPr>
                      <w:rFonts w:ascii="Cambria Math" w:hAnsi="Cambria Math" w:cstheme="minorHAnsi"/>
                      <w:sz w:val="20"/>
                    </w:rPr>
                    <m:t>DTC</m:t>
                  </m:r>
                </m:e>
              </m:d>
              <m:r>
                <m:rPr>
                  <m:sty m:val="p"/>
                </m:rPr>
                <w:rPr>
                  <w:rFonts w:ascii="Cambria Math" w:hAnsi="Cambria Math" w:cstheme="minorHAnsi"/>
                  <w:sz w:val="20"/>
                </w:rPr>
                <m:t xml:space="preserve"> rate</m:t>
              </m:r>
            </m:num>
            <m:den>
              <m:eqArr>
                <m:eqArrPr>
                  <m:ctrlPr>
                    <w:rPr>
                      <w:rFonts w:ascii="Cambria Math" w:hAnsi="Cambria Math" w:cstheme="minorHAnsi"/>
                      <w:sz w:val="20"/>
                    </w:rPr>
                  </m:ctrlPr>
                </m:eqArrPr>
                <m:e>
                  <m:r>
                    <m:rPr>
                      <m:sty m:val="p"/>
                    </m:rPr>
                    <w:rPr>
                      <w:rFonts w:ascii="Cambria Math" w:hAnsi="Cambria Math" w:cstheme="minorHAnsi"/>
                      <w:sz w:val="20"/>
                    </w:rPr>
                    <m:t>Upper 95% CI of DTC Rate-Lower 95% CI of DTC Rate</m:t>
                  </m:r>
                </m:e>
                <m:e/>
              </m:eqArr>
            </m:den>
          </m:f>
        </m:oMath>
      </m:oMathPara>
    </w:p>
    <w:p w14:paraId="0F912EB5" w14:textId="77777777" w:rsidR="00C8542F" w:rsidRPr="00514842" w:rsidRDefault="00C8542F" w:rsidP="00C8542F">
      <w:pPr>
        <w:autoSpaceDE w:val="0"/>
        <w:autoSpaceDN w:val="0"/>
        <w:adjustRightInd w:val="0"/>
        <w:spacing w:after="0" w:line="240" w:lineRule="auto"/>
        <w:rPr>
          <w:rFonts w:cstheme="minorHAnsi"/>
          <w:bCs/>
        </w:rPr>
      </w:pPr>
    </w:p>
    <w:p w14:paraId="4FB9906C" w14:textId="77777777" w:rsidR="00C8542F" w:rsidRPr="000B623C" w:rsidRDefault="00C8542F" w:rsidP="00C8542F">
      <w:pPr>
        <w:autoSpaceDE w:val="0"/>
        <w:autoSpaceDN w:val="0"/>
        <w:adjustRightInd w:val="0"/>
        <w:spacing w:after="0" w:line="240" w:lineRule="auto"/>
        <w:rPr>
          <w:rFonts w:cstheme="minorHAnsi"/>
          <w:bCs/>
        </w:rPr>
      </w:pPr>
      <w:r w:rsidRPr="00514842">
        <w:rPr>
          <w:rFonts w:cstheme="minorHAnsi"/>
          <w:bCs/>
        </w:rPr>
        <w:t xml:space="preserve">Larger </w:t>
      </w:r>
      <w:r>
        <w:rPr>
          <w:rFonts w:cstheme="minorHAnsi"/>
          <w:bCs/>
        </w:rPr>
        <w:t xml:space="preserve">signal-to-noise </w:t>
      </w:r>
      <w:r w:rsidRPr="00514842">
        <w:rPr>
          <w:rFonts w:cstheme="minorHAnsi"/>
          <w:bCs/>
        </w:rPr>
        <w:t xml:space="preserve">ratios indicate greater </w:t>
      </w:r>
      <w:r>
        <w:rPr>
          <w:rFonts w:cstheme="minorHAnsi"/>
          <w:bCs/>
        </w:rPr>
        <w:t xml:space="preserve">precision and </w:t>
      </w:r>
      <w:r w:rsidRPr="00514842">
        <w:rPr>
          <w:rFonts w:cstheme="minorHAnsi"/>
          <w:bCs/>
        </w:rPr>
        <w:t>reliability; e.g., a ratio of 10 indicates that the signal is 10 times as strong as the noise.</w:t>
      </w:r>
    </w:p>
    <w:p w14:paraId="1CE661B1" w14:textId="77777777" w:rsidR="00C8542F" w:rsidRDefault="00C8542F" w:rsidP="00C8542F">
      <w:pPr>
        <w:autoSpaceDE w:val="0"/>
        <w:autoSpaceDN w:val="0"/>
        <w:adjustRightInd w:val="0"/>
        <w:spacing w:after="0" w:line="240" w:lineRule="auto"/>
        <w:rPr>
          <w:rFonts w:cstheme="minorHAnsi"/>
          <w:bCs/>
        </w:rPr>
      </w:pPr>
    </w:p>
    <w:p w14:paraId="4D3E90B4" w14:textId="424FCC5A" w:rsidR="00C8542F" w:rsidRDefault="00C8542F" w:rsidP="00C8542F">
      <w:pPr>
        <w:autoSpaceDE w:val="0"/>
        <w:autoSpaceDN w:val="0"/>
        <w:adjustRightInd w:val="0"/>
        <w:spacing w:after="0" w:line="240" w:lineRule="auto"/>
      </w:pPr>
      <w:r w:rsidRPr="6BA28A9F">
        <w:t xml:space="preserve">In addition to calculating signal-to-noise for the overall facility sample of </w:t>
      </w:r>
      <w:r>
        <w:t>10,131</w:t>
      </w:r>
      <w:r w:rsidRPr="6BA28A9F">
        <w:t xml:space="preserve"> </w:t>
      </w:r>
      <w:r>
        <w:t>HHA</w:t>
      </w:r>
      <w:r w:rsidRPr="6BA28A9F">
        <w:t xml:space="preserve">s, we stratified the facilities into quartiles based on sample size and calculated signal-to-noise ratios within each quartile. The purpose of this analysis was to assess whether measure precision was acceptable across all providers, irrespective of sample size.  </w:t>
      </w:r>
    </w:p>
    <w:p w14:paraId="74421537" w14:textId="77777777" w:rsidR="00C8542F" w:rsidRDefault="00C8542F" w:rsidP="00C8542F">
      <w:pPr>
        <w:autoSpaceDE w:val="0"/>
        <w:autoSpaceDN w:val="0"/>
        <w:adjustRightInd w:val="0"/>
        <w:spacing w:after="0" w:line="240" w:lineRule="auto"/>
      </w:pPr>
    </w:p>
    <w:p w14:paraId="2634D84B" w14:textId="5B04D542" w:rsidR="00C8542F" w:rsidRPr="001D1E62" w:rsidRDefault="00C8542F" w:rsidP="00DC352C">
      <w:pPr>
        <w:pStyle w:val="ListParagraph"/>
        <w:numPr>
          <w:ilvl w:val="1"/>
          <w:numId w:val="10"/>
        </w:numPr>
        <w:autoSpaceDE w:val="0"/>
        <w:autoSpaceDN w:val="0"/>
        <w:adjustRightInd w:val="0"/>
        <w:spacing w:after="0" w:line="240" w:lineRule="auto"/>
      </w:pPr>
      <w:r w:rsidRPr="00514842">
        <w:rPr>
          <w:rFonts w:cstheme="minorHAnsi"/>
          <w:b/>
          <w:bCs/>
        </w:rPr>
        <w:t xml:space="preserve">Split-sample </w:t>
      </w:r>
      <w:r w:rsidR="005160F0">
        <w:rPr>
          <w:rFonts w:cstheme="minorHAnsi"/>
          <w:b/>
          <w:bCs/>
        </w:rPr>
        <w:t>R</w:t>
      </w:r>
      <w:r w:rsidRPr="00514842">
        <w:rPr>
          <w:rFonts w:cstheme="minorHAnsi"/>
          <w:b/>
          <w:bCs/>
        </w:rPr>
        <w:t xml:space="preserve">eliability </w:t>
      </w:r>
      <w:r w:rsidR="005160F0">
        <w:rPr>
          <w:rFonts w:cstheme="minorHAnsi"/>
          <w:b/>
          <w:bCs/>
        </w:rPr>
        <w:t>T</w:t>
      </w:r>
      <w:r>
        <w:rPr>
          <w:rFonts w:cstheme="minorHAnsi"/>
          <w:b/>
          <w:bCs/>
        </w:rPr>
        <w:t>esting</w:t>
      </w:r>
      <w:r w:rsidRPr="00514842">
        <w:rPr>
          <w:rFonts w:cstheme="minorHAnsi"/>
          <w:bCs/>
        </w:rPr>
        <w:t xml:space="preserve">: </w:t>
      </w:r>
      <w:r>
        <w:rPr>
          <w:rFonts w:cstheme="minorHAnsi"/>
          <w:bCs/>
        </w:rPr>
        <w:t xml:space="preserve">This testing examined </w:t>
      </w:r>
      <w:r>
        <w:t>agreement between two performance measure scores for a facility calculated using randomly split, independent subsets of patient stays in the same measurement period. Good a</w:t>
      </w:r>
      <w:r w:rsidRPr="00343AC8">
        <w:rPr>
          <w:rFonts w:cstheme="minorHAnsi"/>
          <w:bCs/>
        </w:rPr>
        <w:t xml:space="preserve">greement </w:t>
      </w:r>
      <w:r>
        <w:rPr>
          <w:rFonts w:cstheme="minorHAnsi"/>
          <w:bCs/>
        </w:rPr>
        <w:t xml:space="preserve">between the two performance measure scores </w:t>
      </w:r>
      <w:r w:rsidRPr="00343AC8">
        <w:rPr>
          <w:rFonts w:cstheme="minorHAnsi"/>
          <w:bCs/>
        </w:rPr>
        <w:t>calculated in this manner provides</w:t>
      </w:r>
      <w:r>
        <w:rPr>
          <w:rFonts w:cstheme="minorHAnsi"/>
          <w:bCs/>
        </w:rPr>
        <w:t xml:space="preserve"> evidence that the measure is capturing an attribute of the </w:t>
      </w:r>
      <w:r w:rsidRPr="00343AC8">
        <w:rPr>
          <w:rFonts w:cstheme="minorHAnsi"/>
          <w:bCs/>
        </w:rPr>
        <w:t>facility</w:t>
      </w:r>
      <w:r>
        <w:rPr>
          <w:rFonts w:cstheme="minorHAnsi"/>
          <w:bCs/>
        </w:rPr>
        <w:t xml:space="preserve"> (quality of care) rather than the patient stays (case-mix) used for measure calculation. </w:t>
      </w:r>
      <w:r w:rsidRPr="00343AC8">
        <w:rPr>
          <w:rFonts w:cstheme="minorHAnsi"/>
          <w:bCs/>
        </w:rPr>
        <w:t xml:space="preserve">We randomly divided each facility’s </w:t>
      </w:r>
      <w:r>
        <w:rPr>
          <w:rFonts w:cstheme="minorHAnsi"/>
          <w:bCs/>
        </w:rPr>
        <w:t>CY 2015</w:t>
      </w:r>
      <w:r w:rsidRPr="00343AC8">
        <w:rPr>
          <w:rFonts w:cstheme="minorHAnsi"/>
          <w:bCs/>
        </w:rPr>
        <w:t>-201</w:t>
      </w:r>
      <w:r>
        <w:rPr>
          <w:rFonts w:cstheme="minorHAnsi"/>
          <w:bCs/>
        </w:rPr>
        <w:t>6</w:t>
      </w:r>
      <w:r w:rsidRPr="00343AC8">
        <w:rPr>
          <w:rFonts w:cstheme="minorHAnsi"/>
          <w:bCs/>
        </w:rPr>
        <w:t xml:space="preserve"> patient stays into halves stratifying by </w:t>
      </w:r>
      <w:r w:rsidR="009066FA">
        <w:rPr>
          <w:rFonts w:cstheme="minorHAnsi"/>
          <w:bCs/>
        </w:rPr>
        <w:t xml:space="preserve">calendar </w:t>
      </w:r>
      <w:r w:rsidR="009066FA" w:rsidRPr="00343AC8">
        <w:rPr>
          <w:rFonts w:cstheme="minorHAnsi"/>
          <w:bCs/>
        </w:rPr>
        <w:t>year</w:t>
      </w:r>
      <w:r w:rsidRPr="00343AC8">
        <w:rPr>
          <w:rFonts w:cstheme="minorHAnsi"/>
          <w:bCs/>
        </w:rPr>
        <w:t xml:space="preserve">, thus ensuring that patient stays </w:t>
      </w:r>
      <w:r>
        <w:rPr>
          <w:rFonts w:cstheme="minorHAnsi"/>
          <w:bCs/>
        </w:rPr>
        <w:t>with</w:t>
      </w:r>
      <w:r w:rsidRPr="00343AC8">
        <w:rPr>
          <w:rFonts w:cstheme="minorHAnsi"/>
          <w:bCs/>
        </w:rPr>
        <w:t xml:space="preserve">in each </w:t>
      </w:r>
      <w:r w:rsidR="009066FA">
        <w:rPr>
          <w:rFonts w:cstheme="minorHAnsi"/>
          <w:bCs/>
        </w:rPr>
        <w:t xml:space="preserve">calendar </w:t>
      </w:r>
      <w:r w:rsidR="009066FA" w:rsidRPr="00343AC8">
        <w:rPr>
          <w:rFonts w:cstheme="minorHAnsi"/>
          <w:bCs/>
        </w:rPr>
        <w:t>year</w:t>
      </w:r>
      <w:r w:rsidRPr="00343AC8">
        <w:rPr>
          <w:rFonts w:cstheme="minorHAnsi"/>
          <w:bCs/>
        </w:rPr>
        <w:t xml:space="preserve"> were evenly distributed across the split-halves. We calculated performance measure scores for each split-half sample using the same measure specification. We calculated </w:t>
      </w:r>
      <w:r>
        <w:rPr>
          <w:rFonts w:cstheme="minorHAnsi"/>
          <w:bCs/>
        </w:rPr>
        <w:t>Shrout-Fleiss</w:t>
      </w:r>
      <w:r w:rsidRPr="0090361B">
        <w:rPr>
          <w:rFonts w:cstheme="minorHAnsi"/>
          <w:bCs/>
        </w:rPr>
        <w:t xml:space="preserve"> </w:t>
      </w:r>
      <w:r>
        <w:rPr>
          <w:rFonts w:cstheme="minorHAnsi"/>
          <w:bCs/>
        </w:rPr>
        <w:t>i</w:t>
      </w:r>
      <w:r w:rsidRPr="0090361B">
        <w:rPr>
          <w:rFonts w:cstheme="minorHAnsi"/>
          <w:bCs/>
        </w:rPr>
        <w:t xml:space="preserve">ntraclass </w:t>
      </w:r>
      <w:r>
        <w:rPr>
          <w:rFonts w:cstheme="minorHAnsi"/>
          <w:bCs/>
        </w:rPr>
        <w:t>c</w:t>
      </w:r>
      <w:r w:rsidRPr="0090361B">
        <w:rPr>
          <w:rFonts w:cstheme="minorHAnsi"/>
          <w:bCs/>
        </w:rPr>
        <w:t xml:space="preserve">orrelation </w:t>
      </w:r>
      <w:r w:rsidRPr="00343AC8">
        <w:rPr>
          <w:rFonts w:cstheme="minorHAnsi"/>
          <w:bCs/>
        </w:rPr>
        <w:t>coefficient</w:t>
      </w:r>
      <w:r>
        <w:rPr>
          <w:rFonts w:cstheme="minorHAnsi"/>
          <w:bCs/>
        </w:rPr>
        <w:t>s</w:t>
      </w:r>
      <w:r w:rsidRPr="0090361B">
        <w:rPr>
          <w:rFonts w:cstheme="minorHAnsi"/>
          <w:bCs/>
        </w:rPr>
        <w:t xml:space="preserve"> </w:t>
      </w:r>
      <w:r>
        <w:rPr>
          <w:rFonts w:cstheme="minorHAnsi"/>
          <w:bCs/>
        </w:rPr>
        <w:t>(</w:t>
      </w:r>
      <w:r w:rsidRPr="0090361B">
        <w:rPr>
          <w:rFonts w:cstheme="minorHAnsi"/>
          <w:bCs/>
        </w:rPr>
        <w:t>(ICC</w:t>
      </w:r>
      <w:r>
        <w:rPr>
          <w:rFonts w:cstheme="minorHAnsi"/>
          <w:bCs/>
        </w:rPr>
        <w:t xml:space="preserve"> (2,1) and ICC (3,1)</w:t>
      </w:r>
      <w:r w:rsidRPr="0090361B">
        <w:rPr>
          <w:rFonts w:cstheme="minorHAnsi"/>
          <w:bCs/>
        </w:rPr>
        <w:t xml:space="preserve">) </w:t>
      </w:r>
      <w:r>
        <w:rPr>
          <w:rFonts w:cstheme="minorHAnsi"/>
          <w:bCs/>
        </w:rPr>
        <w:t>between the split-half scores</w:t>
      </w:r>
      <w:r w:rsidRPr="00343AC8">
        <w:rPr>
          <w:rFonts w:cstheme="minorHAnsi"/>
          <w:bCs/>
        </w:rPr>
        <w:t xml:space="preserve"> to measure reliability.</w:t>
      </w:r>
      <w:r>
        <w:rPr>
          <w:rStyle w:val="FootnoteReference"/>
          <w:bCs/>
        </w:rPr>
        <w:footnoteReference w:id="8"/>
      </w:r>
      <w:r w:rsidRPr="00343AC8">
        <w:rPr>
          <w:rFonts w:cstheme="minorHAnsi"/>
          <w:bCs/>
        </w:rPr>
        <w:t xml:space="preserve"> </w:t>
      </w:r>
    </w:p>
    <w:p w14:paraId="545A6BB8" w14:textId="77777777" w:rsidR="00C8542F" w:rsidRDefault="00C8542F" w:rsidP="00C8542F">
      <w:pPr>
        <w:pStyle w:val="ListParagraph"/>
        <w:autoSpaceDE w:val="0"/>
        <w:autoSpaceDN w:val="0"/>
        <w:adjustRightInd w:val="0"/>
        <w:spacing w:after="0" w:line="240" w:lineRule="auto"/>
        <w:ind w:left="1440"/>
        <w:rPr>
          <w:rFonts w:cstheme="minorHAnsi"/>
          <w:bCs/>
        </w:rPr>
      </w:pPr>
    </w:p>
    <w:p w14:paraId="05278CE8" w14:textId="379BFBAE" w:rsidR="003B5337" w:rsidRDefault="00C8542F" w:rsidP="00DC352C">
      <w:pPr>
        <w:autoSpaceDE w:val="0"/>
        <w:autoSpaceDN w:val="0"/>
        <w:adjustRightInd w:val="0"/>
        <w:spacing w:after="0" w:line="240" w:lineRule="auto"/>
        <w:ind w:left="1080"/>
        <w:rPr>
          <w:rFonts w:cstheme="minorHAnsi"/>
          <w:bCs/>
        </w:rPr>
      </w:pPr>
      <w:r>
        <w:rPr>
          <w:rFonts w:cstheme="minorHAnsi"/>
          <w:bCs/>
        </w:rPr>
        <w:t>We also calculated ICCs between split-half scores stratified by facility size, to assess whether reliability was acceptable across providers irrespective of sample size. To do this, we first split our sample of 10,131 HHAs into quartiles based on facility size. We then calculated ICCs within each quartile using the split-half performance measure scores derived above.</w:t>
      </w:r>
    </w:p>
    <w:p w14:paraId="76130F02" w14:textId="77777777" w:rsidR="00C8542F" w:rsidRPr="00A25024" w:rsidRDefault="00C8542F" w:rsidP="00C8542F">
      <w:pPr>
        <w:autoSpaceDE w:val="0"/>
        <w:autoSpaceDN w:val="0"/>
        <w:adjustRightInd w:val="0"/>
        <w:spacing w:after="0" w:line="240" w:lineRule="auto"/>
        <w:rPr>
          <w:rFonts w:cstheme="minorHAnsi"/>
          <w:bCs/>
        </w:rPr>
      </w:pPr>
    </w:p>
    <w:p w14:paraId="3DE4AD3D" w14:textId="77777777" w:rsidR="002C6558" w:rsidRDefault="00092566" w:rsidP="005D66DB">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2A7C14FC" w14:textId="12E16CF5" w:rsidR="000E260B" w:rsidRDefault="000E260B" w:rsidP="005D66DB">
      <w:pPr>
        <w:autoSpaceDE w:val="0"/>
        <w:autoSpaceDN w:val="0"/>
        <w:adjustRightInd w:val="0"/>
        <w:spacing w:after="0" w:line="240" w:lineRule="auto"/>
        <w:rPr>
          <w:rFonts w:cstheme="minorHAnsi"/>
          <w:b/>
          <w:bCs/>
        </w:rPr>
      </w:pPr>
    </w:p>
    <w:p w14:paraId="5BE4029B" w14:textId="77777777" w:rsidR="000E260B" w:rsidRDefault="000E260B" w:rsidP="000E260B">
      <w:pPr>
        <w:pStyle w:val="ListParagraph"/>
        <w:numPr>
          <w:ilvl w:val="0"/>
          <w:numId w:val="27"/>
        </w:numPr>
        <w:autoSpaceDE w:val="0"/>
        <w:autoSpaceDN w:val="0"/>
        <w:adjustRightInd w:val="0"/>
        <w:spacing w:after="0" w:line="240" w:lineRule="auto"/>
        <w:rPr>
          <w:rFonts w:cstheme="minorHAnsi"/>
        </w:rPr>
      </w:pPr>
      <w:bookmarkStart w:id="12" w:name="_Hlk520659162"/>
      <w:r w:rsidRPr="00DB7A17">
        <w:rPr>
          <w:rFonts w:cstheme="minorHAnsi"/>
          <w:b/>
        </w:rPr>
        <w:t>Critical Data Element Reliability</w:t>
      </w:r>
      <w:r w:rsidRPr="006813E5">
        <w:rPr>
          <w:rFonts w:cstheme="minorHAnsi"/>
        </w:rPr>
        <w:t xml:space="preserve">: Section </w:t>
      </w:r>
      <w:r w:rsidRPr="006813E5">
        <w:rPr>
          <w:rFonts w:cstheme="minorHAnsi"/>
          <w:b/>
        </w:rPr>
        <w:t>2b1.1</w:t>
      </w:r>
      <w:r w:rsidRPr="006813E5">
        <w:rPr>
          <w:rFonts w:cstheme="minorHAnsi"/>
        </w:rPr>
        <w:t xml:space="preserve"> discusses critical data element validity testing.</w:t>
      </w:r>
    </w:p>
    <w:p w14:paraId="63762256" w14:textId="77777777" w:rsidR="005160F0" w:rsidRPr="006813E5" w:rsidRDefault="005160F0" w:rsidP="005160F0">
      <w:pPr>
        <w:pStyle w:val="ListParagraph"/>
        <w:autoSpaceDE w:val="0"/>
        <w:autoSpaceDN w:val="0"/>
        <w:adjustRightInd w:val="0"/>
        <w:spacing w:after="0" w:line="240" w:lineRule="auto"/>
        <w:ind w:left="360"/>
        <w:rPr>
          <w:rFonts w:cstheme="minorHAnsi"/>
        </w:rPr>
      </w:pPr>
    </w:p>
    <w:bookmarkEnd w:id="12"/>
    <w:p w14:paraId="693C1BDF" w14:textId="753DD88B" w:rsidR="005D66DB" w:rsidRDefault="005D66DB" w:rsidP="000E260B">
      <w:pPr>
        <w:pStyle w:val="ListParagraph"/>
        <w:numPr>
          <w:ilvl w:val="0"/>
          <w:numId w:val="27"/>
        </w:numPr>
        <w:autoSpaceDE w:val="0"/>
        <w:autoSpaceDN w:val="0"/>
        <w:adjustRightInd w:val="0"/>
        <w:spacing w:after="0" w:line="240" w:lineRule="auto"/>
        <w:rPr>
          <w:rFonts w:cstheme="minorHAnsi"/>
          <w:b/>
          <w:bCs/>
        </w:rPr>
      </w:pPr>
      <w:r w:rsidRPr="000E260B">
        <w:rPr>
          <w:rFonts w:cstheme="minorHAnsi"/>
          <w:b/>
          <w:bCs/>
        </w:rPr>
        <w:t>Performance Measure Score Reliability</w:t>
      </w:r>
    </w:p>
    <w:p w14:paraId="05C5943A" w14:textId="77777777" w:rsidR="000E260B" w:rsidRPr="000E260B" w:rsidRDefault="000E260B" w:rsidP="000E260B">
      <w:pPr>
        <w:pStyle w:val="ListParagraph"/>
        <w:autoSpaceDE w:val="0"/>
        <w:autoSpaceDN w:val="0"/>
        <w:adjustRightInd w:val="0"/>
        <w:spacing w:after="0" w:line="240" w:lineRule="auto"/>
        <w:ind w:left="360"/>
        <w:rPr>
          <w:rFonts w:cstheme="minorHAnsi"/>
          <w:b/>
          <w:bCs/>
        </w:rPr>
      </w:pPr>
    </w:p>
    <w:p w14:paraId="0559459E" w14:textId="77777777" w:rsidR="005B0837" w:rsidRDefault="000E260B" w:rsidP="005B0837">
      <w:pPr>
        <w:pStyle w:val="ListParagraph"/>
        <w:numPr>
          <w:ilvl w:val="1"/>
          <w:numId w:val="27"/>
        </w:numPr>
        <w:autoSpaceDE w:val="0"/>
        <w:autoSpaceDN w:val="0"/>
        <w:adjustRightInd w:val="0"/>
        <w:spacing w:after="0" w:line="240" w:lineRule="auto"/>
        <w:rPr>
          <w:rFonts w:cstheme="minorHAnsi"/>
          <w:bCs/>
        </w:rPr>
      </w:pPr>
      <w:r w:rsidRPr="005029B4">
        <w:rPr>
          <w:rFonts w:cstheme="minorHAnsi"/>
          <w:b/>
          <w:bCs/>
        </w:rPr>
        <w:t>Measure Precision: Table 3</w:t>
      </w:r>
      <w:r w:rsidRPr="005029B4">
        <w:rPr>
          <w:rFonts w:cstheme="minorHAnsi"/>
          <w:bCs/>
        </w:rPr>
        <w:t xml:space="preserve"> </w:t>
      </w:r>
      <w:r w:rsidR="005D66DB" w:rsidRPr="005613BC">
        <w:rPr>
          <w:rFonts w:cstheme="minorHAnsi"/>
          <w:bCs/>
        </w:rPr>
        <w:t xml:space="preserve">shows the distribution </w:t>
      </w:r>
      <w:r w:rsidR="005D66DB">
        <w:rPr>
          <w:rFonts w:cstheme="minorHAnsi"/>
          <w:bCs/>
        </w:rPr>
        <w:t xml:space="preserve">the </w:t>
      </w:r>
      <w:r w:rsidR="005D66DB" w:rsidRPr="00BC02EB">
        <w:rPr>
          <w:rFonts w:cstheme="minorHAnsi"/>
          <w:b/>
          <w:bCs/>
        </w:rPr>
        <w:t>signal-to-noise ratio</w:t>
      </w:r>
      <w:r w:rsidR="005D66DB" w:rsidRPr="00AB7CF1">
        <w:rPr>
          <w:rFonts w:cstheme="minorHAnsi"/>
          <w:bCs/>
        </w:rPr>
        <w:t xml:space="preserve"> </w:t>
      </w:r>
      <w:r w:rsidR="005D66DB" w:rsidRPr="005613BC">
        <w:rPr>
          <w:rFonts w:cstheme="minorHAnsi"/>
          <w:bCs/>
        </w:rPr>
        <w:t xml:space="preserve">of performance measure </w:t>
      </w:r>
      <w:r w:rsidR="005D66DB">
        <w:rPr>
          <w:rFonts w:cstheme="minorHAnsi"/>
          <w:bCs/>
        </w:rPr>
        <w:t>scores for the overall sample of 10,131 HHAs included in this testing, and by sample size quartile</w:t>
      </w:r>
      <w:r w:rsidR="005D66DB" w:rsidRPr="005613BC">
        <w:rPr>
          <w:rFonts w:cstheme="minorHAnsi"/>
          <w:bCs/>
        </w:rPr>
        <w:t xml:space="preserve">. </w:t>
      </w:r>
      <w:r w:rsidR="005D66DB">
        <w:rPr>
          <w:rFonts w:cstheme="minorHAnsi"/>
          <w:bCs/>
        </w:rPr>
        <w:t xml:space="preserve"> </w:t>
      </w:r>
    </w:p>
    <w:p w14:paraId="72A7DBD0" w14:textId="77777777" w:rsidR="005B0837" w:rsidRDefault="005B0837" w:rsidP="005B0837">
      <w:pPr>
        <w:pStyle w:val="ListParagraph"/>
        <w:autoSpaceDE w:val="0"/>
        <w:autoSpaceDN w:val="0"/>
        <w:adjustRightInd w:val="0"/>
        <w:spacing w:after="0" w:line="240" w:lineRule="auto"/>
        <w:ind w:left="1080"/>
        <w:rPr>
          <w:rFonts w:cstheme="minorHAnsi"/>
          <w:bCs/>
        </w:rPr>
      </w:pPr>
    </w:p>
    <w:p w14:paraId="333D4F8B" w14:textId="77777777" w:rsidR="00C857D8" w:rsidRPr="005613BC" w:rsidRDefault="00C857D8" w:rsidP="000E260B">
      <w:pPr>
        <w:pStyle w:val="ListParagraph"/>
        <w:autoSpaceDE w:val="0"/>
        <w:autoSpaceDN w:val="0"/>
        <w:adjustRightInd w:val="0"/>
        <w:spacing w:after="0" w:line="240" w:lineRule="auto"/>
        <w:ind w:left="360"/>
        <w:rPr>
          <w:rFonts w:cstheme="minorHAnsi"/>
          <w:bCs/>
        </w:rPr>
      </w:pPr>
    </w:p>
    <w:p w14:paraId="2A22A8B1" w14:textId="539EC198" w:rsidR="00BC02EB" w:rsidRDefault="005D66DB" w:rsidP="00634308">
      <w:pPr>
        <w:autoSpaceDE w:val="0"/>
        <w:autoSpaceDN w:val="0"/>
        <w:adjustRightInd w:val="0"/>
        <w:spacing w:after="0" w:line="240" w:lineRule="auto"/>
        <w:jc w:val="center"/>
        <w:rPr>
          <w:rFonts w:cstheme="minorHAnsi"/>
          <w:b/>
        </w:rPr>
      </w:pPr>
      <w:r w:rsidRPr="00C857D8">
        <w:rPr>
          <w:b/>
        </w:rPr>
        <w:lastRenderedPageBreak/>
        <w:t xml:space="preserve">Table 3. </w:t>
      </w:r>
      <w:r w:rsidR="00BC02EB" w:rsidRPr="005029B4">
        <w:rPr>
          <w:rFonts w:cstheme="minorHAnsi"/>
          <w:b/>
        </w:rPr>
        <w:t>Distribution of provider-level signal-to-noise ratio</w:t>
      </w:r>
      <w:r w:rsidR="00BC02EB" w:rsidRPr="005029B4">
        <w:rPr>
          <w:rFonts w:cstheme="minorHAnsi"/>
        </w:rPr>
        <w:t xml:space="preserve"> </w:t>
      </w:r>
      <w:r w:rsidR="00BC02EB" w:rsidRPr="005029B4">
        <w:rPr>
          <w:rFonts w:cstheme="minorHAnsi"/>
          <w:b/>
        </w:rPr>
        <w:t xml:space="preserve">for the overall </w:t>
      </w:r>
      <w:r w:rsidR="00BC02EB">
        <w:rPr>
          <w:rFonts w:cstheme="minorHAnsi"/>
          <w:b/>
        </w:rPr>
        <w:t xml:space="preserve">HH </w:t>
      </w:r>
      <w:r w:rsidR="00BC02EB" w:rsidRPr="005029B4">
        <w:rPr>
          <w:rFonts w:cstheme="minorHAnsi"/>
          <w:b/>
        </w:rPr>
        <w:t>sample and by sample size quartile</w:t>
      </w:r>
    </w:p>
    <w:tbl>
      <w:tblPr>
        <w:tblStyle w:val="CMSTable"/>
        <w:tblW w:w="10108" w:type="dxa"/>
        <w:jc w:val="center"/>
        <w:tblLook w:val="05E0" w:firstRow="1" w:lastRow="1" w:firstColumn="1" w:lastColumn="1" w:noHBand="0" w:noVBand="1"/>
      </w:tblPr>
      <w:tblGrid>
        <w:gridCol w:w="2697"/>
        <w:gridCol w:w="729"/>
        <w:gridCol w:w="1169"/>
        <w:gridCol w:w="698"/>
        <w:gridCol w:w="1360"/>
        <w:gridCol w:w="1015"/>
        <w:gridCol w:w="1347"/>
        <w:gridCol w:w="1093"/>
      </w:tblGrid>
      <w:tr w:rsidR="005D66DB" w:rsidRPr="00C040AD" w14:paraId="001BD15A" w14:textId="77777777" w:rsidTr="00DC352C">
        <w:trPr>
          <w:cnfStyle w:val="100000000000" w:firstRow="1" w:lastRow="0" w:firstColumn="0" w:lastColumn="0" w:oddVBand="0" w:evenVBand="0" w:oddHBand="0" w:evenHBand="0" w:firstRowFirstColumn="0" w:firstRowLastColumn="0" w:lastRowFirstColumn="0" w:lastRowLastColumn="0"/>
          <w:cantSplit/>
          <w:trHeight w:val="87"/>
          <w:tblHeader/>
          <w:jc w:val="center"/>
        </w:trPr>
        <w:tc>
          <w:tcPr>
            <w:tcW w:w="2697" w:type="dxa"/>
            <w:tcBorders>
              <w:top w:val="single" w:sz="4" w:space="0" w:color="auto"/>
            </w:tcBorders>
            <w:shd w:val="clear" w:color="auto" w:fill="D9D9D9" w:themeFill="background1" w:themeFillShade="D9"/>
          </w:tcPr>
          <w:p w14:paraId="62ED69BB" w14:textId="77777777" w:rsidR="005D66DB" w:rsidRPr="00C040AD" w:rsidRDefault="005D66DB" w:rsidP="00F6236F">
            <w:pPr>
              <w:rPr>
                <w:rFonts w:asciiTheme="minorHAnsi" w:eastAsia="Times" w:hAnsiTheme="minorHAnsi" w:cstheme="minorHAnsi"/>
                <w:b/>
                <w:szCs w:val="22"/>
              </w:rPr>
            </w:pPr>
            <w:r w:rsidRPr="00C040AD">
              <w:rPr>
                <w:rFonts w:asciiTheme="minorHAnsi" w:eastAsia="Times" w:hAnsiTheme="minorHAnsi" w:cstheme="minorHAnsi"/>
                <w:b/>
                <w:szCs w:val="22"/>
              </w:rPr>
              <w:t>Facility Sample</w:t>
            </w:r>
          </w:p>
        </w:tc>
        <w:tc>
          <w:tcPr>
            <w:tcW w:w="729" w:type="dxa"/>
            <w:tcBorders>
              <w:top w:val="single" w:sz="4" w:space="0" w:color="auto"/>
            </w:tcBorders>
            <w:shd w:val="clear" w:color="auto" w:fill="D9D9D9" w:themeFill="background1" w:themeFillShade="D9"/>
          </w:tcPr>
          <w:p w14:paraId="48FE1F86" w14:textId="22D602F5" w:rsidR="005D66DB" w:rsidRPr="00C040AD" w:rsidRDefault="005160F0" w:rsidP="00F6236F">
            <w:pPr>
              <w:rPr>
                <w:rFonts w:asciiTheme="minorHAnsi" w:eastAsia="Times" w:hAnsiTheme="minorHAnsi" w:cstheme="minorHAnsi"/>
                <w:b/>
                <w:i/>
                <w:iCs/>
                <w:szCs w:val="22"/>
              </w:rPr>
            </w:pPr>
            <w:r>
              <w:rPr>
                <w:rFonts w:asciiTheme="minorHAnsi" w:eastAsia="Times" w:hAnsiTheme="minorHAnsi" w:cstheme="minorHAnsi"/>
                <w:b/>
                <w:i/>
                <w:iCs/>
                <w:szCs w:val="22"/>
              </w:rPr>
              <w:t>K</w:t>
            </w:r>
          </w:p>
        </w:tc>
        <w:tc>
          <w:tcPr>
            <w:tcW w:w="1169" w:type="dxa"/>
            <w:tcBorders>
              <w:top w:val="single" w:sz="4" w:space="0" w:color="auto"/>
              <w:left w:val="nil"/>
            </w:tcBorders>
            <w:shd w:val="clear" w:color="auto" w:fill="D9D9D9" w:themeFill="background1" w:themeFillShade="D9"/>
          </w:tcPr>
          <w:p w14:paraId="580C236E" w14:textId="77777777" w:rsidR="005D66DB" w:rsidRPr="00C040AD" w:rsidRDefault="005D66DB" w:rsidP="00F6236F">
            <w:pPr>
              <w:rPr>
                <w:rFonts w:asciiTheme="minorHAnsi" w:eastAsia="Times" w:hAnsiTheme="minorHAnsi" w:cstheme="minorHAnsi"/>
                <w:b/>
                <w:szCs w:val="22"/>
              </w:rPr>
            </w:pPr>
            <w:r w:rsidRPr="00C040AD">
              <w:rPr>
                <w:rFonts w:asciiTheme="minorHAnsi" w:eastAsia="Times" w:hAnsiTheme="minorHAnsi" w:cstheme="minorHAnsi"/>
                <w:b/>
                <w:szCs w:val="22"/>
              </w:rPr>
              <w:t>Mean (SD)</w:t>
            </w:r>
          </w:p>
        </w:tc>
        <w:tc>
          <w:tcPr>
            <w:tcW w:w="698" w:type="dxa"/>
            <w:tcBorders>
              <w:top w:val="single" w:sz="4" w:space="0" w:color="auto"/>
            </w:tcBorders>
            <w:shd w:val="clear" w:color="auto" w:fill="D9D9D9" w:themeFill="background1" w:themeFillShade="D9"/>
          </w:tcPr>
          <w:p w14:paraId="64B8254D" w14:textId="77777777" w:rsidR="005D66DB" w:rsidRPr="00C040AD" w:rsidRDefault="005D66DB" w:rsidP="00F6236F">
            <w:pPr>
              <w:rPr>
                <w:rFonts w:asciiTheme="minorHAnsi" w:eastAsia="Times" w:hAnsiTheme="minorHAnsi" w:cstheme="minorHAnsi"/>
                <w:b/>
                <w:szCs w:val="22"/>
              </w:rPr>
            </w:pPr>
            <w:r w:rsidRPr="00C040AD">
              <w:rPr>
                <w:rFonts w:asciiTheme="minorHAnsi" w:eastAsia="Times" w:hAnsiTheme="minorHAnsi" w:cstheme="minorHAnsi"/>
                <w:b/>
                <w:szCs w:val="22"/>
              </w:rPr>
              <w:t>Min</w:t>
            </w:r>
          </w:p>
        </w:tc>
        <w:tc>
          <w:tcPr>
            <w:tcW w:w="1360" w:type="dxa"/>
            <w:tcBorders>
              <w:top w:val="single" w:sz="4" w:space="0" w:color="auto"/>
            </w:tcBorders>
            <w:shd w:val="clear" w:color="auto" w:fill="D9D9D9" w:themeFill="background1" w:themeFillShade="D9"/>
          </w:tcPr>
          <w:p w14:paraId="077BDBDC" w14:textId="77777777" w:rsidR="005D66DB" w:rsidRPr="00C040AD" w:rsidRDefault="005D66DB" w:rsidP="00F6236F">
            <w:pPr>
              <w:rPr>
                <w:rFonts w:asciiTheme="minorHAnsi" w:eastAsia="Times" w:hAnsiTheme="minorHAnsi" w:cstheme="minorHAnsi"/>
                <w:b/>
                <w:szCs w:val="22"/>
              </w:rPr>
            </w:pPr>
            <w:r w:rsidRPr="00C040AD">
              <w:rPr>
                <w:rFonts w:asciiTheme="minorHAnsi" w:eastAsia="Times" w:hAnsiTheme="minorHAnsi" w:cstheme="minorHAnsi"/>
                <w:b/>
                <w:szCs w:val="22"/>
              </w:rPr>
              <w:t>25</w:t>
            </w:r>
            <w:r w:rsidRPr="00C040AD">
              <w:rPr>
                <w:rFonts w:asciiTheme="minorHAnsi" w:eastAsia="Times" w:hAnsiTheme="minorHAnsi" w:cstheme="minorHAnsi"/>
                <w:b/>
                <w:szCs w:val="22"/>
                <w:vertAlign w:val="superscript"/>
              </w:rPr>
              <w:t>th</w:t>
            </w:r>
            <w:r w:rsidRPr="00C040AD">
              <w:rPr>
                <w:rFonts w:asciiTheme="minorHAnsi" w:eastAsia="Times" w:hAnsiTheme="minorHAnsi" w:cstheme="minorHAnsi"/>
                <w:b/>
                <w:szCs w:val="22"/>
              </w:rPr>
              <w:t xml:space="preserve"> Pct*</w:t>
            </w:r>
          </w:p>
        </w:tc>
        <w:tc>
          <w:tcPr>
            <w:tcW w:w="1015" w:type="dxa"/>
            <w:tcBorders>
              <w:top w:val="single" w:sz="4" w:space="0" w:color="auto"/>
            </w:tcBorders>
            <w:shd w:val="clear" w:color="auto" w:fill="D9D9D9" w:themeFill="background1" w:themeFillShade="D9"/>
          </w:tcPr>
          <w:p w14:paraId="35AE3514" w14:textId="77777777" w:rsidR="005D66DB" w:rsidRPr="00C040AD" w:rsidRDefault="005D66DB" w:rsidP="00F6236F">
            <w:pPr>
              <w:rPr>
                <w:rFonts w:asciiTheme="minorHAnsi" w:eastAsia="Times" w:hAnsiTheme="minorHAnsi" w:cstheme="minorHAnsi"/>
                <w:b/>
                <w:szCs w:val="22"/>
              </w:rPr>
            </w:pPr>
            <w:r w:rsidRPr="00C040AD">
              <w:rPr>
                <w:rFonts w:asciiTheme="minorHAnsi" w:eastAsia="Times" w:hAnsiTheme="minorHAnsi" w:cstheme="minorHAnsi"/>
                <w:b/>
                <w:szCs w:val="22"/>
              </w:rPr>
              <w:t>Median</w:t>
            </w:r>
          </w:p>
        </w:tc>
        <w:tc>
          <w:tcPr>
            <w:tcW w:w="1347" w:type="dxa"/>
            <w:tcBorders>
              <w:top w:val="single" w:sz="4" w:space="0" w:color="auto"/>
            </w:tcBorders>
            <w:shd w:val="clear" w:color="auto" w:fill="D9D9D9" w:themeFill="background1" w:themeFillShade="D9"/>
          </w:tcPr>
          <w:p w14:paraId="773715E8" w14:textId="77777777" w:rsidR="005D66DB" w:rsidRPr="00C040AD" w:rsidRDefault="005D66DB" w:rsidP="00F6236F">
            <w:pPr>
              <w:rPr>
                <w:rFonts w:asciiTheme="minorHAnsi" w:eastAsia="Times" w:hAnsiTheme="minorHAnsi" w:cstheme="minorHAnsi"/>
                <w:b/>
                <w:szCs w:val="22"/>
              </w:rPr>
            </w:pPr>
            <w:r w:rsidRPr="00C040AD">
              <w:rPr>
                <w:rFonts w:asciiTheme="minorHAnsi" w:eastAsia="Times" w:hAnsiTheme="minorHAnsi" w:cstheme="minorHAnsi"/>
                <w:b/>
                <w:szCs w:val="22"/>
              </w:rPr>
              <w:t>75</w:t>
            </w:r>
            <w:r w:rsidRPr="00C040AD">
              <w:rPr>
                <w:rFonts w:asciiTheme="minorHAnsi" w:eastAsia="Times" w:hAnsiTheme="minorHAnsi" w:cstheme="minorHAnsi"/>
                <w:b/>
                <w:szCs w:val="22"/>
                <w:vertAlign w:val="superscript"/>
              </w:rPr>
              <w:t>th</w:t>
            </w:r>
            <w:r w:rsidRPr="00C040AD">
              <w:rPr>
                <w:rFonts w:asciiTheme="minorHAnsi" w:eastAsia="Times" w:hAnsiTheme="minorHAnsi" w:cstheme="minorHAnsi"/>
                <w:b/>
                <w:szCs w:val="22"/>
              </w:rPr>
              <w:t xml:space="preserve"> Pct</w:t>
            </w:r>
          </w:p>
        </w:tc>
        <w:tc>
          <w:tcPr>
            <w:tcW w:w="1093" w:type="dxa"/>
            <w:tcBorders>
              <w:top w:val="single" w:sz="4" w:space="0" w:color="auto"/>
            </w:tcBorders>
            <w:shd w:val="clear" w:color="auto" w:fill="D9D9D9" w:themeFill="background1" w:themeFillShade="D9"/>
          </w:tcPr>
          <w:p w14:paraId="175056BA" w14:textId="77777777" w:rsidR="005D66DB" w:rsidRPr="00C040AD" w:rsidRDefault="005D66DB" w:rsidP="00F6236F">
            <w:pPr>
              <w:rPr>
                <w:rFonts w:asciiTheme="minorHAnsi" w:eastAsia="Times" w:hAnsiTheme="minorHAnsi" w:cstheme="minorHAnsi"/>
                <w:b/>
                <w:szCs w:val="22"/>
              </w:rPr>
            </w:pPr>
            <w:r w:rsidRPr="00C040AD">
              <w:rPr>
                <w:rFonts w:asciiTheme="minorHAnsi" w:eastAsia="Times" w:hAnsiTheme="minorHAnsi" w:cstheme="minorHAnsi"/>
                <w:b/>
                <w:szCs w:val="22"/>
              </w:rPr>
              <w:t>Max</w:t>
            </w:r>
          </w:p>
        </w:tc>
      </w:tr>
      <w:tr w:rsidR="0085470E" w:rsidRPr="00C040AD" w14:paraId="15F6AE77" w14:textId="77777777" w:rsidTr="00F6236F">
        <w:trPr>
          <w:trHeight w:val="288"/>
          <w:jc w:val="center"/>
        </w:trPr>
        <w:tc>
          <w:tcPr>
            <w:tcW w:w="2697" w:type="dxa"/>
            <w:vAlign w:val="bottom"/>
          </w:tcPr>
          <w:p w14:paraId="463B0A84" w14:textId="77777777" w:rsidR="0085470E" w:rsidRPr="00C040AD" w:rsidRDefault="0085470E" w:rsidP="0085470E">
            <w:pPr>
              <w:rPr>
                <w:rFonts w:asciiTheme="minorHAnsi" w:eastAsia="Times" w:hAnsiTheme="minorHAnsi" w:cstheme="minorHAnsi"/>
                <w:szCs w:val="22"/>
              </w:rPr>
            </w:pPr>
            <w:r w:rsidRPr="00C040AD">
              <w:rPr>
                <w:rFonts w:asciiTheme="minorHAnsi" w:eastAsia="Times" w:hAnsiTheme="minorHAnsi" w:cstheme="minorHAnsi"/>
                <w:szCs w:val="22"/>
              </w:rPr>
              <w:t xml:space="preserve">Overall </w:t>
            </w:r>
          </w:p>
        </w:tc>
        <w:tc>
          <w:tcPr>
            <w:tcW w:w="729" w:type="dxa"/>
          </w:tcPr>
          <w:p w14:paraId="620F32DC" w14:textId="77777777" w:rsidR="0085470E" w:rsidRPr="00C040AD" w:rsidRDefault="0085470E" w:rsidP="0085470E">
            <w:pPr>
              <w:jc w:val="center"/>
              <w:rPr>
                <w:rFonts w:asciiTheme="minorHAnsi" w:hAnsiTheme="minorHAnsi" w:cstheme="minorHAnsi"/>
                <w:szCs w:val="22"/>
              </w:rPr>
            </w:pPr>
            <w:r>
              <w:rPr>
                <w:rFonts w:asciiTheme="minorHAnsi" w:hAnsiTheme="minorHAnsi" w:cstheme="minorHAnsi"/>
                <w:szCs w:val="22"/>
              </w:rPr>
              <w:t>10,131</w:t>
            </w:r>
          </w:p>
        </w:tc>
        <w:tc>
          <w:tcPr>
            <w:tcW w:w="1169" w:type="dxa"/>
            <w:tcBorders>
              <w:left w:val="nil"/>
            </w:tcBorders>
            <w:vAlign w:val="center"/>
          </w:tcPr>
          <w:p w14:paraId="7C1F0007" w14:textId="5808B0B4" w:rsidR="0085470E" w:rsidRPr="00C040AD" w:rsidRDefault="0085470E" w:rsidP="0085470E">
            <w:pPr>
              <w:jc w:val="center"/>
              <w:rPr>
                <w:rFonts w:asciiTheme="minorHAnsi" w:hAnsiTheme="minorHAnsi" w:cstheme="minorHAnsi"/>
                <w:szCs w:val="22"/>
              </w:rPr>
            </w:pPr>
            <w:r>
              <w:rPr>
                <w:rFonts w:ascii="Calibri" w:hAnsi="Calibri"/>
                <w:color w:val="000000"/>
                <w:szCs w:val="22"/>
              </w:rPr>
              <w:t>9.7 (7.8)</w:t>
            </w:r>
          </w:p>
        </w:tc>
        <w:tc>
          <w:tcPr>
            <w:tcW w:w="698" w:type="dxa"/>
            <w:vAlign w:val="center"/>
          </w:tcPr>
          <w:p w14:paraId="4C511224" w14:textId="7556FB5C" w:rsidR="0085470E" w:rsidRPr="00C040AD" w:rsidRDefault="0085470E" w:rsidP="0085470E">
            <w:pPr>
              <w:jc w:val="center"/>
              <w:rPr>
                <w:rFonts w:asciiTheme="minorHAnsi" w:hAnsiTheme="minorHAnsi" w:cstheme="minorHAnsi"/>
                <w:szCs w:val="22"/>
              </w:rPr>
            </w:pPr>
            <w:r>
              <w:rPr>
                <w:rFonts w:ascii="Calibri" w:hAnsi="Calibri"/>
                <w:color w:val="000000"/>
                <w:szCs w:val="22"/>
              </w:rPr>
              <w:t>0.5</w:t>
            </w:r>
          </w:p>
        </w:tc>
        <w:tc>
          <w:tcPr>
            <w:tcW w:w="1360" w:type="dxa"/>
            <w:vAlign w:val="center"/>
          </w:tcPr>
          <w:p w14:paraId="5D31C3D2" w14:textId="24F5E538" w:rsidR="0085470E" w:rsidRPr="00C040AD" w:rsidRDefault="0085470E" w:rsidP="0085470E">
            <w:pPr>
              <w:jc w:val="center"/>
              <w:rPr>
                <w:rFonts w:asciiTheme="minorHAnsi" w:hAnsiTheme="minorHAnsi" w:cstheme="minorHAnsi"/>
                <w:szCs w:val="22"/>
              </w:rPr>
            </w:pPr>
            <w:r>
              <w:rPr>
                <w:rFonts w:ascii="Calibri" w:hAnsi="Calibri"/>
                <w:color w:val="000000"/>
                <w:szCs w:val="22"/>
              </w:rPr>
              <w:t>4.0</w:t>
            </w:r>
          </w:p>
        </w:tc>
        <w:tc>
          <w:tcPr>
            <w:tcW w:w="1015" w:type="dxa"/>
            <w:vAlign w:val="center"/>
          </w:tcPr>
          <w:p w14:paraId="593239D6" w14:textId="0867654C" w:rsidR="0085470E" w:rsidRPr="00C040AD" w:rsidRDefault="0085470E" w:rsidP="0085470E">
            <w:pPr>
              <w:jc w:val="center"/>
              <w:rPr>
                <w:rFonts w:asciiTheme="minorHAnsi" w:hAnsiTheme="minorHAnsi" w:cstheme="minorHAnsi"/>
                <w:szCs w:val="22"/>
              </w:rPr>
            </w:pPr>
            <w:r>
              <w:rPr>
                <w:rFonts w:ascii="Calibri" w:hAnsi="Calibri"/>
                <w:color w:val="000000"/>
                <w:szCs w:val="22"/>
              </w:rPr>
              <w:t>7.7</w:t>
            </w:r>
          </w:p>
        </w:tc>
        <w:tc>
          <w:tcPr>
            <w:tcW w:w="1347" w:type="dxa"/>
            <w:vAlign w:val="center"/>
          </w:tcPr>
          <w:p w14:paraId="76E1ABD1" w14:textId="01A5C0D2" w:rsidR="0085470E" w:rsidRPr="00C040AD" w:rsidRDefault="0085470E" w:rsidP="0085470E">
            <w:pPr>
              <w:jc w:val="center"/>
              <w:rPr>
                <w:rFonts w:asciiTheme="minorHAnsi" w:hAnsiTheme="minorHAnsi" w:cstheme="minorHAnsi"/>
                <w:szCs w:val="22"/>
              </w:rPr>
            </w:pPr>
            <w:r>
              <w:rPr>
                <w:rFonts w:ascii="Calibri" w:hAnsi="Calibri"/>
                <w:color w:val="000000"/>
                <w:szCs w:val="22"/>
              </w:rPr>
              <w:t>13.2</w:t>
            </w:r>
          </w:p>
        </w:tc>
        <w:tc>
          <w:tcPr>
            <w:tcW w:w="1093" w:type="dxa"/>
            <w:vAlign w:val="center"/>
          </w:tcPr>
          <w:p w14:paraId="4A897267" w14:textId="3DBFF55F" w:rsidR="0085470E" w:rsidRPr="00C040AD" w:rsidRDefault="0085470E" w:rsidP="0085470E">
            <w:pPr>
              <w:jc w:val="center"/>
              <w:rPr>
                <w:rFonts w:asciiTheme="minorHAnsi" w:hAnsiTheme="minorHAnsi" w:cstheme="minorHAnsi"/>
                <w:szCs w:val="22"/>
              </w:rPr>
            </w:pPr>
            <w:r>
              <w:rPr>
                <w:rFonts w:ascii="Calibri" w:hAnsi="Calibri"/>
                <w:color w:val="000000"/>
                <w:szCs w:val="22"/>
              </w:rPr>
              <w:t>77.8</w:t>
            </w:r>
          </w:p>
        </w:tc>
      </w:tr>
      <w:tr w:rsidR="005E0E62" w:rsidRPr="00C040AD" w14:paraId="4265ED7A" w14:textId="77777777" w:rsidTr="00F6236F">
        <w:trPr>
          <w:trHeight w:val="288"/>
          <w:jc w:val="center"/>
        </w:trPr>
        <w:tc>
          <w:tcPr>
            <w:tcW w:w="2697" w:type="dxa"/>
            <w:vAlign w:val="bottom"/>
          </w:tcPr>
          <w:p w14:paraId="338FC4ED" w14:textId="32B89751" w:rsidR="005E0E62" w:rsidRDefault="005E0E62" w:rsidP="005E0E62">
            <w:pPr>
              <w:rPr>
                <w:rFonts w:asciiTheme="minorHAnsi" w:eastAsiaTheme="minorEastAsia" w:hAnsiTheme="minorHAnsi" w:cstheme="minorBidi"/>
              </w:rPr>
            </w:pPr>
            <w:r>
              <w:rPr>
                <w:rFonts w:ascii="Calibri" w:hAnsi="Calibri"/>
                <w:color w:val="000000"/>
                <w:szCs w:val="22"/>
              </w:rPr>
              <w:t>20-94 Stays (quartile 1)</w:t>
            </w:r>
          </w:p>
        </w:tc>
        <w:tc>
          <w:tcPr>
            <w:tcW w:w="729" w:type="dxa"/>
            <w:vAlign w:val="center"/>
          </w:tcPr>
          <w:p w14:paraId="2D828CB1" w14:textId="4390333A" w:rsidR="005E0E62" w:rsidRPr="00C040AD" w:rsidRDefault="005E0E62" w:rsidP="005E0E62">
            <w:pPr>
              <w:jc w:val="center"/>
              <w:rPr>
                <w:rFonts w:asciiTheme="minorHAnsi" w:hAnsiTheme="minorHAnsi" w:cstheme="minorHAnsi"/>
                <w:szCs w:val="22"/>
              </w:rPr>
            </w:pPr>
            <w:r>
              <w:rPr>
                <w:rFonts w:ascii="Calibri" w:hAnsi="Calibri"/>
                <w:color w:val="000000"/>
                <w:szCs w:val="22"/>
              </w:rPr>
              <w:t>2,520</w:t>
            </w:r>
          </w:p>
        </w:tc>
        <w:tc>
          <w:tcPr>
            <w:tcW w:w="1169" w:type="dxa"/>
            <w:tcBorders>
              <w:left w:val="nil"/>
            </w:tcBorders>
            <w:vAlign w:val="center"/>
          </w:tcPr>
          <w:p w14:paraId="045C3EEB" w14:textId="606FDD14" w:rsidR="005E0E62" w:rsidRPr="00C040AD" w:rsidRDefault="005E0E62" w:rsidP="005E0E62">
            <w:pPr>
              <w:jc w:val="center"/>
              <w:rPr>
                <w:rFonts w:asciiTheme="minorHAnsi" w:hAnsiTheme="minorHAnsi" w:cstheme="minorHAnsi"/>
                <w:szCs w:val="22"/>
              </w:rPr>
            </w:pPr>
            <w:r>
              <w:rPr>
                <w:rFonts w:ascii="Calibri" w:hAnsi="Calibri"/>
                <w:color w:val="000000"/>
                <w:szCs w:val="22"/>
              </w:rPr>
              <w:t>2.9 (1.5)</w:t>
            </w:r>
          </w:p>
        </w:tc>
        <w:tc>
          <w:tcPr>
            <w:tcW w:w="698" w:type="dxa"/>
            <w:vAlign w:val="center"/>
          </w:tcPr>
          <w:p w14:paraId="61E65DF7" w14:textId="4EE2F235" w:rsidR="005E0E62" w:rsidRPr="00C040AD" w:rsidRDefault="005E0E62" w:rsidP="005E0E62">
            <w:pPr>
              <w:jc w:val="center"/>
              <w:rPr>
                <w:rFonts w:asciiTheme="minorHAnsi" w:hAnsiTheme="minorHAnsi" w:cstheme="minorHAnsi"/>
                <w:szCs w:val="22"/>
              </w:rPr>
            </w:pPr>
            <w:r>
              <w:rPr>
                <w:rFonts w:ascii="Calibri" w:hAnsi="Calibri"/>
                <w:color w:val="000000"/>
                <w:szCs w:val="22"/>
              </w:rPr>
              <w:t>0.5</w:t>
            </w:r>
          </w:p>
        </w:tc>
        <w:tc>
          <w:tcPr>
            <w:tcW w:w="1360" w:type="dxa"/>
            <w:vAlign w:val="center"/>
          </w:tcPr>
          <w:p w14:paraId="5DAFA718" w14:textId="7372C4C0" w:rsidR="005E0E62" w:rsidRPr="00C040AD" w:rsidRDefault="005E0E62" w:rsidP="005E0E62">
            <w:pPr>
              <w:jc w:val="center"/>
              <w:rPr>
                <w:rFonts w:asciiTheme="minorHAnsi" w:hAnsiTheme="minorHAnsi" w:cstheme="minorHAnsi"/>
                <w:szCs w:val="22"/>
              </w:rPr>
            </w:pPr>
            <w:r>
              <w:rPr>
                <w:rFonts w:ascii="Calibri" w:hAnsi="Calibri"/>
                <w:color w:val="000000"/>
                <w:szCs w:val="22"/>
              </w:rPr>
              <w:t>1.8</w:t>
            </w:r>
          </w:p>
        </w:tc>
        <w:tc>
          <w:tcPr>
            <w:tcW w:w="1015" w:type="dxa"/>
            <w:vAlign w:val="center"/>
          </w:tcPr>
          <w:p w14:paraId="36AA1FCE" w14:textId="14F2FBD4" w:rsidR="005E0E62" w:rsidRPr="00C040AD" w:rsidRDefault="005E0E62" w:rsidP="005E0E62">
            <w:pPr>
              <w:jc w:val="center"/>
              <w:rPr>
                <w:rFonts w:asciiTheme="minorHAnsi" w:hAnsiTheme="minorHAnsi" w:cstheme="minorHAnsi"/>
                <w:szCs w:val="22"/>
              </w:rPr>
            </w:pPr>
            <w:r>
              <w:rPr>
                <w:rFonts w:ascii="Calibri" w:hAnsi="Calibri"/>
                <w:color w:val="000000"/>
                <w:szCs w:val="22"/>
              </w:rPr>
              <w:t>2.7</w:t>
            </w:r>
          </w:p>
        </w:tc>
        <w:tc>
          <w:tcPr>
            <w:tcW w:w="1347" w:type="dxa"/>
            <w:vAlign w:val="center"/>
          </w:tcPr>
          <w:p w14:paraId="379304BE" w14:textId="48B3B414" w:rsidR="005E0E62" w:rsidRPr="00C040AD" w:rsidRDefault="005E0E62" w:rsidP="005E0E62">
            <w:pPr>
              <w:jc w:val="center"/>
              <w:rPr>
                <w:rFonts w:asciiTheme="minorHAnsi" w:hAnsiTheme="minorHAnsi" w:cstheme="minorHAnsi"/>
                <w:szCs w:val="22"/>
              </w:rPr>
            </w:pPr>
            <w:r>
              <w:rPr>
                <w:rFonts w:ascii="Calibri" w:hAnsi="Calibri"/>
                <w:color w:val="000000"/>
                <w:szCs w:val="22"/>
              </w:rPr>
              <w:t>3.9</w:t>
            </w:r>
          </w:p>
        </w:tc>
        <w:tc>
          <w:tcPr>
            <w:tcW w:w="1093" w:type="dxa"/>
            <w:vAlign w:val="center"/>
          </w:tcPr>
          <w:p w14:paraId="1E29BDE0" w14:textId="08352059" w:rsidR="005E0E62" w:rsidRPr="00C040AD" w:rsidRDefault="005E0E62" w:rsidP="005E0E62">
            <w:pPr>
              <w:jc w:val="center"/>
              <w:rPr>
                <w:rFonts w:asciiTheme="minorHAnsi" w:hAnsiTheme="minorHAnsi" w:cstheme="minorHAnsi"/>
                <w:szCs w:val="22"/>
              </w:rPr>
            </w:pPr>
            <w:r>
              <w:rPr>
                <w:rFonts w:ascii="Calibri" w:hAnsi="Calibri"/>
                <w:color w:val="000000"/>
                <w:szCs w:val="22"/>
              </w:rPr>
              <w:t>9.7</w:t>
            </w:r>
          </w:p>
        </w:tc>
      </w:tr>
      <w:tr w:rsidR="005E0E62" w:rsidRPr="00C040AD" w14:paraId="1EF1987C" w14:textId="77777777" w:rsidTr="00F6236F">
        <w:trPr>
          <w:trHeight w:val="288"/>
          <w:jc w:val="center"/>
        </w:trPr>
        <w:tc>
          <w:tcPr>
            <w:tcW w:w="2697" w:type="dxa"/>
            <w:vAlign w:val="bottom"/>
          </w:tcPr>
          <w:p w14:paraId="5B543683" w14:textId="6B00276F" w:rsidR="005E0E62" w:rsidRDefault="005E0E62" w:rsidP="005E0E62">
            <w:pPr>
              <w:rPr>
                <w:rFonts w:asciiTheme="minorHAnsi" w:eastAsiaTheme="minorEastAsia" w:hAnsiTheme="minorHAnsi" w:cstheme="minorBidi"/>
              </w:rPr>
            </w:pPr>
            <w:r>
              <w:rPr>
                <w:rFonts w:ascii="Calibri" w:hAnsi="Calibri"/>
                <w:color w:val="000000"/>
                <w:szCs w:val="22"/>
              </w:rPr>
              <w:t>95 - 243 Stays (quartile 2)</w:t>
            </w:r>
          </w:p>
        </w:tc>
        <w:tc>
          <w:tcPr>
            <w:tcW w:w="729" w:type="dxa"/>
            <w:vAlign w:val="center"/>
          </w:tcPr>
          <w:p w14:paraId="48BC2D96" w14:textId="0E0A1655" w:rsidR="005E0E62" w:rsidRPr="00C040AD" w:rsidRDefault="005E0E62" w:rsidP="005E0E62">
            <w:pPr>
              <w:jc w:val="center"/>
              <w:rPr>
                <w:rFonts w:asciiTheme="minorHAnsi" w:hAnsiTheme="minorHAnsi" w:cstheme="minorHAnsi"/>
                <w:szCs w:val="22"/>
              </w:rPr>
            </w:pPr>
            <w:r>
              <w:rPr>
                <w:rFonts w:ascii="Calibri" w:hAnsi="Calibri"/>
                <w:color w:val="000000"/>
                <w:szCs w:val="22"/>
              </w:rPr>
              <w:t>2,546</w:t>
            </w:r>
          </w:p>
        </w:tc>
        <w:tc>
          <w:tcPr>
            <w:tcW w:w="1169" w:type="dxa"/>
            <w:tcBorders>
              <w:left w:val="nil"/>
            </w:tcBorders>
            <w:vAlign w:val="center"/>
          </w:tcPr>
          <w:p w14:paraId="762D9FD7" w14:textId="3E81337D" w:rsidR="005E0E62" w:rsidRPr="00C040AD" w:rsidRDefault="005E0E62" w:rsidP="005E0E62">
            <w:pPr>
              <w:jc w:val="center"/>
              <w:rPr>
                <w:rFonts w:asciiTheme="minorHAnsi" w:hAnsiTheme="minorHAnsi" w:cstheme="minorHAnsi"/>
                <w:szCs w:val="22"/>
              </w:rPr>
            </w:pPr>
            <w:r>
              <w:rPr>
                <w:rFonts w:ascii="Calibri" w:hAnsi="Calibri"/>
                <w:color w:val="000000"/>
                <w:szCs w:val="22"/>
              </w:rPr>
              <w:t>6.0 (2.5)</w:t>
            </w:r>
          </w:p>
        </w:tc>
        <w:tc>
          <w:tcPr>
            <w:tcW w:w="698" w:type="dxa"/>
            <w:vAlign w:val="center"/>
          </w:tcPr>
          <w:p w14:paraId="4F59FED4" w14:textId="311048B8" w:rsidR="005E0E62" w:rsidRPr="00C040AD" w:rsidRDefault="005E0E62" w:rsidP="005E0E62">
            <w:pPr>
              <w:jc w:val="center"/>
              <w:rPr>
                <w:rFonts w:asciiTheme="minorHAnsi" w:hAnsiTheme="minorHAnsi" w:cstheme="minorHAnsi"/>
                <w:szCs w:val="22"/>
              </w:rPr>
            </w:pPr>
            <w:r>
              <w:rPr>
                <w:rFonts w:ascii="Calibri" w:hAnsi="Calibri"/>
                <w:color w:val="000000"/>
                <w:szCs w:val="22"/>
              </w:rPr>
              <w:t>0.6</w:t>
            </w:r>
          </w:p>
        </w:tc>
        <w:tc>
          <w:tcPr>
            <w:tcW w:w="1360" w:type="dxa"/>
            <w:vAlign w:val="center"/>
          </w:tcPr>
          <w:p w14:paraId="4A91F171" w14:textId="58C2926F" w:rsidR="005E0E62" w:rsidRPr="00C040AD" w:rsidRDefault="005E0E62" w:rsidP="005E0E62">
            <w:pPr>
              <w:jc w:val="center"/>
              <w:rPr>
                <w:rFonts w:asciiTheme="minorHAnsi" w:hAnsiTheme="minorHAnsi" w:cstheme="minorHAnsi"/>
                <w:szCs w:val="22"/>
              </w:rPr>
            </w:pPr>
            <w:r>
              <w:rPr>
                <w:rFonts w:ascii="Calibri" w:hAnsi="Calibri"/>
                <w:color w:val="000000"/>
                <w:szCs w:val="22"/>
              </w:rPr>
              <w:t>4.3</w:t>
            </w:r>
          </w:p>
        </w:tc>
        <w:tc>
          <w:tcPr>
            <w:tcW w:w="1015" w:type="dxa"/>
            <w:vAlign w:val="center"/>
          </w:tcPr>
          <w:p w14:paraId="5BE86181" w14:textId="3B789320" w:rsidR="005E0E62" w:rsidRPr="00C040AD" w:rsidRDefault="005E0E62" w:rsidP="005E0E62">
            <w:pPr>
              <w:jc w:val="center"/>
              <w:rPr>
                <w:rFonts w:asciiTheme="minorHAnsi" w:hAnsiTheme="minorHAnsi" w:cstheme="minorHAnsi"/>
                <w:szCs w:val="22"/>
              </w:rPr>
            </w:pPr>
            <w:r>
              <w:rPr>
                <w:rFonts w:ascii="Calibri" w:hAnsi="Calibri"/>
                <w:color w:val="000000"/>
                <w:szCs w:val="22"/>
              </w:rPr>
              <w:t>5.8</w:t>
            </w:r>
          </w:p>
        </w:tc>
        <w:tc>
          <w:tcPr>
            <w:tcW w:w="1347" w:type="dxa"/>
            <w:vAlign w:val="center"/>
          </w:tcPr>
          <w:p w14:paraId="7CF16973" w14:textId="1BB1148F" w:rsidR="005E0E62" w:rsidRPr="00C040AD" w:rsidRDefault="005E0E62" w:rsidP="005E0E62">
            <w:pPr>
              <w:jc w:val="center"/>
              <w:rPr>
                <w:rFonts w:asciiTheme="minorHAnsi" w:hAnsiTheme="minorHAnsi" w:cstheme="minorHAnsi"/>
                <w:szCs w:val="22"/>
              </w:rPr>
            </w:pPr>
            <w:r>
              <w:rPr>
                <w:rFonts w:ascii="Calibri" w:hAnsi="Calibri"/>
                <w:color w:val="000000"/>
                <w:szCs w:val="22"/>
              </w:rPr>
              <w:t>7.5</w:t>
            </w:r>
          </w:p>
        </w:tc>
        <w:tc>
          <w:tcPr>
            <w:tcW w:w="1093" w:type="dxa"/>
            <w:vAlign w:val="center"/>
          </w:tcPr>
          <w:p w14:paraId="54676DF1" w14:textId="792699D8" w:rsidR="005E0E62" w:rsidRPr="00C040AD" w:rsidRDefault="005E0E62" w:rsidP="005E0E62">
            <w:pPr>
              <w:jc w:val="center"/>
              <w:rPr>
                <w:rFonts w:asciiTheme="minorHAnsi" w:hAnsiTheme="minorHAnsi" w:cstheme="minorHAnsi"/>
                <w:szCs w:val="22"/>
              </w:rPr>
            </w:pPr>
            <w:r>
              <w:rPr>
                <w:rFonts w:ascii="Calibri" w:hAnsi="Calibri"/>
                <w:color w:val="000000"/>
                <w:szCs w:val="22"/>
              </w:rPr>
              <w:t>19.9</w:t>
            </w:r>
          </w:p>
        </w:tc>
      </w:tr>
      <w:tr w:rsidR="005E0E62" w:rsidRPr="00C040AD" w14:paraId="10B28326" w14:textId="77777777" w:rsidTr="00F6236F">
        <w:trPr>
          <w:trHeight w:val="288"/>
          <w:jc w:val="center"/>
        </w:trPr>
        <w:tc>
          <w:tcPr>
            <w:tcW w:w="2697" w:type="dxa"/>
            <w:vAlign w:val="bottom"/>
          </w:tcPr>
          <w:p w14:paraId="35739009" w14:textId="12EED066" w:rsidR="005E0E62" w:rsidRDefault="005E0E62" w:rsidP="005E0E62">
            <w:pPr>
              <w:rPr>
                <w:rFonts w:asciiTheme="minorHAnsi" w:eastAsiaTheme="minorEastAsia" w:hAnsiTheme="minorHAnsi" w:cstheme="minorBidi"/>
              </w:rPr>
            </w:pPr>
            <w:r>
              <w:rPr>
                <w:rFonts w:ascii="Calibri" w:hAnsi="Calibri"/>
                <w:color w:val="000000"/>
                <w:szCs w:val="22"/>
              </w:rPr>
              <w:t>244-625 Stays (quartile 3)</w:t>
            </w:r>
          </w:p>
        </w:tc>
        <w:tc>
          <w:tcPr>
            <w:tcW w:w="729" w:type="dxa"/>
            <w:vAlign w:val="center"/>
          </w:tcPr>
          <w:p w14:paraId="2D696B95" w14:textId="340781B0" w:rsidR="005E0E62" w:rsidRPr="00C040AD" w:rsidRDefault="005E0E62" w:rsidP="005E0E62">
            <w:pPr>
              <w:jc w:val="center"/>
              <w:rPr>
                <w:rFonts w:asciiTheme="minorHAnsi" w:hAnsiTheme="minorHAnsi" w:cstheme="minorHAnsi"/>
                <w:szCs w:val="22"/>
              </w:rPr>
            </w:pPr>
            <w:r>
              <w:rPr>
                <w:rFonts w:ascii="Calibri" w:hAnsi="Calibri"/>
                <w:color w:val="000000"/>
                <w:szCs w:val="22"/>
              </w:rPr>
              <w:t>2,533</w:t>
            </w:r>
          </w:p>
        </w:tc>
        <w:tc>
          <w:tcPr>
            <w:tcW w:w="1169" w:type="dxa"/>
            <w:tcBorders>
              <w:left w:val="nil"/>
            </w:tcBorders>
            <w:vAlign w:val="center"/>
          </w:tcPr>
          <w:p w14:paraId="40510374" w14:textId="7DA11979" w:rsidR="005E0E62" w:rsidRPr="00C040AD" w:rsidRDefault="005E0E62" w:rsidP="005E0E62">
            <w:pPr>
              <w:jc w:val="center"/>
              <w:rPr>
                <w:rFonts w:asciiTheme="minorHAnsi" w:hAnsiTheme="minorHAnsi" w:cstheme="minorHAnsi"/>
                <w:szCs w:val="22"/>
              </w:rPr>
            </w:pPr>
            <w:r>
              <w:rPr>
                <w:rFonts w:ascii="Calibri" w:hAnsi="Calibri"/>
                <w:color w:val="000000"/>
                <w:szCs w:val="22"/>
              </w:rPr>
              <w:t>10.3 (3.5)</w:t>
            </w:r>
          </w:p>
        </w:tc>
        <w:tc>
          <w:tcPr>
            <w:tcW w:w="698" w:type="dxa"/>
            <w:vAlign w:val="center"/>
          </w:tcPr>
          <w:p w14:paraId="7EFE4830" w14:textId="736E74EF" w:rsidR="005E0E62" w:rsidRPr="00C040AD" w:rsidRDefault="005E0E62" w:rsidP="005E0E62">
            <w:pPr>
              <w:jc w:val="center"/>
              <w:rPr>
                <w:rFonts w:asciiTheme="minorHAnsi" w:hAnsiTheme="minorHAnsi" w:cstheme="minorHAnsi"/>
                <w:szCs w:val="22"/>
              </w:rPr>
            </w:pPr>
            <w:r>
              <w:rPr>
                <w:rFonts w:ascii="Calibri" w:hAnsi="Calibri"/>
                <w:color w:val="000000"/>
                <w:szCs w:val="22"/>
              </w:rPr>
              <w:t>1.5</w:t>
            </w:r>
          </w:p>
        </w:tc>
        <w:tc>
          <w:tcPr>
            <w:tcW w:w="1360" w:type="dxa"/>
            <w:vAlign w:val="center"/>
          </w:tcPr>
          <w:p w14:paraId="7C244B7A" w14:textId="6F88DD7F" w:rsidR="005E0E62" w:rsidRPr="00C040AD" w:rsidRDefault="005E0E62" w:rsidP="005E0E62">
            <w:pPr>
              <w:jc w:val="center"/>
              <w:rPr>
                <w:rFonts w:asciiTheme="minorHAnsi" w:hAnsiTheme="minorHAnsi" w:cstheme="minorHAnsi"/>
                <w:szCs w:val="22"/>
              </w:rPr>
            </w:pPr>
            <w:r>
              <w:rPr>
                <w:rFonts w:ascii="Calibri" w:hAnsi="Calibri"/>
                <w:color w:val="000000"/>
                <w:szCs w:val="22"/>
              </w:rPr>
              <w:t>8.0</w:t>
            </w:r>
          </w:p>
        </w:tc>
        <w:tc>
          <w:tcPr>
            <w:tcW w:w="1015" w:type="dxa"/>
            <w:vAlign w:val="center"/>
          </w:tcPr>
          <w:p w14:paraId="177072D8" w14:textId="70A647E5" w:rsidR="005E0E62" w:rsidRPr="00C040AD" w:rsidRDefault="005E0E62" w:rsidP="005E0E62">
            <w:pPr>
              <w:jc w:val="center"/>
              <w:rPr>
                <w:rFonts w:asciiTheme="minorHAnsi" w:hAnsiTheme="minorHAnsi" w:cstheme="minorHAnsi"/>
                <w:szCs w:val="22"/>
              </w:rPr>
            </w:pPr>
            <w:r>
              <w:rPr>
                <w:rFonts w:ascii="Calibri" w:hAnsi="Calibri"/>
                <w:color w:val="000000"/>
                <w:szCs w:val="22"/>
              </w:rPr>
              <w:t>10.0</w:t>
            </w:r>
          </w:p>
        </w:tc>
        <w:tc>
          <w:tcPr>
            <w:tcW w:w="1347" w:type="dxa"/>
            <w:vAlign w:val="center"/>
          </w:tcPr>
          <w:p w14:paraId="4FF2951F" w14:textId="362118A6" w:rsidR="005E0E62" w:rsidRPr="00C040AD" w:rsidRDefault="005E0E62" w:rsidP="005E0E62">
            <w:pPr>
              <w:jc w:val="center"/>
              <w:rPr>
                <w:rFonts w:asciiTheme="minorHAnsi" w:hAnsiTheme="minorHAnsi" w:cstheme="minorHAnsi"/>
                <w:szCs w:val="22"/>
              </w:rPr>
            </w:pPr>
            <w:r>
              <w:rPr>
                <w:rFonts w:ascii="Calibri" w:hAnsi="Calibri"/>
                <w:color w:val="000000"/>
                <w:szCs w:val="22"/>
              </w:rPr>
              <w:t>12.3</w:t>
            </w:r>
          </w:p>
        </w:tc>
        <w:tc>
          <w:tcPr>
            <w:tcW w:w="1093" w:type="dxa"/>
            <w:vAlign w:val="center"/>
          </w:tcPr>
          <w:p w14:paraId="284F9922" w14:textId="58E8F76B" w:rsidR="005E0E62" w:rsidRPr="00C040AD" w:rsidRDefault="005E0E62" w:rsidP="005E0E62">
            <w:pPr>
              <w:jc w:val="center"/>
              <w:rPr>
                <w:rFonts w:asciiTheme="minorHAnsi" w:hAnsiTheme="minorHAnsi" w:cstheme="minorHAnsi"/>
                <w:szCs w:val="22"/>
              </w:rPr>
            </w:pPr>
            <w:r>
              <w:rPr>
                <w:rFonts w:ascii="Calibri" w:hAnsi="Calibri"/>
                <w:color w:val="000000"/>
                <w:szCs w:val="22"/>
              </w:rPr>
              <w:t>33.0</w:t>
            </w:r>
          </w:p>
        </w:tc>
      </w:tr>
      <w:tr w:rsidR="005E0E62" w:rsidRPr="00C040AD" w14:paraId="5053B7F8" w14:textId="77777777" w:rsidTr="00F6236F">
        <w:trPr>
          <w:cnfStyle w:val="010000000000" w:firstRow="0" w:lastRow="1" w:firstColumn="0" w:lastColumn="0" w:oddVBand="0" w:evenVBand="0" w:oddHBand="0" w:evenHBand="0" w:firstRowFirstColumn="0" w:firstRowLastColumn="0" w:lastRowFirstColumn="0" w:lastRowLastColumn="0"/>
          <w:trHeight w:val="288"/>
          <w:jc w:val="center"/>
        </w:trPr>
        <w:tc>
          <w:tcPr>
            <w:tcW w:w="2697" w:type="dxa"/>
            <w:vAlign w:val="bottom"/>
          </w:tcPr>
          <w:p w14:paraId="2B5DFB75" w14:textId="78A8505E" w:rsidR="005E0E62" w:rsidRPr="008C5836" w:rsidRDefault="005E0E62" w:rsidP="005E0E62">
            <w:pPr>
              <w:jc w:val="center"/>
              <w:rPr>
                <w:rFonts w:asciiTheme="minorHAnsi" w:eastAsiaTheme="minorEastAsia" w:hAnsiTheme="minorHAnsi" w:cstheme="minorBidi"/>
              </w:rPr>
            </w:pPr>
            <w:r>
              <w:rPr>
                <w:rFonts w:ascii="Calibri" w:hAnsi="Calibri"/>
                <w:color w:val="000000"/>
                <w:szCs w:val="22"/>
              </w:rPr>
              <w:t>626-55,067 Stays (quartile 4)</w:t>
            </w:r>
          </w:p>
        </w:tc>
        <w:tc>
          <w:tcPr>
            <w:tcW w:w="729" w:type="dxa"/>
            <w:vAlign w:val="center"/>
          </w:tcPr>
          <w:p w14:paraId="4F848940" w14:textId="1F07095E" w:rsidR="005E0E62" w:rsidRPr="00C040AD" w:rsidRDefault="005E0E62" w:rsidP="005E0E62">
            <w:pPr>
              <w:jc w:val="center"/>
              <w:rPr>
                <w:rFonts w:asciiTheme="minorHAnsi" w:hAnsiTheme="minorHAnsi" w:cstheme="minorHAnsi"/>
                <w:szCs w:val="22"/>
              </w:rPr>
            </w:pPr>
            <w:r>
              <w:rPr>
                <w:rFonts w:ascii="Calibri" w:hAnsi="Calibri"/>
                <w:color w:val="000000"/>
                <w:szCs w:val="22"/>
              </w:rPr>
              <w:t>2,532</w:t>
            </w:r>
          </w:p>
        </w:tc>
        <w:tc>
          <w:tcPr>
            <w:tcW w:w="1169" w:type="dxa"/>
            <w:tcBorders>
              <w:left w:val="nil"/>
            </w:tcBorders>
            <w:vAlign w:val="center"/>
          </w:tcPr>
          <w:p w14:paraId="2A923C9C" w14:textId="285B39B5" w:rsidR="005E0E62" w:rsidRPr="00C040AD" w:rsidRDefault="005E0E62" w:rsidP="005E0E62">
            <w:pPr>
              <w:jc w:val="center"/>
              <w:rPr>
                <w:rFonts w:asciiTheme="minorHAnsi" w:hAnsiTheme="minorHAnsi" w:cstheme="minorHAnsi"/>
                <w:szCs w:val="22"/>
              </w:rPr>
            </w:pPr>
            <w:r>
              <w:rPr>
                <w:rFonts w:ascii="Calibri" w:hAnsi="Calibri"/>
                <w:color w:val="000000"/>
                <w:szCs w:val="22"/>
              </w:rPr>
              <w:t>19.6 (8.0)</w:t>
            </w:r>
          </w:p>
        </w:tc>
        <w:tc>
          <w:tcPr>
            <w:tcW w:w="698" w:type="dxa"/>
            <w:vAlign w:val="center"/>
          </w:tcPr>
          <w:p w14:paraId="472BF6C7" w14:textId="2EBB66E8" w:rsidR="005E0E62" w:rsidRPr="00C040AD" w:rsidRDefault="005E0E62" w:rsidP="005E0E62">
            <w:pPr>
              <w:jc w:val="center"/>
              <w:rPr>
                <w:rFonts w:asciiTheme="minorHAnsi" w:hAnsiTheme="minorHAnsi" w:cstheme="minorHAnsi"/>
                <w:szCs w:val="22"/>
              </w:rPr>
            </w:pPr>
            <w:r>
              <w:rPr>
                <w:rFonts w:ascii="Calibri" w:hAnsi="Calibri"/>
                <w:color w:val="000000"/>
                <w:szCs w:val="22"/>
              </w:rPr>
              <w:t>1.1</w:t>
            </w:r>
          </w:p>
        </w:tc>
        <w:tc>
          <w:tcPr>
            <w:tcW w:w="1360" w:type="dxa"/>
            <w:vAlign w:val="center"/>
          </w:tcPr>
          <w:p w14:paraId="7CA6FC6B" w14:textId="66679A83" w:rsidR="005E0E62" w:rsidRPr="00C040AD" w:rsidRDefault="005E0E62" w:rsidP="005E0E62">
            <w:pPr>
              <w:jc w:val="center"/>
              <w:rPr>
                <w:rFonts w:asciiTheme="minorHAnsi" w:hAnsiTheme="minorHAnsi" w:cstheme="minorHAnsi"/>
                <w:szCs w:val="22"/>
              </w:rPr>
            </w:pPr>
            <w:r>
              <w:rPr>
                <w:rFonts w:ascii="Calibri" w:hAnsi="Calibri"/>
                <w:color w:val="000000"/>
                <w:szCs w:val="22"/>
              </w:rPr>
              <w:t>14.0</w:t>
            </w:r>
          </w:p>
        </w:tc>
        <w:tc>
          <w:tcPr>
            <w:tcW w:w="1015" w:type="dxa"/>
            <w:vAlign w:val="center"/>
          </w:tcPr>
          <w:p w14:paraId="2D2E83B1" w14:textId="2F9F7154" w:rsidR="005E0E62" w:rsidRPr="00C040AD" w:rsidRDefault="005E0E62" w:rsidP="005E0E62">
            <w:pPr>
              <w:jc w:val="center"/>
              <w:rPr>
                <w:rFonts w:asciiTheme="minorHAnsi" w:hAnsiTheme="minorHAnsi" w:cstheme="minorHAnsi"/>
                <w:szCs w:val="22"/>
              </w:rPr>
            </w:pPr>
            <w:r>
              <w:rPr>
                <w:rFonts w:ascii="Calibri" w:hAnsi="Calibri"/>
                <w:color w:val="000000"/>
                <w:szCs w:val="22"/>
              </w:rPr>
              <w:t>17.8</w:t>
            </w:r>
          </w:p>
        </w:tc>
        <w:tc>
          <w:tcPr>
            <w:tcW w:w="1347" w:type="dxa"/>
            <w:vAlign w:val="center"/>
          </w:tcPr>
          <w:p w14:paraId="6C7EE9A6" w14:textId="12CB5FE9" w:rsidR="005E0E62" w:rsidRPr="00C040AD" w:rsidRDefault="005E0E62" w:rsidP="005E0E62">
            <w:pPr>
              <w:jc w:val="center"/>
              <w:rPr>
                <w:rFonts w:asciiTheme="minorHAnsi" w:hAnsiTheme="minorHAnsi" w:cstheme="minorHAnsi"/>
                <w:szCs w:val="22"/>
              </w:rPr>
            </w:pPr>
            <w:r>
              <w:rPr>
                <w:rFonts w:ascii="Calibri" w:hAnsi="Calibri"/>
                <w:color w:val="000000"/>
                <w:szCs w:val="22"/>
              </w:rPr>
              <w:t>23.4</w:t>
            </w:r>
          </w:p>
        </w:tc>
        <w:tc>
          <w:tcPr>
            <w:tcW w:w="1093" w:type="dxa"/>
            <w:vAlign w:val="center"/>
          </w:tcPr>
          <w:p w14:paraId="5BD68907" w14:textId="7C6898C3" w:rsidR="005E0E62" w:rsidRPr="00C040AD" w:rsidRDefault="005E0E62" w:rsidP="005E0E62">
            <w:pPr>
              <w:jc w:val="center"/>
              <w:rPr>
                <w:rFonts w:asciiTheme="minorHAnsi" w:hAnsiTheme="minorHAnsi" w:cstheme="minorHAnsi"/>
                <w:szCs w:val="22"/>
              </w:rPr>
            </w:pPr>
            <w:r>
              <w:rPr>
                <w:rFonts w:ascii="Calibri" w:hAnsi="Calibri"/>
                <w:color w:val="000000"/>
                <w:szCs w:val="22"/>
              </w:rPr>
              <w:t>77.8</w:t>
            </w:r>
          </w:p>
        </w:tc>
      </w:tr>
    </w:tbl>
    <w:p w14:paraId="36C58A8C" w14:textId="77777777" w:rsidR="005D66DB" w:rsidRDefault="005D66DB" w:rsidP="005D66DB">
      <w:pPr>
        <w:autoSpaceDE w:val="0"/>
        <w:autoSpaceDN w:val="0"/>
        <w:adjustRightInd w:val="0"/>
        <w:spacing w:after="0" w:line="240" w:lineRule="auto"/>
        <w:rPr>
          <w:rFonts w:cstheme="minorHAnsi"/>
          <w:bCs/>
        </w:rPr>
      </w:pPr>
      <w:r>
        <w:rPr>
          <w:rFonts w:cstheme="minorHAnsi"/>
          <w:bCs/>
          <w:sz w:val="18"/>
        </w:rPr>
        <w:t>Acumen</w:t>
      </w:r>
      <w:r w:rsidRPr="0090361B">
        <w:rPr>
          <w:rFonts w:cstheme="minorHAnsi"/>
          <w:bCs/>
          <w:sz w:val="18"/>
        </w:rPr>
        <w:t xml:space="preserve"> Analysis of Medicare Claims File for </w:t>
      </w:r>
      <w:r>
        <w:rPr>
          <w:rFonts w:cstheme="minorHAnsi"/>
          <w:bCs/>
          <w:sz w:val="18"/>
        </w:rPr>
        <w:t>HH</w:t>
      </w:r>
      <w:r w:rsidRPr="0090361B">
        <w:rPr>
          <w:rFonts w:cstheme="minorHAnsi"/>
          <w:bCs/>
          <w:sz w:val="18"/>
        </w:rPr>
        <w:t xml:space="preserve">, </w:t>
      </w:r>
      <w:r>
        <w:rPr>
          <w:rFonts w:cstheme="minorHAnsi"/>
          <w:bCs/>
          <w:sz w:val="18"/>
        </w:rPr>
        <w:t>CY</w:t>
      </w:r>
      <w:r w:rsidRPr="0090361B">
        <w:rPr>
          <w:rFonts w:cstheme="minorHAnsi"/>
          <w:bCs/>
          <w:sz w:val="18"/>
        </w:rPr>
        <w:t xml:space="preserve"> 201</w:t>
      </w:r>
      <w:r>
        <w:rPr>
          <w:rFonts w:cstheme="minorHAnsi"/>
          <w:bCs/>
          <w:sz w:val="18"/>
        </w:rPr>
        <w:t>5</w:t>
      </w:r>
      <w:r w:rsidRPr="0090361B">
        <w:rPr>
          <w:rFonts w:cstheme="minorHAnsi"/>
          <w:bCs/>
          <w:sz w:val="18"/>
        </w:rPr>
        <w:t>-201</w:t>
      </w:r>
      <w:r>
        <w:rPr>
          <w:rFonts w:cstheme="minorHAnsi"/>
          <w:bCs/>
          <w:sz w:val="18"/>
        </w:rPr>
        <w:t>6.</w:t>
      </w:r>
      <w:r w:rsidRPr="0090361B">
        <w:rPr>
          <w:rFonts w:cstheme="minorHAnsi"/>
          <w:bCs/>
          <w:sz w:val="18"/>
        </w:rPr>
        <w:t xml:space="preserve"> </w:t>
      </w:r>
      <w:r>
        <w:rPr>
          <w:rFonts w:cstheme="minorHAnsi"/>
          <w:bCs/>
          <w:sz w:val="18"/>
        </w:rPr>
        <w:t>Note: The reliability testi</w:t>
      </w:r>
      <w:r w:rsidRPr="00FF6B31">
        <w:rPr>
          <w:rFonts w:cstheme="minorHAnsi"/>
          <w:bCs/>
          <w:sz w:val="18"/>
        </w:rPr>
        <w:t xml:space="preserve">ng </w:t>
      </w:r>
      <w:r>
        <w:rPr>
          <w:rFonts w:cstheme="minorHAnsi"/>
          <w:bCs/>
          <w:sz w:val="18"/>
        </w:rPr>
        <w:t>was</w:t>
      </w:r>
      <w:r w:rsidRPr="00FF6B31">
        <w:rPr>
          <w:rFonts w:cstheme="minorHAnsi"/>
          <w:bCs/>
          <w:sz w:val="18"/>
        </w:rPr>
        <w:t xml:space="preserve"> performed among HHAs with &gt;= 20 stays</w:t>
      </w:r>
      <w:r>
        <w:rPr>
          <w:rFonts w:cstheme="minorHAnsi"/>
          <w:bCs/>
          <w:sz w:val="18"/>
        </w:rPr>
        <w:t>.</w:t>
      </w:r>
      <w:r w:rsidRPr="00FF6B31">
        <w:rPr>
          <w:rFonts w:cstheme="minorHAnsi"/>
          <w:bCs/>
          <w:sz w:val="18"/>
        </w:rPr>
        <w:t xml:space="preserve"> </w:t>
      </w:r>
      <w:r>
        <w:rPr>
          <w:rFonts w:cstheme="minorHAnsi"/>
          <w:bCs/>
          <w:sz w:val="18"/>
        </w:rPr>
        <w:t xml:space="preserve">As a result, </w:t>
      </w:r>
      <w:r w:rsidRPr="00FF6B31">
        <w:rPr>
          <w:rFonts w:cstheme="minorHAnsi"/>
          <w:bCs/>
          <w:sz w:val="18"/>
        </w:rPr>
        <w:t>1</w:t>
      </w:r>
      <w:r>
        <w:rPr>
          <w:rFonts w:cstheme="minorHAnsi"/>
          <w:bCs/>
          <w:sz w:val="18"/>
        </w:rPr>
        <w:t>,</w:t>
      </w:r>
      <w:r w:rsidRPr="00FF6B31">
        <w:rPr>
          <w:rFonts w:cstheme="minorHAnsi"/>
          <w:bCs/>
          <w:sz w:val="18"/>
        </w:rPr>
        <w:t>543 HHAs were excluded from the analysis due to insufficient sample size.</w:t>
      </w:r>
    </w:p>
    <w:p w14:paraId="5360F473" w14:textId="77777777" w:rsidR="005D66DB" w:rsidRDefault="005D66DB" w:rsidP="005D66DB">
      <w:pPr>
        <w:autoSpaceDE w:val="0"/>
        <w:autoSpaceDN w:val="0"/>
        <w:adjustRightInd w:val="0"/>
        <w:spacing w:after="0" w:line="240" w:lineRule="auto"/>
        <w:rPr>
          <w:rFonts w:cstheme="minorHAnsi"/>
          <w:bCs/>
        </w:rPr>
      </w:pPr>
    </w:p>
    <w:p w14:paraId="498EC694" w14:textId="1E812DC9" w:rsidR="005D66DB" w:rsidRPr="005B0837" w:rsidRDefault="005B0837" w:rsidP="005B0837">
      <w:pPr>
        <w:pStyle w:val="ListParagraph"/>
        <w:numPr>
          <w:ilvl w:val="1"/>
          <w:numId w:val="27"/>
        </w:numPr>
        <w:autoSpaceDE w:val="0"/>
        <w:autoSpaceDN w:val="0"/>
        <w:adjustRightInd w:val="0"/>
        <w:spacing w:after="0" w:line="240" w:lineRule="auto"/>
        <w:rPr>
          <w:rFonts w:cstheme="minorHAnsi"/>
          <w:bCs/>
        </w:rPr>
      </w:pPr>
      <w:r w:rsidRPr="005029B4">
        <w:rPr>
          <w:rFonts w:cstheme="minorHAnsi"/>
          <w:b/>
          <w:bCs/>
        </w:rPr>
        <w:t>Split-sample Reliability Testing Results:</w:t>
      </w:r>
      <w:r w:rsidRPr="005029B4">
        <w:rPr>
          <w:rFonts w:cstheme="minorHAnsi"/>
          <w:bCs/>
        </w:rPr>
        <w:t xml:space="preserve"> </w:t>
      </w:r>
      <w:r w:rsidR="005D66DB" w:rsidRPr="005B0837">
        <w:rPr>
          <w:rFonts w:cstheme="minorHAnsi"/>
          <w:b/>
          <w:bCs/>
        </w:rPr>
        <w:t xml:space="preserve">Table </w:t>
      </w:r>
      <w:r w:rsidR="00291F31" w:rsidRPr="005B0837">
        <w:rPr>
          <w:rFonts w:cstheme="minorHAnsi"/>
          <w:b/>
          <w:bCs/>
        </w:rPr>
        <w:t>4</w:t>
      </w:r>
      <w:r w:rsidR="005D66DB" w:rsidRPr="005B0837">
        <w:rPr>
          <w:rFonts w:cstheme="minorHAnsi"/>
          <w:bCs/>
        </w:rPr>
        <w:t xml:space="preserve"> presents ICC (2,1) and ICC (3,1) between the split-sample scores for the overall sample of 10,131 HHAs included in this testing, and by sample size quartile.</w:t>
      </w:r>
      <w:bookmarkStart w:id="13" w:name="_Hlk520659425"/>
      <w:r>
        <w:rPr>
          <w:rFonts w:cstheme="minorHAnsi"/>
          <w:bCs/>
        </w:rPr>
        <w:t xml:space="preserve"> The ICC (2,1) and ICC (3,1) estimates were identical for all sample size quartiles. The ICC in the overall sample was 0.91, with a 95% confidence interval (CI) of 0.91 to 0.91. When examined by sample size quartile, the lowest ICC was 0.86 in the first sample size quartile</w:t>
      </w:r>
      <w:bookmarkEnd w:id="13"/>
      <w:r>
        <w:rPr>
          <w:rFonts w:cstheme="minorHAnsi"/>
          <w:bCs/>
        </w:rPr>
        <w:t>.</w:t>
      </w:r>
      <w:r w:rsidRPr="0053576D">
        <w:rPr>
          <w:rFonts w:cstheme="minorHAnsi"/>
          <w:b/>
          <w:bCs/>
        </w:rPr>
        <w:t xml:space="preserve"> </w:t>
      </w:r>
      <w:r w:rsidRPr="00343A23">
        <w:rPr>
          <w:rFonts w:cstheme="minorHAnsi"/>
          <w:b/>
          <w:bCs/>
        </w:rPr>
        <w:t>Figures 1a and 1b</w:t>
      </w:r>
      <w:r>
        <w:rPr>
          <w:rFonts w:cstheme="minorHAnsi"/>
          <w:bCs/>
        </w:rPr>
        <w:t xml:space="preserve"> show scatter plots of the split-half scores overall, and by sample size quartile.</w:t>
      </w:r>
    </w:p>
    <w:p w14:paraId="35D1E35C" w14:textId="77777777" w:rsidR="002C6558" w:rsidRPr="005613BC" w:rsidRDefault="002C6558" w:rsidP="00173658">
      <w:pPr>
        <w:pStyle w:val="ListParagraph"/>
        <w:autoSpaceDE w:val="0"/>
        <w:autoSpaceDN w:val="0"/>
        <w:adjustRightInd w:val="0"/>
        <w:spacing w:after="0" w:line="240" w:lineRule="auto"/>
        <w:ind w:left="360"/>
        <w:rPr>
          <w:rFonts w:cstheme="minorHAnsi"/>
          <w:bCs/>
        </w:rPr>
      </w:pPr>
    </w:p>
    <w:p w14:paraId="0564FDB3" w14:textId="2CA7691B" w:rsidR="005D66DB" w:rsidRPr="009930BD" w:rsidRDefault="005D66DB" w:rsidP="00173658">
      <w:pPr>
        <w:autoSpaceDE w:val="0"/>
        <w:autoSpaceDN w:val="0"/>
        <w:adjustRightInd w:val="0"/>
        <w:spacing w:after="0" w:line="240" w:lineRule="auto"/>
        <w:jc w:val="center"/>
        <w:rPr>
          <w:b/>
        </w:rPr>
      </w:pPr>
      <w:r w:rsidRPr="1DEF3F45">
        <w:rPr>
          <w:b/>
        </w:rPr>
        <w:t xml:space="preserve">Table </w:t>
      </w:r>
      <w:r>
        <w:rPr>
          <w:b/>
        </w:rPr>
        <w:t>4</w:t>
      </w:r>
      <w:r w:rsidRPr="1DEF3F45">
        <w:rPr>
          <w:b/>
        </w:rPr>
        <w:t>.</w:t>
      </w:r>
      <w:r w:rsidRPr="1DEF3F45">
        <w:t xml:space="preserve"> </w:t>
      </w:r>
      <w:r w:rsidRPr="009930BD">
        <w:rPr>
          <w:b/>
        </w:rPr>
        <w:t>Split-sample reliability: Intraclass correlation coefficients between split-sample performance measure scores for the overall HHA sample and by HHA sample size quartile</w:t>
      </w:r>
    </w:p>
    <w:tbl>
      <w:tblPr>
        <w:tblStyle w:val="CMSTable"/>
        <w:tblW w:w="0" w:type="auto"/>
        <w:jc w:val="center"/>
        <w:tblLook w:val="05E0" w:firstRow="1" w:lastRow="1" w:firstColumn="1" w:lastColumn="1" w:noHBand="0" w:noVBand="1"/>
      </w:tblPr>
      <w:tblGrid>
        <w:gridCol w:w="2790"/>
        <w:gridCol w:w="1107"/>
        <w:gridCol w:w="2043"/>
        <w:gridCol w:w="2160"/>
      </w:tblGrid>
      <w:tr w:rsidR="005D66DB" w:rsidRPr="00514842" w14:paraId="55AF6365" w14:textId="77777777" w:rsidTr="00DC352C">
        <w:trPr>
          <w:cnfStyle w:val="100000000000" w:firstRow="1" w:lastRow="0" w:firstColumn="0" w:lastColumn="0" w:oddVBand="0" w:evenVBand="0" w:oddHBand="0" w:evenHBand="0" w:firstRowFirstColumn="0" w:firstRowLastColumn="0" w:lastRowFirstColumn="0" w:lastRowLastColumn="0"/>
          <w:cantSplit/>
          <w:trHeight w:val="348"/>
          <w:tblHeader/>
          <w:jc w:val="center"/>
        </w:trPr>
        <w:tc>
          <w:tcPr>
            <w:tcW w:w="2790" w:type="dxa"/>
            <w:tcBorders>
              <w:top w:val="single" w:sz="4" w:space="0" w:color="auto"/>
            </w:tcBorders>
            <w:shd w:val="clear" w:color="auto" w:fill="D9D9D9" w:themeFill="background1" w:themeFillShade="D9"/>
          </w:tcPr>
          <w:p w14:paraId="0E657F04" w14:textId="77777777" w:rsidR="005D66DB" w:rsidRPr="00514842" w:rsidRDefault="005D66DB" w:rsidP="00F6236F">
            <w:pPr>
              <w:jc w:val="left"/>
              <w:rPr>
                <w:rFonts w:asciiTheme="minorHAnsi" w:eastAsia="Times" w:hAnsiTheme="minorHAnsi" w:cstheme="minorHAnsi"/>
                <w:b/>
                <w:szCs w:val="22"/>
              </w:rPr>
            </w:pPr>
            <w:r w:rsidRPr="00514842">
              <w:rPr>
                <w:rFonts w:asciiTheme="minorHAnsi" w:eastAsia="Times" w:hAnsiTheme="minorHAnsi" w:cstheme="minorHAnsi"/>
                <w:b/>
                <w:szCs w:val="22"/>
              </w:rPr>
              <w:t xml:space="preserve">Facility </w:t>
            </w:r>
            <w:r>
              <w:rPr>
                <w:rFonts w:asciiTheme="minorHAnsi" w:eastAsia="Times" w:hAnsiTheme="minorHAnsi" w:cstheme="minorHAnsi"/>
                <w:b/>
                <w:szCs w:val="22"/>
              </w:rPr>
              <w:t>Sample</w:t>
            </w:r>
          </w:p>
        </w:tc>
        <w:tc>
          <w:tcPr>
            <w:tcW w:w="1107" w:type="dxa"/>
            <w:tcBorders>
              <w:top w:val="single" w:sz="4" w:space="0" w:color="auto"/>
            </w:tcBorders>
            <w:shd w:val="clear" w:color="auto" w:fill="D9D9D9" w:themeFill="background1" w:themeFillShade="D9"/>
          </w:tcPr>
          <w:p w14:paraId="66C67EC3" w14:textId="7E2F20F6" w:rsidR="005D66DB" w:rsidRPr="00514842" w:rsidRDefault="005160F0" w:rsidP="00F6236F">
            <w:pPr>
              <w:rPr>
                <w:rFonts w:asciiTheme="minorHAnsi" w:eastAsia="Times" w:hAnsiTheme="minorHAnsi" w:cstheme="minorHAnsi"/>
                <w:b/>
                <w:i/>
                <w:szCs w:val="22"/>
              </w:rPr>
            </w:pPr>
            <w:r>
              <w:rPr>
                <w:rFonts w:asciiTheme="minorHAnsi" w:eastAsia="Times" w:hAnsiTheme="minorHAnsi" w:cstheme="minorHAnsi"/>
                <w:b/>
                <w:i/>
                <w:szCs w:val="22"/>
              </w:rPr>
              <w:t>K</w:t>
            </w:r>
          </w:p>
        </w:tc>
        <w:tc>
          <w:tcPr>
            <w:tcW w:w="2043" w:type="dxa"/>
            <w:tcBorders>
              <w:top w:val="single" w:sz="4" w:space="0" w:color="auto"/>
            </w:tcBorders>
            <w:shd w:val="clear" w:color="auto" w:fill="D9D9D9" w:themeFill="background1" w:themeFillShade="D9"/>
          </w:tcPr>
          <w:p w14:paraId="67F9F586" w14:textId="77777777" w:rsidR="005D66DB" w:rsidRPr="00514842" w:rsidRDefault="005D66DB" w:rsidP="00F6236F">
            <w:pPr>
              <w:rPr>
                <w:rFonts w:asciiTheme="minorHAnsi" w:eastAsiaTheme="minorEastAsia" w:hAnsiTheme="minorHAnsi" w:cstheme="minorBidi"/>
                <w:b/>
              </w:rPr>
            </w:pPr>
            <w:r w:rsidRPr="6BA28A9F">
              <w:rPr>
                <w:rFonts w:asciiTheme="minorHAnsi" w:eastAsiaTheme="minorEastAsia" w:hAnsiTheme="minorHAnsi" w:cstheme="minorBidi"/>
                <w:b/>
              </w:rPr>
              <w:t>ICC (2,1) (95% CI)</w:t>
            </w:r>
          </w:p>
        </w:tc>
        <w:tc>
          <w:tcPr>
            <w:tcW w:w="2160" w:type="dxa"/>
            <w:tcBorders>
              <w:top w:val="single" w:sz="4" w:space="0" w:color="auto"/>
            </w:tcBorders>
            <w:shd w:val="clear" w:color="auto" w:fill="D9D9D9" w:themeFill="background1" w:themeFillShade="D9"/>
          </w:tcPr>
          <w:p w14:paraId="7B4D0B17" w14:textId="77777777" w:rsidR="005D66DB" w:rsidRPr="00514842" w:rsidRDefault="005D66DB" w:rsidP="00F6236F">
            <w:pPr>
              <w:rPr>
                <w:rFonts w:asciiTheme="minorHAnsi" w:eastAsiaTheme="minorEastAsia" w:hAnsiTheme="minorHAnsi" w:cstheme="minorBidi"/>
                <w:b/>
              </w:rPr>
            </w:pPr>
            <w:r w:rsidRPr="6BA28A9F">
              <w:rPr>
                <w:rFonts w:asciiTheme="minorHAnsi" w:eastAsiaTheme="minorEastAsia" w:hAnsiTheme="minorHAnsi" w:cstheme="minorBidi"/>
                <w:b/>
              </w:rPr>
              <w:t>ICC (3,1) (95% CI)</w:t>
            </w:r>
          </w:p>
        </w:tc>
      </w:tr>
      <w:tr w:rsidR="005E0E62" w:rsidRPr="00514842" w14:paraId="202163D0" w14:textId="77777777" w:rsidTr="00F6236F">
        <w:tblPrEx>
          <w:jc w:val="left"/>
          <w:tblLook w:val="04A0" w:firstRow="1" w:lastRow="0" w:firstColumn="1" w:lastColumn="0" w:noHBand="0" w:noVBand="1"/>
        </w:tblPrEx>
        <w:trPr>
          <w:trHeight w:val="65"/>
        </w:trPr>
        <w:tc>
          <w:tcPr>
            <w:tcW w:w="2790" w:type="dxa"/>
          </w:tcPr>
          <w:p w14:paraId="44850537" w14:textId="77777777" w:rsidR="005E0E62" w:rsidRPr="00355653" w:rsidRDefault="005E0E62" w:rsidP="005E0E62">
            <w:pPr>
              <w:rPr>
                <w:rFonts w:asciiTheme="minorHAnsi" w:hAnsiTheme="minorHAnsi" w:cstheme="minorHAnsi"/>
              </w:rPr>
            </w:pPr>
            <w:r>
              <w:rPr>
                <w:rFonts w:asciiTheme="minorHAnsi" w:hAnsiTheme="minorHAnsi" w:cstheme="minorHAnsi"/>
              </w:rPr>
              <w:t xml:space="preserve">Overall </w:t>
            </w:r>
          </w:p>
        </w:tc>
        <w:tc>
          <w:tcPr>
            <w:tcW w:w="1107" w:type="dxa"/>
          </w:tcPr>
          <w:p w14:paraId="3E25DB8F" w14:textId="77777777" w:rsidR="005E0E62" w:rsidRPr="001B5389" w:rsidRDefault="005E0E62" w:rsidP="005E0E62">
            <w:pPr>
              <w:jc w:val="center"/>
              <w:rPr>
                <w:rFonts w:asciiTheme="minorHAnsi" w:hAnsiTheme="minorHAnsi" w:cstheme="minorHAnsi"/>
              </w:rPr>
            </w:pPr>
            <w:r>
              <w:rPr>
                <w:rFonts w:asciiTheme="minorHAnsi" w:hAnsiTheme="minorHAnsi" w:cstheme="minorHAnsi"/>
                <w:szCs w:val="22"/>
              </w:rPr>
              <w:t>10,131</w:t>
            </w:r>
          </w:p>
        </w:tc>
        <w:tc>
          <w:tcPr>
            <w:tcW w:w="2043" w:type="dxa"/>
            <w:vAlign w:val="bottom"/>
          </w:tcPr>
          <w:p w14:paraId="4D64C8DA" w14:textId="5F18A634" w:rsidR="005E0E62" w:rsidRPr="00B66F34" w:rsidRDefault="005E0E62" w:rsidP="005E0E62">
            <w:pPr>
              <w:jc w:val="center"/>
              <w:rPr>
                <w:rFonts w:asciiTheme="minorHAnsi" w:hAnsiTheme="minorHAnsi" w:cstheme="minorHAnsi"/>
              </w:rPr>
            </w:pPr>
            <w:r>
              <w:rPr>
                <w:rFonts w:ascii="Calibri" w:hAnsi="Calibri"/>
                <w:color w:val="000000"/>
                <w:szCs w:val="22"/>
              </w:rPr>
              <w:t>0.91(0.91-0.91)</w:t>
            </w:r>
          </w:p>
        </w:tc>
        <w:tc>
          <w:tcPr>
            <w:tcW w:w="2160" w:type="dxa"/>
            <w:vAlign w:val="bottom"/>
          </w:tcPr>
          <w:p w14:paraId="2E7A2D1C" w14:textId="4FAD0F80" w:rsidR="005E0E62" w:rsidRPr="00B66F34" w:rsidRDefault="005E0E62" w:rsidP="005E0E62">
            <w:pPr>
              <w:jc w:val="center"/>
              <w:rPr>
                <w:rFonts w:asciiTheme="minorHAnsi" w:hAnsiTheme="minorHAnsi" w:cstheme="minorHAnsi"/>
              </w:rPr>
            </w:pPr>
            <w:r>
              <w:rPr>
                <w:rFonts w:ascii="Calibri" w:hAnsi="Calibri"/>
                <w:color w:val="000000"/>
                <w:szCs w:val="22"/>
              </w:rPr>
              <w:t>0.91(0.91-0.91)</w:t>
            </w:r>
          </w:p>
        </w:tc>
      </w:tr>
      <w:tr w:rsidR="005E0E62" w:rsidRPr="00514842" w14:paraId="071A7E48" w14:textId="77777777" w:rsidTr="00F6236F">
        <w:trPr>
          <w:trHeight w:val="80"/>
          <w:jc w:val="center"/>
        </w:trPr>
        <w:tc>
          <w:tcPr>
            <w:tcW w:w="2790" w:type="dxa"/>
            <w:vAlign w:val="bottom"/>
          </w:tcPr>
          <w:p w14:paraId="3BFEF7D5" w14:textId="1746D8B4" w:rsidR="005E0E62" w:rsidRPr="00783D54" w:rsidRDefault="005E0E62" w:rsidP="005E0E62">
            <w:pPr>
              <w:rPr>
                <w:rFonts w:asciiTheme="minorHAnsi" w:eastAsiaTheme="minorEastAsia" w:hAnsiTheme="minorHAnsi" w:cstheme="minorBidi"/>
              </w:rPr>
            </w:pPr>
            <w:r>
              <w:rPr>
                <w:rFonts w:ascii="Calibri" w:hAnsi="Calibri"/>
                <w:color w:val="000000"/>
                <w:szCs w:val="22"/>
              </w:rPr>
              <w:t>20-94 Stays (quartile 1)</w:t>
            </w:r>
          </w:p>
        </w:tc>
        <w:tc>
          <w:tcPr>
            <w:tcW w:w="1107" w:type="dxa"/>
            <w:vAlign w:val="center"/>
          </w:tcPr>
          <w:p w14:paraId="3F7674FB" w14:textId="219A10A3" w:rsidR="005E0E62" w:rsidRPr="00783D54" w:rsidRDefault="005E0E62" w:rsidP="005E0E62">
            <w:pPr>
              <w:jc w:val="center"/>
              <w:rPr>
                <w:rFonts w:asciiTheme="minorHAnsi" w:hAnsiTheme="minorHAnsi" w:cstheme="minorHAnsi"/>
              </w:rPr>
            </w:pPr>
            <w:r>
              <w:rPr>
                <w:rFonts w:ascii="Calibri" w:hAnsi="Calibri"/>
                <w:color w:val="000000"/>
                <w:szCs w:val="22"/>
              </w:rPr>
              <w:t>2,520</w:t>
            </w:r>
          </w:p>
        </w:tc>
        <w:tc>
          <w:tcPr>
            <w:tcW w:w="2043" w:type="dxa"/>
            <w:vAlign w:val="bottom"/>
          </w:tcPr>
          <w:p w14:paraId="3E72896A" w14:textId="3D388FF2" w:rsidR="005E0E62" w:rsidRPr="00783D54" w:rsidRDefault="005E0E62" w:rsidP="005E0E62">
            <w:pPr>
              <w:jc w:val="center"/>
              <w:rPr>
                <w:rFonts w:asciiTheme="minorHAnsi" w:hAnsiTheme="minorHAnsi" w:cstheme="minorHAnsi"/>
                <w:szCs w:val="22"/>
              </w:rPr>
            </w:pPr>
            <w:r>
              <w:rPr>
                <w:rFonts w:ascii="Calibri" w:hAnsi="Calibri"/>
                <w:color w:val="000000"/>
                <w:szCs w:val="22"/>
              </w:rPr>
              <w:t>0.86(0.85-0.87)</w:t>
            </w:r>
          </w:p>
        </w:tc>
        <w:tc>
          <w:tcPr>
            <w:tcW w:w="2160" w:type="dxa"/>
            <w:vAlign w:val="bottom"/>
          </w:tcPr>
          <w:p w14:paraId="4B0E853E" w14:textId="3DF706B7" w:rsidR="005E0E62" w:rsidRPr="00783D54" w:rsidRDefault="005E0E62" w:rsidP="005E0E62">
            <w:pPr>
              <w:jc w:val="center"/>
              <w:rPr>
                <w:rFonts w:asciiTheme="minorHAnsi" w:hAnsiTheme="minorHAnsi" w:cstheme="minorHAnsi"/>
                <w:szCs w:val="22"/>
              </w:rPr>
            </w:pPr>
            <w:r>
              <w:rPr>
                <w:rFonts w:ascii="Calibri" w:hAnsi="Calibri"/>
                <w:color w:val="000000"/>
                <w:szCs w:val="22"/>
              </w:rPr>
              <w:t>0.86(0.85-0.87)</w:t>
            </w:r>
          </w:p>
        </w:tc>
      </w:tr>
      <w:tr w:rsidR="005E0E62" w:rsidRPr="00514842" w14:paraId="68CA01F7" w14:textId="77777777" w:rsidTr="00F6236F">
        <w:tblPrEx>
          <w:tblLook w:val="04A0" w:firstRow="1" w:lastRow="0" w:firstColumn="1" w:lastColumn="0" w:noHBand="0" w:noVBand="1"/>
        </w:tblPrEx>
        <w:trPr>
          <w:trHeight w:val="80"/>
          <w:jc w:val="center"/>
        </w:trPr>
        <w:tc>
          <w:tcPr>
            <w:tcW w:w="2790" w:type="dxa"/>
            <w:vAlign w:val="bottom"/>
          </w:tcPr>
          <w:p w14:paraId="1E6B5312" w14:textId="171A9720" w:rsidR="005E0E62" w:rsidRPr="00783D54" w:rsidRDefault="005E0E62" w:rsidP="005E0E62">
            <w:pPr>
              <w:rPr>
                <w:rFonts w:asciiTheme="minorHAnsi" w:eastAsiaTheme="minorEastAsia" w:hAnsiTheme="minorHAnsi" w:cstheme="minorBidi"/>
              </w:rPr>
            </w:pPr>
            <w:r>
              <w:rPr>
                <w:rFonts w:ascii="Calibri" w:hAnsi="Calibri"/>
                <w:color w:val="000000"/>
                <w:szCs w:val="22"/>
              </w:rPr>
              <w:t>95 - 243 Stays (quartile 2)</w:t>
            </w:r>
          </w:p>
        </w:tc>
        <w:tc>
          <w:tcPr>
            <w:tcW w:w="1107" w:type="dxa"/>
            <w:vAlign w:val="center"/>
          </w:tcPr>
          <w:p w14:paraId="165E94E3" w14:textId="2E7CFB55" w:rsidR="005E0E62" w:rsidRPr="00783D54" w:rsidRDefault="005E0E62" w:rsidP="005E0E62">
            <w:pPr>
              <w:jc w:val="center"/>
              <w:rPr>
                <w:rFonts w:asciiTheme="minorHAnsi" w:hAnsiTheme="minorHAnsi" w:cstheme="minorHAnsi"/>
              </w:rPr>
            </w:pPr>
            <w:r>
              <w:rPr>
                <w:rFonts w:ascii="Calibri" w:hAnsi="Calibri"/>
                <w:color w:val="000000"/>
                <w:szCs w:val="22"/>
              </w:rPr>
              <w:t>2,546</w:t>
            </w:r>
          </w:p>
        </w:tc>
        <w:tc>
          <w:tcPr>
            <w:tcW w:w="2043" w:type="dxa"/>
            <w:vAlign w:val="bottom"/>
          </w:tcPr>
          <w:p w14:paraId="4582768C" w14:textId="48C95F1D" w:rsidR="005E0E62" w:rsidRPr="00783D54" w:rsidRDefault="005E0E62" w:rsidP="005E0E62">
            <w:pPr>
              <w:jc w:val="center"/>
              <w:rPr>
                <w:rFonts w:asciiTheme="minorHAnsi" w:hAnsiTheme="minorHAnsi" w:cstheme="minorHAnsi"/>
                <w:szCs w:val="22"/>
              </w:rPr>
            </w:pPr>
            <w:r>
              <w:rPr>
                <w:rFonts w:ascii="Calibri" w:hAnsi="Calibri"/>
                <w:color w:val="000000"/>
                <w:szCs w:val="22"/>
              </w:rPr>
              <w:t>0.91(0.90-0.91)</w:t>
            </w:r>
          </w:p>
        </w:tc>
        <w:tc>
          <w:tcPr>
            <w:tcW w:w="2160" w:type="dxa"/>
            <w:vAlign w:val="bottom"/>
          </w:tcPr>
          <w:p w14:paraId="390AA789" w14:textId="7052C40F" w:rsidR="005E0E62" w:rsidRPr="00783D54" w:rsidRDefault="005E0E62" w:rsidP="005E0E62">
            <w:pPr>
              <w:jc w:val="center"/>
              <w:rPr>
                <w:rFonts w:asciiTheme="minorHAnsi" w:hAnsiTheme="minorHAnsi" w:cstheme="minorHAnsi"/>
                <w:szCs w:val="22"/>
              </w:rPr>
            </w:pPr>
            <w:r>
              <w:rPr>
                <w:rFonts w:ascii="Calibri" w:hAnsi="Calibri"/>
                <w:color w:val="000000"/>
                <w:szCs w:val="22"/>
              </w:rPr>
              <w:t>0.91(0.90-0.91)</w:t>
            </w:r>
          </w:p>
        </w:tc>
      </w:tr>
      <w:tr w:rsidR="005E0E62" w:rsidRPr="00514842" w14:paraId="46FB14B6" w14:textId="77777777" w:rsidTr="00F6236F">
        <w:tblPrEx>
          <w:tblLook w:val="04A0" w:firstRow="1" w:lastRow="0" w:firstColumn="1" w:lastColumn="0" w:noHBand="0" w:noVBand="1"/>
        </w:tblPrEx>
        <w:trPr>
          <w:trHeight w:val="80"/>
          <w:jc w:val="center"/>
        </w:trPr>
        <w:tc>
          <w:tcPr>
            <w:tcW w:w="2790" w:type="dxa"/>
            <w:vAlign w:val="bottom"/>
          </w:tcPr>
          <w:p w14:paraId="28BA60B6" w14:textId="7B365FDC" w:rsidR="005E0E62" w:rsidRPr="00783D54" w:rsidRDefault="005E0E62" w:rsidP="005E0E62">
            <w:pPr>
              <w:rPr>
                <w:rFonts w:asciiTheme="minorHAnsi" w:eastAsiaTheme="minorEastAsia" w:hAnsiTheme="minorHAnsi" w:cstheme="minorBidi"/>
              </w:rPr>
            </w:pPr>
            <w:r>
              <w:rPr>
                <w:rFonts w:ascii="Calibri" w:hAnsi="Calibri"/>
                <w:color w:val="000000"/>
                <w:szCs w:val="22"/>
              </w:rPr>
              <w:t>244-625 Stays (quartile 3)</w:t>
            </w:r>
          </w:p>
        </w:tc>
        <w:tc>
          <w:tcPr>
            <w:tcW w:w="1107" w:type="dxa"/>
            <w:vAlign w:val="center"/>
          </w:tcPr>
          <w:p w14:paraId="111CE2E3" w14:textId="0BC2B59D" w:rsidR="005E0E62" w:rsidRPr="00783D54" w:rsidRDefault="005E0E62" w:rsidP="005E0E62">
            <w:pPr>
              <w:jc w:val="center"/>
              <w:rPr>
                <w:rFonts w:asciiTheme="minorHAnsi" w:hAnsiTheme="minorHAnsi" w:cstheme="minorHAnsi"/>
              </w:rPr>
            </w:pPr>
            <w:r>
              <w:rPr>
                <w:rFonts w:ascii="Calibri" w:hAnsi="Calibri"/>
                <w:color w:val="000000"/>
                <w:szCs w:val="22"/>
              </w:rPr>
              <w:t>2,533</w:t>
            </w:r>
          </w:p>
        </w:tc>
        <w:tc>
          <w:tcPr>
            <w:tcW w:w="2043" w:type="dxa"/>
            <w:vAlign w:val="bottom"/>
          </w:tcPr>
          <w:p w14:paraId="1C38DDDB" w14:textId="32385C33" w:rsidR="005E0E62" w:rsidRPr="00783D54" w:rsidRDefault="005E0E62" w:rsidP="005E0E62">
            <w:pPr>
              <w:jc w:val="center"/>
              <w:rPr>
                <w:rFonts w:asciiTheme="minorHAnsi" w:hAnsiTheme="minorHAnsi" w:cstheme="minorHAnsi"/>
                <w:szCs w:val="22"/>
              </w:rPr>
            </w:pPr>
            <w:r>
              <w:rPr>
                <w:rFonts w:ascii="Calibri" w:hAnsi="Calibri"/>
                <w:color w:val="000000"/>
                <w:szCs w:val="22"/>
              </w:rPr>
              <w:t>0.93(0.92-0.94)</w:t>
            </w:r>
          </w:p>
        </w:tc>
        <w:tc>
          <w:tcPr>
            <w:tcW w:w="2160" w:type="dxa"/>
            <w:vAlign w:val="bottom"/>
          </w:tcPr>
          <w:p w14:paraId="4CA3E7A9" w14:textId="3735E7F8" w:rsidR="005E0E62" w:rsidRPr="00783D54" w:rsidRDefault="005E0E62" w:rsidP="005E0E62">
            <w:pPr>
              <w:jc w:val="center"/>
              <w:rPr>
                <w:rFonts w:asciiTheme="minorHAnsi" w:hAnsiTheme="minorHAnsi" w:cstheme="minorHAnsi"/>
                <w:szCs w:val="22"/>
              </w:rPr>
            </w:pPr>
            <w:r>
              <w:rPr>
                <w:rFonts w:ascii="Calibri" w:hAnsi="Calibri"/>
                <w:color w:val="000000"/>
                <w:szCs w:val="22"/>
              </w:rPr>
              <w:t>0.93(0.92-0.94)</w:t>
            </w:r>
          </w:p>
        </w:tc>
      </w:tr>
      <w:tr w:rsidR="005E0E62" w:rsidRPr="00514842" w14:paraId="63A20BD1" w14:textId="77777777" w:rsidTr="00F6236F">
        <w:tblPrEx>
          <w:tblLook w:val="04A0" w:firstRow="1" w:lastRow="0" w:firstColumn="1" w:lastColumn="0" w:noHBand="0" w:noVBand="1"/>
        </w:tblPrEx>
        <w:trPr>
          <w:trHeight w:val="80"/>
          <w:jc w:val="center"/>
        </w:trPr>
        <w:tc>
          <w:tcPr>
            <w:tcW w:w="2790" w:type="dxa"/>
            <w:tcBorders>
              <w:bottom w:val="single" w:sz="4" w:space="0" w:color="auto"/>
            </w:tcBorders>
            <w:vAlign w:val="bottom"/>
          </w:tcPr>
          <w:p w14:paraId="29566D8C" w14:textId="0ED01EBD" w:rsidR="005E0E62" w:rsidRPr="00783D54" w:rsidRDefault="005E0E62" w:rsidP="005E0E62">
            <w:pPr>
              <w:rPr>
                <w:rFonts w:asciiTheme="minorHAnsi" w:eastAsiaTheme="minorEastAsia" w:hAnsiTheme="minorHAnsi" w:cstheme="minorBidi"/>
              </w:rPr>
            </w:pPr>
            <w:r>
              <w:rPr>
                <w:rFonts w:ascii="Calibri" w:hAnsi="Calibri"/>
                <w:color w:val="000000"/>
                <w:szCs w:val="22"/>
              </w:rPr>
              <w:t>626-55,067 Stays (quartile 4)</w:t>
            </w:r>
          </w:p>
        </w:tc>
        <w:tc>
          <w:tcPr>
            <w:tcW w:w="1107" w:type="dxa"/>
            <w:tcBorders>
              <w:bottom w:val="single" w:sz="4" w:space="0" w:color="auto"/>
            </w:tcBorders>
            <w:vAlign w:val="center"/>
          </w:tcPr>
          <w:p w14:paraId="73B56F1F" w14:textId="47BDF152" w:rsidR="005E0E62" w:rsidRPr="00783D54" w:rsidRDefault="005E0E62" w:rsidP="005E0E62">
            <w:pPr>
              <w:jc w:val="center"/>
              <w:rPr>
                <w:rFonts w:asciiTheme="minorHAnsi" w:hAnsiTheme="minorHAnsi" w:cstheme="minorHAnsi"/>
              </w:rPr>
            </w:pPr>
            <w:r>
              <w:rPr>
                <w:rFonts w:ascii="Calibri" w:hAnsi="Calibri"/>
                <w:color w:val="000000"/>
                <w:szCs w:val="22"/>
              </w:rPr>
              <w:t>2,532</w:t>
            </w:r>
          </w:p>
        </w:tc>
        <w:tc>
          <w:tcPr>
            <w:tcW w:w="2043" w:type="dxa"/>
            <w:tcBorders>
              <w:bottom w:val="single" w:sz="4" w:space="0" w:color="auto"/>
            </w:tcBorders>
            <w:vAlign w:val="bottom"/>
          </w:tcPr>
          <w:p w14:paraId="1274DB3F" w14:textId="2A10EDF6" w:rsidR="005E0E62" w:rsidRPr="00783D54" w:rsidRDefault="005E0E62" w:rsidP="005E0E62">
            <w:pPr>
              <w:jc w:val="center"/>
              <w:rPr>
                <w:rFonts w:asciiTheme="minorHAnsi" w:hAnsiTheme="minorHAnsi" w:cstheme="minorHAnsi"/>
              </w:rPr>
            </w:pPr>
            <w:r>
              <w:rPr>
                <w:rFonts w:ascii="Calibri" w:hAnsi="Calibri"/>
                <w:color w:val="000000"/>
                <w:szCs w:val="22"/>
              </w:rPr>
              <w:t>0.96(0.95-0.96)</w:t>
            </w:r>
          </w:p>
        </w:tc>
        <w:tc>
          <w:tcPr>
            <w:tcW w:w="2160" w:type="dxa"/>
            <w:tcBorders>
              <w:bottom w:val="single" w:sz="4" w:space="0" w:color="auto"/>
            </w:tcBorders>
            <w:vAlign w:val="bottom"/>
          </w:tcPr>
          <w:p w14:paraId="280BB16B" w14:textId="6685BA2D" w:rsidR="005E0E62" w:rsidRPr="00783D54" w:rsidRDefault="005E0E62" w:rsidP="005E0E62">
            <w:pPr>
              <w:jc w:val="center"/>
              <w:rPr>
                <w:rFonts w:asciiTheme="minorHAnsi" w:hAnsiTheme="minorHAnsi" w:cstheme="minorHAnsi"/>
              </w:rPr>
            </w:pPr>
            <w:r>
              <w:rPr>
                <w:rFonts w:ascii="Calibri" w:hAnsi="Calibri"/>
                <w:color w:val="000000"/>
                <w:szCs w:val="22"/>
              </w:rPr>
              <w:t>0.96(0.95-0.96)</w:t>
            </w:r>
          </w:p>
        </w:tc>
      </w:tr>
    </w:tbl>
    <w:p w14:paraId="5AAC48BC" w14:textId="77777777" w:rsidR="005D66DB" w:rsidRPr="003B7EF7" w:rsidRDefault="005D66DB" w:rsidP="005D66DB">
      <w:pPr>
        <w:autoSpaceDE w:val="0"/>
        <w:autoSpaceDN w:val="0"/>
        <w:adjustRightInd w:val="0"/>
        <w:spacing w:after="0" w:line="240" w:lineRule="auto"/>
        <w:rPr>
          <w:rFonts w:cstheme="minorHAnsi"/>
          <w:bCs/>
          <w:sz w:val="18"/>
        </w:rPr>
      </w:pPr>
      <w:r>
        <w:rPr>
          <w:rFonts w:cstheme="minorHAnsi"/>
          <w:bCs/>
          <w:sz w:val="18"/>
        </w:rPr>
        <w:t>Acumen</w:t>
      </w:r>
      <w:r w:rsidRPr="0090361B">
        <w:rPr>
          <w:rFonts w:cstheme="minorHAnsi"/>
          <w:bCs/>
          <w:sz w:val="18"/>
        </w:rPr>
        <w:t xml:space="preserve"> Analysis of Medicare Claims File for </w:t>
      </w:r>
      <w:r>
        <w:rPr>
          <w:rFonts w:cstheme="minorHAnsi"/>
          <w:bCs/>
          <w:sz w:val="18"/>
        </w:rPr>
        <w:t>HH</w:t>
      </w:r>
      <w:r w:rsidRPr="0090361B">
        <w:rPr>
          <w:rFonts w:cstheme="minorHAnsi"/>
          <w:bCs/>
          <w:sz w:val="18"/>
        </w:rPr>
        <w:t xml:space="preserve">, </w:t>
      </w:r>
      <w:r>
        <w:rPr>
          <w:rFonts w:cstheme="minorHAnsi"/>
          <w:bCs/>
          <w:sz w:val="18"/>
        </w:rPr>
        <w:t>CY</w:t>
      </w:r>
      <w:r w:rsidRPr="0090361B">
        <w:rPr>
          <w:rFonts w:cstheme="minorHAnsi"/>
          <w:bCs/>
          <w:sz w:val="18"/>
        </w:rPr>
        <w:t xml:space="preserve"> 201</w:t>
      </w:r>
      <w:r>
        <w:rPr>
          <w:rFonts w:cstheme="minorHAnsi"/>
          <w:bCs/>
          <w:sz w:val="18"/>
        </w:rPr>
        <w:t>5</w:t>
      </w:r>
      <w:r w:rsidRPr="0090361B">
        <w:rPr>
          <w:rFonts w:cstheme="minorHAnsi"/>
          <w:bCs/>
          <w:sz w:val="18"/>
        </w:rPr>
        <w:t>-201</w:t>
      </w:r>
      <w:r>
        <w:rPr>
          <w:rFonts w:cstheme="minorHAnsi"/>
          <w:bCs/>
          <w:sz w:val="18"/>
        </w:rPr>
        <w:t>6.</w:t>
      </w:r>
      <w:r w:rsidRPr="00501D05">
        <w:rPr>
          <w:rFonts w:cstheme="minorHAnsi"/>
          <w:bCs/>
          <w:sz w:val="18"/>
        </w:rPr>
        <w:t xml:space="preserve"> </w:t>
      </w:r>
      <w:r>
        <w:rPr>
          <w:rFonts w:cstheme="minorHAnsi"/>
          <w:bCs/>
          <w:sz w:val="18"/>
        </w:rPr>
        <w:t>Note: The reliability testi</w:t>
      </w:r>
      <w:r w:rsidRPr="00FF6B31">
        <w:rPr>
          <w:rFonts w:cstheme="minorHAnsi"/>
          <w:bCs/>
          <w:sz w:val="18"/>
        </w:rPr>
        <w:t xml:space="preserve">ng </w:t>
      </w:r>
      <w:r>
        <w:rPr>
          <w:rFonts w:cstheme="minorHAnsi"/>
          <w:bCs/>
          <w:sz w:val="18"/>
        </w:rPr>
        <w:t>was</w:t>
      </w:r>
      <w:r w:rsidRPr="00FF6B31">
        <w:rPr>
          <w:rFonts w:cstheme="minorHAnsi"/>
          <w:bCs/>
          <w:sz w:val="18"/>
        </w:rPr>
        <w:t xml:space="preserve"> performed among HHAs with &gt;= 20 stays</w:t>
      </w:r>
      <w:r>
        <w:rPr>
          <w:rFonts w:cstheme="minorHAnsi"/>
          <w:bCs/>
          <w:sz w:val="18"/>
        </w:rPr>
        <w:t>.</w:t>
      </w:r>
      <w:r w:rsidRPr="00FF6B31">
        <w:rPr>
          <w:rFonts w:cstheme="minorHAnsi"/>
          <w:bCs/>
          <w:sz w:val="18"/>
        </w:rPr>
        <w:t xml:space="preserve"> </w:t>
      </w:r>
      <w:r>
        <w:rPr>
          <w:rFonts w:cstheme="minorHAnsi"/>
          <w:bCs/>
          <w:sz w:val="18"/>
        </w:rPr>
        <w:t xml:space="preserve">As a result, </w:t>
      </w:r>
      <w:r w:rsidRPr="00FF6B31">
        <w:rPr>
          <w:rFonts w:cstheme="minorHAnsi"/>
          <w:bCs/>
          <w:sz w:val="18"/>
        </w:rPr>
        <w:t>1</w:t>
      </w:r>
      <w:r>
        <w:rPr>
          <w:rFonts w:cstheme="minorHAnsi"/>
          <w:bCs/>
          <w:sz w:val="18"/>
        </w:rPr>
        <w:t>,</w:t>
      </w:r>
      <w:r w:rsidRPr="00FF6B31">
        <w:rPr>
          <w:rFonts w:cstheme="minorHAnsi"/>
          <w:bCs/>
          <w:sz w:val="18"/>
        </w:rPr>
        <w:t>543 HHAs were excluded from the analysis due to insufficient sample size.</w:t>
      </w:r>
      <w:r w:rsidRPr="0090361B">
        <w:rPr>
          <w:rFonts w:cstheme="minorHAnsi"/>
          <w:bCs/>
          <w:sz w:val="18"/>
        </w:rPr>
        <w:t xml:space="preserve"> </w:t>
      </w:r>
    </w:p>
    <w:p w14:paraId="474D128B" w14:textId="77777777" w:rsidR="00407D01" w:rsidRDefault="00407D01" w:rsidP="009B4E58">
      <w:pPr>
        <w:autoSpaceDE w:val="0"/>
        <w:autoSpaceDN w:val="0"/>
        <w:adjustRightInd w:val="0"/>
        <w:spacing w:after="0" w:line="240" w:lineRule="auto"/>
        <w:jc w:val="center"/>
        <w:rPr>
          <w:rFonts w:cstheme="minorHAnsi"/>
          <w:b/>
          <w:bCs/>
        </w:rPr>
      </w:pPr>
    </w:p>
    <w:p w14:paraId="437F3CE4" w14:textId="5225445B" w:rsidR="009B4E58" w:rsidRDefault="005D66DB" w:rsidP="009B4E58">
      <w:pPr>
        <w:autoSpaceDE w:val="0"/>
        <w:autoSpaceDN w:val="0"/>
        <w:adjustRightInd w:val="0"/>
        <w:spacing w:after="0" w:line="240" w:lineRule="auto"/>
        <w:jc w:val="center"/>
        <w:rPr>
          <w:rFonts w:cstheme="minorHAnsi"/>
          <w:b/>
          <w:bCs/>
        </w:rPr>
      </w:pPr>
      <w:r w:rsidRPr="0002043F">
        <w:rPr>
          <w:rFonts w:cstheme="minorHAnsi"/>
          <w:b/>
          <w:bCs/>
        </w:rPr>
        <w:lastRenderedPageBreak/>
        <w:t>Figure 1</w:t>
      </w:r>
      <w:r w:rsidR="009B4E58">
        <w:rPr>
          <w:rFonts w:cstheme="minorHAnsi"/>
          <w:b/>
          <w:bCs/>
        </w:rPr>
        <w:t>a</w:t>
      </w:r>
      <w:r>
        <w:rPr>
          <w:rFonts w:cstheme="minorHAnsi"/>
          <w:bCs/>
        </w:rPr>
        <w:t>.</w:t>
      </w:r>
      <w:r w:rsidR="009B4E58">
        <w:rPr>
          <w:rFonts w:cstheme="minorHAnsi"/>
          <w:bCs/>
        </w:rPr>
        <w:t xml:space="preserve"> </w:t>
      </w:r>
      <w:r w:rsidR="009B4E58" w:rsidRPr="005029B4">
        <w:rPr>
          <w:rFonts w:cstheme="minorHAnsi"/>
          <w:b/>
          <w:bCs/>
        </w:rPr>
        <w:t>Split-sample Reliability Testing:  Scatter Plot of Risk-standardized DTC Rates</w:t>
      </w:r>
      <w:r w:rsidR="009B4E58">
        <w:rPr>
          <w:noProof/>
        </w:rPr>
        <w:drawing>
          <wp:inline distT="0" distB="0" distL="0" distR="0" wp14:anchorId="017D9A0D" wp14:editId="0FBF0946">
            <wp:extent cx="4412974" cy="3143266"/>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22"/>
                    <a:stretch>
                      <a:fillRect/>
                    </a:stretch>
                  </pic:blipFill>
                  <pic:spPr>
                    <a:xfrm>
                      <a:off x="0" y="0"/>
                      <a:ext cx="4430503" cy="3155752"/>
                    </a:xfrm>
                    <a:prstGeom prst="rect">
                      <a:avLst/>
                    </a:prstGeom>
                  </pic:spPr>
                </pic:pic>
              </a:graphicData>
            </a:graphic>
          </wp:inline>
        </w:drawing>
      </w:r>
    </w:p>
    <w:p w14:paraId="0D129B2B" w14:textId="77777777" w:rsidR="009171BB" w:rsidRDefault="009171BB" w:rsidP="009171BB">
      <w:pPr>
        <w:autoSpaceDE w:val="0"/>
        <w:autoSpaceDN w:val="0"/>
        <w:adjustRightInd w:val="0"/>
        <w:spacing w:after="0"/>
        <w:rPr>
          <w:rFonts w:cstheme="minorHAnsi"/>
          <w:b/>
          <w:bCs/>
        </w:rPr>
      </w:pPr>
      <w:r>
        <w:rPr>
          <w:rFonts w:cstheme="minorHAnsi"/>
          <w:bCs/>
          <w:sz w:val="18"/>
        </w:rPr>
        <w:t>Acumen</w:t>
      </w:r>
      <w:r w:rsidRPr="0090361B">
        <w:rPr>
          <w:rFonts w:cstheme="minorHAnsi"/>
          <w:bCs/>
          <w:sz w:val="18"/>
        </w:rPr>
        <w:t xml:space="preserve"> Analysis of Medicare Claims File for </w:t>
      </w:r>
      <w:r>
        <w:rPr>
          <w:rFonts w:cstheme="minorHAnsi"/>
          <w:bCs/>
          <w:sz w:val="18"/>
        </w:rPr>
        <w:t>HH</w:t>
      </w:r>
      <w:r w:rsidRPr="0090361B">
        <w:rPr>
          <w:rFonts w:cstheme="minorHAnsi"/>
          <w:bCs/>
          <w:sz w:val="18"/>
        </w:rPr>
        <w:t xml:space="preserve">, </w:t>
      </w:r>
      <w:r>
        <w:rPr>
          <w:rFonts w:cstheme="minorHAnsi"/>
          <w:bCs/>
          <w:sz w:val="18"/>
        </w:rPr>
        <w:t>CY</w:t>
      </w:r>
      <w:r w:rsidRPr="0090361B">
        <w:rPr>
          <w:rFonts w:cstheme="minorHAnsi"/>
          <w:bCs/>
          <w:sz w:val="18"/>
        </w:rPr>
        <w:t xml:space="preserve"> 201</w:t>
      </w:r>
      <w:r>
        <w:rPr>
          <w:rFonts w:cstheme="minorHAnsi"/>
          <w:bCs/>
          <w:sz w:val="18"/>
        </w:rPr>
        <w:t>5</w:t>
      </w:r>
      <w:r w:rsidRPr="0090361B">
        <w:rPr>
          <w:rFonts w:cstheme="minorHAnsi"/>
          <w:bCs/>
          <w:sz w:val="18"/>
        </w:rPr>
        <w:t>-201</w:t>
      </w:r>
      <w:r>
        <w:rPr>
          <w:rFonts w:cstheme="minorHAnsi"/>
          <w:bCs/>
          <w:sz w:val="18"/>
        </w:rPr>
        <w:t>6.</w:t>
      </w:r>
      <w:r w:rsidRPr="0090361B">
        <w:rPr>
          <w:rFonts w:cstheme="minorHAnsi"/>
          <w:bCs/>
          <w:sz w:val="18"/>
        </w:rPr>
        <w:t xml:space="preserve"> </w:t>
      </w:r>
      <w:r>
        <w:rPr>
          <w:rFonts w:cstheme="minorHAnsi"/>
          <w:bCs/>
          <w:sz w:val="18"/>
        </w:rPr>
        <w:t>Note: The reliability testi</w:t>
      </w:r>
      <w:r w:rsidRPr="00FF6B31">
        <w:rPr>
          <w:rFonts w:cstheme="minorHAnsi"/>
          <w:bCs/>
          <w:sz w:val="18"/>
        </w:rPr>
        <w:t xml:space="preserve">ng </w:t>
      </w:r>
      <w:r>
        <w:rPr>
          <w:rFonts w:cstheme="minorHAnsi"/>
          <w:bCs/>
          <w:sz w:val="18"/>
        </w:rPr>
        <w:t>was</w:t>
      </w:r>
      <w:r w:rsidRPr="00FF6B31">
        <w:rPr>
          <w:rFonts w:cstheme="minorHAnsi"/>
          <w:bCs/>
          <w:sz w:val="18"/>
        </w:rPr>
        <w:t xml:space="preserve"> performed among HHAs with &gt;= 20 stays</w:t>
      </w:r>
      <w:r>
        <w:rPr>
          <w:rFonts w:cstheme="minorHAnsi"/>
          <w:bCs/>
          <w:sz w:val="18"/>
        </w:rPr>
        <w:t>.</w:t>
      </w:r>
      <w:r w:rsidRPr="00FF6B31">
        <w:rPr>
          <w:rFonts w:cstheme="minorHAnsi"/>
          <w:bCs/>
          <w:sz w:val="18"/>
        </w:rPr>
        <w:t xml:space="preserve"> </w:t>
      </w:r>
      <w:r>
        <w:rPr>
          <w:rFonts w:cstheme="minorHAnsi"/>
          <w:bCs/>
          <w:sz w:val="18"/>
        </w:rPr>
        <w:t xml:space="preserve">As a result, </w:t>
      </w:r>
      <w:r w:rsidRPr="00FF6B31">
        <w:rPr>
          <w:rFonts w:cstheme="minorHAnsi"/>
          <w:bCs/>
          <w:sz w:val="18"/>
        </w:rPr>
        <w:t>1</w:t>
      </w:r>
      <w:r>
        <w:rPr>
          <w:rFonts w:cstheme="minorHAnsi"/>
          <w:bCs/>
          <w:sz w:val="18"/>
        </w:rPr>
        <w:t>,</w:t>
      </w:r>
      <w:r w:rsidRPr="00FF6B31">
        <w:rPr>
          <w:rFonts w:cstheme="minorHAnsi"/>
          <w:bCs/>
          <w:sz w:val="18"/>
        </w:rPr>
        <w:t>543 HHAs were excluded from the analysis due to insufficient sample size.</w:t>
      </w:r>
    </w:p>
    <w:p w14:paraId="2CD64908" w14:textId="4509F3B0" w:rsidR="005D66DB" w:rsidRPr="00C857D8" w:rsidRDefault="009171BB" w:rsidP="005D66DB">
      <w:pPr>
        <w:autoSpaceDE w:val="0"/>
        <w:autoSpaceDN w:val="0"/>
        <w:adjustRightInd w:val="0"/>
        <w:spacing w:after="0" w:line="240" w:lineRule="auto"/>
        <w:rPr>
          <w:rFonts w:cstheme="minorHAnsi"/>
          <w:b/>
          <w:bCs/>
        </w:rPr>
      </w:pPr>
      <w:r w:rsidRPr="009171BB">
        <w:rPr>
          <w:rFonts w:cstheme="minorHAnsi"/>
          <w:b/>
          <w:bCs/>
        </w:rPr>
        <w:t>Figure 1b.</w:t>
      </w:r>
      <w:r w:rsidR="005D66DB" w:rsidRPr="0002043F">
        <w:rPr>
          <w:rFonts w:cstheme="minorHAnsi"/>
          <w:bCs/>
        </w:rPr>
        <w:t xml:space="preserve"> </w:t>
      </w:r>
      <w:r w:rsidR="005D66DB" w:rsidRPr="00C857D8">
        <w:rPr>
          <w:rFonts w:cstheme="minorHAnsi"/>
          <w:b/>
          <w:bCs/>
        </w:rPr>
        <w:t>Spl</w:t>
      </w:r>
      <w:r w:rsidR="00566A97" w:rsidRPr="00C857D8">
        <w:rPr>
          <w:rFonts w:cstheme="minorHAnsi"/>
          <w:b/>
          <w:bCs/>
        </w:rPr>
        <w:t xml:space="preserve">it-sample Reliability Testing: </w:t>
      </w:r>
      <w:r w:rsidR="005D66DB" w:rsidRPr="00C857D8">
        <w:rPr>
          <w:rFonts w:cstheme="minorHAnsi"/>
          <w:b/>
          <w:bCs/>
        </w:rPr>
        <w:t>Scatter Plot of Risk-standardized DTC Rates</w:t>
      </w:r>
      <w:r w:rsidR="00CD04E4" w:rsidRPr="00C857D8">
        <w:rPr>
          <w:rFonts w:cstheme="minorHAnsi"/>
          <w:b/>
          <w:bCs/>
        </w:rPr>
        <w:t>,</w:t>
      </w:r>
      <w:r w:rsidR="005D66DB" w:rsidRPr="00C857D8">
        <w:rPr>
          <w:rFonts w:cstheme="minorHAnsi"/>
          <w:b/>
          <w:bCs/>
        </w:rPr>
        <w:t xml:space="preserve"> by HHA </w:t>
      </w:r>
      <w:r w:rsidR="00950B89" w:rsidRPr="00C857D8">
        <w:rPr>
          <w:rFonts w:cstheme="minorHAnsi"/>
          <w:b/>
          <w:bCs/>
        </w:rPr>
        <w:t>Size</w:t>
      </w:r>
      <w:r w:rsidR="000E260B" w:rsidRPr="00C857D8">
        <w:rPr>
          <w:rFonts w:cstheme="minorHAnsi"/>
          <w:b/>
          <w:bCs/>
        </w:rPr>
        <w:t xml:space="preserve"> </w:t>
      </w:r>
    </w:p>
    <w:p w14:paraId="61E8984F" w14:textId="71AA055C" w:rsidR="005D66DB" w:rsidRDefault="005E0E62" w:rsidP="005E0E62">
      <w:pPr>
        <w:autoSpaceDE w:val="0"/>
        <w:autoSpaceDN w:val="0"/>
        <w:adjustRightInd w:val="0"/>
        <w:spacing w:after="0" w:line="240" w:lineRule="auto"/>
        <w:jc w:val="center"/>
        <w:rPr>
          <w:rFonts w:cstheme="minorHAnsi"/>
          <w:bCs/>
        </w:rPr>
      </w:pPr>
      <w:r>
        <w:rPr>
          <w:noProof/>
        </w:rPr>
        <w:drawing>
          <wp:inline distT="0" distB="0" distL="0" distR="0" wp14:anchorId="229C8559" wp14:editId="1DCBC710">
            <wp:extent cx="4094921" cy="4054528"/>
            <wp:effectExtent l="0" t="0" r="1270" b="317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23"/>
                    <a:stretch>
                      <a:fillRect/>
                    </a:stretch>
                  </pic:blipFill>
                  <pic:spPr>
                    <a:xfrm>
                      <a:off x="0" y="0"/>
                      <a:ext cx="4155749" cy="4114756"/>
                    </a:xfrm>
                    <a:prstGeom prst="rect">
                      <a:avLst/>
                    </a:prstGeom>
                  </pic:spPr>
                </pic:pic>
              </a:graphicData>
            </a:graphic>
          </wp:inline>
        </w:drawing>
      </w:r>
    </w:p>
    <w:p w14:paraId="33280709" w14:textId="77777777" w:rsidR="005D66DB" w:rsidRDefault="005D66DB" w:rsidP="005D66DB">
      <w:pPr>
        <w:autoSpaceDE w:val="0"/>
        <w:autoSpaceDN w:val="0"/>
        <w:adjustRightInd w:val="0"/>
        <w:spacing w:after="0"/>
        <w:rPr>
          <w:rFonts w:cstheme="minorHAnsi"/>
          <w:b/>
          <w:bCs/>
        </w:rPr>
      </w:pPr>
      <w:r>
        <w:rPr>
          <w:rFonts w:cstheme="minorHAnsi"/>
          <w:bCs/>
          <w:sz w:val="18"/>
        </w:rPr>
        <w:t>Acumen</w:t>
      </w:r>
      <w:r w:rsidRPr="0090361B">
        <w:rPr>
          <w:rFonts w:cstheme="minorHAnsi"/>
          <w:bCs/>
          <w:sz w:val="18"/>
        </w:rPr>
        <w:t xml:space="preserve"> Analysis of Medicare Claims File for </w:t>
      </w:r>
      <w:r>
        <w:rPr>
          <w:rFonts w:cstheme="minorHAnsi"/>
          <w:bCs/>
          <w:sz w:val="18"/>
        </w:rPr>
        <w:t>HH</w:t>
      </w:r>
      <w:r w:rsidRPr="0090361B">
        <w:rPr>
          <w:rFonts w:cstheme="minorHAnsi"/>
          <w:bCs/>
          <w:sz w:val="18"/>
        </w:rPr>
        <w:t xml:space="preserve">, </w:t>
      </w:r>
      <w:r>
        <w:rPr>
          <w:rFonts w:cstheme="minorHAnsi"/>
          <w:bCs/>
          <w:sz w:val="18"/>
        </w:rPr>
        <w:t>CY</w:t>
      </w:r>
      <w:r w:rsidRPr="0090361B">
        <w:rPr>
          <w:rFonts w:cstheme="minorHAnsi"/>
          <w:bCs/>
          <w:sz w:val="18"/>
        </w:rPr>
        <w:t xml:space="preserve"> 201</w:t>
      </w:r>
      <w:r>
        <w:rPr>
          <w:rFonts w:cstheme="minorHAnsi"/>
          <w:bCs/>
          <w:sz w:val="18"/>
        </w:rPr>
        <w:t>5</w:t>
      </w:r>
      <w:r w:rsidRPr="0090361B">
        <w:rPr>
          <w:rFonts w:cstheme="minorHAnsi"/>
          <w:bCs/>
          <w:sz w:val="18"/>
        </w:rPr>
        <w:t>-201</w:t>
      </w:r>
      <w:r>
        <w:rPr>
          <w:rFonts w:cstheme="minorHAnsi"/>
          <w:bCs/>
          <w:sz w:val="18"/>
        </w:rPr>
        <w:t>6.</w:t>
      </w:r>
      <w:r w:rsidRPr="0090361B">
        <w:rPr>
          <w:rFonts w:cstheme="minorHAnsi"/>
          <w:bCs/>
          <w:sz w:val="18"/>
        </w:rPr>
        <w:t xml:space="preserve"> </w:t>
      </w:r>
      <w:r>
        <w:rPr>
          <w:rFonts w:cstheme="minorHAnsi"/>
          <w:bCs/>
          <w:sz w:val="18"/>
        </w:rPr>
        <w:t>Note: The reliability testi</w:t>
      </w:r>
      <w:r w:rsidRPr="00FF6B31">
        <w:rPr>
          <w:rFonts w:cstheme="minorHAnsi"/>
          <w:bCs/>
          <w:sz w:val="18"/>
        </w:rPr>
        <w:t xml:space="preserve">ng </w:t>
      </w:r>
      <w:r>
        <w:rPr>
          <w:rFonts w:cstheme="minorHAnsi"/>
          <w:bCs/>
          <w:sz w:val="18"/>
        </w:rPr>
        <w:t>was</w:t>
      </w:r>
      <w:r w:rsidRPr="00FF6B31">
        <w:rPr>
          <w:rFonts w:cstheme="minorHAnsi"/>
          <w:bCs/>
          <w:sz w:val="18"/>
        </w:rPr>
        <w:t xml:space="preserve"> performed among HHAs with &gt;= 20 stays</w:t>
      </w:r>
      <w:r>
        <w:rPr>
          <w:rFonts w:cstheme="minorHAnsi"/>
          <w:bCs/>
          <w:sz w:val="18"/>
        </w:rPr>
        <w:t>.</w:t>
      </w:r>
      <w:r w:rsidRPr="00FF6B31">
        <w:rPr>
          <w:rFonts w:cstheme="minorHAnsi"/>
          <w:bCs/>
          <w:sz w:val="18"/>
        </w:rPr>
        <w:t xml:space="preserve"> </w:t>
      </w:r>
      <w:r>
        <w:rPr>
          <w:rFonts w:cstheme="minorHAnsi"/>
          <w:bCs/>
          <w:sz w:val="18"/>
        </w:rPr>
        <w:t xml:space="preserve">As a result, </w:t>
      </w:r>
      <w:r w:rsidRPr="00FF6B31">
        <w:rPr>
          <w:rFonts w:cstheme="minorHAnsi"/>
          <w:bCs/>
          <w:sz w:val="18"/>
        </w:rPr>
        <w:t>1</w:t>
      </w:r>
      <w:r>
        <w:rPr>
          <w:rFonts w:cstheme="minorHAnsi"/>
          <w:bCs/>
          <w:sz w:val="18"/>
        </w:rPr>
        <w:t>,</w:t>
      </w:r>
      <w:r w:rsidRPr="00FF6B31">
        <w:rPr>
          <w:rFonts w:cstheme="minorHAnsi"/>
          <w:bCs/>
          <w:sz w:val="18"/>
        </w:rPr>
        <w:t>543 HHAs were excluded from the analysis due to insufficient sample size.</w:t>
      </w:r>
    </w:p>
    <w:p w14:paraId="0187C2F8" w14:textId="397AA5AA" w:rsidR="005D66DB" w:rsidRDefault="00092566" w:rsidP="005D66DB">
      <w:pPr>
        <w:spacing w:after="0" w:line="240" w:lineRule="auto"/>
      </w:pPr>
      <w:r>
        <w:rPr>
          <w:rFonts w:cstheme="minorHAnsi"/>
          <w:b/>
          <w:bCs/>
        </w:rPr>
        <w:lastRenderedPageBreak/>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r w:rsidR="005D66DB">
        <w:rPr>
          <w:rFonts w:cstheme="minorHAnsi"/>
        </w:rPr>
        <w:t xml:space="preserve">Overall, reliability testing results </w:t>
      </w:r>
      <w:r w:rsidR="005D66DB" w:rsidRPr="00514842">
        <w:rPr>
          <w:rFonts w:cstheme="minorHAnsi"/>
        </w:rPr>
        <w:t>indicate</w:t>
      </w:r>
      <w:r w:rsidR="005D66DB">
        <w:rPr>
          <w:rFonts w:cstheme="minorHAnsi"/>
        </w:rPr>
        <w:t>d</w:t>
      </w:r>
      <w:r w:rsidR="005D66DB" w:rsidRPr="00514842">
        <w:rPr>
          <w:rFonts w:cstheme="minorHAnsi"/>
        </w:rPr>
        <w:t xml:space="preserve"> </w:t>
      </w:r>
      <w:r w:rsidR="005D66DB">
        <w:rPr>
          <w:rFonts w:cstheme="minorHAnsi"/>
        </w:rPr>
        <w:t xml:space="preserve">good </w:t>
      </w:r>
      <w:r w:rsidR="005D66DB" w:rsidRPr="00514842">
        <w:rPr>
          <w:rFonts w:cstheme="minorHAnsi"/>
        </w:rPr>
        <w:t xml:space="preserve">to excellent performance measure score reliability. </w:t>
      </w:r>
      <w:r w:rsidR="005D66DB">
        <w:t>The mean s</w:t>
      </w:r>
      <w:r w:rsidR="005D66DB" w:rsidRPr="00514842">
        <w:t>ignal-to-noise ratio</w:t>
      </w:r>
      <w:r w:rsidR="005D66DB" w:rsidRPr="33A2FF03">
        <w:t xml:space="preserve"> </w:t>
      </w:r>
      <w:r w:rsidR="009066FA">
        <w:t>was strong</w:t>
      </w:r>
      <w:r w:rsidR="005D66DB">
        <w:t xml:space="preserve"> in the overall sample</w:t>
      </w:r>
      <w:r w:rsidR="005D66DB" w:rsidRPr="33A2FF03">
        <w:t xml:space="preserve">, </w:t>
      </w:r>
      <w:r w:rsidR="005D66DB">
        <w:t>with</w:t>
      </w:r>
      <w:r w:rsidR="005D66DB" w:rsidRPr="33A2FF03">
        <w:t xml:space="preserve"> </w:t>
      </w:r>
      <w:r w:rsidR="005D66DB">
        <w:t xml:space="preserve">the signal being </w:t>
      </w:r>
      <w:r w:rsidR="00E059A3">
        <w:t>9.7</w:t>
      </w:r>
      <w:r w:rsidR="005D66DB">
        <w:t xml:space="preserve"> times as strong as the noise</w:t>
      </w:r>
      <w:r w:rsidR="005D66DB" w:rsidRPr="33A2FF03">
        <w:t xml:space="preserve">, </w:t>
      </w:r>
      <w:r w:rsidR="005D66DB">
        <w:t>on average</w:t>
      </w:r>
      <w:r w:rsidR="005D66DB" w:rsidRPr="33A2FF03">
        <w:t xml:space="preserve">. </w:t>
      </w:r>
      <w:r w:rsidR="005D66DB">
        <w:t xml:space="preserve">In the lowest quartile of </w:t>
      </w:r>
      <w:r w:rsidR="00E059A3">
        <w:t>HHAs</w:t>
      </w:r>
      <w:r w:rsidR="005D66DB">
        <w:t xml:space="preserve"> the ratio is lower, with the signal bring </w:t>
      </w:r>
      <w:r w:rsidR="00E059A3">
        <w:t>2.9</w:t>
      </w:r>
      <w:r w:rsidR="005D66DB">
        <w:t xml:space="preserve"> times as strong as the noise, which is still precise. This indicates that the measure score has </w:t>
      </w:r>
      <w:r w:rsidR="00CD174D">
        <w:t xml:space="preserve">good </w:t>
      </w:r>
      <w:r w:rsidR="005D66DB">
        <w:t>precision, and largely represents</w:t>
      </w:r>
      <w:r w:rsidR="005D66DB" w:rsidRPr="00D035E4">
        <w:t xml:space="preserve"> systematic differences </w:t>
      </w:r>
      <w:r w:rsidR="005D66DB">
        <w:t xml:space="preserve">in quality of care </w:t>
      </w:r>
      <w:r w:rsidR="005D66DB" w:rsidRPr="00D035E4">
        <w:t xml:space="preserve">across the measured entities </w:t>
      </w:r>
      <w:r w:rsidR="005D66DB">
        <w:t>rather than</w:t>
      </w:r>
      <w:r w:rsidR="005D66DB" w:rsidRPr="00D035E4">
        <w:t xml:space="preserve"> random </w:t>
      </w:r>
      <w:r w:rsidR="005D66DB">
        <w:t xml:space="preserve">variation or </w:t>
      </w:r>
      <w:r w:rsidR="005D66DB" w:rsidRPr="00D035E4">
        <w:t>error</w:t>
      </w:r>
      <w:r w:rsidR="005D66DB">
        <w:t>.</w:t>
      </w:r>
    </w:p>
    <w:p w14:paraId="504F4E47" w14:textId="77777777" w:rsidR="005D66DB" w:rsidRPr="00514842" w:rsidRDefault="005D66DB" w:rsidP="005D66DB">
      <w:pPr>
        <w:spacing w:after="0" w:line="240" w:lineRule="auto"/>
      </w:pPr>
    </w:p>
    <w:p w14:paraId="0D7ADDC0" w14:textId="56179F16" w:rsidR="005D66DB" w:rsidRDefault="005D66DB" w:rsidP="005D66DB">
      <w:pPr>
        <w:spacing w:after="0" w:line="240" w:lineRule="auto"/>
        <w:rPr>
          <w:rFonts w:cstheme="minorHAnsi"/>
          <w:bCs/>
        </w:rPr>
      </w:pPr>
      <w:r>
        <w:rPr>
          <w:rFonts w:cstheme="minorHAnsi"/>
          <w:bCs/>
        </w:rPr>
        <w:t>Intraclass correlation coefficients below 0.5</w:t>
      </w:r>
      <w:r w:rsidRPr="00514842">
        <w:rPr>
          <w:rFonts w:cstheme="minorHAnsi"/>
        </w:rPr>
        <w:t xml:space="preserve"> indicate </w:t>
      </w:r>
      <w:r>
        <w:rPr>
          <w:rFonts w:cstheme="minorHAnsi"/>
          <w:bCs/>
        </w:rPr>
        <w:t xml:space="preserve">low reliability; between 0.5 and 0.7, moderate; above 0.7, good; and above 0.9, </w:t>
      </w:r>
      <w:r w:rsidRPr="00514842">
        <w:rPr>
          <w:rFonts w:cstheme="minorHAnsi"/>
        </w:rPr>
        <w:t>excellent reliability</w:t>
      </w:r>
      <w:r w:rsidRPr="0090361B">
        <w:rPr>
          <w:rFonts w:cstheme="minorHAnsi"/>
          <w:bCs/>
        </w:rPr>
        <w:t>.</w:t>
      </w:r>
      <w:r>
        <w:rPr>
          <w:rStyle w:val="FootnoteReference"/>
          <w:bCs/>
        </w:rPr>
        <w:footnoteReference w:id="9"/>
      </w:r>
      <w:r>
        <w:rPr>
          <w:rFonts w:cstheme="minorHAnsi"/>
          <w:bCs/>
        </w:rPr>
        <w:t xml:space="preserve"> The ICC for the overall </w:t>
      </w:r>
      <w:r w:rsidR="00E059A3">
        <w:rPr>
          <w:rFonts w:cstheme="minorHAnsi"/>
          <w:bCs/>
        </w:rPr>
        <w:t>HH sample was 0.91</w:t>
      </w:r>
      <w:r>
        <w:rPr>
          <w:rFonts w:cstheme="minorHAnsi"/>
          <w:bCs/>
        </w:rPr>
        <w:t xml:space="preserve">, indicating </w:t>
      </w:r>
      <w:r w:rsidR="00E059A3">
        <w:rPr>
          <w:rFonts w:cstheme="minorHAnsi"/>
          <w:bCs/>
        </w:rPr>
        <w:t>excellent</w:t>
      </w:r>
      <w:r>
        <w:rPr>
          <w:rFonts w:cstheme="minorHAnsi"/>
          <w:bCs/>
        </w:rPr>
        <w:t xml:space="preserve"> reliability. When examined by facility sample size, the smallest quartile had </w:t>
      </w:r>
      <w:r w:rsidR="00E059A3">
        <w:rPr>
          <w:rFonts w:cstheme="minorHAnsi"/>
          <w:bCs/>
        </w:rPr>
        <w:t>good reliability and the second through fourth quartiles had</w:t>
      </w:r>
      <w:r>
        <w:rPr>
          <w:rFonts w:cstheme="minorHAnsi"/>
          <w:bCs/>
        </w:rPr>
        <w:t xml:space="preserve"> excellent reliability. </w:t>
      </w:r>
    </w:p>
    <w:p w14:paraId="424E6E42"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55E8B5B0"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5B8F075D" w14:textId="77777777"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Content>
          <w:r w:rsidR="00B77C07">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191A603E" w14:textId="77777777" w:rsidR="00696262" w:rsidRPr="00A25024" w:rsidRDefault="0038706E"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Content>
          <w:r w:rsidR="00B77C07">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23EADBC1" w14:textId="77777777" w:rsidR="000574AB" w:rsidRPr="00A25024" w:rsidRDefault="0038706E"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Content>
          <w:r w:rsidR="00B77C07">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Content>
          <w:r w:rsidR="00BC5249">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3FD3B8E" w14:textId="77777777" w:rsidR="00CA06D8" w:rsidRPr="00A25024" w:rsidRDefault="00CA06D8" w:rsidP="00DB3627">
      <w:pPr>
        <w:autoSpaceDE w:val="0"/>
        <w:autoSpaceDN w:val="0"/>
        <w:adjustRightInd w:val="0"/>
        <w:spacing w:after="0" w:line="240" w:lineRule="auto"/>
        <w:rPr>
          <w:rFonts w:cstheme="minorHAnsi"/>
        </w:rPr>
      </w:pPr>
    </w:p>
    <w:p w14:paraId="24E27228" w14:textId="77777777" w:rsidR="00833325"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5FE521E2" w14:textId="77777777" w:rsidR="004D704F" w:rsidRPr="001E135A" w:rsidRDefault="004D704F" w:rsidP="004D704F">
      <w:pPr>
        <w:autoSpaceDE w:val="0"/>
        <w:autoSpaceDN w:val="0"/>
        <w:adjustRightInd w:val="0"/>
        <w:spacing w:after="0" w:line="240" w:lineRule="auto"/>
        <w:rPr>
          <w:rFonts w:ascii="Calibri" w:hAnsi="Calibri" w:cs="Calibri"/>
          <w:color w:val="000000"/>
          <w:szCs w:val="23"/>
        </w:rPr>
      </w:pPr>
      <w:r w:rsidRPr="001E135A">
        <w:rPr>
          <w:rFonts w:ascii="Calibri" w:hAnsi="Calibri" w:cs="Calibri"/>
          <w:color w:val="000000"/>
          <w:szCs w:val="23"/>
        </w:rPr>
        <w:t xml:space="preserve">NQF defines validity as the correctness of measurement. It considers validity of data elements </w:t>
      </w:r>
      <w:r>
        <w:rPr>
          <w:rFonts w:ascii="Calibri" w:hAnsi="Calibri" w:cs="Calibri"/>
          <w:bCs/>
          <w:color w:val="000000"/>
          <w:szCs w:val="23"/>
        </w:rPr>
        <w:t>to be</w:t>
      </w:r>
      <w:r>
        <w:rPr>
          <w:rFonts w:ascii="Calibri" w:hAnsi="Calibri" w:cs="Calibri"/>
          <w:color w:val="000000"/>
          <w:szCs w:val="23"/>
        </w:rPr>
        <w:t xml:space="preserve"> </w:t>
      </w:r>
      <w:r w:rsidRPr="001E135A">
        <w:rPr>
          <w:rFonts w:ascii="Calibri" w:hAnsi="Calibri" w:cs="Calibri"/>
          <w:color w:val="000000"/>
          <w:szCs w:val="23"/>
        </w:rPr>
        <w:t xml:space="preserve">the correctness of the data elements as compared to an authoritative source, and validity of measure scores </w:t>
      </w:r>
      <w:r>
        <w:rPr>
          <w:rFonts w:ascii="Calibri" w:hAnsi="Calibri" w:cs="Calibri"/>
          <w:bCs/>
          <w:color w:val="000000"/>
          <w:szCs w:val="23"/>
        </w:rPr>
        <w:t>to be</w:t>
      </w:r>
      <w:r w:rsidRPr="001E135A">
        <w:rPr>
          <w:rFonts w:ascii="Calibri" w:hAnsi="Calibri" w:cs="Calibri"/>
          <w:color w:val="000000"/>
          <w:szCs w:val="23"/>
        </w:rPr>
        <w:t xml:space="preserve"> the correctness of conclusions about quality that can be made based on the measure scores (i.e., a higher score on a quality measure reflects higher quality).</w:t>
      </w:r>
      <w:r w:rsidRPr="001E135A">
        <w:rPr>
          <w:rStyle w:val="FootnoteReference"/>
          <w:rFonts w:ascii="Calibri" w:hAnsi="Calibri"/>
          <w:color w:val="000000"/>
          <w:szCs w:val="23"/>
        </w:rPr>
        <w:footnoteReference w:id="10"/>
      </w:r>
    </w:p>
    <w:p w14:paraId="7451CAAB" w14:textId="77777777" w:rsidR="004D704F" w:rsidRPr="00514842" w:rsidRDefault="004D704F" w:rsidP="004D704F">
      <w:pPr>
        <w:autoSpaceDE w:val="0"/>
        <w:autoSpaceDN w:val="0"/>
        <w:adjustRightInd w:val="0"/>
        <w:spacing w:after="0" w:line="240" w:lineRule="auto"/>
        <w:rPr>
          <w:rFonts w:cstheme="minorHAnsi"/>
          <w:b/>
          <w:bCs/>
        </w:rPr>
      </w:pPr>
    </w:p>
    <w:p w14:paraId="00D8EDB9" w14:textId="2AD7A94C" w:rsidR="004D704F" w:rsidRPr="00BE52F7" w:rsidRDefault="0070627B" w:rsidP="004D704F">
      <w:pPr>
        <w:pStyle w:val="ListParagraph"/>
        <w:numPr>
          <w:ilvl w:val="0"/>
          <w:numId w:val="13"/>
        </w:numPr>
        <w:autoSpaceDE w:val="0"/>
        <w:autoSpaceDN w:val="0"/>
        <w:adjustRightInd w:val="0"/>
        <w:spacing w:after="0" w:line="240" w:lineRule="auto"/>
        <w:rPr>
          <w:b/>
        </w:rPr>
      </w:pPr>
      <w:r>
        <w:rPr>
          <w:b/>
        </w:rPr>
        <w:t>Critical Data Elements V</w:t>
      </w:r>
      <w:r w:rsidR="004D704F" w:rsidRPr="007F1831">
        <w:rPr>
          <w:b/>
        </w:rPr>
        <w:t>alidity</w:t>
      </w:r>
      <w:r>
        <w:rPr>
          <w:b/>
        </w:rPr>
        <w:t xml:space="preserve"> Testing</w:t>
      </w:r>
      <w:r w:rsidR="004D704F" w:rsidRPr="007F1831">
        <w:rPr>
          <w:b/>
        </w:rPr>
        <w:t>:</w:t>
      </w:r>
      <w:r w:rsidR="004D704F" w:rsidRPr="70227CD3">
        <w:rPr>
          <w:b/>
        </w:rPr>
        <w:t xml:space="preserve"> </w:t>
      </w:r>
      <w:r w:rsidR="004D704F" w:rsidRPr="70227CD3">
        <w:t>The</w:t>
      </w:r>
      <w:r w:rsidR="004D704F" w:rsidRPr="70227CD3">
        <w:rPr>
          <w:b/>
        </w:rPr>
        <w:t xml:space="preserve"> </w:t>
      </w:r>
      <w:r w:rsidR="004D704F" w:rsidRPr="70227CD3">
        <w:t xml:space="preserve">discharge to community measure outcome is defined based on </w:t>
      </w:r>
      <w:r w:rsidR="0053159D">
        <w:t>three</w:t>
      </w:r>
      <w:r w:rsidR="004D704F" w:rsidRPr="70227CD3">
        <w:t xml:space="preserve"> components: (i) discharge to a community setting from the </w:t>
      </w:r>
      <w:r w:rsidR="004D704F">
        <w:t>HHA</w:t>
      </w:r>
      <w:r w:rsidR="004D704F" w:rsidRPr="70227CD3">
        <w:t>, (ii</w:t>
      </w:r>
      <w:r w:rsidR="004D704F" w:rsidRPr="00B64A8F">
        <w:t>)</w:t>
      </w:r>
      <w:r w:rsidR="004D704F" w:rsidRPr="00B64A8F">
        <w:rPr>
          <w:rStyle w:val="Style1"/>
        </w:rPr>
        <w:t xml:space="preserve"> </w:t>
      </w:r>
      <w:r w:rsidR="004D704F" w:rsidRPr="009C5142">
        <w:rPr>
          <w:rStyle w:val="Style1"/>
          <w:color w:val="auto"/>
        </w:rPr>
        <w:t xml:space="preserve">no unplanned acute or LTCH hospitalizations in the day of discharge and the 31 days following HHA discharge, and (iii) no death in the day of discharge and the 31 days following HH discharge. </w:t>
      </w:r>
      <w:r w:rsidR="004D704F" w:rsidRPr="00BE52F7">
        <w:t xml:space="preserve">The first component, discharge to a community setting, was considered a critical data element </w:t>
      </w:r>
      <w:r w:rsidR="004D704F" w:rsidRPr="004D704F">
        <w:rPr>
          <w:rFonts w:cstheme="minorHAnsi"/>
          <w:bCs/>
        </w:rPr>
        <w:t>for which we conducted</w:t>
      </w:r>
      <w:r w:rsidR="004D704F" w:rsidRPr="004D704F">
        <w:t xml:space="preserve"> validity testing</w:t>
      </w:r>
      <w:r w:rsidR="004D704F" w:rsidRPr="004D704F">
        <w:rPr>
          <w:rFonts w:cstheme="minorHAnsi"/>
          <w:bCs/>
        </w:rPr>
        <w:t>,</w:t>
      </w:r>
      <w:r w:rsidR="004D704F" w:rsidRPr="004D704F">
        <w:t xml:space="preserve"> as it is the first and largest determinant of the discharge to community outcome. The frequency of unplanned hospitalizations and death in the 31-day post-discharge window is small; thus, the discharge to community component is the key outcome determinant. Discharge to a community which is defined based on the “Patient Discharge Status Code” reported on the </w:t>
      </w:r>
      <w:r w:rsidR="004D704F" w:rsidRPr="009C5142">
        <w:rPr>
          <w:rStyle w:val="Style1"/>
          <w:color w:val="auto"/>
        </w:rPr>
        <w:lastRenderedPageBreak/>
        <w:t xml:space="preserve">Medicare FFS </w:t>
      </w:r>
      <w:r w:rsidR="004D704F" w:rsidRPr="00BE52F7">
        <w:t>HH claim</w:t>
      </w:r>
      <w:r w:rsidR="004D704F" w:rsidRPr="00BE52F7">
        <w:rPr>
          <w:rStyle w:val="FootnoteReference"/>
          <w:bCs/>
        </w:rPr>
        <w:footnoteReference w:id="11"/>
      </w:r>
      <w:r w:rsidR="004D704F" w:rsidRPr="00BE52F7">
        <w:t>;</w:t>
      </w:r>
      <w:r w:rsidR="004D704F" w:rsidRPr="00BE52F7">
        <w:rPr>
          <w:rFonts w:eastAsia="Trebuchet MS" w:cstheme="minorHAnsi"/>
        </w:rPr>
        <w:t xml:space="preserve"> D</w:t>
      </w:r>
      <w:r w:rsidR="004D704F" w:rsidRPr="009C5142">
        <w:rPr>
          <w:rStyle w:val="Style1"/>
          <w:color w:val="auto"/>
        </w:rPr>
        <w:t xml:space="preserve">ischarges to home or self-care with or </w:t>
      </w:r>
      <w:r w:rsidR="004D704F" w:rsidRPr="00BE52F7">
        <w:rPr>
          <w:rFonts w:eastAsia="Trebuchet MS" w:cstheme="minorHAnsi"/>
        </w:rPr>
        <w:t>discharged to home or self-care with a planned acute care hospital readmission</w:t>
      </w:r>
      <w:r w:rsidR="004D704F" w:rsidRPr="009C5142">
        <w:rPr>
          <w:rStyle w:val="Style1"/>
          <w:color w:val="auto"/>
        </w:rPr>
        <w:t>, based on Patient Discharge Status Codes 01 or 81 are considered discharge to a community setting.</w:t>
      </w:r>
      <w:r w:rsidR="004D704F" w:rsidRPr="00BE52F7">
        <w:t xml:space="preserve"> </w:t>
      </w:r>
    </w:p>
    <w:p w14:paraId="1D247F64" w14:textId="77777777" w:rsidR="004D704F" w:rsidRPr="00F61022" w:rsidRDefault="004D704F" w:rsidP="004D704F">
      <w:pPr>
        <w:pStyle w:val="ListParagraph"/>
        <w:autoSpaceDE w:val="0"/>
        <w:autoSpaceDN w:val="0"/>
        <w:adjustRightInd w:val="0"/>
        <w:spacing w:after="0" w:line="240" w:lineRule="auto"/>
        <w:ind w:left="360"/>
        <w:rPr>
          <w:b/>
        </w:rPr>
      </w:pPr>
    </w:p>
    <w:p w14:paraId="1C37E71D" w14:textId="77777777" w:rsidR="004D704F" w:rsidRDefault="004D704F" w:rsidP="004D704F">
      <w:pPr>
        <w:pStyle w:val="ListParagraph"/>
        <w:autoSpaceDE w:val="0"/>
        <w:autoSpaceDN w:val="0"/>
        <w:adjustRightInd w:val="0"/>
        <w:spacing w:after="0" w:line="240" w:lineRule="auto"/>
        <w:ind w:left="360"/>
      </w:pPr>
      <w:r w:rsidRPr="70227CD3">
        <w:t xml:space="preserve">We conducted two types of critical data element validity testing: (i) we confirmed correctness of the discharge to community setting component compared to two separate authoritative sources; and (ii) we </w:t>
      </w:r>
      <w:r>
        <w:t xml:space="preserve">examined whether the frequency of </w:t>
      </w:r>
      <w:r w:rsidRPr="70227CD3">
        <w:t xml:space="preserve">discharge to community </w:t>
      </w:r>
      <w:r>
        <w:t xml:space="preserve">varies as expected among clinically different patient subgroups expected to have different rates </w:t>
      </w:r>
      <w:r w:rsidRPr="70227CD3">
        <w:t xml:space="preserve">of </w:t>
      </w:r>
      <w:r>
        <w:t>discharge to a community setting</w:t>
      </w:r>
      <w:r w:rsidRPr="70227CD3">
        <w:t xml:space="preserve">. </w:t>
      </w:r>
    </w:p>
    <w:p w14:paraId="27AA02F7" w14:textId="77777777" w:rsidR="004D704F" w:rsidRDefault="004D704F" w:rsidP="004D704F">
      <w:pPr>
        <w:pStyle w:val="ListParagraph"/>
        <w:autoSpaceDE w:val="0"/>
        <w:autoSpaceDN w:val="0"/>
        <w:adjustRightInd w:val="0"/>
        <w:spacing w:after="0" w:line="240" w:lineRule="auto"/>
        <w:ind w:left="360"/>
      </w:pPr>
    </w:p>
    <w:p w14:paraId="40407B22" w14:textId="378A242A" w:rsidR="004D704F" w:rsidRDefault="004D704F" w:rsidP="004D704F">
      <w:pPr>
        <w:pStyle w:val="ListParagraph"/>
        <w:numPr>
          <w:ilvl w:val="1"/>
          <w:numId w:val="13"/>
        </w:numPr>
        <w:autoSpaceDE w:val="0"/>
        <w:autoSpaceDN w:val="0"/>
        <w:adjustRightInd w:val="0"/>
        <w:spacing w:after="0" w:line="240" w:lineRule="auto"/>
        <w:rPr>
          <w:b/>
        </w:rPr>
      </w:pPr>
      <w:r>
        <w:rPr>
          <w:b/>
        </w:rPr>
        <w:t xml:space="preserve">Correctness of discharge to community setting based on HH claim (critical data element) as compared to discharge to community based on the OASIS </w:t>
      </w:r>
      <w:r w:rsidR="0040776B">
        <w:rPr>
          <w:b/>
        </w:rPr>
        <w:t xml:space="preserve">assessment </w:t>
      </w:r>
      <w:r w:rsidR="00D1626C">
        <w:rPr>
          <w:b/>
        </w:rPr>
        <w:t>(authoritative source)</w:t>
      </w:r>
    </w:p>
    <w:p w14:paraId="04C0AECB" w14:textId="77777777" w:rsidR="004D704F" w:rsidRDefault="004D704F" w:rsidP="004D704F">
      <w:pPr>
        <w:pStyle w:val="ListParagraph"/>
        <w:autoSpaceDE w:val="0"/>
        <w:autoSpaceDN w:val="0"/>
        <w:adjustRightInd w:val="0"/>
        <w:spacing w:after="0" w:line="240" w:lineRule="auto"/>
        <w:ind w:left="1080"/>
        <w:rPr>
          <w:rFonts w:cstheme="minorHAnsi"/>
          <w:bCs/>
        </w:rPr>
      </w:pPr>
    </w:p>
    <w:p w14:paraId="6EFE5F09" w14:textId="2D90566B" w:rsidR="004D704F" w:rsidRDefault="004D704F" w:rsidP="004D704F">
      <w:pPr>
        <w:pStyle w:val="ListParagraph"/>
        <w:autoSpaceDE w:val="0"/>
        <w:autoSpaceDN w:val="0"/>
        <w:adjustRightInd w:val="0"/>
        <w:spacing w:after="0" w:line="240" w:lineRule="auto"/>
        <w:ind w:left="1080"/>
        <w:rPr>
          <w:b/>
        </w:rPr>
      </w:pPr>
      <w:r>
        <w:rPr>
          <w:rFonts w:cstheme="minorHAnsi"/>
          <w:bCs/>
        </w:rPr>
        <w:t xml:space="preserve">This testing included 6,154,523 HH stays that were successfully matched to OASIS assessments. The OASIS discharge to community definition was based on OASIS-C1 </w:t>
      </w:r>
      <w:r w:rsidR="00435101">
        <w:rPr>
          <w:rFonts w:cstheme="minorHAnsi"/>
          <w:bCs/>
        </w:rPr>
        <w:t>item M0100</w:t>
      </w:r>
      <w:r>
        <w:rPr>
          <w:rFonts w:cstheme="minorHAnsi"/>
          <w:bCs/>
        </w:rPr>
        <w:t xml:space="preserve"> “This Assessment is Currently Being Completed for the Following Reason” with value 9 (Discharge from Agency) being classified as discharge to community. Using the OASIS discharges to community as the authoritative source, we examined the percentage of OASIS discharges to community that were also classified as discharged to community based on the HH claim.</w:t>
      </w:r>
      <w:r w:rsidR="001F38F0">
        <w:rPr>
          <w:rStyle w:val="FootnoteReference"/>
          <w:bCs/>
        </w:rPr>
        <w:footnoteReference w:id="12"/>
      </w:r>
      <w:r>
        <w:rPr>
          <w:rFonts w:cstheme="minorHAnsi"/>
          <w:bCs/>
        </w:rPr>
        <w:t xml:space="preserve"> </w:t>
      </w:r>
    </w:p>
    <w:p w14:paraId="2F90CC70" w14:textId="77777777" w:rsidR="004D704F" w:rsidRPr="00161B70" w:rsidRDefault="004D704F" w:rsidP="004D704F">
      <w:pPr>
        <w:pStyle w:val="ListParagraph"/>
        <w:autoSpaceDE w:val="0"/>
        <w:autoSpaceDN w:val="0"/>
        <w:adjustRightInd w:val="0"/>
        <w:spacing w:after="0" w:line="240" w:lineRule="auto"/>
        <w:ind w:left="1080"/>
        <w:rPr>
          <w:b/>
        </w:rPr>
      </w:pPr>
    </w:p>
    <w:p w14:paraId="60FFBB61" w14:textId="3C3720A3" w:rsidR="004D704F" w:rsidRPr="00AC3FBA" w:rsidRDefault="004D704F" w:rsidP="004D704F">
      <w:pPr>
        <w:pStyle w:val="ListParagraph"/>
        <w:numPr>
          <w:ilvl w:val="1"/>
          <w:numId w:val="13"/>
        </w:numPr>
        <w:autoSpaceDE w:val="0"/>
        <w:autoSpaceDN w:val="0"/>
        <w:adjustRightInd w:val="0"/>
        <w:spacing w:after="0" w:line="240" w:lineRule="auto"/>
        <w:rPr>
          <w:b/>
        </w:rPr>
      </w:pPr>
      <w:r w:rsidRPr="00AC3FBA">
        <w:rPr>
          <w:b/>
        </w:rPr>
        <w:t xml:space="preserve">Correctness of discharge to community setting based on </w:t>
      </w:r>
      <w:r>
        <w:rPr>
          <w:b/>
        </w:rPr>
        <w:t>HH</w:t>
      </w:r>
      <w:r w:rsidRPr="00AC3FBA">
        <w:rPr>
          <w:b/>
        </w:rPr>
        <w:t xml:space="preserve"> claim (critical data element) as confirmed by absence of new inpatient claims on day of or day after </w:t>
      </w:r>
      <w:r>
        <w:rPr>
          <w:b/>
        </w:rPr>
        <w:t xml:space="preserve">HH </w:t>
      </w:r>
      <w:r w:rsidRPr="00AC3FBA">
        <w:rPr>
          <w:b/>
        </w:rPr>
        <w:t>d</w:t>
      </w:r>
      <w:r w:rsidR="00D1626C">
        <w:rPr>
          <w:b/>
        </w:rPr>
        <w:t>ischarge (authoritative source)</w:t>
      </w:r>
    </w:p>
    <w:p w14:paraId="4DC45825" w14:textId="77777777" w:rsidR="004D704F" w:rsidRDefault="004D704F" w:rsidP="004D704F">
      <w:pPr>
        <w:pStyle w:val="ListParagraph"/>
        <w:autoSpaceDE w:val="0"/>
        <w:autoSpaceDN w:val="0"/>
        <w:adjustRightInd w:val="0"/>
        <w:spacing w:after="0" w:line="240" w:lineRule="auto"/>
        <w:ind w:left="1080"/>
      </w:pPr>
    </w:p>
    <w:p w14:paraId="00767077" w14:textId="4DAACA7B" w:rsidR="004D704F" w:rsidRPr="00B93501" w:rsidRDefault="004D704F" w:rsidP="004D704F">
      <w:pPr>
        <w:pStyle w:val="ListParagraph"/>
        <w:autoSpaceDE w:val="0"/>
        <w:autoSpaceDN w:val="0"/>
        <w:adjustRightInd w:val="0"/>
        <w:spacing w:after="0" w:line="240" w:lineRule="auto"/>
        <w:ind w:left="1080"/>
        <w:rPr>
          <w:b/>
        </w:rPr>
      </w:pPr>
      <w:r>
        <w:t>This testing was conducted on the total index HH sample of 6,279,286 patient stays</w:t>
      </w:r>
      <w:r>
        <w:rPr>
          <w:rStyle w:val="areply"/>
        </w:rPr>
        <w:t xml:space="preserve">. For patient stays classified as discharged to a community setting based on the HH claim, we looked for </w:t>
      </w:r>
      <w:r w:rsidRPr="70227CD3">
        <w:t xml:space="preserve">any acute, LTCH, skilled nursing facility (SNF), or IRF claims on day of or day after </w:t>
      </w:r>
      <w:r>
        <w:t>HH</w:t>
      </w:r>
      <w:r w:rsidRPr="70227CD3">
        <w:t xml:space="preserve"> discharge</w:t>
      </w:r>
      <w:r>
        <w:t>. Absence of any claims would confirm the discharge to community reported on the HH claim. We note that while we also examined for acute, LTCH, SNF or IRF claims in the 2 through 31-day post-discharge window, presence of such claims would not negate the discharge community setting. The day of and day after post-acute discharge are typically considered the “transfer” period in other claims-based measures and used to determine the patient’s discharge destination from the index stay</w:t>
      </w:r>
      <w:r w:rsidRPr="00B344D4">
        <w:rPr>
          <w:vertAlign w:val="superscript"/>
        </w:rPr>
        <w:t>.</w:t>
      </w:r>
      <w:r w:rsidRPr="00B344D4">
        <w:rPr>
          <w:rStyle w:val="Style1"/>
          <w:rFonts w:cstheme="minorHAnsi"/>
          <w:vertAlign w:val="superscript"/>
        </w:rPr>
        <w:footnoteReference w:id="13"/>
      </w:r>
      <w:r>
        <w:rPr>
          <w:rStyle w:val="Style1"/>
          <w:rFonts w:cstheme="minorHAnsi"/>
          <w:vertAlign w:val="superscript"/>
        </w:rPr>
        <w:t xml:space="preserve">, </w:t>
      </w:r>
      <w:r w:rsidRPr="00B344D4">
        <w:rPr>
          <w:rStyle w:val="Style1"/>
          <w:rFonts w:cstheme="minorHAnsi"/>
          <w:vertAlign w:val="superscript"/>
        </w:rPr>
        <w:footnoteReference w:id="14"/>
      </w:r>
      <w:r>
        <w:rPr>
          <w:rStyle w:val="Style1"/>
          <w:rFonts w:cstheme="minorHAnsi"/>
          <w:vertAlign w:val="superscript"/>
        </w:rPr>
        <w:t xml:space="preserve">, </w:t>
      </w:r>
      <w:r w:rsidRPr="00B344D4">
        <w:rPr>
          <w:rStyle w:val="Style1"/>
          <w:rFonts w:cstheme="minorHAnsi"/>
          <w:vertAlign w:val="superscript"/>
        </w:rPr>
        <w:footnoteReference w:id="15"/>
      </w:r>
      <w:r w:rsidRPr="00B344D4">
        <w:rPr>
          <w:b/>
        </w:rPr>
        <w:t xml:space="preserve"> </w:t>
      </w:r>
    </w:p>
    <w:p w14:paraId="5AC543B8" w14:textId="77777777" w:rsidR="004D704F" w:rsidRDefault="004D704F" w:rsidP="004D704F">
      <w:pPr>
        <w:pStyle w:val="ListParagraph"/>
        <w:autoSpaceDE w:val="0"/>
        <w:autoSpaceDN w:val="0"/>
        <w:adjustRightInd w:val="0"/>
        <w:spacing w:after="0" w:line="240" w:lineRule="auto"/>
        <w:ind w:left="1080"/>
      </w:pPr>
      <w:r>
        <w:t xml:space="preserve"> </w:t>
      </w:r>
    </w:p>
    <w:p w14:paraId="59390A50" w14:textId="77777777" w:rsidR="00E47993" w:rsidRDefault="00E47993" w:rsidP="004D704F">
      <w:pPr>
        <w:pStyle w:val="ListParagraph"/>
        <w:autoSpaceDE w:val="0"/>
        <w:autoSpaceDN w:val="0"/>
        <w:adjustRightInd w:val="0"/>
        <w:spacing w:after="0" w:line="240" w:lineRule="auto"/>
        <w:ind w:left="1080"/>
      </w:pPr>
    </w:p>
    <w:p w14:paraId="7C4D95F8" w14:textId="77777777" w:rsidR="00E47993" w:rsidRDefault="00E47993" w:rsidP="004D704F">
      <w:pPr>
        <w:pStyle w:val="ListParagraph"/>
        <w:autoSpaceDE w:val="0"/>
        <w:autoSpaceDN w:val="0"/>
        <w:adjustRightInd w:val="0"/>
        <w:spacing w:after="0" w:line="240" w:lineRule="auto"/>
        <w:ind w:left="1080"/>
        <w:rPr>
          <w:rFonts w:cstheme="minorHAnsi"/>
          <w:bCs/>
        </w:rPr>
      </w:pPr>
    </w:p>
    <w:p w14:paraId="5CC3D66A" w14:textId="29EBE615" w:rsidR="004D704F" w:rsidRDefault="004D704F" w:rsidP="004D704F">
      <w:pPr>
        <w:pStyle w:val="ListParagraph"/>
        <w:numPr>
          <w:ilvl w:val="1"/>
          <w:numId w:val="13"/>
        </w:numPr>
        <w:autoSpaceDE w:val="0"/>
        <w:autoSpaceDN w:val="0"/>
        <w:adjustRightInd w:val="0"/>
        <w:spacing w:after="0" w:line="240" w:lineRule="auto"/>
        <w:rPr>
          <w:rFonts w:cstheme="minorHAnsi"/>
          <w:b/>
        </w:rPr>
      </w:pPr>
      <w:r w:rsidRPr="00B95682">
        <w:rPr>
          <w:rFonts w:cstheme="minorHAnsi"/>
          <w:b/>
        </w:rPr>
        <w:lastRenderedPageBreak/>
        <w:t xml:space="preserve">Known-groups </w:t>
      </w:r>
      <w:r>
        <w:rPr>
          <w:rFonts w:cstheme="minorHAnsi"/>
          <w:b/>
          <w:bCs/>
        </w:rPr>
        <w:t xml:space="preserve">validity </w:t>
      </w:r>
      <w:r>
        <w:rPr>
          <w:rFonts w:cstheme="minorHAnsi"/>
          <w:b/>
        </w:rPr>
        <w:t>testing</w:t>
      </w:r>
    </w:p>
    <w:p w14:paraId="60058D61" w14:textId="77777777" w:rsidR="004D704F" w:rsidRDefault="004D704F" w:rsidP="004D704F">
      <w:pPr>
        <w:pStyle w:val="ListParagraph"/>
        <w:autoSpaceDE w:val="0"/>
        <w:autoSpaceDN w:val="0"/>
        <w:adjustRightInd w:val="0"/>
        <w:spacing w:after="0" w:line="240" w:lineRule="auto"/>
        <w:ind w:left="1080"/>
      </w:pPr>
    </w:p>
    <w:p w14:paraId="500D9928" w14:textId="58B20F7B" w:rsidR="004D704F" w:rsidRDefault="004D704F" w:rsidP="004D704F">
      <w:pPr>
        <w:pStyle w:val="ListParagraph"/>
        <w:autoSpaceDE w:val="0"/>
        <w:autoSpaceDN w:val="0"/>
        <w:adjustRightInd w:val="0"/>
        <w:spacing w:after="0" w:line="240" w:lineRule="auto"/>
        <w:ind w:left="1080"/>
      </w:pPr>
      <w:r>
        <w:t>The known-groups validity method evaluates the degree to which a measurement demonstrates different scores for groups known to vary on the construct being measured.</w:t>
      </w:r>
      <w:r>
        <w:rPr>
          <w:rStyle w:val="FootnoteReference"/>
        </w:rPr>
        <w:footnoteReference w:id="16"/>
      </w:r>
      <w:r>
        <w:t xml:space="preserve"> We conducted known-groups validity testing by examining whether </w:t>
      </w:r>
      <w:r w:rsidR="00163B6A">
        <w:t xml:space="preserve">successful </w:t>
      </w:r>
      <w:r>
        <w:t xml:space="preserve">discharge to community rates varied for patient subgroups expected to have different likelihood of discharge to a community setting based on their clinical status at HH discharge. </w:t>
      </w:r>
    </w:p>
    <w:p w14:paraId="34B961FB" w14:textId="77777777" w:rsidR="004D704F" w:rsidRDefault="004D704F" w:rsidP="004D704F">
      <w:pPr>
        <w:pStyle w:val="ListParagraph"/>
        <w:autoSpaceDE w:val="0"/>
        <w:autoSpaceDN w:val="0"/>
        <w:adjustRightInd w:val="0"/>
        <w:spacing w:after="0" w:line="240" w:lineRule="auto"/>
        <w:ind w:left="1080"/>
      </w:pPr>
    </w:p>
    <w:p w14:paraId="46F0BAD7" w14:textId="77777777" w:rsidR="004D704F" w:rsidRPr="00F61022" w:rsidRDefault="004D704F" w:rsidP="004D704F">
      <w:pPr>
        <w:pStyle w:val="ListParagraph"/>
        <w:autoSpaceDE w:val="0"/>
        <w:autoSpaceDN w:val="0"/>
        <w:adjustRightInd w:val="0"/>
        <w:spacing w:after="0" w:line="240" w:lineRule="auto"/>
        <w:ind w:left="1080"/>
        <w:rPr>
          <w:b/>
        </w:rPr>
      </w:pPr>
      <w:r>
        <w:t>W</w:t>
      </w:r>
      <w:r w:rsidRPr="70227CD3">
        <w:t xml:space="preserve">e </w:t>
      </w:r>
      <w:r>
        <w:t xml:space="preserve">examined whether the frequency of discharge to community varies as expected among clinically different patient subgroups expected to have different rates of discharge to a community setting. </w:t>
      </w:r>
    </w:p>
    <w:p w14:paraId="1C3CB016" w14:textId="77777777" w:rsidR="004D704F" w:rsidRDefault="004D704F" w:rsidP="004D704F">
      <w:pPr>
        <w:pStyle w:val="ListParagraph"/>
        <w:autoSpaceDE w:val="0"/>
        <w:autoSpaceDN w:val="0"/>
        <w:adjustRightInd w:val="0"/>
        <w:spacing w:after="0" w:line="240" w:lineRule="auto"/>
        <w:ind w:left="1080"/>
        <w:rPr>
          <w:rFonts w:cstheme="minorHAnsi"/>
          <w:bCs/>
        </w:rPr>
      </w:pPr>
    </w:p>
    <w:p w14:paraId="5F3BF7A2" w14:textId="4208D034" w:rsidR="004D704F" w:rsidRPr="008100F4" w:rsidRDefault="004D704F" w:rsidP="004D704F">
      <w:pPr>
        <w:autoSpaceDE w:val="0"/>
        <w:autoSpaceDN w:val="0"/>
        <w:adjustRightInd w:val="0"/>
        <w:spacing w:after="0" w:line="240" w:lineRule="auto"/>
      </w:pPr>
      <w:r>
        <w:t xml:space="preserve">We also conducted patient-level validity tests, using a sub-sample of stays from CY 2015-2016 as a test of known </w:t>
      </w:r>
      <w:r w:rsidRPr="008100F4">
        <w:t xml:space="preserve">group validity. We calculated the percentage of patients who were successfully discharged to the community as defined by the measure by several patient characteristics available in the </w:t>
      </w:r>
      <w:r>
        <w:t xml:space="preserve">OASIS-C1 assessment. </w:t>
      </w:r>
    </w:p>
    <w:p w14:paraId="48295095" w14:textId="25417FEA" w:rsidR="000E260B" w:rsidRDefault="000E260B" w:rsidP="000E260B">
      <w:pPr>
        <w:pStyle w:val="ListParagraph"/>
        <w:numPr>
          <w:ilvl w:val="0"/>
          <w:numId w:val="28"/>
        </w:numPr>
        <w:autoSpaceDE w:val="0"/>
        <w:autoSpaceDN w:val="0"/>
        <w:adjustRightInd w:val="0"/>
        <w:spacing w:after="0" w:line="240" w:lineRule="auto"/>
      </w:pPr>
      <w:r w:rsidRPr="005029B4">
        <w:rPr>
          <w:rFonts w:cstheme="minorHAnsi"/>
          <w:b/>
        </w:rPr>
        <w:t>Known-groups validity testing for fallers</w:t>
      </w:r>
      <w:r w:rsidR="00DA5E75">
        <w:rPr>
          <w:rFonts w:cstheme="minorHAnsi"/>
          <w:b/>
        </w:rPr>
        <w:t xml:space="preserve"> versus non-fallers</w:t>
      </w:r>
      <w:r>
        <w:rPr>
          <w:rFonts w:cstheme="minorHAnsi"/>
          <w:b/>
        </w:rPr>
        <w:t>:</w:t>
      </w:r>
      <w:r w:rsidRPr="005029B4">
        <w:rPr>
          <w:rFonts w:cstheme="minorHAnsi"/>
          <w:b/>
        </w:rPr>
        <w:t xml:space="preserve"> </w:t>
      </w:r>
      <w:r w:rsidR="00007B58">
        <w:t>Using OASIS item M2310 (Reason for Emergent Care) response 2 -Injury caused by fall, w</w:t>
      </w:r>
      <w:r w:rsidR="00007B58" w:rsidRPr="008100F4">
        <w:t>e comp</w:t>
      </w:r>
      <w:r w:rsidR="00007B58">
        <w:t>ared the successfully discharge</w:t>
      </w:r>
      <w:r w:rsidR="00007B58" w:rsidRPr="008100F4">
        <w:t xml:space="preserve"> to the community rate between patients who </w:t>
      </w:r>
      <w:r w:rsidR="00007B58">
        <w:t>sought emergent care because of a fall</w:t>
      </w:r>
      <w:r w:rsidR="00007B58" w:rsidRPr="008100F4">
        <w:t xml:space="preserve"> and those who did not</w:t>
      </w:r>
      <w:r w:rsidR="00CB123A">
        <w:rPr>
          <w:rStyle w:val="FootnoteReference"/>
        </w:rPr>
        <w:footnoteReference w:id="17"/>
      </w:r>
      <w:r w:rsidR="00CB123A">
        <w:t xml:space="preserve">. </w:t>
      </w:r>
      <w:r w:rsidR="00007B58" w:rsidRPr="008100F4">
        <w:t>We hypothesized that patients/residents who</w:t>
      </w:r>
      <w:r w:rsidR="00007B58">
        <w:t xml:space="preserve"> sought emergent care because of a </w:t>
      </w:r>
      <w:r w:rsidR="00007B58" w:rsidRPr="008100F4">
        <w:t xml:space="preserve">fall are less frequently successfully discharged to the community compared to those </w:t>
      </w:r>
      <w:r w:rsidR="00CB123A">
        <w:t>who did not</w:t>
      </w:r>
      <w:r w:rsidR="00007B58" w:rsidRPr="008100F4">
        <w:t>.</w:t>
      </w:r>
      <w:r w:rsidR="00007B58">
        <w:t xml:space="preserve"> </w:t>
      </w:r>
    </w:p>
    <w:p w14:paraId="477F5569" w14:textId="77777777" w:rsidR="00E47993" w:rsidRDefault="00E47993" w:rsidP="00E47993">
      <w:pPr>
        <w:pStyle w:val="ListParagraph"/>
        <w:autoSpaceDE w:val="0"/>
        <w:autoSpaceDN w:val="0"/>
        <w:adjustRightInd w:val="0"/>
        <w:spacing w:after="0" w:line="240" w:lineRule="auto"/>
      </w:pPr>
    </w:p>
    <w:p w14:paraId="2E1852EA" w14:textId="65419273" w:rsidR="00815E80" w:rsidRDefault="000E260B" w:rsidP="000E260B">
      <w:pPr>
        <w:pStyle w:val="ListParagraph"/>
        <w:numPr>
          <w:ilvl w:val="0"/>
          <w:numId w:val="28"/>
        </w:numPr>
        <w:autoSpaceDE w:val="0"/>
        <w:autoSpaceDN w:val="0"/>
        <w:adjustRightInd w:val="0"/>
        <w:spacing w:after="0" w:line="240" w:lineRule="auto"/>
      </w:pPr>
      <w:r w:rsidRPr="005029B4">
        <w:rPr>
          <w:rFonts w:cstheme="minorHAnsi"/>
          <w:b/>
        </w:rPr>
        <w:t>Known-group</w:t>
      </w:r>
      <w:r w:rsidR="00C857D8">
        <w:rPr>
          <w:rFonts w:cstheme="minorHAnsi"/>
          <w:b/>
        </w:rPr>
        <w:t>s validity testing for patient</w:t>
      </w:r>
      <w:r w:rsidRPr="005029B4">
        <w:rPr>
          <w:rFonts w:cstheme="minorHAnsi"/>
          <w:b/>
        </w:rPr>
        <w:t xml:space="preserve"> </w:t>
      </w:r>
      <w:r>
        <w:rPr>
          <w:rFonts w:cstheme="minorHAnsi"/>
          <w:b/>
        </w:rPr>
        <w:t>cogniti</w:t>
      </w:r>
      <w:r w:rsidR="00C857D8">
        <w:rPr>
          <w:rFonts w:cstheme="minorHAnsi"/>
          <w:b/>
        </w:rPr>
        <w:t>ve function</w:t>
      </w:r>
      <w:r>
        <w:rPr>
          <w:rFonts w:cstheme="minorHAnsi"/>
          <w:b/>
        </w:rPr>
        <w:t xml:space="preserve">: </w:t>
      </w:r>
      <w:r w:rsidR="00007B58">
        <w:t>We also compared the successful discharge to community rate for the patient’s level of alertness, orientation, comprehension, concentration, and immediate memory for simple commands</w:t>
      </w:r>
      <w:r w:rsidR="00A44B02">
        <w:t xml:space="preserve"> at discharge</w:t>
      </w:r>
      <w:r w:rsidR="00CB123A">
        <w:t xml:space="preserve"> from agency</w:t>
      </w:r>
      <w:r w:rsidR="006F0EC6">
        <w:t>.</w:t>
      </w:r>
    </w:p>
    <w:p w14:paraId="3F18C542" w14:textId="4F2543FD" w:rsidR="00007B58" w:rsidRPr="008100F4" w:rsidRDefault="00007B58" w:rsidP="000E260B">
      <w:pPr>
        <w:pStyle w:val="ListParagraph"/>
        <w:autoSpaceDE w:val="0"/>
        <w:autoSpaceDN w:val="0"/>
        <w:adjustRightInd w:val="0"/>
        <w:spacing w:after="0" w:line="240" w:lineRule="auto"/>
        <w:ind w:firstLine="105"/>
      </w:pPr>
    </w:p>
    <w:p w14:paraId="3B368B3E" w14:textId="77777777" w:rsidR="00DA5E75" w:rsidRPr="00DA5E75" w:rsidRDefault="00DA5E75" w:rsidP="00DA5E75">
      <w:pPr>
        <w:pStyle w:val="ListParagraph"/>
        <w:numPr>
          <w:ilvl w:val="0"/>
          <w:numId w:val="28"/>
        </w:numPr>
        <w:autoSpaceDE w:val="0"/>
        <w:autoSpaceDN w:val="0"/>
        <w:adjustRightInd w:val="0"/>
        <w:spacing w:after="0" w:line="240" w:lineRule="auto"/>
        <w:rPr>
          <w:rFonts w:cstheme="minorHAnsi"/>
          <w:b/>
        </w:rPr>
      </w:pPr>
      <w:r w:rsidRPr="00DA5E75">
        <w:rPr>
          <w:rFonts w:cstheme="minorHAnsi"/>
          <w:b/>
        </w:rPr>
        <w:t>Known-groups validity testing for patients with varying functional abilities with self-care and mobility activities at discharge</w:t>
      </w:r>
    </w:p>
    <w:p w14:paraId="2EC88F40" w14:textId="12B063A0" w:rsidR="003C1A81" w:rsidRPr="00BE52F7" w:rsidRDefault="00007B58" w:rsidP="00DA5E75">
      <w:pPr>
        <w:autoSpaceDE w:val="0"/>
        <w:autoSpaceDN w:val="0"/>
        <w:adjustRightInd w:val="0"/>
        <w:spacing w:after="0" w:line="240" w:lineRule="auto"/>
        <w:ind w:left="720"/>
      </w:pPr>
      <w:r w:rsidRPr="008100F4">
        <w:t xml:space="preserve">We also examined the relationship between the </w:t>
      </w:r>
      <w:r>
        <w:t>activities of daily living</w:t>
      </w:r>
      <w:r w:rsidRPr="008100F4">
        <w:t xml:space="preserve"> and </w:t>
      </w:r>
      <w:r>
        <w:t>11 m</w:t>
      </w:r>
      <w:r w:rsidRPr="008100F4">
        <w:t xml:space="preserve">obility activities at discharge. </w:t>
      </w:r>
      <w:r>
        <w:t xml:space="preserve">The M1800-M1890 items on </w:t>
      </w:r>
      <w:r w:rsidRPr="008100F4">
        <w:t xml:space="preserve">the </w:t>
      </w:r>
      <w:r>
        <w:t>OASIS-C1 assessment were used as a proxy for Section GG functional status items</w:t>
      </w:r>
      <w:r w:rsidRPr="008100F4">
        <w:t xml:space="preserve">. </w:t>
      </w:r>
      <w:r w:rsidRPr="00DA5E75">
        <w:rPr>
          <w:rFonts w:cstheme="minorHAnsi"/>
          <w:bCs/>
        </w:rPr>
        <w:t xml:space="preserve">These items are not completed for all patients discharged from an HHA (e.g. patients whose </w:t>
      </w:r>
      <w:r>
        <w:t>episode ends in a transfer to an inpatient facility or death at home</w:t>
      </w:r>
      <w:r w:rsidRPr="00DA5E75">
        <w:rPr>
          <w:rFonts w:cstheme="minorHAnsi"/>
          <w:bCs/>
        </w:rPr>
        <w:t xml:space="preserve">). Therefore, this analysis focused on stays where the discharge functional codes of most able to least able were used. It is for these stays where we would expect a relationship between functional status and discharge destination. We </w:t>
      </w:r>
      <w:r w:rsidRPr="008100F4">
        <w:t>hypothesized that patients who are independent on functional activities are more frequently successfully</w:t>
      </w:r>
      <w:r>
        <w:t xml:space="preserve"> discharged to the community and conversely that patients</w:t>
      </w:r>
      <w:r w:rsidRPr="73588A17">
        <w:t xml:space="preserve"> </w:t>
      </w:r>
      <w:r>
        <w:t>who are dependent</w:t>
      </w:r>
      <w:r w:rsidRPr="73588A17">
        <w:t xml:space="preserve"> </w:t>
      </w:r>
      <w:r>
        <w:t>on those functional activities are less frequently successfully discharged to the community.</w:t>
      </w:r>
    </w:p>
    <w:p w14:paraId="612B2AF6" w14:textId="77777777" w:rsidR="003C1A81" w:rsidRPr="003666BB" w:rsidRDefault="003C1A81" w:rsidP="003C1A81">
      <w:pPr>
        <w:pStyle w:val="ListParagraph"/>
        <w:autoSpaceDE w:val="0"/>
        <w:autoSpaceDN w:val="0"/>
        <w:adjustRightInd w:val="0"/>
        <w:spacing w:after="0" w:line="240" w:lineRule="auto"/>
        <w:ind w:left="360"/>
        <w:rPr>
          <w:b/>
        </w:rPr>
      </w:pPr>
    </w:p>
    <w:p w14:paraId="36D3823B" w14:textId="05883FAE" w:rsidR="008E54AA" w:rsidRPr="000E260B" w:rsidRDefault="008E54AA" w:rsidP="000E260B">
      <w:pPr>
        <w:pStyle w:val="ListParagraph"/>
        <w:numPr>
          <w:ilvl w:val="0"/>
          <w:numId w:val="13"/>
        </w:numPr>
        <w:autoSpaceDE w:val="0"/>
        <w:autoSpaceDN w:val="0"/>
        <w:adjustRightInd w:val="0"/>
        <w:spacing w:after="0" w:line="240" w:lineRule="auto"/>
        <w:rPr>
          <w:b/>
        </w:rPr>
      </w:pPr>
      <w:r w:rsidRPr="000E260B">
        <w:rPr>
          <w:b/>
        </w:rPr>
        <w:t>Performance Measure Score</w:t>
      </w:r>
      <w:r w:rsidR="003406BE">
        <w:rPr>
          <w:b/>
        </w:rPr>
        <w:t xml:space="preserve"> Empirical Validity</w:t>
      </w:r>
      <w:r w:rsidRPr="000E260B">
        <w:rPr>
          <w:b/>
        </w:rPr>
        <w:t xml:space="preserve"> Testing:</w:t>
      </w:r>
      <w:r w:rsidRPr="6340DE01">
        <w:t xml:space="preserve"> </w:t>
      </w:r>
    </w:p>
    <w:p w14:paraId="6B37D7CA" w14:textId="77777777" w:rsidR="008E54AA" w:rsidRDefault="008E54AA" w:rsidP="008E54AA">
      <w:pPr>
        <w:autoSpaceDE w:val="0"/>
        <w:autoSpaceDN w:val="0"/>
        <w:adjustRightInd w:val="0"/>
        <w:spacing w:after="0" w:line="240" w:lineRule="auto"/>
      </w:pPr>
    </w:p>
    <w:p w14:paraId="585E4FBA" w14:textId="558EA759" w:rsidR="008E54AA" w:rsidRPr="00F3410F" w:rsidRDefault="008E54AA" w:rsidP="008E54AA">
      <w:pPr>
        <w:autoSpaceDE w:val="0"/>
        <w:autoSpaceDN w:val="0"/>
        <w:adjustRightInd w:val="0"/>
        <w:spacing w:after="0" w:line="240" w:lineRule="auto"/>
      </w:pPr>
      <w:r w:rsidRPr="00F3410F">
        <w:t>To assess convergent validity, we examined whether a facility’s</w:t>
      </w:r>
      <w:r>
        <w:t xml:space="preserve"> performance and</w:t>
      </w:r>
      <w:r w:rsidRPr="00F3410F">
        <w:t xml:space="preserve"> percentile rank on </w:t>
      </w:r>
      <w:r>
        <w:t>the successful discharge to community measure</w:t>
      </w:r>
      <w:r w:rsidRPr="00F3410F">
        <w:t xml:space="preserve"> was correlated with its </w:t>
      </w:r>
      <w:r>
        <w:t xml:space="preserve">performance and </w:t>
      </w:r>
      <w:r w:rsidRPr="00F3410F">
        <w:t xml:space="preserve">percentile rank on </w:t>
      </w:r>
      <w:r w:rsidRPr="00F3410F">
        <w:lastRenderedPageBreak/>
        <w:t>another quality measure in the same clinically-related group.</w:t>
      </w:r>
      <w:r>
        <w:t xml:space="preserve"> </w:t>
      </w:r>
      <w:r w:rsidR="00E961EB">
        <w:t xml:space="preserve"> </w:t>
      </w:r>
      <w:r w:rsidR="00435101">
        <w:t xml:space="preserve">We </w:t>
      </w:r>
      <w:r w:rsidR="00435101" w:rsidRPr="00F3410F">
        <w:t>examined</w:t>
      </w:r>
      <w:r>
        <w:t xml:space="preserve"> </w:t>
      </w:r>
      <w:r w:rsidRPr="00F3410F">
        <w:t xml:space="preserve">whether a facility’s </w:t>
      </w:r>
      <w:r>
        <w:t xml:space="preserve">successful discharge to community rate and its </w:t>
      </w:r>
      <w:r w:rsidRPr="00F3410F">
        <w:t>percentile rank</w:t>
      </w:r>
      <w:r>
        <w:t xml:space="preserve"> on </w:t>
      </w:r>
      <w:r w:rsidR="00887815">
        <w:t>five claims</w:t>
      </w:r>
      <w:r>
        <w:t>-based measures:</w:t>
      </w:r>
      <w:r w:rsidR="00E07F00">
        <w:t xml:space="preserve"> Acute Care Hospitalization, Emergency Department Use without Hospitalization,</w:t>
      </w:r>
      <w:r>
        <w:t xml:space="preserve"> </w:t>
      </w:r>
      <w:r w:rsidR="007D4015">
        <w:t xml:space="preserve">Rehospitalization During the First 30 Days of Home Health, Emergency Department Use without Hospital Readmission During the First 30 Days of Home Health, </w:t>
      </w:r>
      <w:r w:rsidR="00E961EB">
        <w:t xml:space="preserve">and </w:t>
      </w:r>
      <w:r>
        <w:t xml:space="preserve">Potentially Preventable 30-Day Post-Discharge Readmission Measure. We calculated the Pearson Correlations between performance on the measures and </w:t>
      </w:r>
      <w:r w:rsidRPr="0004775B">
        <w:t>Spearman Correla</w:t>
      </w:r>
      <w:r>
        <w:t>tions between facilities percentile rank.</w:t>
      </w:r>
    </w:p>
    <w:p w14:paraId="3525696A" w14:textId="77777777" w:rsidR="008E54AA" w:rsidRPr="0004775B" w:rsidRDefault="008E54AA" w:rsidP="008E54AA">
      <w:pPr>
        <w:autoSpaceDE w:val="0"/>
        <w:autoSpaceDN w:val="0"/>
        <w:adjustRightInd w:val="0"/>
        <w:spacing w:after="0" w:line="240" w:lineRule="auto"/>
        <w:ind w:left="720"/>
      </w:pPr>
    </w:p>
    <w:p w14:paraId="7749CEFD" w14:textId="6D60C3FF" w:rsidR="008E54AA" w:rsidRPr="006C095F" w:rsidRDefault="008E54AA" w:rsidP="000E260B">
      <w:pPr>
        <w:pStyle w:val="ListParagraph"/>
        <w:numPr>
          <w:ilvl w:val="0"/>
          <w:numId w:val="13"/>
        </w:numPr>
        <w:autoSpaceDE w:val="0"/>
        <w:autoSpaceDN w:val="0"/>
        <w:adjustRightInd w:val="0"/>
        <w:spacing w:after="0" w:line="240" w:lineRule="auto"/>
      </w:pPr>
      <w:r w:rsidRPr="000E260B">
        <w:rPr>
          <w:b/>
        </w:rPr>
        <w:t xml:space="preserve">Systematic assessment of </w:t>
      </w:r>
      <w:r w:rsidR="000E260B" w:rsidRPr="000E260B">
        <w:rPr>
          <w:b/>
        </w:rPr>
        <w:t>face validity</w:t>
      </w:r>
      <w:r w:rsidR="000E260B">
        <w:rPr>
          <w:b/>
        </w:rPr>
        <w:t xml:space="preserve"> of the</w:t>
      </w:r>
      <w:r w:rsidR="000E260B" w:rsidRPr="000E260B">
        <w:rPr>
          <w:b/>
        </w:rPr>
        <w:t xml:space="preserve"> </w:t>
      </w:r>
      <w:r w:rsidRPr="000E260B">
        <w:rPr>
          <w:b/>
        </w:rPr>
        <w:t>performance measure score as an indicator</w:t>
      </w:r>
      <w:r w:rsidR="000E260B">
        <w:rPr>
          <w:b/>
        </w:rPr>
        <w:t xml:space="preserve"> of</w:t>
      </w:r>
      <w:r w:rsidR="00357C9E">
        <w:rPr>
          <w:b/>
        </w:rPr>
        <w:t xml:space="preserve"> quality care</w:t>
      </w:r>
      <w:r w:rsidRPr="00E85FF4">
        <w:t xml:space="preserve">: </w:t>
      </w:r>
    </w:p>
    <w:p w14:paraId="6596A4B0" w14:textId="77777777" w:rsidR="008E54AA" w:rsidRPr="00B07357" w:rsidRDefault="008E54AA" w:rsidP="008E54AA">
      <w:pPr>
        <w:autoSpaceDE w:val="0"/>
        <w:autoSpaceDN w:val="0"/>
        <w:adjustRightInd w:val="0"/>
        <w:spacing w:after="0" w:line="240" w:lineRule="auto"/>
        <w:rPr>
          <w:rFonts w:cstheme="minorHAnsi"/>
        </w:rPr>
      </w:pPr>
    </w:p>
    <w:p w14:paraId="5F38D99D" w14:textId="77777777" w:rsidR="008E54AA" w:rsidRPr="00D96D85" w:rsidRDefault="008E54AA" w:rsidP="008E54AA">
      <w:pPr>
        <w:spacing w:line="240" w:lineRule="auto"/>
      </w:pPr>
      <w:r>
        <w:t xml:space="preserve">For many individuals, </w:t>
      </w:r>
      <w:r w:rsidRPr="00C95873">
        <w:t xml:space="preserve">the goals of post-acute care include optimizing functional improvement and independence, returning to their previous level of independence and functioning if possible, and avoiding institutionalization. Discharge to a community-based setting is an important goal for the majority of patients in PAC settings, making it a priority for measure development from the patient and family perspective. For patients receiving home health services, the goal is typically for patients to remain in the home setting at the end of </w:t>
      </w:r>
      <w:r w:rsidRPr="006D4796">
        <w:t>their home health episode. Home is often considered a symbol of independence, privacy and competence.</w:t>
      </w:r>
      <w:r w:rsidRPr="006D4796">
        <w:rPr>
          <w:rStyle w:val="FootnoteReference"/>
        </w:rPr>
        <w:footnoteReference w:id="18"/>
      </w:r>
      <w:r w:rsidRPr="006D4796">
        <w:t xml:space="preserve"> Discharge to community is a valuable outcome because it offers a multi-dimensional view of preparation for community life, including cognitive, physical, and psychosocial elements.</w:t>
      </w:r>
      <w:r w:rsidRPr="006D4796">
        <w:fldChar w:fldCharType="begin">
          <w:fldData xml:space="preserve">PEVuZE5vdGU+PENpdGU+PEF1dGhvcj5UYW53aXI8L0F1dGhvcj48WWVhcj4yMDE0PC9ZZWFyPjxS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</w:fldData>
        </w:fldChar>
      </w:r>
      <w:r w:rsidRPr="006D4796">
        <w:instrText xml:space="preserve"> ADDIN EN.CITE </w:instrText>
      </w:r>
      <w:r w:rsidRPr="006D4796">
        <w:fldChar w:fldCharType="begin">
          <w:fldData xml:space="preserve">PEVuZE5vdGU+PENpdGU+PEF1dGhvcj5UYW53aXI8L0F1dGhvcj48WWVhcj4yMDE0PC9ZZWFyPjxS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</w:fldData>
        </w:fldChar>
      </w:r>
      <w:r w:rsidRPr="006D4796">
        <w:instrText xml:space="preserve"> ADDIN EN.CITE.DATA </w:instrText>
      </w:r>
      <w:r w:rsidRPr="006D4796">
        <w:fldChar w:fldCharType="end"/>
      </w:r>
      <w:r w:rsidRPr="006D4796">
        <w:fldChar w:fldCharType="separate"/>
      </w:r>
      <w:r w:rsidRPr="006D4796">
        <w:rPr>
          <w:rStyle w:val="FootnoteReference"/>
        </w:rPr>
        <w:footnoteReference w:id="19"/>
      </w:r>
      <w:r w:rsidRPr="006D4796">
        <w:rPr>
          <w:noProof/>
          <w:vertAlign w:val="superscript"/>
        </w:rPr>
        <w:t>,</w:t>
      </w:r>
      <w:r w:rsidRPr="006D4796">
        <w:rPr>
          <w:rStyle w:val="FootnoteReference"/>
          <w:noProof/>
        </w:rPr>
        <w:footnoteReference w:id="20"/>
      </w:r>
      <w:r w:rsidRPr="006D4796">
        <w:rPr>
          <w:noProof/>
          <w:vertAlign w:val="superscript"/>
        </w:rPr>
        <w:t>,</w:t>
      </w:r>
      <w:r w:rsidRPr="006D4796">
        <w:fldChar w:fldCharType="end"/>
      </w:r>
      <w:r w:rsidRPr="006D4796">
        <w:rPr>
          <w:rStyle w:val="FootnoteReference"/>
        </w:rPr>
        <w:footnoteReference w:id="21"/>
      </w:r>
      <w:r w:rsidRPr="006D4796">
        <w:t xml:space="preserve"> In addition to being important from a patient and family perspective, avoiding institutionalization and promoting discharge to community when appropriate, are also important from a cost and resource use perspective. Patients discharged to community settings may </w:t>
      </w:r>
      <w:r w:rsidRPr="00D96D85">
        <w:t>incur lower costs over the recovery episode, compared with patients discharged to institutional settings.</w:t>
      </w:r>
      <w:r w:rsidRPr="00D96D85">
        <w:rPr>
          <w:rStyle w:val="FootnoteReference"/>
        </w:rPr>
        <w:footnoteReference w:id="22"/>
      </w:r>
      <w:r w:rsidRPr="00D96D85">
        <w:t xml:space="preserve"> </w:t>
      </w:r>
      <w:r w:rsidRPr="00D96D85">
        <w:rPr>
          <w:rStyle w:val="FootnoteReference"/>
        </w:rPr>
        <w:footnoteReference w:id="23"/>
      </w:r>
    </w:p>
    <w:p w14:paraId="66F00386" w14:textId="23014889" w:rsidR="003A7B84" w:rsidRDefault="008E54AA" w:rsidP="008E54AA">
      <w:pPr>
        <w:autoSpaceDE w:val="0"/>
        <w:autoSpaceDN w:val="0"/>
        <w:adjustRightInd w:val="0"/>
        <w:spacing w:after="0" w:line="240" w:lineRule="auto"/>
      </w:pPr>
      <w:r w:rsidRPr="00D96D85">
        <w:t>The importance and validity of this measure was a quality indicator was discussed during the Discharge to Community TEP meetings convened by RTI International and Abt Associates during August, September, and October 2015, as well as during a July 2011 IRF Technical Expert Panel convened by RTI International.</w:t>
      </w:r>
      <w:r w:rsidRPr="00D96D85">
        <w:rPr>
          <w:rStyle w:val="FootnoteReference"/>
        </w:rPr>
        <w:footnoteReference w:id="24"/>
      </w:r>
      <w:r w:rsidRPr="00D96D85">
        <w:t xml:space="preserve"> TEP members agreed that discharge to community is an important measure concept, noting that it is frequently the ultimate goal of rehabilitation, and gathering and reporting this outcome could be a powerful motivator for staff and patients to work toward functional goals to achieve this outcome.</w:t>
      </w:r>
    </w:p>
    <w:p w14:paraId="386FA8E0" w14:textId="77777777" w:rsidR="004A2C64" w:rsidRPr="003F6DF0" w:rsidRDefault="004A2C64" w:rsidP="008E54AA">
      <w:pPr>
        <w:autoSpaceDE w:val="0"/>
        <w:autoSpaceDN w:val="0"/>
        <w:adjustRightInd w:val="0"/>
        <w:spacing w:after="0" w:line="240" w:lineRule="auto"/>
        <w:rPr>
          <w:rFonts w:cstheme="minorHAnsi"/>
          <w:bCs/>
        </w:rPr>
      </w:pPr>
    </w:p>
    <w:p w14:paraId="7D1A5DB7" w14:textId="77777777" w:rsidR="00407D01" w:rsidRDefault="00407D01" w:rsidP="009D21C7">
      <w:pPr>
        <w:autoSpaceDE w:val="0"/>
        <w:autoSpaceDN w:val="0"/>
        <w:adjustRightInd w:val="0"/>
        <w:spacing w:after="0" w:line="240" w:lineRule="auto"/>
        <w:rPr>
          <w:rFonts w:cstheme="minorHAnsi"/>
          <w:b/>
          <w:bCs/>
        </w:rPr>
      </w:pPr>
    </w:p>
    <w:p w14:paraId="7E0C6BB0" w14:textId="2DA0639E" w:rsidR="00D17F77" w:rsidRDefault="009C7513" w:rsidP="009D21C7">
      <w:pPr>
        <w:autoSpaceDE w:val="0"/>
        <w:autoSpaceDN w:val="0"/>
        <w:adjustRightInd w:val="0"/>
        <w:spacing w:after="0" w:line="240" w:lineRule="auto"/>
        <w:rPr>
          <w:b/>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14:paraId="199D732B" w14:textId="6903BFFA" w:rsidR="00CA45FA" w:rsidRPr="004F2DCA" w:rsidRDefault="00CA45FA" w:rsidP="00D17F77">
      <w:pPr>
        <w:pStyle w:val="ListParagraph"/>
        <w:numPr>
          <w:ilvl w:val="0"/>
          <w:numId w:val="15"/>
        </w:numPr>
        <w:autoSpaceDE w:val="0"/>
        <w:autoSpaceDN w:val="0"/>
        <w:adjustRightInd w:val="0"/>
        <w:spacing w:after="0" w:line="240" w:lineRule="auto"/>
      </w:pPr>
      <w:r>
        <w:rPr>
          <w:b/>
        </w:rPr>
        <w:t>Critical Data Elements V</w:t>
      </w:r>
      <w:r w:rsidR="000E260B" w:rsidRPr="6453C836">
        <w:rPr>
          <w:b/>
        </w:rPr>
        <w:t xml:space="preserve">alidity: </w:t>
      </w:r>
    </w:p>
    <w:p w14:paraId="7A3B492E" w14:textId="77777777" w:rsidR="004F2DCA" w:rsidRPr="00CA45FA" w:rsidRDefault="004F2DCA" w:rsidP="004F2DCA">
      <w:pPr>
        <w:pStyle w:val="ListParagraph"/>
        <w:autoSpaceDE w:val="0"/>
        <w:autoSpaceDN w:val="0"/>
        <w:adjustRightInd w:val="0"/>
        <w:spacing w:after="0" w:line="240" w:lineRule="auto"/>
      </w:pPr>
    </w:p>
    <w:p w14:paraId="69914A1E" w14:textId="77777777" w:rsidR="00711853" w:rsidRDefault="004F2DCA" w:rsidP="00711853">
      <w:pPr>
        <w:pStyle w:val="ListParagraph"/>
        <w:numPr>
          <w:ilvl w:val="1"/>
          <w:numId w:val="15"/>
        </w:numPr>
        <w:autoSpaceDE w:val="0"/>
        <w:autoSpaceDN w:val="0"/>
        <w:adjustRightInd w:val="0"/>
        <w:spacing w:after="0" w:line="240" w:lineRule="auto"/>
        <w:rPr>
          <w:b/>
        </w:rPr>
      </w:pPr>
      <w:r>
        <w:rPr>
          <w:b/>
        </w:rPr>
        <w:t>Correctness of discharge to community setting based on HH claim (critical data element) as compared to discharge to community based on the OASIS assessment (authoritative source)</w:t>
      </w:r>
    </w:p>
    <w:p w14:paraId="644607C6" w14:textId="77777777" w:rsidR="00711853" w:rsidRDefault="00711853" w:rsidP="00711853">
      <w:pPr>
        <w:pStyle w:val="ListParagraph"/>
        <w:autoSpaceDE w:val="0"/>
        <w:autoSpaceDN w:val="0"/>
        <w:adjustRightInd w:val="0"/>
        <w:spacing w:after="0" w:line="240" w:lineRule="auto"/>
        <w:ind w:left="1440"/>
        <w:rPr>
          <w:b/>
        </w:rPr>
      </w:pPr>
    </w:p>
    <w:p w14:paraId="70038D03" w14:textId="7BFA865E" w:rsidR="00CA45FA" w:rsidRDefault="009E7370" w:rsidP="00711853">
      <w:pPr>
        <w:pStyle w:val="ListParagraph"/>
        <w:autoSpaceDE w:val="0"/>
        <w:autoSpaceDN w:val="0"/>
        <w:adjustRightInd w:val="0"/>
        <w:spacing w:after="0" w:line="240" w:lineRule="auto"/>
        <w:ind w:left="1440"/>
      </w:pPr>
      <w:r>
        <w:t>Of the</w:t>
      </w:r>
      <w:r w:rsidR="00711853">
        <w:t xml:space="preserve"> </w:t>
      </w:r>
      <w:r w:rsidR="00711853" w:rsidRPr="00BE52F7">
        <w:t>5,003</w:t>
      </w:r>
      <w:r w:rsidR="00711853" w:rsidRPr="00753DAA">
        <w:t>,</w:t>
      </w:r>
      <w:r w:rsidR="00711853" w:rsidRPr="009C5142">
        <w:t>067 HH</w:t>
      </w:r>
      <w:r w:rsidR="00711853">
        <w:t xml:space="preserve"> patients who had a discharge to the community on the OASIS-C1 assessment, 96.5% were also classified as discharged to the community based upon the claims discharge status (</w:t>
      </w:r>
      <w:r w:rsidR="00711853" w:rsidRPr="00711853">
        <w:rPr>
          <w:b/>
        </w:rPr>
        <w:t>Table 5</w:t>
      </w:r>
      <w:r w:rsidR="00711853">
        <w:t>).</w:t>
      </w:r>
    </w:p>
    <w:p w14:paraId="162516F2" w14:textId="77777777" w:rsidR="00C14162" w:rsidRPr="00711853" w:rsidRDefault="00C14162" w:rsidP="00711853">
      <w:pPr>
        <w:pStyle w:val="ListParagraph"/>
        <w:autoSpaceDE w:val="0"/>
        <w:autoSpaceDN w:val="0"/>
        <w:adjustRightInd w:val="0"/>
        <w:spacing w:after="0" w:line="240" w:lineRule="auto"/>
        <w:ind w:left="1440"/>
        <w:rPr>
          <w:b/>
        </w:rPr>
      </w:pPr>
    </w:p>
    <w:p w14:paraId="71CD0E0C" w14:textId="1AF14902" w:rsidR="00D84F53" w:rsidRPr="001B40E2" w:rsidRDefault="00D84F53" w:rsidP="00173658">
      <w:pPr>
        <w:autoSpaceDE w:val="0"/>
        <w:autoSpaceDN w:val="0"/>
        <w:adjustRightInd w:val="0"/>
        <w:spacing w:after="0" w:line="240" w:lineRule="auto"/>
        <w:jc w:val="center"/>
        <w:rPr>
          <w:b/>
        </w:rPr>
      </w:pPr>
      <w:r w:rsidRPr="001B40E2">
        <w:rPr>
          <w:b/>
        </w:rPr>
        <w:t xml:space="preserve">Table </w:t>
      </w:r>
      <w:r>
        <w:rPr>
          <w:b/>
        </w:rPr>
        <w:t>5</w:t>
      </w:r>
      <w:r w:rsidRPr="001B40E2">
        <w:rPr>
          <w:b/>
        </w:rPr>
        <w:t xml:space="preserve">. </w:t>
      </w:r>
      <w:r w:rsidRPr="00C857D8">
        <w:rPr>
          <w:b/>
        </w:rPr>
        <w:t>Agreement between</w:t>
      </w:r>
      <w:r w:rsidR="00ED0F3C" w:rsidRPr="00C857D8">
        <w:rPr>
          <w:b/>
        </w:rPr>
        <w:t xml:space="preserve"> of Claims Discharge S</w:t>
      </w:r>
      <w:r w:rsidRPr="00C857D8">
        <w:rPr>
          <w:b/>
        </w:rPr>
        <w:t xml:space="preserve">tatus </w:t>
      </w:r>
      <w:r w:rsidR="00ED0F3C" w:rsidRPr="00C857D8">
        <w:rPr>
          <w:b/>
        </w:rPr>
        <w:t>C</w:t>
      </w:r>
      <w:r w:rsidRPr="00C857D8">
        <w:rPr>
          <w:b/>
        </w:rPr>
        <w:t>ode and the D</w:t>
      </w:r>
      <w:r w:rsidR="00ED0F3C" w:rsidRPr="00C857D8">
        <w:rPr>
          <w:b/>
        </w:rPr>
        <w:t>ischarge S</w:t>
      </w:r>
      <w:r w:rsidRPr="00C857D8">
        <w:rPr>
          <w:b/>
        </w:rPr>
        <w:t xml:space="preserve">tatus on </w:t>
      </w:r>
      <w:r w:rsidR="00ED0F3C" w:rsidRPr="00C857D8">
        <w:rPr>
          <w:b/>
        </w:rPr>
        <w:t>OASIS-C1 Assessment</w:t>
      </w:r>
    </w:p>
    <w:tbl>
      <w:tblPr>
        <w:tblStyle w:val="CMSTable"/>
        <w:tblW w:w="8640" w:type="dxa"/>
        <w:jc w:val="center"/>
        <w:tblBorders>
          <w:top w:val="single" w:sz="12" w:space="0" w:color="auto"/>
          <w:bottom w:val="single" w:sz="4" w:space="0" w:color="auto"/>
          <w:insideH w:val="single" w:sz="6" w:space="0" w:color="auto"/>
        </w:tblBorders>
        <w:tblLayout w:type="fixed"/>
        <w:tblLook w:val="04A0" w:firstRow="1" w:lastRow="0" w:firstColumn="1" w:lastColumn="0" w:noHBand="0" w:noVBand="1"/>
      </w:tblPr>
      <w:tblGrid>
        <w:gridCol w:w="1080"/>
        <w:gridCol w:w="2430"/>
        <w:gridCol w:w="2430"/>
        <w:gridCol w:w="1350"/>
        <w:gridCol w:w="1350"/>
      </w:tblGrid>
      <w:tr w:rsidR="00D84F53" w:rsidRPr="00514842" w14:paraId="39B72394" w14:textId="77777777" w:rsidTr="00173658">
        <w:trPr>
          <w:cnfStyle w:val="100000000000" w:firstRow="1" w:lastRow="0" w:firstColumn="0" w:lastColumn="0" w:oddVBand="0" w:evenVBand="0" w:oddHBand="0" w:evenHBand="0" w:firstRowFirstColumn="0" w:firstRowLastColumn="0" w:lastRowFirstColumn="0" w:lastRowLastColumn="0"/>
          <w:jc w:val="center"/>
        </w:trPr>
        <w:tc>
          <w:tcPr>
            <w:tcW w:w="1080" w:type="dxa"/>
            <w:tcBorders>
              <w:top w:val="single" w:sz="4" w:space="0" w:color="auto"/>
              <w:bottom w:val="single" w:sz="4" w:space="0" w:color="auto"/>
            </w:tcBorders>
            <w:shd w:val="clear" w:color="auto" w:fill="D9D9D9" w:themeFill="background1" w:themeFillShade="D9"/>
          </w:tcPr>
          <w:p w14:paraId="62A0D107" w14:textId="77777777" w:rsidR="00D84F53" w:rsidRPr="00514842" w:rsidRDefault="00D84F53" w:rsidP="003C63EE">
            <w:pPr>
              <w:autoSpaceDE w:val="0"/>
              <w:autoSpaceDN w:val="0"/>
              <w:adjustRightInd w:val="0"/>
              <w:rPr>
                <w:rFonts w:asciiTheme="minorHAnsi" w:hAnsiTheme="minorHAnsi" w:cstheme="minorHAnsi"/>
                <w:b/>
                <w:bCs/>
              </w:rPr>
            </w:pPr>
            <w:r w:rsidRPr="00514842">
              <w:rPr>
                <w:rFonts w:asciiTheme="minorHAnsi" w:hAnsiTheme="minorHAnsi" w:cstheme="minorHAnsi"/>
                <w:b/>
                <w:bCs/>
              </w:rPr>
              <w:t>Total N</w:t>
            </w:r>
          </w:p>
        </w:tc>
        <w:tc>
          <w:tcPr>
            <w:tcW w:w="2430" w:type="dxa"/>
            <w:tcBorders>
              <w:top w:val="single" w:sz="4" w:space="0" w:color="auto"/>
              <w:bottom w:val="single" w:sz="4" w:space="0" w:color="auto"/>
            </w:tcBorders>
            <w:shd w:val="clear" w:color="auto" w:fill="D9D9D9" w:themeFill="background1" w:themeFillShade="D9"/>
          </w:tcPr>
          <w:p w14:paraId="4E7FDE52" w14:textId="77777777" w:rsidR="00D84F53" w:rsidRPr="00514842" w:rsidRDefault="00D84F53" w:rsidP="003C63EE">
            <w:pPr>
              <w:autoSpaceDE w:val="0"/>
              <w:autoSpaceDN w:val="0"/>
              <w:adjustRightInd w:val="0"/>
              <w:rPr>
                <w:rFonts w:asciiTheme="minorHAnsi" w:hAnsiTheme="minorHAnsi" w:cstheme="minorHAnsi"/>
                <w:b/>
                <w:bCs/>
              </w:rPr>
            </w:pPr>
            <w:r>
              <w:rPr>
                <w:rFonts w:asciiTheme="minorHAnsi" w:hAnsiTheme="minorHAnsi" w:cstheme="minorHAnsi"/>
                <w:b/>
                <w:bCs/>
              </w:rPr>
              <w:t xml:space="preserve">Discharged to Community: </w:t>
            </w:r>
            <w:r w:rsidRPr="00514842">
              <w:rPr>
                <w:rFonts w:asciiTheme="minorHAnsi" w:hAnsiTheme="minorHAnsi" w:cstheme="minorHAnsi"/>
                <w:b/>
                <w:bCs/>
              </w:rPr>
              <w:t>Assessment</w:t>
            </w:r>
          </w:p>
        </w:tc>
        <w:tc>
          <w:tcPr>
            <w:tcW w:w="2430" w:type="dxa"/>
            <w:tcBorders>
              <w:top w:val="single" w:sz="4" w:space="0" w:color="auto"/>
              <w:bottom w:val="single" w:sz="4" w:space="0" w:color="auto"/>
            </w:tcBorders>
            <w:shd w:val="clear" w:color="auto" w:fill="D9D9D9" w:themeFill="background1" w:themeFillShade="D9"/>
          </w:tcPr>
          <w:p w14:paraId="1A80D565" w14:textId="77777777" w:rsidR="00D84F53" w:rsidRPr="00514842" w:rsidRDefault="00D84F53" w:rsidP="003C63EE">
            <w:pPr>
              <w:autoSpaceDE w:val="0"/>
              <w:autoSpaceDN w:val="0"/>
              <w:adjustRightInd w:val="0"/>
              <w:rPr>
                <w:rFonts w:asciiTheme="minorHAnsi" w:hAnsiTheme="minorHAnsi" w:cstheme="minorHAnsi"/>
                <w:b/>
                <w:bCs/>
                <w:szCs w:val="22"/>
              </w:rPr>
            </w:pPr>
            <w:r>
              <w:rPr>
                <w:rFonts w:asciiTheme="minorHAnsi" w:hAnsiTheme="minorHAnsi" w:cstheme="minorHAnsi"/>
                <w:b/>
                <w:bCs/>
                <w:szCs w:val="22"/>
              </w:rPr>
              <w:t xml:space="preserve">Discharged to Community: </w:t>
            </w:r>
            <w:r w:rsidRPr="00514842">
              <w:rPr>
                <w:rFonts w:asciiTheme="minorHAnsi" w:hAnsiTheme="minorHAnsi" w:cstheme="minorHAnsi"/>
                <w:b/>
                <w:bCs/>
                <w:szCs w:val="22"/>
              </w:rPr>
              <w:t>Claims</w:t>
            </w:r>
          </w:p>
        </w:tc>
        <w:tc>
          <w:tcPr>
            <w:tcW w:w="1350" w:type="dxa"/>
            <w:tcBorders>
              <w:top w:val="single" w:sz="4" w:space="0" w:color="auto"/>
              <w:bottom w:val="single" w:sz="4" w:space="0" w:color="auto"/>
            </w:tcBorders>
            <w:shd w:val="clear" w:color="auto" w:fill="D9D9D9" w:themeFill="background1" w:themeFillShade="D9"/>
          </w:tcPr>
          <w:p w14:paraId="5B8742DB" w14:textId="77777777" w:rsidR="00D84F53" w:rsidRPr="00514842" w:rsidRDefault="00D84F53" w:rsidP="003C63EE">
            <w:pPr>
              <w:autoSpaceDE w:val="0"/>
              <w:autoSpaceDN w:val="0"/>
              <w:adjustRightInd w:val="0"/>
              <w:rPr>
                <w:rFonts w:asciiTheme="minorHAnsi" w:hAnsiTheme="minorHAnsi" w:cstheme="minorHAnsi"/>
                <w:b/>
                <w:bCs/>
                <w:szCs w:val="22"/>
              </w:rPr>
            </w:pPr>
            <w:r w:rsidRPr="00514842">
              <w:rPr>
                <w:rFonts w:asciiTheme="minorHAnsi" w:hAnsiTheme="minorHAnsi" w:cstheme="minorHAnsi"/>
                <w:b/>
                <w:bCs/>
                <w:szCs w:val="22"/>
              </w:rPr>
              <w:t>N agreement</w:t>
            </w:r>
          </w:p>
        </w:tc>
        <w:tc>
          <w:tcPr>
            <w:tcW w:w="1350" w:type="dxa"/>
            <w:tcBorders>
              <w:top w:val="single" w:sz="4" w:space="0" w:color="auto"/>
              <w:bottom w:val="single" w:sz="4" w:space="0" w:color="auto"/>
            </w:tcBorders>
            <w:shd w:val="clear" w:color="auto" w:fill="D9D9D9" w:themeFill="background1" w:themeFillShade="D9"/>
          </w:tcPr>
          <w:p w14:paraId="6F1CAA1E" w14:textId="77777777" w:rsidR="00D84F53" w:rsidRPr="00514842" w:rsidRDefault="00D84F53" w:rsidP="003C63EE">
            <w:pPr>
              <w:autoSpaceDE w:val="0"/>
              <w:autoSpaceDN w:val="0"/>
              <w:adjustRightInd w:val="0"/>
              <w:rPr>
                <w:rFonts w:asciiTheme="minorHAnsi" w:hAnsiTheme="minorHAnsi" w:cstheme="minorHAnsi"/>
                <w:b/>
                <w:bCs/>
                <w:szCs w:val="22"/>
              </w:rPr>
            </w:pPr>
            <w:r w:rsidRPr="00514842">
              <w:rPr>
                <w:rFonts w:asciiTheme="minorHAnsi" w:hAnsiTheme="minorHAnsi" w:cstheme="minorHAnsi"/>
                <w:b/>
                <w:bCs/>
                <w:szCs w:val="22"/>
              </w:rPr>
              <w:t>% Agreement</w:t>
            </w:r>
          </w:p>
        </w:tc>
      </w:tr>
      <w:tr w:rsidR="00D84F53" w:rsidRPr="00514842" w14:paraId="189609D6" w14:textId="77777777" w:rsidTr="00173658">
        <w:trPr>
          <w:jc w:val="center"/>
        </w:trPr>
        <w:tc>
          <w:tcPr>
            <w:tcW w:w="1080" w:type="dxa"/>
            <w:tcBorders>
              <w:top w:val="single" w:sz="4" w:space="0" w:color="auto"/>
              <w:bottom w:val="single" w:sz="4" w:space="0" w:color="auto"/>
            </w:tcBorders>
          </w:tcPr>
          <w:p w14:paraId="41DCC726" w14:textId="2CB8F0A0" w:rsidR="00D84F53" w:rsidRPr="00514842" w:rsidRDefault="00D84F53" w:rsidP="003C63EE">
            <w:pPr>
              <w:autoSpaceDE w:val="0"/>
              <w:autoSpaceDN w:val="0"/>
              <w:adjustRightInd w:val="0"/>
              <w:jc w:val="center"/>
              <w:rPr>
                <w:rFonts w:asciiTheme="minorHAnsi" w:hAnsiTheme="minorHAnsi" w:cstheme="minorHAnsi"/>
                <w:bCs/>
              </w:rPr>
            </w:pPr>
            <w:r w:rsidRPr="00756860">
              <w:rPr>
                <w:rFonts w:asciiTheme="minorHAnsi" w:hAnsiTheme="minorHAnsi" w:cstheme="minorHAnsi"/>
              </w:rPr>
              <w:t>6,154,523</w:t>
            </w:r>
          </w:p>
        </w:tc>
        <w:tc>
          <w:tcPr>
            <w:tcW w:w="2430" w:type="dxa"/>
            <w:tcBorders>
              <w:top w:val="single" w:sz="4" w:space="0" w:color="auto"/>
              <w:bottom w:val="single" w:sz="4" w:space="0" w:color="auto"/>
            </w:tcBorders>
          </w:tcPr>
          <w:p w14:paraId="4DD0C33D" w14:textId="7D7D9ACB" w:rsidR="00D84F53" w:rsidRPr="00514842" w:rsidRDefault="00D84F53" w:rsidP="003C63EE">
            <w:pPr>
              <w:autoSpaceDE w:val="0"/>
              <w:autoSpaceDN w:val="0"/>
              <w:adjustRightInd w:val="0"/>
              <w:jc w:val="center"/>
              <w:rPr>
                <w:rFonts w:asciiTheme="minorHAnsi" w:hAnsiTheme="minorHAnsi" w:cstheme="minorHAnsi"/>
                <w:bCs/>
              </w:rPr>
            </w:pPr>
            <w:r w:rsidRPr="00941C65">
              <w:rPr>
                <w:rFonts w:asciiTheme="minorHAnsi" w:hAnsiTheme="minorHAnsi" w:cstheme="minorHAnsi"/>
                <w:bCs/>
              </w:rPr>
              <w:t>5</w:t>
            </w:r>
            <w:r>
              <w:rPr>
                <w:rFonts w:asciiTheme="minorHAnsi" w:hAnsiTheme="minorHAnsi" w:cstheme="minorHAnsi"/>
                <w:bCs/>
              </w:rPr>
              <w:t>,</w:t>
            </w:r>
            <w:r w:rsidRPr="00941C65">
              <w:rPr>
                <w:rFonts w:asciiTheme="minorHAnsi" w:hAnsiTheme="minorHAnsi" w:cstheme="minorHAnsi"/>
                <w:bCs/>
              </w:rPr>
              <w:t>003</w:t>
            </w:r>
            <w:r>
              <w:rPr>
                <w:rFonts w:asciiTheme="minorHAnsi" w:hAnsiTheme="minorHAnsi" w:cstheme="minorHAnsi"/>
                <w:bCs/>
              </w:rPr>
              <w:t>,</w:t>
            </w:r>
            <w:r w:rsidRPr="00941C65">
              <w:rPr>
                <w:rFonts w:asciiTheme="minorHAnsi" w:hAnsiTheme="minorHAnsi" w:cstheme="minorHAnsi"/>
                <w:bCs/>
              </w:rPr>
              <w:t>067</w:t>
            </w:r>
          </w:p>
        </w:tc>
        <w:tc>
          <w:tcPr>
            <w:tcW w:w="2430" w:type="dxa"/>
            <w:tcBorders>
              <w:top w:val="single" w:sz="4" w:space="0" w:color="auto"/>
              <w:bottom w:val="single" w:sz="4" w:space="0" w:color="auto"/>
            </w:tcBorders>
          </w:tcPr>
          <w:p w14:paraId="5CDECB1B" w14:textId="6B5EC1A8" w:rsidR="00D84F53" w:rsidRPr="00514842" w:rsidRDefault="00D84F53" w:rsidP="003C63EE">
            <w:pPr>
              <w:autoSpaceDE w:val="0"/>
              <w:autoSpaceDN w:val="0"/>
              <w:adjustRightInd w:val="0"/>
              <w:jc w:val="center"/>
              <w:rPr>
                <w:rFonts w:asciiTheme="minorHAnsi" w:hAnsiTheme="minorHAnsi" w:cstheme="minorHAnsi"/>
                <w:bCs/>
                <w:szCs w:val="22"/>
              </w:rPr>
            </w:pPr>
            <w:r w:rsidRPr="00941C65">
              <w:rPr>
                <w:rFonts w:asciiTheme="minorHAnsi" w:hAnsiTheme="minorHAnsi" w:cstheme="minorHAnsi"/>
                <w:bCs/>
                <w:szCs w:val="22"/>
              </w:rPr>
              <w:t>5</w:t>
            </w:r>
            <w:r>
              <w:rPr>
                <w:rFonts w:asciiTheme="minorHAnsi" w:hAnsiTheme="minorHAnsi" w:cstheme="minorHAnsi"/>
                <w:bCs/>
                <w:szCs w:val="22"/>
              </w:rPr>
              <w:t>,</w:t>
            </w:r>
            <w:r w:rsidRPr="00941C65">
              <w:rPr>
                <w:rFonts w:asciiTheme="minorHAnsi" w:hAnsiTheme="minorHAnsi" w:cstheme="minorHAnsi"/>
                <w:bCs/>
                <w:szCs w:val="22"/>
              </w:rPr>
              <w:t>271</w:t>
            </w:r>
            <w:r>
              <w:rPr>
                <w:rFonts w:asciiTheme="minorHAnsi" w:hAnsiTheme="minorHAnsi" w:cstheme="minorHAnsi"/>
                <w:bCs/>
                <w:szCs w:val="22"/>
              </w:rPr>
              <w:t>,</w:t>
            </w:r>
            <w:r w:rsidRPr="00941C65">
              <w:rPr>
                <w:rFonts w:asciiTheme="minorHAnsi" w:hAnsiTheme="minorHAnsi" w:cstheme="minorHAnsi"/>
                <w:bCs/>
                <w:szCs w:val="22"/>
              </w:rPr>
              <w:t>256</w:t>
            </w:r>
          </w:p>
        </w:tc>
        <w:tc>
          <w:tcPr>
            <w:tcW w:w="1350" w:type="dxa"/>
            <w:tcBorders>
              <w:top w:val="single" w:sz="4" w:space="0" w:color="auto"/>
              <w:bottom w:val="single" w:sz="4" w:space="0" w:color="auto"/>
            </w:tcBorders>
          </w:tcPr>
          <w:p w14:paraId="6A22C3BE" w14:textId="54C09130" w:rsidR="00D84F53" w:rsidRPr="00514842" w:rsidRDefault="00D84F53" w:rsidP="003C63EE">
            <w:pPr>
              <w:autoSpaceDE w:val="0"/>
              <w:autoSpaceDN w:val="0"/>
              <w:adjustRightInd w:val="0"/>
              <w:jc w:val="center"/>
              <w:rPr>
                <w:rFonts w:asciiTheme="minorHAnsi" w:hAnsiTheme="minorHAnsi" w:cstheme="minorHAnsi"/>
                <w:bCs/>
                <w:szCs w:val="22"/>
              </w:rPr>
            </w:pPr>
            <w:r w:rsidRPr="00941C65">
              <w:rPr>
                <w:rFonts w:asciiTheme="minorHAnsi" w:hAnsiTheme="minorHAnsi" w:cstheme="minorHAnsi"/>
                <w:bCs/>
                <w:szCs w:val="22"/>
              </w:rPr>
              <w:t>4</w:t>
            </w:r>
            <w:r>
              <w:rPr>
                <w:rFonts w:asciiTheme="minorHAnsi" w:hAnsiTheme="minorHAnsi" w:cstheme="minorHAnsi"/>
                <w:bCs/>
                <w:szCs w:val="22"/>
              </w:rPr>
              <w:t>,</w:t>
            </w:r>
            <w:r w:rsidRPr="00941C65">
              <w:rPr>
                <w:rFonts w:asciiTheme="minorHAnsi" w:hAnsiTheme="minorHAnsi" w:cstheme="minorHAnsi"/>
                <w:bCs/>
                <w:szCs w:val="22"/>
              </w:rPr>
              <w:t>827</w:t>
            </w:r>
            <w:r>
              <w:rPr>
                <w:rFonts w:asciiTheme="minorHAnsi" w:hAnsiTheme="minorHAnsi" w:cstheme="minorHAnsi"/>
                <w:bCs/>
                <w:szCs w:val="22"/>
              </w:rPr>
              <w:t>,</w:t>
            </w:r>
            <w:r w:rsidRPr="00941C65">
              <w:rPr>
                <w:rFonts w:asciiTheme="minorHAnsi" w:hAnsiTheme="minorHAnsi" w:cstheme="minorHAnsi"/>
                <w:bCs/>
                <w:szCs w:val="22"/>
              </w:rPr>
              <w:t>412</w:t>
            </w:r>
          </w:p>
        </w:tc>
        <w:tc>
          <w:tcPr>
            <w:tcW w:w="1350" w:type="dxa"/>
            <w:tcBorders>
              <w:top w:val="single" w:sz="4" w:space="0" w:color="auto"/>
              <w:bottom w:val="single" w:sz="4" w:space="0" w:color="auto"/>
            </w:tcBorders>
          </w:tcPr>
          <w:p w14:paraId="52BC304E" w14:textId="035F665B" w:rsidR="00D84F53" w:rsidRPr="00514842" w:rsidRDefault="00D84F53" w:rsidP="003C63EE">
            <w:pPr>
              <w:autoSpaceDE w:val="0"/>
              <w:autoSpaceDN w:val="0"/>
              <w:adjustRightInd w:val="0"/>
              <w:jc w:val="center"/>
              <w:rPr>
                <w:rFonts w:asciiTheme="minorHAnsi" w:hAnsiTheme="minorHAnsi" w:cstheme="minorHAnsi"/>
                <w:bCs/>
                <w:szCs w:val="22"/>
              </w:rPr>
            </w:pPr>
            <w:r w:rsidRPr="00941C65">
              <w:rPr>
                <w:rFonts w:asciiTheme="minorHAnsi" w:hAnsiTheme="minorHAnsi" w:cstheme="minorHAnsi"/>
                <w:bCs/>
                <w:szCs w:val="22"/>
              </w:rPr>
              <w:t>96.5%</w:t>
            </w:r>
          </w:p>
        </w:tc>
      </w:tr>
    </w:tbl>
    <w:p w14:paraId="08B26176" w14:textId="77777777" w:rsidR="00D84F53" w:rsidRDefault="00D84F53" w:rsidP="00D84F53">
      <w:pPr>
        <w:autoSpaceDE w:val="0"/>
        <w:autoSpaceDN w:val="0"/>
        <w:adjustRightInd w:val="0"/>
        <w:spacing w:after="0" w:line="240" w:lineRule="auto"/>
        <w:rPr>
          <w:rFonts w:cstheme="minorHAnsi"/>
          <w:bCs/>
          <w:sz w:val="18"/>
        </w:rPr>
      </w:pPr>
      <w:r>
        <w:rPr>
          <w:rFonts w:cstheme="minorHAnsi"/>
          <w:bCs/>
          <w:sz w:val="18"/>
        </w:rPr>
        <w:t>Acumen</w:t>
      </w:r>
      <w:r w:rsidRPr="0090361B">
        <w:rPr>
          <w:rFonts w:cstheme="minorHAnsi"/>
          <w:bCs/>
          <w:sz w:val="18"/>
        </w:rPr>
        <w:t xml:space="preserve"> Analysis of Medicare Claims File</w:t>
      </w:r>
      <w:r>
        <w:rPr>
          <w:rFonts w:cstheme="minorHAnsi"/>
          <w:bCs/>
          <w:sz w:val="18"/>
        </w:rPr>
        <w:t xml:space="preserve"> and OASIS Assessments</w:t>
      </w:r>
      <w:r w:rsidRPr="0090361B">
        <w:rPr>
          <w:rFonts w:cstheme="minorHAnsi"/>
          <w:bCs/>
          <w:sz w:val="18"/>
        </w:rPr>
        <w:t xml:space="preserve"> for </w:t>
      </w:r>
      <w:r>
        <w:rPr>
          <w:rFonts w:cstheme="minorHAnsi"/>
          <w:bCs/>
          <w:sz w:val="18"/>
        </w:rPr>
        <w:t>HH</w:t>
      </w:r>
      <w:r w:rsidRPr="0090361B">
        <w:rPr>
          <w:rFonts w:cstheme="minorHAnsi"/>
          <w:bCs/>
          <w:sz w:val="18"/>
        </w:rPr>
        <w:t xml:space="preserve">, </w:t>
      </w:r>
      <w:r>
        <w:rPr>
          <w:rFonts w:cstheme="minorHAnsi"/>
          <w:bCs/>
          <w:sz w:val="18"/>
        </w:rPr>
        <w:t>CY</w:t>
      </w:r>
      <w:r w:rsidRPr="0090361B">
        <w:rPr>
          <w:rFonts w:cstheme="minorHAnsi"/>
          <w:bCs/>
          <w:sz w:val="18"/>
        </w:rPr>
        <w:t xml:space="preserve"> 201</w:t>
      </w:r>
      <w:r>
        <w:rPr>
          <w:rFonts w:cstheme="minorHAnsi"/>
          <w:bCs/>
          <w:sz w:val="18"/>
        </w:rPr>
        <w:t>5</w:t>
      </w:r>
      <w:r w:rsidRPr="0090361B">
        <w:rPr>
          <w:rFonts w:cstheme="minorHAnsi"/>
          <w:bCs/>
          <w:sz w:val="18"/>
        </w:rPr>
        <w:t>-201</w:t>
      </w:r>
      <w:r>
        <w:rPr>
          <w:rFonts w:cstheme="minorHAnsi"/>
          <w:bCs/>
          <w:sz w:val="18"/>
        </w:rPr>
        <w:t xml:space="preserve">6. </w:t>
      </w:r>
      <w:r w:rsidRPr="0090361B">
        <w:rPr>
          <w:rFonts w:cstheme="minorHAnsi"/>
          <w:bCs/>
          <w:sz w:val="18"/>
        </w:rPr>
        <w:t xml:space="preserve"> </w:t>
      </w:r>
    </w:p>
    <w:p w14:paraId="3E51960D" w14:textId="77777777" w:rsidR="00D84F53" w:rsidRPr="00514842" w:rsidRDefault="00D84F53" w:rsidP="00D84F53">
      <w:pPr>
        <w:autoSpaceDE w:val="0"/>
        <w:autoSpaceDN w:val="0"/>
        <w:adjustRightInd w:val="0"/>
        <w:spacing w:after="0" w:line="240" w:lineRule="auto"/>
        <w:rPr>
          <w:rFonts w:cstheme="minorHAnsi"/>
          <w:bCs/>
          <w:sz w:val="18"/>
        </w:rPr>
      </w:pPr>
      <w:r w:rsidRPr="00941C65">
        <w:rPr>
          <w:rFonts w:cstheme="minorHAnsi"/>
          <w:bCs/>
          <w:sz w:val="20"/>
          <w:szCs w:val="20"/>
        </w:rPr>
        <w:t>*</w:t>
      </w:r>
      <w:r w:rsidRPr="00941C65">
        <w:rPr>
          <w:sz w:val="20"/>
          <w:szCs w:val="20"/>
        </w:rPr>
        <w:t xml:space="preserve"> </w:t>
      </w:r>
      <w:r w:rsidRPr="00941C65">
        <w:rPr>
          <w:rFonts w:cstheme="minorHAnsi"/>
          <w:bCs/>
          <w:sz w:val="18"/>
        </w:rPr>
        <w:t>Assessment discharge to community is defined by OASIS Assessment reason for assessment = 09 (Discharge from Agency)</w:t>
      </w:r>
      <w:r>
        <w:rPr>
          <w:rFonts w:cstheme="minorHAnsi"/>
          <w:bCs/>
          <w:sz w:val="18"/>
        </w:rPr>
        <w:t>.</w:t>
      </w:r>
    </w:p>
    <w:p w14:paraId="4F0426FD" w14:textId="5AF654AD" w:rsidR="00D84F53" w:rsidRDefault="00D84F53" w:rsidP="00D84F53">
      <w:pPr>
        <w:autoSpaceDE w:val="0"/>
        <w:autoSpaceDN w:val="0"/>
        <w:adjustRightInd w:val="0"/>
        <w:spacing w:after="0" w:line="240" w:lineRule="auto"/>
        <w:rPr>
          <w:rFonts w:cstheme="minorHAnsi"/>
          <w:bCs/>
          <w:sz w:val="18"/>
          <w:szCs w:val="18"/>
        </w:rPr>
      </w:pPr>
      <w:r w:rsidRPr="00941C65">
        <w:rPr>
          <w:rFonts w:cstheme="minorHAnsi"/>
          <w:bCs/>
          <w:sz w:val="20"/>
          <w:szCs w:val="20"/>
        </w:rPr>
        <w:t>**</w:t>
      </w:r>
      <w:r w:rsidRPr="00941C65">
        <w:t xml:space="preserve"> </w:t>
      </w:r>
      <w:r w:rsidRPr="00941C65">
        <w:rPr>
          <w:rFonts w:cstheme="minorHAnsi"/>
          <w:bCs/>
          <w:sz w:val="18"/>
          <w:szCs w:val="18"/>
        </w:rPr>
        <w:t>Claims Discharge to Community is defined by claims discharge code = 01 or 81 (discharge to home/self care [routine discharge]; discharged to home or self-care with a planned acute care hospital readmission)</w:t>
      </w:r>
      <w:r>
        <w:rPr>
          <w:rFonts w:cstheme="minorHAnsi"/>
          <w:bCs/>
          <w:sz w:val="18"/>
          <w:szCs w:val="18"/>
        </w:rPr>
        <w:t>.</w:t>
      </w:r>
    </w:p>
    <w:p w14:paraId="1AF7BF9F" w14:textId="77777777" w:rsidR="00ED0F3C" w:rsidRPr="00514842" w:rsidRDefault="00ED0F3C" w:rsidP="00D84F53">
      <w:pPr>
        <w:autoSpaceDE w:val="0"/>
        <w:autoSpaceDN w:val="0"/>
        <w:adjustRightInd w:val="0"/>
        <w:spacing w:after="0" w:line="240" w:lineRule="auto"/>
        <w:rPr>
          <w:rFonts w:cstheme="minorHAnsi"/>
          <w:bCs/>
          <w:sz w:val="18"/>
        </w:rPr>
      </w:pPr>
    </w:p>
    <w:p w14:paraId="18E113D9" w14:textId="77777777" w:rsidR="00DC0D53" w:rsidRDefault="00DC0D53" w:rsidP="00DC0D53">
      <w:pPr>
        <w:pStyle w:val="ListParagraph"/>
        <w:numPr>
          <w:ilvl w:val="1"/>
          <w:numId w:val="15"/>
        </w:numPr>
        <w:autoSpaceDE w:val="0"/>
        <w:autoSpaceDN w:val="0"/>
        <w:adjustRightInd w:val="0"/>
        <w:spacing w:after="0" w:line="240" w:lineRule="auto"/>
        <w:rPr>
          <w:b/>
        </w:rPr>
      </w:pPr>
      <w:r w:rsidRPr="00AC3FBA">
        <w:rPr>
          <w:b/>
        </w:rPr>
        <w:t xml:space="preserve">Correctness of discharge to community setting based on </w:t>
      </w:r>
      <w:r>
        <w:rPr>
          <w:b/>
        </w:rPr>
        <w:t>HH</w:t>
      </w:r>
      <w:r w:rsidRPr="00AC3FBA">
        <w:rPr>
          <w:b/>
        </w:rPr>
        <w:t xml:space="preserve"> claim (critical data element) as confirmed by absence of new inpatient claims on day of or day after </w:t>
      </w:r>
      <w:r>
        <w:rPr>
          <w:b/>
        </w:rPr>
        <w:t xml:space="preserve">HH </w:t>
      </w:r>
      <w:r w:rsidRPr="00AC3FBA">
        <w:rPr>
          <w:b/>
        </w:rPr>
        <w:t>d</w:t>
      </w:r>
      <w:r>
        <w:rPr>
          <w:b/>
        </w:rPr>
        <w:t>ischarge (authoritative source)</w:t>
      </w:r>
    </w:p>
    <w:p w14:paraId="15DEF9F9" w14:textId="77777777" w:rsidR="00DC0D53" w:rsidRDefault="00DC0D53" w:rsidP="00DC0D53">
      <w:pPr>
        <w:pStyle w:val="ListParagraph"/>
        <w:autoSpaceDE w:val="0"/>
        <w:autoSpaceDN w:val="0"/>
        <w:adjustRightInd w:val="0"/>
        <w:spacing w:after="0" w:line="240" w:lineRule="auto"/>
        <w:ind w:left="1440"/>
        <w:rPr>
          <w:b/>
        </w:rPr>
      </w:pPr>
    </w:p>
    <w:p w14:paraId="6D58A65A" w14:textId="0DC33BEF" w:rsidR="00D84F53" w:rsidRDefault="00DC0D53" w:rsidP="00DC0D53">
      <w:pPr>
        <w:pStyle w:val="ListParagraph"/>
        <w:autoSpaceDE w:val="0"/>
        <w:autoSpaceDN w:val="0"/>
        <w:adjustRightInd w:val="0"/>
        <w:spacing w:after="0" w:line="240" w:lineRule="auto"/>
        <w:ind w:left="1440"/>
      </w:pPr>
      <w:r>
        <w:t xml:space="preserve">Only 1.6% of HH stays that were discharged to the community setting as noted on the HH claim had an acute, IRF, SNF, or LTCH </w:t>
      </w:r>
      <w:r w:rsidRPr="00C14162">
        <w:t>claim on day of or day after HH discharge.</w:t>
      </w:r>
    </w:p>
    <w:p w14:paraId="04409838" w14:textId="77777777" w:rsidR="00C4098E" w:rsidRDefault="00C4098E" w:rsidP="00DC0D53">
      <w:pPr>
        <w:pStyle w:val="ListParagraph"/>
        <w:autoSpaceDE w:val="0"/>
        <w:autoSpaceDN w:val="0"/>
        <w:adjustRightInd w:val="0"/>
        <w:spacing w:after="0" w:line="240" w:lineRule="auto"/>
        <w:ind w:left="1440"/>
      </w:pPr>
    </w:p>
    <w:p w14:paraId="2F9D59AF" w14:textId="6E3C9588" w:rsidR="00C4098E" w:rsidRPr="00C4098E" w:rsidRDefault="00C857D8" w:rsidP="00C4098E">
      <w:pPr>
        <w:pStyle w:val="ListParagraph"/>
        <w:numPr>
          <w:ilvl w:val="1"/>
          <w:numId w:val="15"/>
        </w:numPr>
        <w:autoSpaceDE w:val="0"/>
        <w:autoSpaceDN w:val="0"/>
        <w:adjustRightInd w:val="0"/>
        <w:spacing w:after="0" w:line="240" w:lineRule="auto"/>
        <w:rPr>
          <w:rFonts w:cstheme="minorHAnsi"/>
          <w:bCs/>
        </w:rPr>
      </w:pPr>
      <w:r w:rsidRPr="00C4098E">
        <w:rPr>
          <w:rFonts w:cstheme="minorHAnsi"/>
          <w:b/>
        </w:rPr>
        <w:t xml:space="preserve">Known-groups validity testing for fallers </w:t>
      </w:r>
      <w:r w:rsidR="00DA5E75">
        <w:rPr>
          <w:rFonts w:cstheme="minorHAnsi"/>
          <w:b/>
        </w:rPr>
        <w:t>versus</w:t>
      </w:r>
      <w:r w:rsidRPr="00C4098E">
        <w:rPr>
          <w:rFonts w:cstheme="minorHAnsi"/>
          <w:b/>
        </w:rPr>
        <w:t xml:space="preserve"> non-fallers </w:t>
      </w:r>
    </w:p>
    <w:p w14:paraId="36979C41" w14:textId="77777777" w:rsidR="00C4098E" w:rsidRDefault="00C4098E" w:rsidP="00C4098E">
      <w:pPr>
        <w:pStyle w:val="ListParagraph"/>
        <w:autoSpaceDE w:val="0"/>
        <w:autoSpaceDN w:val="0"/>
        <w:adjustRightInd w:val="0"/>
        <w:spacing w:after="0" w:line="240" w:lineRule="auto"/>
        <w:ind w:left="1440"/>
        <w:rPr>
          <w:rFonts w:cstheme="minorHAnsi"/>
          <w:b/>
        </w:rPr>
      </w:pPr>
    </w:p>
    <w:p w14:paraId="16D31CFB" w14:textId="428655D5" w:rsidR="00C857D8" w:rsidRPr="00C4098E" w:rsidRDefault="00AB20EA" w:rsidP="00C4098E">
      <w:pPr>
        <w:pStyle w:val="ListParagraph"/>
        <w:autoSpaceDE w:val="0"/>
        <w:autoSpaceDN w:val="0"/>
        <w:adjustRightInd w:val="0"/>
        <w:spacing w:after="0" w:line="240" w:lineRule="auto"/>
        <w:ind w:left="1440"/>
        <w:rPr>
          <w:rFonts w:cstheme="minorHAnsi"/>
          <w:bCs/>
        </w:rPr>
      </w:pPr>
      <w:r w:rsidRPr="00C4098E">
        <w:rPr>
          <w:rFonts w:cstheme="minorHAnsi"/>
          <w:bCs/>
        </w:rPr>
        <w:t xml:space="preserve">In the merged datasets between HH claims and the OASIS-C1 assessments for the M2310 </w:t>
      </w:r>
      <w:r w:rsidR="00007B58" w:rsidRPr="00C4098E">
        <w:rPr>
          <w:rFonts w:cstheme="minorHAnsi"/>
          <w:bCs/>
        </w:rPr>
        <w:t xml:space="preserve">(Reason for Emergent Care) </w:t>
      </w:r>
      <w:r w:rsidRPr="00C4098E">
        <w:rPr>
          <w:rFonts w:cstheme="minorHAnsi"/>
          <w:bCs/>
        </w:rPr>
        <w:t>item, the successful DTC rate for CY 2015-2016 was 81.9% (</w:t>
      </w:r>
      <w:r w:rsidRPr="00C4098E">
        <w:rPr>
          <w:rFonts w:cstheme="minorHAnsi"/>
          <w:b/>
          <w:bCs/>
        </w:rPr>
        <w:t>Table 6</w:t>
      </w:r>
      <w:r w:rsidRPr="00C4098E">
        <w:rPr>
          <w:rFonts w:cstheme="minorHAnsi"/>
          <w:bCs/>
        </w:rPr>
        <w:t xml:space="preserve">). 1.3% of the sample </w:t>
      </w:r>
      <w:r>
        <w:t>sought emergent care because of a fall</w:t>
      </w:r>
      <w:r w:rsidRPr="00C4098E">
        <w:rPr>
          <w:rFonts w:cstheme="minorHAnsi"/>
          <w:bCs/>
        </w:rPr>
        <w:t xml:space="preserve">. In CY2015-2016, the successful DTC rate was significantly lower for patients who </w:t>
      </w:r>
      <w:r>
        <w:t>sought emergent care because of a fall</w:t>
      </w:r>
      <w:r w:rsidRPr="00C4098E">
        <w:rPr>
          <w:rFonts w:cstheme="minorHAnsi"/>
          <w:bCs/>
        </w:rPr>
        <w:t xml:space="preserve"> (39.6%) compared to those who did not </w:t>
      </w:r>
      <w:r w:rsidR="00007B58" w:rsidRPr="00C4098E">
        <w:rPr>
          <w:rFonts w:cstheme="minorHAnsi"/>
          <w:bCs/>
        </w:rPr>
        <w:t xml:space="preserve">seek emergent care due to a fall </w:t>
      </w:r>
      <w:r w:rsidR="00DF6DCA" w:rsidRPr="00C4098E">
        <w:rPr>
          <w:rFonts w:cstheme="minorHAnsi"/>
          <w:bCs/>
        </w:rPr>
        <w:t xml:space="preserve">or did not fall </w:t>
      </w:r>
      <w:r w:rsidRPr="00C4098E">
        <w:rPr>
          <w:rFonts w:cstheme="minorHAnsi"/>
          <w:bCs/>
        </w:rPr>
        <w:t xml:space="preserve">(82.5%). </w:t>
      </w:r>
    </w:p>
    <w:p w14:paraId="7CC036A9" w14:textId="77777777" w:rsidR="00C857D8" w:rsidRDefault="00C857D8" w:rsidP="00C857D8">
      <w:pPr>
        <w:pStyle w:val="ListParagraph"/>
        <w:autoSpaceDE w:val="0"/>
        <w:autoSpaceDN w:val="0"/>
        <w:adjustRightInd w:val="0"/>
        <w:spacing w:after="0" w:line="240" w:lineRule="auto"/>
        <w:rPr>
          <w:rFonts w:cstheme="minorHAnsi"/>
          <w:b/>
        </w:rPr>
      </w:pPr>
    </w:p>
    <w:p w14:paraId="4C19388A" w14:textId="5D48A5BD" w:rsidR="00C857D8" w:rsidRPr="00C857D8" w:rsidRDefault="00C857D8" w:rsidP="00C857D8">
      <w:pPr>
        <w:autoSpaceDE w:val="0"/>
        <w:autoSpaceDN w:val="0"/>
        <w:adjustRightInd w:val="0"/>
        <w:spacing w:after="0" w:line="240" w:lineRule="auto"/>
        <w:jc w:val="center"/>
        <w:rPr>
          <w:rFonts w:cstheme="minorHAnsi"/>
          <w:b/>
          <w:bCs/>
        </w:rPr>
      </w:pPr>
      <w:r w:rsidRPr="00A4129A">
        <w:rPr>
          <w:rFonts w:cstheme="minorHAnsi"/>
          <w:b/>
          <w:bCs/>
        </w:rPr>
        <w:t>Table 6.</w:t>
      </w:r>
      <w:r w:rsidRPr="00A4129A">
        <w:rPr>
          <w:rFonts w:cstheme="minorHAnsi"/>
          <w:bCs/>
        </w:rPr>
        <w:t xml:space="preserve"> </w:t>
      </w:r>
      <w:r w:rsidRPr="00C857D8">
        <w:rPr>
          <w:rFonts w:cstheme="minorHAnsi"/>
          <w:b/>
          <w:bCs/>
        </w:rPr>
        <w:t xml:space="preserve">Successful Discharge to the Community Rates: Differences between Patient Groups </w:t>
      </w:r>
      <w:r w:rsidR="006E2297">
        <w:rPr>
          <w:rFonts w:cstheme="minorHAnsi"/>
          <w:b/>
          <w:bCs/>
        </w:rPr>
        <w:t>–</w:t>
      </w:r>
      <w:r w:rsidRPr="00C857D8">
        <w:rPr>
          <w:rFonts w:cstheme="minorHAnsi"/>
          <w:b/>
          <w:bCs/>
        </w:rPr>
        <w:t xml:space="preserve"> Falls</w:t>
      </w:r>
      <w:r w:rsidR="006E2297">
        <w:rPr>
          <w:rFonts w:cstheme="minorHAnsi"/>
          <w:b/>
          <w:bCs/>
        </w:rPr>
        <w:t xml:space="preserve"> (Stay-level)</w:t>
      </w:r>
    </w:p>
    <w:tbl>
      <w:tblPr>
        <w:tblStyle w:val="CMSTable"/>
        <w:tblW w:w="9090" w:type="dxa"/>
        <w:jc w:val="center"/>
        <w:tblLook w:val="04A0" w:firstRow="1" w:lastRow="0" w:firstColumn="1" w:lastColumn="0" w:noHBand="0" w:noVBand="1"/>
      </w:tblPr>
      <w:tblGrid>
        <w:gridCol w:w="3510"/>
        <w:gridCol w:w="1710"/>
        <w:gridCol w:w="1890"/>
        <w:gridCol w:w="1980"/>
      </w:tblGrid>
      <w:tr w:rsidR="00C857D8" w:rsidRPr="00AB11C1" w14:paraId="13E34CAB" w14:textId="77777777" w:rsidTr="00647DC6">
        <w:trPr>
          <w:cnfStyle w:val="100000000000" w:firstRow="1" w:lastRow="0" w:firstColumn="0" w:lastColumn="0" w:oddVBand="0" w:evenVBand="0" w:oddHBand="0" w:evenHBand="0" w:firstRowFirstColumn="0" w:firstRowLastColumn="0" w:lastRowFirstColumn="0" w:lastRowLastColumn="0"/>
          <w:jc w:val="center"/>
        </w:trPr>
        <w:tc>
          <w:tcPr>
            <w:tcW w:w="3510" w:type="dxa"/>
            <w:tcBorders>
              <w:top w:val="single" w:sz="4" w:space="0" w:color="auto"/>
            </w:tcBorders>
            <w:shd w:val="clear" w:color="auto" w:fill="D9D9D9" w:themeFill="background1" w:themeFillShade="D9"/>
          </w:tcPr>
          <w:p w14:paraId="7E9AE776" w14:textId="77777777" w:rsidR="00C857D8" w:rsidRPr="00AB11C1" w:rsidRDefault="00C857D8" w:rsidP="00647DC6">
            <w:pPr>
              <w:autoSpaceDE w:val="0"/>
              <w:autoSpaceDN w:val="0"/>
              <w:adjustRightInd w:val="0"/>
              <w:rPr>
                <w:rFonts w:asciiTheme="minorHAnsi" w:hAnsiTheme="minorHAnsi" w:cstheme="minorHAnsi"/>
                <w:b/>
                <w:bCs/>
                <w:szCs w:val="22"/>
              </w:rPr>
            </w:pPr>
            <w:r>
              <w:rPr>
                <w:rFonts w:asciiTheme="minorHAnsi" w:hAnsiTheme="minorHAnsi" w:cstheme="minorHAnsi"/>
                <w:b/>
                <w:bCs/>
                <w:szCs w:val="22"/>
              </w:rPr>
              <w:t>HH</w:t>
            </w:r>
          </w:p>
        </w:tc>
        <w:tc>
          <w:tcPr>
            <w:tcW w:w="1710" w:type="dxa"/>
            <w:tcBorders>
              <w:top w:val="single" w:sz="4" w:space="0" w:color="auto"/>
            </w:tcBorders>
            <w:shd w:val="clear" w:color="auto" w:fill="D9D9D9" w:themeFill="background1" w:themeFillShade="D9"/>
          </w:tcPr>
          <w:p w14:paraId="17AE9833" w14:textId="77777777" w:rsidR="00C857D8" w:rsidRPr="00AB11C1" w:rsidRDefault="00C857D8" w:rsidP="00647DC6">
            <w:pPr>
              <w:autoSpaceDE w:val="0"/>
              <w:autoSpaceDN w:val="0"/>
              <w:adjustRightInd w:val="0"/>
              <w:jc w:val="left"/>
              <w:rPr>
                <w:rFonts w:asciiTheme="minorHAnsi" w:hAnsiTheme="minorHAnsi" w:cstheme="minorHAnsi"/>
                <w:b/>
                <w:bCs/>
                <w:szCs w:val="22"/>
              </w:rPr>
            </w:pPr>
            <w:r w:rsidRPr="00AB11C1">
              <w:rPr>
                <w:rFonts w:asciiTheme="minorHAnsi" w:hAnsiTheme="minorHAnsi" w:cstheme="minorHAnsi"/>
                <w:b/>
                <w:bCs/>
                <w:szCs w:val="22"/>
              </w:rPr>
              <w:t xml:space="preserve">Patients who </w:t>
            </w:r>
            <w:r>
              <w:rPr>
                <w:rFonts w:asciiTheme="minorHAnsi" w:hAnsiTheme="minorHAnsi" w:cstheme="minorHAnsi"/>
                <w:b/>
                <w:bCs/>
                <w:szCs w:val="22"/>
              </w:rPr>
              <w:t>Sought Emergent Care because of a Fall</w:t>
            </w:r>
          </w:p>
        </w:tc>
        <w:tc>
          <w:tcPr>
            <w:tcW w:w="1890" w:type="dxa"/>
            <w:tcBorders>
              <w:top w:val="single" w:sz="4" w:space="0" w:color="auto"/>
            </w:tcBorders>
            <w:shd w:val="clear" w:color="auto" w:fill="D9D9D9" w:themeFill="background1" w:themeFillShade="D9"/>
          </w:tcPr>
          <w:p w14:paraId="20119999" w14:textId="77777777" w:rsidR="00C857D8" w:rsidRPr="00AB11C1" w:rsidRDefault="00C857D8" w:rsidP="00647DC6">
            <w:pPr>
              <w:autoSpaceDE w:val="0"/>
              <w:autoSpaceDN w:val="0"/>
              <w:adjustRightInd w:val="0"/>
              <w:rPr>
                <w:rFonts w:asciiTheme="minorHAnsi" w:hAnsiTheme="minorHAnsi" w:cstheme="minorHAnsi"/>
                <w:b/>
                <w:bCs/>
                <w:szCs w:val="22"/>
              </w:rPr>
            </w:pPr>
            <w:r>
              <w:rPr>
                <w:rFonts w:asciiTheme="minorHAnsi" w:hAnsiTheme="minorHAnsi" w:cstheme="minorHAnsi"/>
                <w:b/>
                <w:bCs/>
                <w:szCs w:val="22"/>
              </w:rPr>
              <w:t>All Other Patients</w:t>
            </w:r>
            <w:r>
              <w:rPr>
                <w:rStyle w:val="FootnoteReference"/>
                <w:rFonts w:asciiTheme="minorHAnsi" w:hAnsiTheme="minorHAnsi"/>
                <w:b/>
                <w:bCs/>
                <w:szCs w:val="22"/>
              </w:rPr>
              <w:footnoteReference w:id="25"/>
            </w:r>
          </w:p>
        </w:tc>
        <w:tc>
          <w:tcPr>
            <w:tcW w:w="1980" w:type="dxa"/>
            <w:tcBorders>
              <w:top w:val="single" w:sz="4" w:space="0" w:color="auto"/>
            </w:tcBorders>
            <w:shd w:val="clear" w:color="auto" w:fill="D9D9D9" w:themeFill="background1" w:themeFillShade="D9"/>
          </w:tcPr>
          <w:p w14:paraId="5E3E377B" w14:textId="77777777" w:rsidR="00C857D8" w:rsidRPr="00AB11C1" w:rsidRDefault="00C857D8" w:rsidP="00647DC6">
            <w:pPr>
              <w:autoSpaceDE w:val="0"/>
              <w:autoSpaceDN w:val="0"/>
              <w:adjustRightInd w:val="0"/>
              <w:rPr>
                <w:rFonts w:asciiTheme="minorHAnsi" w:hAnsiTheme="minorHAnsi" w:cstheme="minorHAnsi"/>
                <w:b/>
                <w:bCs/>
              </w:rPr>
            </w:pPr>
            <w:r>
              <w:rPr>
                <w:rFonts w:asciiTheme="minorHAnsi" w:hAnsiTheme="minorHAnsi" w:cstheme="minorHAnsi"/>
                <w:b/>
                <w:bCs/>
              </w:rPr>
              <w:t>All Patients</w:t>
            </w:r>
          </w:p>
        </w:tc>
      </w:tr>
      <w:tr w:rsidR="00C857D8" w:rsidRPr="00AB11C1" w14:paraId="1827C2A6" w14:textId="77777777" w:rsidTr="00647DC6">
        <w:trPr>
          <w:jc w:val="center"/>
        </w:trPr>
        <w:tc>
          <w:tcPr>
            <w:tcW w:w="3510" w:type="dxa"/>
          </w:tcPr>
          <w:p w14:paraId="1200ED94" w14:textId="77777777" w:rsidR="00C857D8" w:rsidRPr="00AB11C1" w:rsidRDefault="00C857D8" w:rsidP="00647DC6">
            <w:pPr>
              <w:autoSpaceDE w:val="0"/>
              <w:autoSpaceDN w:val="0"/>
              <w:adjustRightInd w:val="0"/>
              <w:rPr>
                <w:rFonts w:asciiTheme="minorHAnsi" w:hAnsiTheme="minorHAnsi" w:cstheme="minorHAnsi"/>
                <w:bCs/>
              </w:rPr>
            </w:pPr>
            <w:r>
              <w:rPr>
                <w:rFonts w:asciiTheme="minorHAnsi" w:hAnsiTheme="minorHAnsi" w:cstheme="minorHAnsi"/>
                <w:bCs/>
              </w:rPr>
              <w:lastRenderedPageBreak/>
              <w:t>Successful Discharge to Community</w:t>
            </w:r>
          </w:p>
        </w:tc>
        <w:tc>
          <w:tcPr>
            <w:tcW w:w="1710" w:type="dxa"/>
          </w:tcPr>
          <w:p w14:paraId="48A6F5BF" w14:textId="77777777" w:rsidR="00C857D8" w:rsidRPr="00AB11C1" w:rsidRDefault="00C857D8" w:rsidP="00647DC6">
            <w:pPr>
              <w:autoSpaceDE w:val="0"/>
              <w:autoSpaceDN w:val="0"/>
              <w:adjustRightInd w:val="0"/>
              <w:jc w:val="center"/>
              <w:rPr>
                <w:rFonts w:asciiTheme="minorHAnsi" w:hAnsiTheme="minorHAnsi" w:cstheme="minorHAnsi"/>
                <w:bCs/>
              </w:rPr>
            </w:pPr>
            <w:r w:rsidRPr="00021DE2">
              <w:rPr>
                <w:rFonts w:ascii="Calibri" w:hAnsi="Calibri"/>
                <w:color w:val="000000"/>
              </w:rPr>
              <w:t>29,732</w:t>
            </w:r>
            <w:r w:rsidRPr="00AB11C1">
              <w:rPr>
                <w:rFonts w:asciiTheme="minorHAnsi" w:hAnsiTheme="minorHAnsi" w:cstheme="minorHAnsi"/>
                <w:bCs/>
              </w:rPr>
              <w:tab/>
            </w:r>
            <w:r>
              <w:rPr>
                <w:rFonts w:asciiTheme="minorHAnsi" w:hAnsiTheme="minorHAnsi" w:cstheme="minorHAnsi"/>
                <w:bCs/>
              </w:rPr>
              <w:t>(</w:t>
            </w:r>
            <w:r w:rsidRPr="00021DE2">
              <w:rPr>
                <w:rFonts w:ascii="Calibri" w:hAnsi="Calibri"/>
                <w:color w:val="000000"/>
              </w:rPr>
              <w:t>39.6%</w:t>
            </w:r>
            <w:r>
              <w:rPr>
                <w:rFonts w:ascii="Calibri" w:hAnsi="Calibri"/>
                <w:color w:val="000000"/>
              </w:rPr>
              <w:t>)</w:t>
            </w:r>
          </w:p>
        </w:tc>
        <w:tc>
          <w:tcPr>
            <w:tcW w:w="1890" w:type="dxa"/>
          </w:tcPr>
          <w:p w14:paraId="482E75F4" w14:textId="77777777" w:rsidR="00C857D8" w:rsidRPr="00AB11C1" w:rsidRDefault="00C857D8" w:rsidP="00647DC6">
            <w:pPr>
              <w:autoSpaceDE w:val="0"/>
              <w:autoSpaceDN w:val="0"/>
              <w:adjustRightInd w:val="0"/>
              <w:jc w:val="center"/>
              <w:rPr>
                <w:rFonts w:asciiTheme="minorHAnsi" w:hAnsiTheme="minorHAnsi" w:cstheme="minorHAnsi"/>
                <w:bCs/>
              </w:rPr>
            </w:pPr>
            <w:r w:rsidRPr="00021DE2">
              <w:rPr>
                <w:rFonts w:ascii="Calibri" w:hAnsi="Calibri"/>
                <w:color w:val="000000"/>
              </w:rPr>
              <w:t>4,585,274</w:t>
            </w:r>
            <w:r>
              <w:rPr>
                <w:rFonts w:asciiTheme="minorHAnsi" w:hAnsiTheme="minorHAnsi" w:cstheme="minorHAnsi"/>
                <w:bCs/>
              </w:rPr>
              <w:t xml:space="preserve"> (</w:t>
            </w:r>
            <w:r w:rsidRPr="00021DE2">
              <w:rPr>
                <w:rFonts w:ascii="Calibri" w:hAnsi="Calibri"/>
                <w:color w:val="000000"/>
              </w:rPr>
              <w:t>82.5</w:t>
            </w:r>
            <w:r w:rsidRPr="00AB11C1">
              <w:rPr>
                <w:rFonts w:asciiTheme="minorHAnsi" w:hAnsiTheme="minorHAnsi" w:cstheme="minorHAnsi"/>
                <w:bCs/>
              </w:rPr>
              <w:t>%</w:t>
            </w:r>
            <w:r>
              <w:rPr>
                <w:rFonts w:asciiTheme="minorHAnsi" w:hAnsiTheme="minorHAnsi" w:cstheme="minorHAnsi"/>
                <w:bCs/>
              </w:rPr>
              <w:t>)</w:t>
            </w:r>
          </w:p>
        </w:tc>
        <w:tc>
          <w:tcPr>
            <w:tcW w:w="1980" w:type="dxa"/>
          </w:tcPr>
          <w:p w14:paraId="396FFC1D" w14:textId="77777777" w:rsidR="00C857D8" w:rsidRPr="00AB11C1" w:rsidRDefault="00C857D8" w:rsidP="00647DC6">
            <w:pPr>
              <w:autoSpaceDE w:val="0"/>
              <w:autoSpaceDN w:val="0"/>
              <w:adjustRightInd w:val="0"/>
              <w:jc w:val="center"/>
              <w:rPr>
                <w:rFonts w:asciiTheme="minorHAnsi" w:hAnsiTheme="minorHAnsi" w:cstheme="minorHAnsi"/>
                <w:bCs/>
              </w:rPr>
            </w:pPr>
            <w:r w:rsidRPr="00021DE2">
              <w:rPr>
                <w:rFonts w:ascii="Calibri" w:hAnsi="Calibri"/>
                <w:color w:val="000000"/>
              </w:rPr>
              <w:t>4,615,006</w:t>
            </w:r>
            <w:r>
              <w:rPr>
                <w:rFonts w:asciiTheme="minorHAnsi" w:hAnsiTheme="minorHAnsi" w:cstheme="minorHAnsi"/>
                <w:bCs/>
              </w:rPr>
              <w:t xml:space="preserve"> (</w:t>
            </w:r>
            <w:r>
              <w:rPr>
                <w:rFonts w:ascii="Calibri" w:hAnsi="Calibri"/>
                <w:color w:val="000000"/>
              </w:rPr>
              <w:t>81.9</w:t>
            </w:r>
            <w:r w:rsidRPr="00AB11C1">
              <w:rPr>
                <w:rFonts w:asciiTheme="minorHAnsi" w:hAnsiTheme="minorHAnsi" w:cstheme="minorHAnsi"/>
                <w:bCs/>
              </w:rPr>
              <w:t>%</w:t>
            </w:r>
            <w:r>
              <w:rPr>
                <w:rFonts w:asciiTheme="minorHAnsi" w:hAnsiTheme="minorHAnsi" w:cstheme="minorHAnsi"/>
                <w:bCs/>
              </w:rPr>
              <w:t>)</w:t>
            </w:r>
          </w:p>
        </w:tc>
      </w:tr>
      <w:tr w:rsidR="00C857D8" w:rsidRPr="00AB11C1" w14:paraId="4DFA998C" w14:textId="77777777" w:rsidTr="00647DC6">
        <w:trPr>
          <w:jc w:val="center"/>
        </w:trPr>
        <w:tc>
          <w:tcPr>
            <w:tcW w:w="3510" w:type="dxa"/>
            <w:tcBorders>
              <w:bottom w:val="single" w:sz="4" w:space="0" w:color="auto"/>
            </w:tcBorders>
          </w:tcPr>
          <w:p w14:paraId="4863132D" w14:textId="77777777" w:rsidR="00C857D8" w:rsidRPr="00AB11C1" w:rsidRDefault="00C857D8" w:rsidP="00647DC6">
            <w:pPr>
              <w:autoSpaceDE w:val="0"/>
              <w:autoSpaceDN w:val="0"/>
              <w:adjustRightInd w:val="0"/>
              <w:rPr>
                <w:rFonts w:asciiTheme="minorHAnsi" w:hAnsiTheme="minorHAnsi" w:cstheme="minorHAnsi"/>
                <w:bCs/>
                <w:szCs w:val="22"/>
              </w:rPr>
            </w:pPr>
            <w:r w:rsidRPr="00AB11C1">
              <w:rPr>
                <w:rFonts w:asciiTheme="minorHAnsi" w:hAnsiTheme="minorHAnsi" w:cstheme="minorHAnsi"/>
                <w:bCs/>
              </w:rPr>
              <w:t>Total</w:t>
            </w:r>
          </w:p>
        </w:tc>
        <w:tc>
          <w:tcPr>
            <w:tcW w:w="1710" w:type="dxa"/>
            <w:tcBorders>
              <w:bottom w:val="single" w:sz="4" w:space="0" w:color="auto"/>
            </w:tcBorders>
          </w:tcPr>
          <w:p w14:paraId="1BE37A05" w14:textId="77777777" w:rsidR="00C857D8" w:rsidRPr="00AB11C1" w:rsidRDefault="00C857D8" w:rsidP="00647DC6">
            <w:pPr>
              <w:autoSpaceDE w:val="0"/>
              <w:autoSpaceDN w:val="0"/>
              <w:adjustRightInd w:val="0"/>
              <w:rPr>
                <w:rFonts w:asciiTheme="minorHAnsi" w:hAnsiTheme="minorHAnsi" w:cstheme="minorHAnsi"/>
                <w:bCs/>
                <w:szCs w:val="22"/>
              </w:rPr>
            </w:pPr>
            <w:r>
              <w:rPr>
                <w:rFonts w:ascii="Calibri" w:hAnsi="Calibri"/>
                <w:color w:val="000000"/>
              </w:rPr>
              <w:t xml:space="preserve"> </w:t>
            </w:r>
            <w:r w:rsidRPr="00021DE2">
              <w:rPr>
                <w:rFonts w:ascii="Calibri" w:hAnsi="Calibri"/>
                <w:color w:val="000000"/>
              </w:rPr>
              <w:t>75,117</w:t>
            </w:r>
            <w:r w:rsidRPr="00AB11C1">
              <w:rPr>
                <w:rFonts w:asciiTheme="minorHAnsi" w:hAnsiTheme="minorHAnsi" w:cstheme="minorHAnsi"/>
                <w:bCs/>
                <w:szCs w:val="22"/>
              </w:rPr>
              <w:t xml:space="preserve"> (</w:t>
            </w:r>
            <w:r w:rsidRPr="00021DE2">
              <w:rPr>
                <w:rFonts w:ascii="Calibri" w:hAnsi="Calibri"/>
                <w:color w:val="000000"/>
              </w:rPr>
              <w:t>100.0%</w:t>
            </w:r>
            <w:r>
              <w:rPr>
                <w:rFonts w:ascii="Calibri" w:hAnsi="Calibri"/>
                <w:color w:val="000000"/>
              </w:rPr>
              <w:t>)</w:t>
            </w:r>
          </w:p>
        </w:tc>
        <w:tc>
          <w:tcPr>
            <w:tcW w:w="1890" w:type="dxa"/>
            <w:tcBorders>
              <w:bottom w:val="single" w:sz="4" w:space="0" w:color="auto"/>
            </w:tcBorders>
          </w:tcPr>
          <w:p w14:paraId="00CCCF09" w14:textId="77777777" w:rsidR="00C857D8" w:rsidRPr="00AB11C1" w:rsidRDefault="00C857D8" w:rsidP="00647DC6">
            <w:pPr>
              <w:autoSpaceDE w:val="0"/>
              <w:autoSpaceDN w:val="0"/>
              <w:adjustRightInd w:val="0"/>
              <w:jc w:val="right"/>
              <w:rPr>
                <w:rFonts w:asciiTheme="minorHAnsi" w:hAnsiTheme="minorHAnsi" w:cstheme="minorHAnsi"/>
                <w:bCs/>
                <w:szCs w:val="22"/>
              </w:rPr>
            </w:pPr>
            <w:r w:rsidRPr="00021DE2">
              <w:rPr>
                <w:rFonts w:ascii="Calibri" w:hAnsi="Calibri"/>
                <w:color w:val="000000"/>
              </w:rPr>
              <w:t>5,559,065</w:t>
            </w:r>
            <w:r w:rsidRPr="00AB11C1">
              <w:rPr>
                <w:rFonts w:asciiTheme="minorHAnsi" w:hAnsiTheme="minorHAnsi" w:cstheme="minorHAnsi"/>
                <w:bCs/>
                <w:szCs w:val="22"/>
              </w:rPr>
              <w:t xml:space="preserve"> (</w:t>
            </w:r>
            <w:r w:rsidRPr="00021DE2">
              <w:rPr>
                <w:rFonts w:ascii="Calibri" w:hAnsi="Calibri"/>
                <w:color w:val="000000"/>
              </w:rPr>
              <w:t>100.0%</w:t>
            </w:r>
            <w:r>
              <w:rPr>
                <w:rFonts w:ascii="Calibri" w:hAnsi="Calibri"/>
                <w:color w:val="000000"/>
              </w:rPr>
              <w:t>)</w:t>
            </w:r>
          </w:p>
        </w:tc>
        <w:tc>
          <w:tcPr>
            <w:tcW w:w="1980" w:type="dxa"/>
            <w:tcBorders>
              <w:bottom w:val="single" w:sz="4" w:space="0" w:color="auto"/>
            </w:tcBorders>
          </w:tcPr>
          <w:p w14:paraId="4C2F4F1B" w14:textId="77777777" w:rsidR="00C857D8" w:rsidRPr="00AB11C1" w:rsidRDefault="00C857D8" w:rsidP="00647DC6">
            <w:pPr>
              <w:autoSpaceDE w:val="0"/>
              <w:autoSpaceDN w:val="0"/>
              <w:adjustRightInd w:val="0"/>
              <w:jc w:val="right"/>
              <w:rPr>
                <w:rFonts w:asciiTheme="minorHAnsi" w:hAnsiTheme="minorHAnsi" w:cstheme="minorHAnsi"/>
                <w:bCs/>
              </w:rPr>
            </w:pPr>
            <w:r w:rsidRPr="00021DE2">
              <w:rPr>
                <w:rFonts w:ascii="Calibri" w:hAnsi="Calibri"/>
                <w:color w:val="000000"/>
              </w:rPr>
              <w:t>5,634,182</w:t>
            </w:r>
            <w:r>
              <w:rPr>
                <w:rFonts w:asciiTheme="minorHAnsi" w:hAnsiTheme="minorHAnsi" w:cstheme="minorHAnsi"/>
                <w:bCs/>
              </w:rPr>
              <w:t xml:space="preserve"> (100.0%)</w:t>
            </w:r>
          </w:p>
        </w:tc>
      </w:tr>
    </w:tbl>
    <w:p w14:paraId="21E173E4" w14:textId="77777777" w:rsidR="00C857D8" w:rsidRDefault="00C857D8" w:rsidP="00C857D8">
      <w:pPr>
        <w:autoSpaceDE w:val="0"/>
        <w:autoSpaceDN w:val="0"/>
        <w:adjustRightInd w:val="0"/>
        <w:spacing w:after="0" w:line="240" w:lineRule="auto"/>
        <w:rPr>
          <w:rFonts w:cstheme="minorHAnsi"/>
          <w:bCs/>
          <w:sz w:val="18"/>
        </w:rPr>
      </w:pPr>
      <w:r>
        <w:rPr>
          <w:rFonts w:cstheme="minorHAnsi"/>
          <w:bCs/>
          <w:sz w:val="18"/>
        </w:rPr>
        <w:t>Acumen</w:t>
      </w:r>
      <w:r w:rsidRPr="0090361B">
        <w:rPr>
          <w:rFonts w:cstheme="minorHAnsi"/>
          <w:bCs/>
          <w:sz w:val="18"/>
        </w:rPr>
        <w:t xml:space="preserve"> Analysis of Medicare Claims File</w:t>
      </w:r>
      <w:r>
        <w:rPr>
          <w:rFonts w:cstheme="minorHAnsi"/>
          <w:bCs/>
          <w:sz w:val="18"/>
        </w:rPr>
        <w:t xml:space="preserve"> and OASIS Assessments (M2310 Item)</w:t>
      </w:r>
      <w:r w:rsidRPr="0090361B">
        <w:rPr>
          <w:rFonts w:cstheme="minorHAnsi"/>
          <w:bCs/>
          <w:sz w:val="18"/>
        </w:rPr>
        <w:t xml:space="preserve"> for </w:t>
      </w:r>
      <w:r>
        <w:rPr>
          <w:rFonts w:cstheme="minorHAnsi"/>
          <w:bCs/>
          <w:sz w:val="18"/>
        </w:rPr>
        <w:t>HH</w:t>
      </w:r>
      <w:r w:rsidRPr="0090361B">
        <w:rPr>
          <w:rFonts w:cstheme="minorHAnsi"/>
          <w:bCs/>
          <w:sz w:val="18"/>
        </w:rPr>
        <w:t xml:space="preserve">, </w:t>
      </w:r>
      <w:r>
        <w:rPr>
          <w:rFonts w:cstheme="minorHAnsi"/>
          <w:bCs/>
          <w:sz w:val="18"/>
        </w:rPr>
        <w:t>CY</w:t>
      </w:r>
      <w:r w:rsidRPr="0090361B">
        <w:rPr>
          <w:rFonts w:cstheme="minorHAnsi"/>
          <w:bCs/>
          <w:sz w:val="18"/>
        </w:rPr>
        <w:t xml:space="preserve"> 201</w:t>
      </w:r>
      <w:r>
        <w:rPr>
          <w:rFonts w:cstheme="minorHAnsi"/>
          <w:bCs/>
          <w:sz w:val="18"/>
        </w:rPr>
        <w:t>5</w:t>
      </w:r>
      <w:r w:rsidRPr="0090361B">
        <w:rPr>
          <w:rFonts w:cstheme="minorHAnsi"/>
          <w:bCs/>
          <w:sz w:val="18"/>
        </w:rPr>
        <w:t>-201</w:t>
      </w:r>
      <w:r>
        <w:rPr>
          <w:rFonts w:cstheme="minorHAnsi"/>
          <w:bCs/>
          <w:sz w:val="18"/>
        </w:rPr>
        <w:t xml:space="preserve">6. </w:t>
      </w:r>
      <w:r w:rsidRPr="0090361B">
        <w:rPr>
          <w:rFonts w:cstheme="minorHAnsi"/>
          <w:bCs/>
          <w:sz w:val="18"/>
        </w:rPr>
        <w:t xml:space="preserve"> </w:t>
      </w:r>
      <w:r>
        <w:rPr>
          <w:rFonts w:cstheme="minorHAnsi"/>
          <w:bCs/>
          <w:sz w:val="18"/>
        </w:rPr>
        <w:t>Note: Analysis includes the Start of Care, Resumption of Care, and End of Care assessments. The analysis aggregates results from all assessments matching the stay from the first assessment to the last assessment.</w:t>
      </w:r>
    </w:p>
    <w:p w14:paraId="74FDEA7A" w14:textId="77777777" w:rsidR="00C857D8" w:rsidRDefault="00C857D8" w:rsidP="00C857D8">
      <w:pPr>
        <w:pStyle w:val="ListParagraph"/>
        <w:autoSpaceDE w:val="0"/>
        <w:autoSpaceDN w:val="0"/>
        <w:adjustRightInd w:val="0"/>
        <w:spacing w:after="0" w:line="240" w:lineRule="auto"/>
        <w:rPr>
          <w:rFonts w:cstheme="minorHAnsi"/>
          <w:bCs/>
        </w:rPr>
      </w:pPr>
    </w:p>
    <w:p w14:paraId="232409C1" w14:textId="77777777" w:rsidR="00C857D8" w:rsidRDefault="00C857D8" w:rsidP="00C857D8">
      <w:pPr>
        <w:pStyle w:val="ListParagraph"/>
        <w:autoSpaceDE w:val="0"/>
        <w:autoSpaceDN w:val="0"/>
        <w:adjustRightInd w:val="0"/>
        <w:spacing w:after="0" w:line="240" w:lineRule="auto"/>
        <w:rPr>
          <w:rFonts w:cstheme="minorHAnsi"/>
          <w:bCs/>
        </w:rPr>
      </w:pPr>
    </w:p>
    <w:p w14:paraId="1732B9C7" w14:textId="1C2530B8" w:rsidR="003B21BB" w:rsidRPr="003B21BB" w:rsidRDefault="00C857D8" w:rsidP="003B21BB">
      <w:pPr>
        <w:pStyle w:val="ListParagraph"/>
        <w:numPr>
          <w:ilvl w:val="1"/>
          <w:numId w:val="15"/>
        </w:numPr>
        <w:autoSpaceDE w:val="0"/>
        <w:autoSpaceDN w:val="0"/>
        <w:adjustRightInd w:val="0"/>
        <w:spacing w:after="0" w:line="240" w:lineRule="auto"/>
        <w:rPr>
          <w:rFonts w:cstheme="minorHAnsi"/>
          <w:bCs/>
        </w:rPr>
      </w:pPr>
      <w:r w:rsidRPr="005029B4">
        <w:rPr>
          <w:rFonts w:cstheme="minorHAnsi"/>
          <w:b/>
        </w:rPr>
        <w:t xml:space="preserve">Known-groups validity testing </w:t>
      </w:r>
      <w:r w:rsidR="00DA5E75">
        <w:rPr>
          <w:rFonts w:cstheme="minorHAnsi"/>
          <w:b/>
        </w:rPr>
        <w:t>for</w:t>
      </w:r>
      <w:r w:rsidRPr="005029B4">
        <w:rPr>
          <w:rFonts w:cstheme="minorHAnsi"/>
          <w:b/>
        </w:rPr>
        <w:t xml:space="preserve"> </w:t>
      </w:r>
      <w:r>
        <w:rPr>
          <w:rFonts w:cstheme="minorHAnsi"/>
          <w:b/>
        </w:rPr>
        <w:t>patient</w:t>
      </w:r>
      <w:r w:rsidRPr="005029B4">
        <w:rPr>
          <w:rFonts w:cstheme="minorHAnsi"/>
          <w:b/>
        </w:rPr>
        <w:t xml:space="preserve"> </w:t>
      </w:r>
      <w:r w:rsidR="003B21BB">
        <w:rPr>
          <w:rFonts w:cstheme="minorHAnsi"/>
          <w:b/>
        </w:rPr>
        <w:t>cognitive function</w:t>
      </w:r>
    </w:p>
    <w:p w14:paraId="5B20D63D" w14:textId="77777777" w:rsidR="003B21BB" w:rsidRPr="003B21BB" w:rsidRDefault="003B21BB" w:rsidP="003B21BB">
      <w:pPr>
        <w:pStyle w:val="ListParagraph"/>
        <w:autoSpaceDE w:val="0"/>
        <w:autoSpaceDN w:val="0"/>
        <w:adjustRightInd w:val="0"/>
        <w:spacing w:after="0" w:line="240" w:lineRule="auto"/>
        <w:ind w:left="1440"/>
        <w:rPr>
          <w:rFonts w:cstheme="minorHAnsi"/>
          <w:bCs/>
        </w:rPr>
      </w:pPr>
    </w:p>
    <w:p w14:paraId="1320415B" w14:textId="1EA5D674" w:rsidR="00AB20EA" w:rsidRPr="00F46019" w:rsidRDefault="003B21BB" w:rsidP="003B21BB">
      <w:pPr>
        <w:pStyle w:val="ListParagraph"/>
        <w:autoSpaceDE w:val="0"/>
        <w:autoSpaceDN w:val="0"/>
        <w:adjustRightInd w:val="0"/>
        <w:spacing w:after="0" w:line="240" w:lineRule="auto"/>
        <w:ind w:left="1440"/>
        <w:rPr>
          <w:rFonts w:cstheme="minorHAnsi"/>
          <w:bCs/>
        </w:rPr>
      </w:pPr>
      <w:r>
        <w:rPr>
          <w:rFonts w:cstheme="minorHAnsi"/>
          <w:bCs/>
        </w:rPr>
        <w:t>T</w:t>
      </w:r>
      <w:r w:rsidR="00AB20EA">
        <w:rPr>
          <w:rFonts w:cstheme="minorHAnsi"/>
          <w:bCs/>
        </w:rPr>
        <w:t xml:space="preserve">he successful discharge to community rate was overall high </w:t>
      </w:r>
      <w:r w:rsidR="00A44B02">
        <w:rPr>
          <w:rFonts w:cstheme="minorHAnsi"/>
          <w:bCs/>
        </w:rPr>
        <w:t>for</w:t>
      </w:r>
      <w:r w:rsidR="00AB20EA">
        <w:rPr>
          <w:rFonts w:cstheme="minorHAnsi"/>
          <w:bCs/>
        </w:rPr>
        <w:t xml:space="preserve"> the </w:t>
      </w:r>
      <w:r w:rsidR="00007B58">
        <w:rPr>
          <w:rFonts w:cstheme="minorHAnsi"/>
          <w:bCs/>
        </w:rPr>
        <w:t xml:space="preserve">alert and oriented </w:t>
      </w:r>
      <w:r w:rsidR="00DF6DCA">
        <w:rPr>
          <w:rFonts w:cstheme="minorHAnsi"/>
          <w:bCs/>
        </w:rPr>
        <w:t xml:space="preserve">(91.8%) </w:t>
      </w:r>
      <w:r w:rsidR="00A44B02">
        <w:rPr>
          <w:rFonts w:cstheme="minorHAnsi"/>
          <w:bCs/>
        </w:rPr>
        <w:t>and lower for</w:t>
      </w:r>
      <w:r w:rsidR="00AB20EA">
        <w:rPr>
          <w:rFonts w:cstheme="minorHAnsi"/>
          <w:bCs/>
        </w:rPr>
        <w:t xml:space="preserve"> totally dependent</w:t>
      </w:r>
      <w:r w:rsidR="00A44B02">
        <w:rPr>
          <w:rFonts w:cstheme="minorHAnsi"/>
          <w:bCs/>
        </w:rPr>
        <w:t xml:space="preserve"> </w:t>
      </w:r>
      <w:r w:rsidR="00AB20EA">
        <w:rPr>
          <w:rFonts w:cstheme="minorHAnsi"/>
          <w:bCs/>
        </w:rPr>
        <w:t xml:space="preserve">cognition function score </w:t>
      </w:r>
      <w:r w:rsidR="00A44B02">
        <w:rPr>
          <w:rFonts w:cstheme="minorHAnsi"/>
          <w:bCs/>
        </w:rPr>
        <w:t>at discharge</w:t>
      </w:r>
      <w:r w:rsidR="00087A42">
        <w:rPr>
          <w:rFonts w:cstheme="minorHAnsi"/>
          <w:bCs/>
        </w:rPr>
        <w:t xml:space="preserve"> from agency</w:t>
      </w:r>
      <w:r w:rsidR="00A44B02">
        <w:rPr>
          <w:rFonts w:cstheme="minorHAnsi"/>
          <w:bCs/>
        </w:rPr>
        <w:t xml:space="preserve"> </w:t>
      </w:r>
      <w:r w:rsidR="00AB20EA">
        <w:rPr>
          <w:rFonts w:cstheme="minorHAnsi"/>
          <w:bCs/>
        </w:rPr>
        <w:t>(85.7%</w:t>
      </w:r>
      <w:r w:rsidR="00DF6DCA">
        <w:rPr>
          <w:rFonts w:cstheme="minorHAnsi"/>
          <w:bCs/>
        </w:rPr>
        <w:t xml:space="preserve"> - 89.3%</w:t>
      </w:r>
      <w:r w:rsidR="00AB20EA">
        <w:rPr>
          <w:rFonts w:cstheme="minorHAnsi"/>
          <w:bCs/>
        </w:rPr>
        <w:t>)</w:t>
      </w:r>
      <w:r w:rsidR="0027683E">
        <w:rPr>
          <w:rFonts w:cstheme="minorHAnsi"/>
          <w:bCs/>
        </w:rPr>
        <w:t xml:space="preserve"> </w:t>
      </w:r>
      <w:r w:rsidR="0027683E" w:rsidRPr="00DC547F">
        <w:rPr>
          <w:rFonts w:cstheme="minorHAnsi"/>
          <w:bCs/>
        </w:rPr>
        <w:t>(</w:t>
      </w:r>
      <w:r w:rsidR="0027683E" w:rsidRPr="00DC547F">
        <w:rPr>
          <w:rFonts w:cstheme="minorHAnsi"/>
          <w:b/>
          <w:bCs/>
        </w:rPr>
        <w:t xml:space="preserve">Table </w:t>
      </w:r>
      <w:r w:rsidR="0027683E">
        <w:rPr>
          <w:rFonts w:cstheme="minorHAnsi"/>
          <w:b/>
          <w:bCs/>
        </w:rPr>
        <w:t>7</w:t>
      </w:r>
      <w:r w:rsidR="0027683E">
        <w:rPr>
          <w:rFonts w:cstheme="minorHAnsi"/>
          <w:bCs/>
        </w:rPr>
        <w:t>)</w:t>
      </w:r>
      <w:r w:rsidR="00AB20EA">
        <w:rPr>
          <w:rFonts w:cstheme="minorHAnsi"/>
          <w:bCs/>
        </w:rPr>
        <w:t>.</w:t>
      </w:r>
    </w:p>
    <w:p w14:paraId="5778042B" w14:textId="77777777" w:rsidR="00AB20EA" w:rsidRDefault="00AB20EA" w:rsidP="00AB20EA">
      <w:pPr>
        <w:autoSpaceDE w:val="0"/>
        <w:autoSpaceDN w:val="0"/>
        <w:adjustRightInd w:val="0"/>
        <w:spacing w:after="0" w:line="240" w:lineRule="auto"/>
        <w:rPr>
          <w:rFonts w:cstheme="minorHAnsi"/>
          <w:b/>
          <w:bCs/>
        </w:rPr>
      </w:pPr>
    </w:p>
    <w:p w14:paraId="7B62E85F" w14:textId="0495B5F2" w:rsidR="00C82B38" w:rsidRDefault="00AB20EA" w:rsidP="00173658">
      <w:pPr>
        <w:autoSpaceDE w:val="0"/>
        <w:autoSpaceDN w:val="0"/>
        <w:adjustRightInd w:val="0"/>
        <w:spacing w:after="0" w:line="240" w:lineRule="auto"/>
        <w:jc w:val="center"/>
        <w:rPr>
          <w:rFonts w:cstheme="minorHAnsi"/>
          <w:bCs/>
        </w:rPr>
      </w:pPr>
      <w:r w:rsidRPr="00B872F3">
        <w:rPr>
          <w:rFonts w:cstheme="minorHAnsi"/>
          <w:b/>
          <w:bCs/>
        </w:rPr>
        <w:t xml:space="preserve">Table </w:t>
      </w:r>
      <w:r>
        <w:rPr>
          <w:rFonts w:cstheme="minorHAnsi"/>
          <w:b/>
          <w:bCs/>
        </w:rPr>
        <w:t>7</w:t>
      </w:r>
      <w:r w:rsidRPr="00B872F3">
        <w:rPr>
          <w:rFonts w:cstheme="minorHAnsi"/>
          <w:b/>
          <w:bCs/>
        </w:rPr>
        <w:t>.</w:t>
      </w:r>
      <w:r>
        <w:rPr>
          <w:rFonts w:cstheme="minorHAnsi"/>
          <w:bCs/>
        </w:rPr>
        <w:t xml:space="preserve"> </w:t>
      </w:r>
      <w:r w:rsidR="00C82B38" w:rsidRPr="00C857D8">
        <w:rPr>
          <w:rFonts w:cstheme="minorHAnsi"/>
          <w:b/>
          <w:bCs/>
        </w:rPr>
        <w:t>Successful DTC Rate by Cognitive Function Score at Discharge</w:t>
      </w:r>
      <w:r w:rsidR="006E2297">
        <w:rPr>
          <w:rFonts w:cstheme="minorHAnsi"/>
          <w:b/>
          <w:bCs/>
        </w:rPr>
        <w:t xml:space="preserve"> (</w:t>
      </w:r>
      <w:r w:rsidR="000B2B60">
        <w:rPr>
          <w:rFonts w:cstheme="minorHAnsi"/>
          <w:b/>
          <w:bCs/>
        </w:rPr>
        <w:t>Stay-level</w:t>
      </w:r>
      <w:r w:rsidR="006E2297">
        <w:rPr>
          <w:rFonts w:cstheme="minorHAnsi"/>
          <w:b/>
          <w:bCs/>
        </w:rPr>
        <w:t>)</w:t>
      </w:r>
    </w:p>
    <w:tbl>
      <w:tblPr>
        <w:tblW w:w="5670" w:type="dxa"/>
        <w:jc w:val="center"/>
        <w:tblLook w:val="04A0" w:firstRow="1" w:lastRow="0" w:firstColumn="1" w:lastColumn="0" w:noHBand="0" w:noVBand="1"/>
      </w:tblPr>
      <w:tblGrid>
        <w:gridCol w:w="3420"/>
        <w:gridCol w:w="1107"/>
        <w:gridCol w:w="1143"/>
      </w:tblGrid>
      <w:tr w:rsidR="00AB20EA" w:rsidRPr="00564D10" w14:paraId="45EDC8B6" w14:textId="77777777" w:rsidTr="00095F89">
        <w:trPr>
          <w:trHeight w:val="805"/>
          <w:jc w:val="center"/>
        </w:trPr>
        <w:tc>
          <w:tcPr>
            <w:tcW w:w="3420" w:type="dxa"/>
            <w:tcBorders>
              <w:top w:val="single" w:sz="8" w:space="0" w:color="auto"/>
              <w:left w:val="nil"/>
              <w:bottom w:val="single" w:sz="4" w:space="0" w:color="auto"/>
              <w:right w:val="nil"/>
            </w:tcBorders>
            <w:shd w:val="clear" w:color="000000" w:fill="D9D9D9"/>
            <w:vAlign w:val="bottom"/>
            <w:hideMark/>
          </w:tcPr>
          <w:p w14:paraId="1BC32CC1" w14:textId="77777777" w:rsidR="00AB20EA" w:rsidRPr="00564D10" w:rsidRDefault="00AB20EA" w:rsidP="00095F89">
            <w:pPr>
              <w:spacing w:after="0" w:line="240" w:lineRule="auto"/>
              <w:jc w:val="center"/>
              <w:rPr>
                <w:rFonts w:ascii="Calibri" w:eastAsia="Times New Roman" w:hAnsi="Calibri" w:cs="Times New Roman"/>
                <w:b/>
                <w:bCs/>
                <w:color w:val="000000"/>
              </w:rPr>
            </w:pPr>
            <w:r w:rsidRPr="00564D10">
              <w:rPr>
                <w:rFonts w:ascii="Calibri" w:eastAsia="Times New Roman" w:hAnsi="Calibri" w:cs="Times New Roman"/>
                <w:b/>
                <w:bCs/>
                <w:color w:val="000000"/>
              </w:rPr>
              <w:t>HH Cognitive Function Score</w:t>
            </w:r>
          </w:p>
        </w:tc>
        <w:tc>
          <w:tcPr>
            <w:tcW w:w="1107" w:type="dxa"/>
            <w:tcBorders>
              <w:top w:val="single" w:sz="8" w:space="0" w:color="auto"/>
              <w:left w:val="nil"/>
              <w:bottom w:val="single" w:sz="4" w:space="0" w:color="auto"/>
              <w:right w:val="nil"/>
            </w:tcBorders>
            <w:shd w:val="clear" w:color="000000" w:fill="D9D9D9"/>
            <w:noWrap/>
            <w:vAlign w:val="bottom"/>
            <w:hideMark/>
          </w:tcPr>
          <w:p w14:paraId="29989958" w14:textId="77777777" w:rsidR="00AB20EA" w:rsidRPr="00564D10" w:rsidRDefault="00AB20EA" w:rsidP="00095F89">
            <w:pPr>
              <w:spacing w:after="0" w:line="240" w:lineRule="auto"/>
              <w:jc w:val="center"/>
              <w:rPr>
                <w:rFonts w:ascii="Calibri" w:eastAsia="Times New Roman" w:hAnsi="Calibri" w:cs="Times New Roman"/>
                <w:b/>
                <w:bCs/>
                <w:color w:val="000000"/>
              </w:rPr>
            </w:pPr>
            <w:r w:rsidRPr="00564D10">
              <w:rPr>
                <w:rFonts w:ascii="Calibri" w:eastAsia="Times New Roman" w:hAnsi="Calibri" w:cs="Times New Roman"/>
                <w:b/>
                <w:bCs/>
                <w:color w:val="000000"/>
              </w:rPr>
              <w:t>Count</w:t>
            </w:r>
          </w:p>
        </w:tc>
        <w:tc>
          <w:tcPr>
            <w:tcW w:w="1143" w:type="dxa"/>
            <w:tcBorders>
              <w:top w:val="single" w:sz="8" w:space="0" w:color="auto"/>
              <w:left w:val="nil"/>
              <w:bottom w:val="single" w:sz="4" w:space="0" w:color="auto"/>
              <w:right w:val="nil"/>
            </w:tcBorders>
            <w:shd w:val="clear" w:color="000000" w:fill="D9D9D9"/>
            <w:noWrap/>
            <w:vAlign w:val="bottom"/>
            <w:hideMark/>
          </w:tcPr>
          <w:p w14:paraId="5E3F8568" w14:textId="77777777" w:rsidR="00AB20EA" w:rsidRPr="00564D10" w:rsidRDefault="00AB20EA" w:rsidP="00095F89">
            <w:pPr>
              <w:spacing w:after="0" w:line="240" w:lineRule="auto"/>
              <w:jc w:val="center"/>
              <w:rPr>
                <w:rFonts w:ascii="Calibri" w:eastAsia="Times New Roman" w:hAnsi="Calibri" w:cs="Times New Roman"/>
                <w:b/>
                <w:bCs/>
                <w:color w:val="000000"/>
              </w:rPr>
            </w:pPr>
            <w:r w:rsidRPr="00564D10">
              <w:rPr>
                <w:rFonts w:ascii="Calibri" w:eastAsia="Times New Roman" w:hAnsi="Calibri" w:cs="Times New Roman"/>
                <w:b/>
                <w:bCs/>
                <w:color w:val="000000"/>
              </w:rPr>
              <w:t>Percent</w:t>
            </w:r>
          </w:p>
        </w:tc>
      </w:tr>
      <w:tr w:rsidR="00AB20EA" w:rsidRPr="00564D10" w14:paraId="7729655B" w14:textId="77777777" w:rsidTr="00EA6EDD">
        <w:trPr>
          <w:trHeight w:val="402"/>
          <w:jc w:val="center"/>
        </w:trPr>
        <w:tc>
          <w:tcPr>
            <w:tcW w:w="3420" w:type="dxa"/>
            <w:tcBorders>
              <w:top w:val="nil"/>
              <w:left w:val="nil"/>
              <w:bottom w:val="nil"/>
              <w:right w:val="nil"/>
            </w:tcBorders>
            <w:shd w:val="clear" w:color="auto" w:fill="auto"/>
            <w:hideMark/>
          </w:tcPr>
          <w:p w14:paraId="4E39D777" w14:textId="77777777" w:rsidR="00AB20EA" w:rsidRPr="00564D10" w:rsidRDefault="00AB20EA" w:rsidP="00095F89">
            <w:pPr>
              <w:spacing w:after="0" w:line="240" w:lineRule="auto"/>
              <w:rPr>
                <w:rFonts w:ascii="Calibri" w:eastAsia="Times New Roman" w:hAnsi="Calibri" w:cs="Times New Roman"/>
                <w:color w:val="000000"/>
              </w:rPr>
            </w:pPr>
            <w:r w:rsidRPr="00564D10">
              <w:rPr>
                <w:rFonts w:ascii="Calibri" w:eastAsia="Times New Roman" w:hAnsi="Calibri" w:cs="Times New Roman"/>
                <w:b/>
                <w:bCs/>
                <w:color w:val="000000"/>
              </w:rPr>
              <w:t xml:space="preserve">Best: </w:t>
            </w:r>
            <w:r>
              <w:rPr>
                <w:rFonts w:ascii="Calibri" w:eastAsia="Times New Roman" w:hAnsi="Calibri" w:cs="Times New Roman"/>
                <w:color w:val="000000"/>
              </w:rPr>
              <w:t>0</w:t>
            </w:r>
            <w:r w:rsidRPr="00564D10">
              <w:rPr>
                <w:rFonts w:ascii="Calibri" w:eastAsia="Times New Roman" w:hAnsi="Calibri" w:cs="Times New Roman"/>
                <w:color w:val="000000"/>
              </w:rPr>
              <w:t xml:space="preserve">. </w:t>
            </w:r>
            <w:r>
              <w:rPr>
                <w:rFonts w:ascii="Calibri" w:eastAsia="Times New Roman" w:hAnsi="Calibri" w:cs="Times New Roman"/>
                <w:color w:val="000000"/>
              </w:rPr>
              <w:t>Alert and Oriented</w:t>
            </w:r>
          </w:p>
        </w:tc>
        <w:tc>
          <w:tcPr>
            <w:tcW w:w="1107" w:type="dxa"/>
            <w:tcBorders>
              <w:top w:val="nil"/>
              <w:left w:val="nil"/>
              <w:bottom w:val="nil"/>
              <w:right w:val="nil"/>
            </w:tcBorders>
            <w:shd w:val="clear" w:color="auto" w:fill="auto"/>
            <w:noWrap/>
            <w:vAlign w:val="bottom"/>
            <w:hideMark/>
          </w:tcPr>
          <w:p w14:paraId="1C0BD8E8" w14:textId="77777777" w:rsidR="00AB20EA" w:rsidRPr="00564D10" w:rsidRDefault="00AB20EA" w:rsidP="00095F89">
            <w:pPr>
              <w:spacing w:after="0" w:line="240" w:lineRule="auto"/>
              <w:jc w:val="right"/>
              <w:rPr>
                <w:rFonts w:ascii="Calibri" w:eastAsia="Times New Roman" w:hAnsi="Calibri" w:cs="Times New Roman"/>
              </w:rPr>
            </w:pPr>
            <w:r w:rsidRPr="00564D10">
              <w:rPr>
                <w:rFonts w:ascii="Calibri" w:eastAsia="Times New Roman" w:hAnsi="Calibri" w:cs="Times New Roman"/>
              </w:rPr>
              <w:t>3,164,109</w:t>
            </w:r>
          </w:p>
        </w:tc>
        <w:tc>
          <w:tcPr>
            <w:tcW w:w="1143" w:type="dxa"/>
            <w:tcBorders>
              <w:top w:val="nil"/>
              <w:left w:val="nil"/>
              <w:bottom w:val="nil"/>
              <w:right w:val="nil"/>
            </w:tcBorders>
            <w:shd w:val="clear" w:color="auto" w:fill="auto"/>
            <w:noWrap/>
            <w:vAlign w:val="bottom"/>
            <w:hideMark/>
          </w:tcPr>
          <w:p w14:paraId="0D8D0C9C" w14:textId="77777777" w:rsidR="00AB20EA" w:rsidRPr="00564D10" w:rsidRDefault="00AB20EA" w:rsidP="00095F89">
            <w:pPr>
              <w:spacing w:after="0" w:line="240" w:lineRule="auto"/>
              <w:jc w:val="right"/>
              <w:rPr>
                <w:rFonts w:ascii="Calibri" w:eastAsia="Times New Roman" w:hAnsi="Calibri" w:cs="Times New Roman"/>
              </w:rPr>
            </w:pPr>
            <w:r w:rsidRPr="00564D10">
              <w:rPr>
                <w:rFonts w:ascii="Calibri" w:eastAsia="Times New Roman" w:hAnsi="Calibri" w:cs="Times New Roman"/>
              </w:rPr>
              <w:t>91.8%</w:t>
            </w:r>
          </w:p>
        </w:tc>
      </w:tr>
      <w:tr w:rsidR="00AB20EA" w:rsidRPr="00564D10" w14:paraId="5F1BD65E" w14:textId="77777777" w:rsidTr="00EA6EDD">
        <w:trPr>
          <w:trHeight w:val="198"/>
          <w:jc w:val="center"/>
        </w:trPr>
        <w:tc>
          <w:tcPr>
            <w:tcW w:w="3420" w:type="dxa"/>
            <w:tcBorders>
              <w:top w:val="nil"/>
              <w:left w:val="nil"/>
              <w:bottom w:val="nil"/>
              <w:right w:val="nil"/>
            </w:tcBorders>
            <w:shd w:val="clear" w:color="auto" w:fill="auto"/>
            <w:noWrap/>
            <w:vAlign w:val="bottom"/>
            <w:hideMark/>
          </w:tcPr>
          <w:p w14:paraId="0A22461A" w14:textId="341B6FF8" w:rsidR="00AB20EA" w:rsidRPr="00564D10" w:rsidRDefault="00AB20EA" w:rsidP="00095F89">
            <w:pPr>
              <w:spacing w:after="0" w:line="240" w:lineRule="auto"/>
              <w:rPr>
                <w:rFonts w:ascii="Calibri" w:eastAsia="Times New Roman" w:hAnsi="Calibri" w:cs="Times New Roman"/>
                <w:color w:val="000000"/>
              </w:rPr>
            </w:pPr>
            <w:r>
              <w:rPr>
                <w:rFonts w:ascii="Calibri" w:eastAsia="Times New Roman" w:hAnsi="Calibri" w:cs="Times New Roman"/>
                <w:color w:val="000000"/>
              </w:rPr>
              <w:t>1</w:t>
            </w:r>
            <w:r w:rsidR="00BC7EB5">
              <w:rPr>
                <w:rFonts w:ascii="Calibri" w:eastAsia="Times New Roman" w:hAnsi="Calibri" w:cs="Times New Roman"/>
                <w:color w:val="000000"/>
              </w:rPr>
              <w:t>.</w:t>
            </w:r>
            <w:r w:rsidRPr="00564D10">
              <w:rPr>
                <w:rFonts w:ascii="Calibri" w:eastAsia="Times New Roman" w:hAnsi="Calibri" w:cs="Times New Roman"/>
                <w:color w:val="000000"/>
              </w:rPr>
              <w:t xml:space="preserve"> Requires Prompting</w:t>
            </w:r>
          </w:p>
        </w:tc>
        <w:tc>
          <w:tcPr>
            <w:tcW w:w="1107" w:type="dxa"/>
            <w:tcBorders>
              <w:top w:val="nil"/>
              <w:left w:val="nil"/>
              <w:bottom w:val="nil"/>
              <w:right w:val="nil"/>
            </w:tcBorders>
            <w:shd w:val="clear" w:color="auto" w:fill="auto"/>
            <w:noWrap/>
            <w:vAlign w:val="bottom"/>
            <w:hideMark/>
          </w:tcPr>
          <w:p w14:paraId="5FE8189A" w14:textId="77777777" w:rsidR="00AB20EA" w:rsidRPr="00564D10" w:rsidRDefault="00AB20EA" w:rsidP="00095F89">
            <w:pPr>
              <w:spacing w:after="0" w:line="240" w:lineRule="auto"/>
              <w:jc w:val="right"/>
              <w:rPr>
                <w:rFonts w:ascii="Calibri" w:eastAsia="Times New Roman" w:hAnsi="Calibri" w:cs="Times New Roman"/>
              </w:rPr>
            </w:pPr>
            <w:r w:rsidRPr="00564D10">
              <w:rPr>
                <w:rFonts w:ascii="Calibri" w:eastAsia="Times New Roman" w:hAnsi="Calibri" w:cs="Times New Roman"/>
              </w:rPr>
              <w:t>994,451</w:t>
            </w:r>
          </w:p>
        </w:tc>
        <w:tc>
          <w:tcPr>
            <w:tcW w:w="1143" w:type="dxa"/>
            <w:tcBorders>
              <w:top w:val="nil"/>
              <w:left w:val="nil"/>
              <w:bottom w:val="nil"/>
              <w:right w:val="nil"/>
            </w:tcBorders>
            <w:shd w:val="clear" w:color="auto" w:fill="auto"/>
            <w:noWrap/>
            <w:vAlign w:val="bottom"/>
            <w:hideMark/>
          </w:tcPr>
          <w:p w14:paraId="6604BEE2" w14:textId="77777777" w:rsidR="00AB20EA" w:rsidRPr="00564D10" w:rsidRDefault="00AB20EA" w:rsidP="00095F89">
            <w:pPr>
              <w:spacing w:after="0" w:line="240" w:lineRule="auto"/>
              <w:jc w:val="right"/>
              <w:rPr>
                <w:rFonts w:ascii="Calibri" w:eastAsia="Times New Roman" w:hAnsi="Calibri" w:cs="Times New Roman"/>
              </w:rPr>
            </w:pPr>
            <w:r w:rsidRPr="00564D10">
              <w:rPr>
                <w:rFonts w:ascii="Calibri" w:eastAsia="Times New Roman" w:hAnsi="Calibri" w:cs="Times New Roman"/>
              </w:rPr>
              <w:t>89.3%</w:t>
            </w:r>
          </w:p>
        </w:tc>
      </w:tr>
      <w:tr w:rsidR="00AB20EA" w:rsidRPr="00564D10" w14:paraId="2ED899BF" w14:textId="77777777" w:rsidTr="00EA6EDD">
        <w:trPr>
          <w:trHeight w:val="198"/>
          <w:jc w:val="center"/>
        </w:trPr>
        <w:tc>
          <w:tcPr>
            <w:tcW w:w="3420" w:type="dxa"/>
            <w:tcBorders>
              <w:top w:val="nil"/>
              <w:left w:val="nil"/>
              <w:bottom w:val="nil"/>
              <w:right w:val="nil"/>
            </w:tcBorders>
            <w:shd w:val="clear" w:color="auto" w:fill="auto"/>
            <w:noWrap/>
            <w:vAlign w:val="bottom"/>
          </w:tcPr>
          <w:p w14:paraId="49FBAE10" w14:textId="77777777" w:rsidR="00AB20EA" w:rsidRDefault="00AB20EA" w:rsidP="00095F89">
            <w:pPr>
              <w:spacing w:after="0" w:line="240" w:lineRule="auto"/>
              <w:rPr>
                <w:rFonts w:ascii="Calibri" w:eastAsia="Times New Roman" w:hAnsi="Calibri" w:cs="Times New Roman"/>
                <w:color w:val="000000"/>
              </w:rPr>
            </w:pPr>
            <w:r>
              <w:rPr>
                <w:rFonts w:ascii="Calibri" w:eastAsia="Times New Roman" w:hAnsi="Calibri" w:cs="Times New Roman"/>
                <w:color w:val="000000"/>
              </w:rPr>
              <w:t>2</w:t>
            </w:r>
            <w:r w:rsidRPr="00564D10">
              <w:rPr>
                <w:rFonts w:ascii="Calibri" w:eastAsia="Times New Roman" w:hAnsi="Calibri" w:cs="Times New Roman"/>
                <w:color w:val="000000"/>
              </w:rPr>
              <w:t xml:space="preserve">. </w:t>
            </w:r>
            <w:r>
              <w:rPr>
                <w:rFonts w:ascii="Calibri" w:eastAsia="Times New Roman" w:hAnsi="Calibri" w:cs="Times New Roman"/>
                <w:color w:val="000000"/>
              </w:rPr>
              <w:t>Requires Some Assistance</w:t>
            </w:r>
          </w:p>
        </w:tc>
        <w:tc>
          <w:tcPr>
            <w:tcW w:w="1107" w:type="dxa"/>
            <w:tcBorders>
              <w:top w:val="nil"/>
              <w:left w:val="nil"/>
              <w:bottom w:val="nil"/>
              <w:right w:val="nil"/>
            </w:tcBorders>
            <w:shd w:val="clear" w:color="auto" w:fill="auto"/>
            <w:noWrap/>
            <w:vAlign w:val="bottom"/>
          </w:tcPr>
          <w:p w14:paraId="57517474" w14:textId="77777777" w:rsidR="00AB20EA" w:rsidRPr="00564D10" w:rsidRDefault="00AB20EA" w:rsidP="00095F89">
            <w:pPr>
              <w:spacing w:after="0" w:line="240" w:lineRule="auto"/>
              <w:jc w:val="right"/>
              <w:rPr>
                <w:rFonts w:ascii="Calibri" w:eastAsia="Times New Roman" w:hAnsi="Calibri" w:cs="Times New Roman"/>
              </w:rPr>
            </w:pPr>
            <w:r w:rsidRPr="00564D10">
              <w:rPr>
                <w:rFonts w:ascii="Calibri" w:eastAsia="Times New Roman" w:hAnsi="Calibri" w:cs="Times New Roman"/>
              </w:rPr>
              <w:t>274,906</w:t>
            </w:r>
          </w:p>
        </w:tc>
        <w:tc>
          <w:tcPr>
            <w:tcW w:w="1143" w:type="dxa"/>
            <w:tcBorders>
              <w:top w:val="nil"/>
              <w:left w:val="nil"/>
              <w:bottom w:val="nil"/>
              <w:right w:val="nil"/>
            </w:tcBorders>
            <w:shd w:val="clear" w:color="auto" w:fill="auto"/>
            <w:noWrap/>
            <w:vAlign w:val="bottom"/>
          </w:tcPr>
          <w:p w14:paraId="6AED5B68" w14:textId="77777777" w:rsidR="00AB20EA" w:rsidRPr="00564D10" w:rsidRDefault="00AB20EA" w:rsidP="00095F89">
            <w:pPr>
              <w:spacing w:after="0" w:line="240" w:lineRule="auto"/>
              <w:jc w:val="right"/>
              <w:rPr>
                <w:rFonts w:ascii="Calibri" w:eastAsia="Times New Roman" w:hAnsi="Calibri" w:cs="Times New Roman"/>
              </w:rPr>
            </w:pPr>
            <w:r w:rsidRPr="00564D10">
              <w:rPr>
                <w:rFonts w:ascii="Calibri" w:eastAsia="Times New Roman" w:hAnsi="Calibri" w:cs="Times New Roman"/>
              </w:rPr>
              <w:t>87.9%</w:t>
            </w:r>
          </w:p>
        </w:tc>
      </w:tr>
      <w:tr w:rsidR="00AB20EA" w:rsidRPr="00564D10" w14:paraId="6822835C" w14:textId="77777777" w:rsidTr="00EA6EDD">
        <w:trPr>
          <w:trHeight w:val="402"/>
          <w:jc w:val="center"/>
        </w:trPr>
        <w:tc>
          <w:tcPr>
            <w:tcW w:w="3420" w:type="dxa"/>
            <w:tcBorders>
              <w:top w:val="nil"/>
              <w:left w:val="nil"/>
              <w:right w:val="nil"/>
            </w:tcBorders>
            <w:shd w:val="clear" w:color="auto" w:fill="auto"/>
            <w:noWrap/>
            <w:vAlign w:val="bottom"/>
            <w:hideMark/>
          </w:tcPr>
          <w:p w14:paraId="468EFCB1" w14:textId="77777777" w:rsidR="00AB20EA" w:rsidRPr="00564D10" w:rsidRDefault="00AB20EA" w:rsidP="00095F89">
            <w:pPr>
              <w:spacing w:after="0" w:line="240" w:lineRule="auto"/>
              <w:rPr>
                <w:rFonts w:ascii="Calibri" w:eastAsia="Times New Roman" w:hAnsi="Calibri" w:cs="Times New Roman"/>
                <w:color w:val="000000"/>
              </w:rPr>
            </w:pPr>
            <w:r>
              <w:rPr>
                <w:rFonts w:ascii="Calibri" w:eastAsia="Times New Roman" w:hAnsi="Calibri" w:cs="Times New Roman"/>
                <w:color w:val="000000"/>
              </w:rPr>
              <w:t>3</w:t>
            </w:r>
            <w:r w:rsidRPr="00564D10">
              <w:rPr>
                <w:rFonts w:ascii="Calibri" w:eastAsia="Times New Roman" w:hAnsi="Calibri" w:cs="Times New Roman"/>
                <w:color w:val="000000"/>
              </w:rPr>
              <w:t xml:space="preserve">. </w:t>
            </w:r>
            <w:r>
              <w:rPr>
                <w:rFonts w:ascii="Calibri" w:eastAsia="Times New Roman" w:hAnsi="Calibri" w:cs="Times New Roman"/>
                <w:color w:val="000000"/>
              </w:rPr>
              <w:t>Requires Considerable Assistance</w:t>
            </w:r>
          </w:p>
        </w:tc>
        <w:tc>
          <w:tcPr>
            <w:tcW w:w="1107" w:type="dxa"/>
            <w:tcBorders>
              <w:top w:val="nil"/>
              <w:left w:val="nil"/>
              <w:right w:val="nil"/>
            </w:tcBorders>
            <w:shd w:val="clear" w:color="auto" w:fill="auto"/>
            <w:noWrap/>
            <w:vAlign w:val="bottom"/>
            <w:hideMark/>
          </w:tcPr>
          <w:p w14:paraId="7680F700" w14:textId="77777777" w:rsidR="00AB20EA" w:rsidRPr="00564D10" w:rsidRDefault="00AB20EA" w:rsidP="00095F89">
            <w:pPr>
              <w:spacing w:after="0" w:line="240" w:lineRule="auto"/>
              <w:jc w:val="right"/>
              <w:rPr>
                <w:rFonts w:ascii="Calibri" w:eastAsia="Times New Roman" w:hAnsi="Calibri" w:cs="Times New Roman"/>
              </w:rPr>
            </w:pPr>
            <w:r w:rsidRPr="00564D10">
              <w:rPr>
                <w:rFonts w:ascii="Calibri" w:eastAsia="Times New Roman" w:hAnsi="Calibri" w:cs="Times New Roman"/>
              </w:rPr>
              <w:t>88,847</w:t>
            </w:r>
          </w:p>
        </w:tc>
        <w:tc>
          <w:tcPr>
            <w:tcW w:w="1143" w:type="dxa"/>
            <w:tcBorders>
              <w:top w:val="nil"/>
              <w:left w:val="nil"/>
              <w:right w:val="nil"/>
            </w:tcBorders>
            <w:shd w:val="clear" w:color="auto" w:fill="auto"/>
            <w:noWrap/>
            <w:vAlign w:val="bottom"/>
            <w:hideMark/>
          </w:tcPr>
          <w:p w14:paraId="4C90BFFF" w14:textId="77777777" w:rsidR="00AB20EA" w:rsidRPr="00564D10" w:rsidRDefault="00AB20EA" w:rsidP="00095F89">
            <w:pPr>
              <w:spacing w:after="0" w:line="240" w:lineRule="auto"/>
              <w:jc w:val="right"/>
              <w:rPr>
                <w:rFonts w:ascii="Calibri" w:eastAsia="Times New Roman" w:hAnsi="Calibri" w:cs="Times New Roman"/>
              </w:rPr>
            </w:pPr>
            <w:r w:rsidRPr="00564D10">
              <w:rPr>
                <w:rFonts w:ascii="Calibri" w:eastAsia="Times New Roman" w:hAnsi="Calibri" w:cs="Times New Roman"/>
              </w:rPr>
              <w:t>86.8%</w:t>
            </w:r>
          </w:p>
        </w:tc>
      </w:tr>
      <w:tr w:rsidR="00AB20EA" w:rsidRPr="00564D10" w14:paraId="1A5D0587" w14:textId="77777777" w:rsidTr="00EA6EDD">
        <w:trPr>
          <w:trHeight w:val="402"/>
          <w:jc w:val="center"/>
        </w:trPr>
        <w:tc>
          <w:tcPr>
            <w:tcW w:w="3420" w:type="dxa"/>
            <w:tcBorders>
              <w:top w:val="nil"/>
              <w:left w:val="nil"/>
              <w:bottom w:val="single" w:sz="4" w:space="0" w:color="auto"/>
              <w:right w:val="nil"/>
            </w:tcBorders>
            <w:shd w:val="clear" w:color="auto" w:fill="auto"/>
            <w:noWrap/>
            <w:vAlign w:val="bottom"/>
            <w:hideMark/>
          </w:tcPr>
          <w:p w14:paraId="0F164594" w14:textId="77777777" w:rsidR="00AB20EA" w:rsidRPr="00564D10" w:rsidRDefault="00AB20EA" w:rsidP="00095F89">
            <w:pPr>
              <w:spacing w:after="0" w:line="240" w:lineRule="auto"/>
              <w:rPr>
                <w:rFonts w:ascii="Calibri" w:eastAsia="Times New Roman" w:hAnsi="Calibri" w:cs="Times New Roman"/>
                <w:color w:val="000000"/>
              </w:rPr>
            </w:pPr>
            <w:r w:rsidRPr="00564D10">
              <w:rPr>
                <w:rFonts w:ascii="Calibri" w:eastAsia="Times New Roman" w:hAnsi="Calibri" w:cs="Times New Roman"/>
                <w:b/>
                <w:bCs/>
                <w:color w:val="000000"/>
              </w:rPr>
              <w:t>Worst:</w:t>
            </w:r>
            <w:r w:rsidRPr="00564D10">
              <w:rPr>
                <w:rFonts w:ascii="Calibri" w:eastAsia="Times New Roman" w:hAnsi="Calibri" w:cs="Times New Roman"/>
                <w:color w:val="000000"/>
              </w:rPr>
              <w:t xml:space="preserve"> </w:t>
            </w:r>
            <w:r>
              <w:rPr>
                <w:rFonts w:ascii="Calibri" w:eastAsia="Times New Roman" w:hAnsi="Calibri" w:cs="Times New Roman"/>
                <w:color w:val="000000"/>
              </w:rPr>
              <w:t>4</w:t>
            </w:r>
            <w:r w:rsidRPr="00564D10">
              <w:rPr>
                <w:rFonts w:ascii="Calibri" w:eastAsia="Times New Roman" w:hAnsi="Calibri" w:cs="Times New Roman"/>
                <w:color w:val="000000"/>
              </w:rPr>
              <w:t xml:space="preserve">. </w:t>
            </w:r>
            <w:r>
              <w:rPr>
                <w:rFonts w:ascii="Calibri" w:eastAsia="Times New Roman" w:hAnsi="Calibri" w:cs="Times New Roman"/>
                <w:color w:val="000000"/>
              </w:rPr>
              <w:t>Totally Dependent</w:t>
            </w:r>
          </w:p>
        </w:tc>
        <w:tc>
          <w:tcPr>
            <w:tcW w:w="1107" w:type="dxa"/>
            <w:tcBorders>
              <w:top w:val="nil"/>
              <w:left w:val="nil"/>
              <w:bottom w:val="single" w:sz="4" w:space="0" w:color="auto"/>
              <w:right w:val="nil"/>
            </w:tcBorders>
            <w:shd w:val="clear" w:color="auto" w:fill="auto"/>
            <w:noWrap/>
            <w:vAlign w:val="bottom"/>
            <w:hideMark/>
          </w:tcPr>
          <w:p w14:paraId="6477FA7B" w14:textId="77777777" w:rsidR="00AB20EA" w:rsidRPr="00564D10" w:rsidRDefault="00AB20EA" w:rsidP="00095F89">
            <w:pPr>
              <w:spacing w:after="0" w:line="240" w:lineRule="auto"/>
              <w:jc w:val="right"/>
              <w:rPr>
                <w:rFonts w:ascii="Calibri" w:eastAsia="Times New Roman" w:hAnsi="Calibri" w:cs="Times New Roman"/>
              </w:rPr>
            </w:pPr>
            <w:r w:rsidRPr="00564D10">
              <w:rPr>
                <w:rFonts w:ascii="Calibri" w:eastAsia="Times New Roman" w:hAnsi="Calibri" w:cs="Times New Roman"/>
              </w:rPr>
              <w:t>20,187</w:t>
            </w:r>
          </w:p>
        </w:tc>
        <w:tc>
          <w:tcPr>
            <w:tcW w:w="1143" w:type="dxa"/>
            <w:tcBorders>
              <w:top w:val="nil"/>
              <w:left w:val="nil"/>
              <w:bottom w:val="single" w:sz="4" w:space="0" w:color="auto"/>
              <w:right w:val="nil"/>
            </w:tcBorders>
            <w:shd w:val="clear" w:color="auto" w:fill="auto"/>
            <w:noWrap/>
            <w:vAlign w:val="bottom"/>
            <w:hideMark/>
          </w:tcPr>
          <w:p w14:paraId="69D137F8" w14:textId="77777777" w:rsidR="00AB20EA" w:rsidRPr="00564D10" w:rsidRDefault="00AB20EA" w:rsidP="00095F89">
            <w:pPr>
              <w:spacing w:after="0" w:line="240" w:lineRule="auto"/>
              <w:jc w:val="right"/>
              <w:rPr>
                <w:rFonts w:ascii="Calibri" w:eastAsia="Times New Roman" w:hAnsi="Calibri" w:cs="Times New Roman"/>
              </w:rPr>
            </w:pPr>
            <w:r w:rsidRPr="00564D10">
              <w:rPr>
                <w:rFonts w:ascii="Calibri" w:eastAsia="Times New Roman" w:hAnsi="Calibri" w:cs="Times New Roman"/>
              </w:rPr>
              <w:t>85.7%</w:t>
            </w:r>
          </w:p>
        </w:tc>
      </w:tr>
    </w:tbl>
    <w:p w14:paraId="7DA9DD1D" w14:textId="27F4B8C9" w:rsidR="00AB20EA" w:rsidRPr="007458CE" w:rsidRDefault="00AB20EA" w:rsidP="00AB20EA">
      <w:pPr>
        <w:autoSpaceDE w:val="0"/>
        <w:autoSpaceDN w:val="0"/>
        <w:adjustRightInd w:val="0"/>
        <w:spacing w:after="0" w:line="240" w:lineRule="auto"/>
        <w:rPr>
          <w:rFonts w:cstheme="minorHAnsi"/>
          <w:bCs/>
        </w:rPr>
      </w:pPr>
      <w:r>
        <w:rPr>
          <w:rFonts w:cstheme="minorHAnsi"/>
          <w:bCs/>
          <w:sz w:val="18"/>
        </w:rPr>
        <w:t>Acumen</w:t>
      </w:r>
      <w:r w:rsidRPr="0090361B">
        <w:rPr>
          <w:rFonts w:cstheme="minorHAnsi"/>
          <w:bCs/>
          <w:sz w:val="18"/>
        </w:rPr>
        <w:t xml:space="preserve"> Analysis of Medicare Claims File</w:t>
      </w:r>
      <w:r>
        <w:rPr>
          <w:rFonts w:cstheme="minorHAnsi"/>
          <w:bCs/>
          <w:sz w:val="18"/>
        </w:rPr>
        <w:t xml:space="preserve"> and OASIS Assessments </w:t>
      </w:r>
      <w:r w:rsidR="00007B58">
        <w:rPr>
          <w:rFonts w:cstheme="minorHAnsi"/>
          <w:bCs/>
          <w:sz w:val="18"/>
        </w:rPr>
        <w:t>(OASIS-C1 item M1700 Cognitive Functioning Item</w:t>
      </w:r>
      <w:r w:rsidR="00A05FDF">
        <w:rPr>
          <w:rFonts w:cstheme="minorHAnsi"/>
          <w:bCs/>
          <w:sz w:val="18"/>
        </w:rPr>
        <w:t xml:space="preserve"> at discharge from agency</w:t>
      </w:r>
      <w:r>
        <w:rPr>
          <w:rFonts w:cstheme="minorHAnsi"/>
          <w:bCs/>
          <w:sz w:val="18"/>
        </w:rPr>
        <w:t>)</w:t>
      </w:r>
      <w:r w:rsidRPr="0090361B">
        <w:rPr>
          <w:rFonts w:cstheme="minorHAnsi"/>
          <w:bCs/>
          <w:sz w:val="18"/>
        </w:rPr>
        <w:t xml:space="preserve"> for </w:t>
      </w:r>
      <w:r>
        <w:rPr>
          <w:rFonts w:cstheme="minorHAnsi"/>
          <w:bCs/>
          <w:sz w:val="18"/>
        </w:rPr>
        <w:t>HH</w:t>
      </w:r>
      <w:r w:rsidRPr="0090361B">
        <w:rPr>
          <w:rFonts w:cstheme="minorHAnsi"/>
          <w:bCs/>
          <w:sz w:val="18"/>
        </w:rPr>
        <w:t xml:space="preserve">, </w:t>
      </w:r>
      <w:r>
        <w:rPr>
          <w:rFonts w:cstheme="minorHAnsi"/>
          <w:bCs/>
          <w:sz w:val="18"/>
        </w:rPr>
        <w:t>CY</w:t>
      </w:r>
      <w:r w:rsidRPr="0090361B">
        <w:rPr>
          <w:rFonts w:cstheme="minorHAnsi"/>
          <w:bCs/>
          <w:sz w:val="18"/>
        </w:rPr>
        <w:t xml:space="preserve"> 201</w:t>
      </w:r>
      <w:r>
        <w:rPr>
          <w:rFonts w:cstheme="minorHAnsi"/>
          <w:bCs/>
          <w:sz w:val="18"/>
        </w:rPr>
        <w:t>5</w:t>
      </w:r>
      <w:r w:rsidRPr="0090361B">
        <w:rPr>
          <w:rFonts w:cstheme="minorHAnsi"/>
          <w:bCs/>
          <w:sz w:val="18"/>
        </w:rPr>
        <w:t>-201</w:t>
      </w:r>
      <w:r>
        <w:rPr>
          <w:rFonts w:cstheme="minorHAnsi"/>
          <w:bCs/>
          <w:sz w:val="18"/>
        </w:rPr>
        <w:t>6.</w:t>
      </w:r>
    </w:p>
    <w:p w14:paraId="78948FE7" w14:textId="77777777" w:rsidR="00AB20EA" w:rsidRDefault="00AB20EA" w:rsidP="00AB20EA">
      <w:pPr>
        <w:autoSpaceDE w:val="0"/>
        <w:autoSpaceDN w:val="0"/>
        <w:adjustRightInd w:val="0"/>
        <w:spacing w:after="0" w:line="240" w:lineRule="auto"/>
        <w:rPr>
          <w:rFonts w:cstheme="minorHAnsi"/>
          <w:bCs/>
        </w:rPr>
      </w:pPr>
    </w:p>
    <w:p w14:paraId="6FC6ABFA" w14:textId="7FA01B0E" w:rsidR="00866AE3" w:rsidRPr="00DA5E75" w:rsidRDefault="00DA5E75" w:rsidP="00DA5E75">
      <w:pPr>
        <w:pStyle w:val="ListParagraph"/>
        <w:numPr>
          <w:ilvl w:val="1"/>
          <w:numId w:val="15"/>
        </w:numPr>
        <w:autoSpaceDE w:val="0"/>
        <w:autoSpaceDN w:val="0"/>
        <w:adjustRightInd w:val="0"/>
        <w:spacing w:after="0" w:line="240" w:lineRule="auto"/>
        <w:rPr>
          <w:rFonts w:cstheme="minorHAnsi"/>
          <w:b/>
        </w:rPr>
      </w:pPr>
      <w:r w:rsidRPr="00DA5E75">
        <w:rPr>
          <w:rFonts w:cstheme="minorHAnsi"/>
          <w:b/>
        </w:rPr>
        <w:t>Known-groups validity testing for patients with varying functional abilities with self-care and mobility activities at discharge:</w:t>
      </w:r>
    </w:p>
    <w:p w14:paraId="346E5A58" w14:textId="77777777" w:rsidR="00EF0AC6" w:rsidRPr="00EF0AC6" w:rsidRDefault="00EF0AC6" w:rsidP="00EF0AC6">
      <w:pPr>
        <w:pStyle w:val="ListParagraph"/>
        <w:autoSpaceDE w:val="0"/>
        <w:autoSpaceDN w:val="0"/>
        <w:adjustRightInd w:val="0"/>
        <w:spacing w:after="0" w:line="240" w:lineRule="auto"/>
        <w:ind w:left="1440"/>
        <w:rPr>
          <w:rFonts w:cstheme="minorHAnsi"/>
          <w:b/>
        </w:rPr>
      </w:pPr>
    </w:p>
    <w:p w14:paraId="7661802F" w14:textId="33C08637" w:rsidR="00AB20EA" w:rsidRPr="00B22B45" w:rsidRDefault="00007B58" w:rsidP="00866AE3">
      <w:pPr>
        <w:pStyle w:val="ListParagraph"/>
        <w:autoSpaceDE w:val="0"/>
        <w:autoSpaceDN w:val="0"/>
        <w:adjustRightInd w:val="0"/>
        <w:spacing w:after="0" w:line="240" w:lineRule="auto"/>
        <w:ind w:left="1440"/>
        <w:rPr>
          <w:rFonts w:cstheme="minorHAnsi"/>
          <w:bCs/>
        </w:rPr>
      </w:pPr>
      <w:r>
        <w:t>Using OASIS-C1 ADL/IADL items M1800-M1890, w</w:t>
      </w:r>
      <w:r w:rsidRPr="00DC547F">
        <w:rPr>
          <w:rFonts w:cstheme="minorHAnsi"/>
          <w:bCs/>
        </w:rPr>
        <w:t>e</w:t>
      </w:r>
      <w:r w:rsidR="00AB20EA" w:rsidRPr="00DC547F">
        <w:rPr>
          <w:rFonts w:cstheme="minorHAnsi"/>
          <w:bCs/>
        </w:rPr>
        <w:t xml:space="preserve"> also examined the association between </w:t>
      </w:r>
      <w:r w:rsidR="00AB20EA">
        <w:rPr>
          <w:rFonts w:cstheme="minorHAnsi"/>
          <w:bCs/>
        </w:rPr>
        <w:t>HH</w:t>
      </w:r>
      <w:r w:rsidR="00AB20EA" w:rsidRPr="00DC547F">
        <w:rPr>
          <w:rFonts w:cstheme="minorHAnsi"/>
          <w:bCs/>
        </w:rPr>
        <w:t xml:space="preserve"> patients’ discharge functional abilities and successful discharge to the community as defined in this measure. We hypothesized that patients who achieved higher discharge scores for each functional activity would be more likely to </w:t>
      </w:r>
      <w:r>
        <w:rPr>
          <w:rFonts w:cstheme="minorHAnsi"/>
          <w:bCs/>
        </w:rPr>
        <w:t>have a successful discharge to</w:t>
      </w:r>
      <w:r w:rsidRPr="00DC547F">
        <w:rPr>
          <w:rFonts w:cstheme="minorHAnsi"/>
          <w:bCs/>
        </w:rPr>
        <w:t xml:space="preserve"> </w:t>
      </w:r>
      <w:r w:rsidR="00AB20EA" w:rsidRPr="00DC547F">
        <w:rPr>
          <w:rFonts w:cstheme="minorHAnsi"/>
          <w:bCs/>
        </w:rPr>
        <w:t xml:space="preserve">community. </w:t>
      </w:r>
      <w:r w:rsidR="00AB20EA" w:rsidRPr="00DC547F">
        <w:rPr>
          <w:rFonts w:cstheme="minorHAnsi"/>
          <w:b/>
          <w:bCs/>
        </w:rPr>
        <w:t>Table</w:t>
      </w:r>
      <w:r w:rsidR="00AB20EA">
        <w:rPr>
          <w:rFonts w:cstheme="minorHAnsi"/>
          <w:b/>
          <w:bCs/>
        </w:rPr>
        <w:t>s</w:t>
      </w:r>
      <w:r w:rsidR="00AB20EA" w:rsidRPr="00DC547F">
        <w:rPr>
          <w:rFonts w:cstheme="minorHAnsi"/>
          <w:b/>
          <w:bCs/>
        </w:rPr>
        <w:t xml:space="preserve"> </w:t>
      </w:r>
      <w:r w:rsidR="00AB20EA">
        <w:rPr>
          <w:rFonts w:cstheme="minorHAnsi"/>
          <w:b/>
          <w:bCs/>
        </w:rPr>
        <w:t>8-1 and 8-2</w:t>
      </w:r>
      <w:r w:rsidR="00AB20EA" w:rsidRPr="00DC547F">
        <w:rPr>
          <w:rFonts w:cstheme="minorHAnsi"/>
          <w:bCs/>
        </w:rPr>
        <w:t xml:space="preserve"> show the percent of patients who had a </w:t>
      </w:r>
      <w:r w:rsidR="00AB20EA">
        <w:rPr>
          <w:rFonts w:cstheme="minorHAnsi"/>
          <w:bCs/>
        </w:rPr>
        <w:t>successful discharge to community</w:t>
      </w:r>
      <w:r w:rsidR="00AB20EA" w:rsidRPr="00DC547F">
        <w:rPr>
          <w:rFonts w:cstheme="minorHAnsi"/>
          <w:bCs/>
        </w:rPr>
        <w:t xml:space="preserve"> by discharge score, which ranges from </w:t>
      </w:r>
      <w:r w:rsidR="00AB20EA">
        <w:rPr>
          <w:rFonts w:cstheme="minorHAnsi"/>
          <w:bCs/>
        </w:rPr>
        <w:t>most able to</w:t>
      </w:r>
      <w:r w:rsidR="00AB20EA" w:rsidRPr="00DC547F">
        <w:rPr>
          <w:rFonts w:cstheme="minorHAnsi"/>
          <w:bCs/>
        </w:rPr>
        <w:t xml:space="preserve"> </w:t>
      </w:r>
      <w:r w:rsidR="00AB20EA">
        <w:rPr>
          <w:rFonts w:cstheme="minorHAnsi"/>
          <w:bCs/>
        </w:rPr>
        <w:t>least able</w:t>
      </w:r>
      <w:r w:rsidR="00AB20EA" w:rsidRPr="00DC547F">
        <w:rPr>
          <w:rFonts w:cstheme="minorHAnsi"/>
          <w:bCs/>
        </w:rPr>
        <w:t xml:space="preserve">. </w:t>
      </w:r>
      <w:r w:rsidR="00AB20EA">
        <w:rPr>
          <w:rFonts w:cstheme="minorHAnsi"/>
          <w:bCs/>
        </w:rPr>
        <w:t xml:space="preserve">A very high percentage of patients coded as “Most Able” </w:t>
      </w:r>
      <w:r>
        <w:rPr>
          <w:rFonts w:cstheme="minorHAnsi"/>
          <w:bCs/>
        </w:rPr>
        <w:t xml:space="preserve">(independent; highest functional ability) </w:t>
      </w:r>
      <w:r w:rsidR="00AB20EA">
        <w:rPr>
          <w:rFonts w:cstheme="minorHAnsi"/>
          <w:bCs/>
        </w:rPr>
        <w:t>at discharge had a successful discharge to community (91.7% to 93.4%) whereas patients coded as “Least Able”</w:t>
      </w:r>
      <w:r>
        <w:rPr>
          <w:rFonts w:cstheme="minorHAnsi"/>
          <w:bCs/>
        </w:rPr>
        <w:t xml:space="preserve"> (dependent; lowest functional ability</w:t>
      </w:r>
      <w:r w:rsidR="00371C3F">
        <w:rPr>
          <w:rFonts w:cstheme="minorHAnsi"/>
          <w:bCs/>
        </w:rPr>
        <w:t>)</w:t>
      </w:r>
      <w:r w:rsidR="00AB20EA">
        <w:rPr>
          <w:rFonts w:cstheme="minorHAnsi"/>
          <w:bCs/>
        </w:rPr>
        <w:t xml:space="preserve"> for each ability were less likely to be discharged to community successfully (76% to 87.2%). Within each item the pattern is generally monotonic: patients who were more independent were more likely to be discharged to community. </w:t>
      </w:r>
      <w:r w:rsidR="00326EFD">
        <w:rPr>
          <w:rFonts w:cstheme="minorHAnsi"/>
          <w:bCs/>
        </w:rPr>
        <w:t xml:space="preserve"> </w:t>
      </w:r>
      <w:r w:rsidR="00DF6DCA">
        <w:rPr>
          <w:rFonts w:cstheme="minorHAnsi"/>
          <w:bCs/>
        </w:rPr>
        <w:t xml:space="preserve">Note that </w:t>
      </w:r>
      <w:r w:rsidR="002077C1">
        <w:rPr>
          <w:rFonts w:cstheme="minorHAnsi"/>
          <w:bCs/>
        </w:rPr>
        <w:t>not all</w:t>
      </w:r>
      <w:r w:rsidR="00326EFD">
        <w:rPr>
          <w:rFonts w:cstheme="minorHAnsi"/>
          <w:bCs/>
        </w:rPr>
        <w:t xml:space="preserve"> items have the same number of possible responses.</w:t>
      </w:r>
    </w:p>
    <w:p w14:paraId="157F813D" w14:textId="77777777" w:rsidR="00AB20EA" w:rsidRDefault="00AB20EA" w:rsidP="00AB20EA">
      <w:pPr>
        <w:pStyle w:val="ListParagraph"/>
        <w:autoSpaceDE w:val="0"/>
        <w:autoSpaceDN w:val="0"/>
        <w:adjustRightInd w:val="0"/>
        <w:spacing w:after="0" w:line="240" w:lineRule="auto"/>
        <w:rPr>
          <w:rFonts w:cstheme="minorHAnsi"/>
          <w:b/>
          <w:bCs/>
        </w:rPr>
      </w:pPr>
    </w:p>
    <w:p w14:paraId="448C3199" w14:textId="77777777" w:rsidR="0012156A" w:rsidRDefault="0012156A" w:rsidP="00AB20EA">
      <w:pPr>
        <w:pStyle w:val="ListParagraph"/>
        <w:autoSpaceDE w:val="0"/>
        <w:autoSpaceDN w:val="0"/>
        <w:adjustRightInd w:val="0"/>
        <w:spacing w:after="0" w:line="240" w:lineRule="auto"/>
        <w:rPr>
          <w:rFonts w:cstheme="minorHAnsi"/>
          <w:b/>
          <w:bCs/>
        </w:rPr>
      </w:pPr>
    </w:p>
    <w:p w14:paraId="5157A14F" w14:textId="77777777" w:rsidR="0012156A" w:rsidRDefault="0012156A" w:rsidP="00AB20EA">
      <w:pPr>
        <w:pStyle w:val="ListParagraph"/>
        <w:autoSpaceDE w:val="0"/>
        <w:autoSpaceDN w:val="0"/>
        <w:adjustRightInd w:val="0"/>
        <w:spacing w:after="0" w:line="240" w:lineRule="auto"/>
        <w:rPr>
          <w:rFonts w:cstheme="minorHAnsi"/>
          <w:b/>
          <w:bCs/>
        </w:rPr>
        <w:sectPr w:rsidR="0012156A" w:rsidSect="00095F89">
          <w:headerReference w:type="default" r:id="rId24"/>
          <w:footerReference w:type="default" r:id="rId25"/>
          <w:pgSz w:w="12240" w:h="15840"/>
          <w:pgMar w:top="1440" w:right="1440" w:bottom="1440" w:left="1440" w:header="720" w:footer="720" w:gutter="0"/>
          <w:cols w:space="720"/>
          <w:docGrid w:linePitch="360"/>
        </w:sectPr>
      </w:pPr>
    </w:p>
    <w:p w14:paraId="578DC5DE" w14:textId="77777777" w:rsidR="00AB20EA" w:rsidRPr="00B22B45" w:rsidRDefault="00AB20EA" w:rsidP="00173658">
      <w:pPr>
        <w:pStyle w:val="ListParagraph"/>
        <w:autoSpaceDE w:val="0"/>
        <w:autoSpaceDN w:val="0"/>
        <w:adjustRightInd w:val="0"/>
        <w:spacing w:after="0" w:line="240" w:lineRule="auto"/>
        <w:jc w:val="center"/>
        <w:rPr>
          <w:rFonts w:cstheme="minorHAnsi"/>
          <w:b/>
          <w:bCs/>
        </w:rPr>
      </w:pPr>
      <w:r w:rsidRPr="00B22B45">
        <w:rPr>
          <w:rFonts w:cstheme="minorHAnsi"/>
          <w:b/>
          <w:bCs/>
        </w:rPr>
        <w:lastRenderedPageBreak/>
        <w:t xml:space="preserve">Table </w:t>
      </w:r>
      <w:r>
        <w:rPr>
          <w:rFonts w:cstheme="minorHAnsi"/>
          <w:b/>
          <w:bCs/>
        </w:rPr>
        <w:t>8</w:t>
      </w:r>
      <w:r w:rsidRPr="00B22B45">
        <w:rPr>
          <w:rFonts w:cstheme="minorHAnsi"/>
          <w:b/>
          <w:bCs/>
        </w:rPr>
        <w:t>-1. Successful DTC Rate by Activities of Daily Living Scores at Discharge (Stay-Level)</w:t>
      </w:r>
    </w:p>
    <w:tbl>
      <w:tblPr>
        <w:tblW w:w="10883" w:type="dxa"/>
        <w:jc w:val="center"/>
        <w:tblLook w:val="04A0" w:firstRow="1" w:lastRow="0" w:firstColumn="1" w:lastColumn="0" w:noHBand="0" w:noVBand="1"/>
      </w:tblPr>
      <w:tblGrid>
        <w:gridCol w:w="1473"/>
        <w:gridCol w:w="1026"/>
        <w:gridCol w:w="856"/>
        <w:gridCol w:w="1026"/>
        <w:gridCol w:w="856"/>
        <w:gridCol w:w="1026"/>
        <w:gridCol w:w="856"/>
        <w:gridCol w:w="1026"/>
        <w:gridCol w:w="856"/>
        <w:gridCol w:w="1026"/>
        <w:gridCol w:w="856"/>
      </w:tblGrid>
      <w:tr w:rsidR="00AB20EA" w:rsidRPr="002E4C2B" w14:paraId="26847F76" w14:textId="77777777" w:rsidTr="00095F89">
        <w:trPr>
          <w:trHeight w:val="206"/>
          <w:jc w:val="center"/>
        </w:trPr>
        <w:tc>
          <w:tcPr>
            <w:tcW w:w="1473" w:type="dxa"/>
            <w:vMerge w:val="restart"/>
            <w:tcBorders>
              <w:top w:val="single" w:sz="8" w:space="0" w:color="auto"/>
              <w:left w:val="nil"/>
              <w:bottom w:val="single" w:sz="4" w:space="0" w:color="000000"/>
              <w:right w:val="nil"/>
            </w:tcBorders>
            <w:shd w:val="clear" w:color="000000" w:fill="D9D9D9"/>
            <w:noWrap/>
            <w:vAlign w:val="bottom"/>
            <w:hideMark/>
          </w:tcPr>
          <w:p w14:paraId="74ECC524" w14:textId="77777777" w:rsidR="00AB20EA" w:rsidRPr="002E4C2B" w:rsidRDefault="00AB20EA" w:rsidP="00095F89">
            <w:pPr>
              <w:spacing w:after="0" w:line="240" w:lineRule="auto"/>
              <w:jc w:val="center"/>
              <w:rPr>
                <w:rFonts w:eastAsia="Times New Roman" w:cs="Times New Roman"/>
                <w:b/>
                <w:bCs/>
                <w:color w:val="000000"/>
                <w:sz w:val="20"/>
                <w:szCs w:val="20"/>
              </w:rPr>
            </w:pPr>
            <w:r w:rsidRPr="002E4C2B">
              <w:rPr>
                <w:rFonts w:eastAsia="Times New Roman" w:cs="Times New Roman"/>
                <w:b/>
                <w:bCs/>
                <w:color w:val="000000"/>
                <w:sz w:val="20"/>
                <w:szCs w:val="20"/>
              </w:rPr>
              <w:t>HH</w:t>
            </w:r>
          </w:p>
        </w:tc>
        <w:tc>
          <w:tcPr>
            <w:tcW w:w="1882" w:type="dxa"/>
            <w:gridSpan w:val="2"/>
            <w:tcBorders>
              <w:top w:val="single" w:sz="8" w:space="0" w:color="auto"/>
              <w:left w:val="single" w:sz="4" w:space="0" w:color="auto"/>
              <w:bottom w:val="single" w:sz="4" w:space="0" w:color="auto"/>
              <w:right w:val="single" w:sz="4" w:space="0" w:color="000000"/>
            </w:tcBorders>
            <w:shd w:val="clear" w:color="000000" w:fill="D9D9D9"/>
            <w:noWrap/>
            <w:vAlign w:val="bottom"/>
            <w:hideMark/>
          </w:tcPr>
          <w:p w14:paraId="3A53DAB5" w14:textId="77777777" w:rsidR="00AB20EA" w:rsidRPr="002E4C2B" w:rsidRDefault="00AB20EA" w:rsidP="00095F89">
            <w:pPr>
              <w:spacing w:after="0" w:line="240" w:lineRule="auto"/>
              <w:jc w:val="center"/>
              <w:rPr>
                <w:rFonts w:eastAsia="Times New Roman" w:cs="Times New Roman"/>
                <w:b/>
                <w:bCs/>
                <w:color w:val="000000"/>
                <w:sz w:val="20"/>
                <w:szCs w:val="20"/>
              </w:rPr>
            </w:pPr>
            <w:r w:rsidRPr="002E4C2B">
              <w:rPr>
                <w:rFonts w:eastAsia="Times New Roman" w:cs="Times New Roman"/>
                <w:b/>
                <w:bCs/>
                <w:color w:val="000000"/>
                <w:sz w:val="20"/>
                <w:szCs w:val="20"/>
              </w:rPr>
              <w:t>Grooming</w:t>
            </w:r>
            <w:r>
              <w:rPr>
                <w:rFonts w:eastAsia="Times New Roman" w:cs="Times New Roman"/>
                <w:b/>
                <w:bCs/>
                <w:color w:val="000000"/>
                <w:sz w:val="20"/>
                <w:szCs w:val="20"/>
              </w:rPr>
              <w:t xml:space="preserve"> (M1800)</w:t>
            </w:r>
          </w:p>
        </w:tc>
        <w:tc>
          <w:tcPr>
            <w:tcW w:w="1882" w:type="dxa"/>
            <w:gridSpan w:val="2"/>
            <w:tcBorders>
              <w:top w:val="single" w:sz="8" w:space="0" w:color="auto"/>
              <w:left w:val="nil"/>
              <w:bottom w:val="single" w:sz="4" w:space="0" w:color="auto"/>
              <w:right w:val="single" w:sz="4" w:space="0" w:color="000000"/>
            </w:tcBorders>
            <w:shd w:val="clear" w:color="000000" w:fill="D9D9D9"/>
            <w:noWrap/>
            <w:vAlign w:val="bottom"/>
            <w:hideMark/>
          </w:tcPr>
          <w:p w14:paraId="3DFA297F" w14:textId="77777777" w:rsidR="00AB20EA" w:rsidRPr="002E4C2B" w:rsidRDefault="00AB20EA" w:rsidP="00095F89">
            <w:pPr>
              <w:spacing w:after="0" w:line="240" w:lineRule="auto"/>
              <w:jc w:val="center"/>
              <w:rPr>
                <w:rFonts w:eastAsia="Times New Roman" w:cs="Times New Roman"/>
                <w:b/>
                <w:bCs/>
                <w:color w:val="000000"/>
                <w:sz w:val="20"/>
                <w:szCs w:val="20"/>
              </w:rPr>
            </w:pPr>
            <w:r w:rsidRPr="002E4C2B">
              <w:rPr>
                <w:rFonts w:eastAsia="Times New Roman" w:cs="Times New Roman"/>
                <w:b/>
                <w:bCs/>
                <w:color w:val="000000"/>
                <w:sz w:val="20"/>
                <w:szCs w:val="20"/>
              </w:rPr>
              <w:t>Upper Body Dressing</w:t>
            </w:r>
            <w:r>
              <w:rPr>
                <w:rFonts w:eastAsia="Times New Roman" w:cs="Times New Roman"/>
                <w:b/>
                <w:bCs/>
                <w:color w:val="000000"/>
                <w:sz w:val="20"/>
                <w:szCs w:val="20"/>
              </w:rPr>
              <w:t xml:space="preserve"> (M1810)</w:t>
            </w:r>
          </w:p>
        </w:tc>
        <w:tc>
          <w:tcPr>
            <w:tcW w:w="1882" w:type="dxa"/>
            <w:gridSpan w:val="2"/>
            <w:tcBorders>
              <w:top w:val="single" w:sz="8" w:space="0" w:color="auto"/>
              <w:left w:val="nil"/>
              <w:bottom w:val="single" w:sz="4" w:space="0" w:color="auto"/>
              <w:right w:val="single" w:sz="4" w:space="0" w:color="000000"/>
            </w:tcBorders>
            <w:shd w:val="clear" w:color="000000" w:fill="D9D9D9"/>
            <w:noWrap/>
            <w:vAlign w:val="bottom"/>
            <w:hideMark/>
          </w:tcPr>
          <w:p w14:paraId="4116BB83" w14:textId="77777777" w:rsidR="00AB20EA" w:rsidRPr="002E4C2B" w:rsidRDefault="00AB20EA" w:rsidP="00095F89">
            <w:pPr>
              <w:spacing w:after="0" w:line="240" w:lineRule="auto"/>
              <w:jc w:val="center"/>
              <w:rPr>
                <w:rFonts w:eastAsia="Times New Roman" w:cs="Times New Roman"/>
                <w:b/>
                <w:bCs/>
                <w:color w:val="000000"/>
                <w:sz w:val="20"/>
                <w:szCs w:val="20"/>
              </w:rPr>
            </w:pPr>
            <w:r w:rsidRPr="002E4C2B">
              <w:rPr>
                <w:rFonts w:eastAsia="Times New Roman" w:cs="Times New Roman"/>
                <w:b/>
                <w:bCs/>
                <w:color w:val="000000"/>
                <w:sz w:val="20"/>
                <w:szCs w:val="20"/>
              </w:rPr>
              <w:t>Lower Body Dressing</w:t>
            </w:r>
            <w:r>
              <w:rPr>
                <w:rFonts w:eastAsia="Times New Roman" w:cs="Times New Roman"/>
                <w:b/>
                <w:bCs/>
                <w:color w:val="000000"/>
                <w:sz w:val="20"/>
                <w:szCs w:val="20"/>
              </w:rPr>
              <w:t xml:space="preserve"> (M1820)</w:t>
            </w:r>
          </w:p>
        </w:tc>
        <w:tc>
          <w:tcPr>
            <w:tcW w:w="1882" w:type="dxa"/>
            <w:gridSpan w:val="2"/>
            <w:tcBorders>
              <w:top w:val="single" w:sz="8" w:space="0" w:color="auto"/>
              <w:left w:val="nil"/>
              <w:bottom w:val="single" w:sz="4" w:space="0" w:color="auto"/>
              <w:right w:val="single" w:sz="4" w:space="0" w:color="000000"/>
            </w:tcBorders>
            <w:shd w:val="clear" w:color="000000" w:fill="D9D9D9"/>
            <w:noWrap/>
            <w:vAlign w:val="bottom"/>
            <w:hideMark/>
          </w:tcPr>
          <w:p w14:paraId="20246A48" w14:textId="77777777" w:rsidR="00AB20EA" w:rsidRPr="002E4C2B" w:rsidRDefault="00AB20EA" w:rsidP="00095F89">
            <w:pPr>
              <w:spacing w:after="0" w:line="240" w:lineRule="auto"/>
              <w:jc w:val="center"/>
              <w:rPr>
                <w:rFonts w:eastAsia="Times New Roman" w:cs="Times New Roman"/>
                <w:b/>
                <w:bCs/>
                <w:color w:val="000000"/>
                <w:sz w:val="20"/>
                <w:szCs w:val="20"/>
              </w:rPr>
            </w:pPr>
            <w:r w:rsidRPr="002E4C2B">
              <w:rPr>
                <w:rFonts w:eastAsia="Times New Roman" w:cs="Times New Roman"/>
                <w:b/>
                <w:bCs/>
                <w:color w:val="000000"/>
                <w:sz w:val="20"/>
                <w:szCs w:val="20"/>
              </w:rPr>
              <w:t>Bathing</w:t>
            </w:r>
            <w:r>
              <w:rPr>
                <w:rFonts w:eastAsia="Times New Roman" w:cs="Times New Roman"/>
                <w:b/>
                <w:bCs/>
                <w:color w:val="000000"/>
                <w:sz w:val="20"/>
                <w:szCs w:val="20"/>
              </w:rPr>
              <w:t xml:space="preserve"> (M1830)</w:t>
            </w:r>
          </w:p>
        </w:tc>
        <w:tc>
          <w:tcPr>
            <w:tcW w:w="1882" w:type="dxa"/>
            <w:gridSpan w:val="2"/>
            <w:tcBorders>
              <w:top w:val="single" w:sz="8" w:space="0" w:color="auto"/>
              <w:left w:val="nil"/>
              <w:bottom w:val="single" w:sz="4" w:space="0" w:color="auto"/>
            </w:tcBorders>
            <w:shd w:val="clear" w:color="000000" w:fill="D9D9D9"/>
            <w:noWrap/>
            <w:vAlign w:val="bottom"/>
            <w:hideMark/>
          </w:tcPr>
          <w:p w14:paraId="300E0FE5" w14:textId="77777777" w:rsidR="00AB20EA" w:rsidRPr="002E4C2B" w:rsidRDefault="00AB20EA" w:rsidP="00095F89">
            <w:pPr>
              <w:spacing w:after="0" w:line="240" w:lineRule="auto"/>
              <w:jc w:val="center"/>
              <w:rPr>
                <w:rFonts w:eastAsia="Times New Roman" w:cs="Times New Roman"/>
                <w:b/>
                <w:bCs/>
                <w:color w:val="000000"/>
                <w:sz w:val="20"/>
                <w:szCs w:val="20"/>
              </w:rPr>
            </w:pPr>
            <w:r w:rsidRPr="002E4C2B">
              <w:rPr>
                <w:rFonts w:eastAsia="Times New Roman" w:cs="Times New Roman"/>
                <w:b/>
                <w:bCs/>
                <w:color w:val="000000"/>
                <w:sz w:val="20"/>
                <w:szCs w:val="20"/>
              </w:rPr>
              <w:t>Toilet Transferring</w:t>
            </w:r>
            <w:r>
              <w:rPr>
                <w:rFonts w:eastAsia="Times New Roman" w:cs="Times New Roman"/>
                <w:b/>
                <w:bCs/>
                <w:color w:val="000000"/>
                <w:sz w:val="20"/>
                <w:szCs w:val="20"/>
              </w:rPr>
              <w:t xml:space="preserve"> (M1840)</w:t>
            </w:r>
          </w:p>
        </w:tc>
      </w:tr>
      <w:tr w:rsidR="00AB20EA" w:rsidRPr="002E4C2B" w14:paraId="0AC50A6D" w14:textId="77777777" w:rsidTr="00095F89">
        <w:trPr>
          <w:trHeight w:val="206"/>
          <w:jc w:val="center"/>
        </w:trPr>
        <w:tc>
          <w:tcPr>
            <w:tcW w:w="1473" w:type="dxa"/>
            <w:vMerge/>
            <w:tcBorders>
              <w:top w:val="single" w:sz="8" w:space="0" w:color="auto"/>
              <w:left w:val="nil"/>
              <w:bottom w:val="single" w:sz="4" w:space="0" w:color="000000"/>
              <w:right w:val="nil"/>
            </w:tcBorders>
            <w:vAlign w:val="center"/>
            <w:hideMark/>
          </w:tcPr>
          <w:p w14:paraId="441A9F58" w14:textId="77777777" w:rsidR="00AB20EA" w:rsidRPr="002E4C2B" w:rsidRDefault="00AB20EA" w:rsidP="00095F89">
            <w:pPr>
              <w:spacing w:after="0" w:line="240" w:lineRule="auto"/>
              <w:rPr>
                <w:rFonts w:eastAsia="Times New Roman" w:cs="Times New Roman"/>
                <w:b/>
                <w:bCs/>
                <w:color w:val="000000"/>
                <w:sz w:val="20"/>
                <w:szCs w:val="20"/>
              </w:rPr>
            </w:pPr>
          </w:p>
        </w:tc>
        <w:tc>
          <w:tcPr>
            <w:tcW w:w="1026" w:type="dxa"/>
            <w:tcBorders>
              <w:top w:val="nil"/>
              <w:left w:val="single" w:sz="4" w:space="0" w:color="auto"/>
              <w:bottom w:val="single" w:sz="4" w:space="0" w:color="auto"/>
              <w:right w:val="nil"/>
            </w:tcBorders>
            <w:shd w:val="clear" w:color="000000" w:fill="D9D9D9"/>
            <w:noWrap/>
            <w:vAlign w:val="bottom"/>
            <w:hideMark/>
          </w:tcPr>
          <w:p w14:paraId="4C5FC5C4" w14:textId="77777777" w:rsidR="00AB20EA" w:rsidRPr="002E4C2B" w:rsidRDefault="00AB20EA" w:rsidP="00095F89">
            <w:pPr>
              <w:spacing w:after="0" w:line="240" w:lineRule="auto"/>
              <w:jc w:val="center"/>
              <w:rPr>
                <w:rFonts w:eastAsia="Times New Roman" w:cs="Times New Roman"/>
                <w:b/>
                <w:bCs/>
                <w:color w:val="000000"/>
                <w:sz w:val="20"/>
                <w:szCs w:val="20"/>
              </w:rPr>
            </w:pPr>
            <w:r w:rsidRPr="002E4C2B">
              <w:rPr>
                <w:rFonts w:eastAsia="Times New Roman" w:cs="Times New Roman"/>
                <w:b/>
                <w:bCs/>
                <w:color w:val="000000"/>
                <w:sz w:val="20"/>
                <w:szCs w:val="20"/>
              </w:rPr>
              <w:t>Count</w:t>
            </w:r>
          </w:p>
        </w:tc>
        <w:tc>
          <w:tcPr>
            <w:tcW w:w="856" w:type="dxa"/>
            <w:tcBorders>
              <w:top w:val="nil"/>
              <w:left w:val="nil"/>
              <w:bottom w:val="single" w:sz="4" w:space="0" w:color="auto"/>
              <w:right w:val="single" w:sz="4" w:space="0" w:color="auto"/>
            </w:tcBorders>
            <w:shd w:val="clear" w:color="000000" w:fill="D9D9D9"/>
            <w:noWrap/>
            <w:vAlign w:val="bottom"/>
            <w:hideMark/>
          </w:tcPr>
          <w:p w14:paraId="1132BF08" w14:textId="77777777" w:rsidR="00AB20EA" w:rsidRPr="002E4C2B" w:rsidRDefault="00AB20EA" w:rsidP="00095F89">
            <w:pPr>
              <w:spacing w:after="0" w:line="240" w:lineRule="auto"/>
              <w:jc w:val="center"/>
              <w:rPr>
                <w:rFonts w:eastAsia="Times New Roman" w:cs="Times New Roman"/>
                <w:b/>
                <w:bCs/>
                <w:color w:val="000000"/>
                <w:sz w:val="20"/>
                <w:szCs w:val="20"/>
              </w:rPr>
            </w:pPr>
            <w:r w:rsidRPr="002E4C2B">
              <w:rPr>
                <w:rFonts w:eastAsia="Times New Roman" w:cs="Times New Roman"/>
                <w:b/>
                <w:bCs/>
                <w:color w:val="000000"/>
                <w:sz w:val="20"/>
                <w:szCs w:val="20"/>
              </w:rPr>
              <w:t>Percent</w:t>
            </w:r>
          </w:p>
        </w:tc>
        <w:tc>
          <w:tcPr>
            <w:tcW w:w="1026" w:type="dxa"/>
            <w:tcBorders>
              <w:top w:val="nil"/>
              <w:left w:val="nil"/>
              <w:bottom w:val="single" w:sz="4" w:space="0" w:color="auto"/>
              <w:right w:val="nil"/>
            </w:tcBorders>
            <w:shd w:val="clear" w:color="000000" w:fill="D9D9D9"/>
            <w:noWrap/>
            <w:vAlign w:val="bottom"/>
            <w:hideMark/>
          </w:tcPr>
          <w:p w14:paraId="62D74CAD" w14:textId="77777777" w:rsidR="00AB20EA" w:rsidRPr="002E4C2B" w:rsidRDefault="00AB20EA" w:rsidP="00095F89">
            <w:pPr>
              <w:spacing w:after="0" w:line="240" w:lineRule="auto"/>
              <w:jc w:val="center"/>
              <w:rPr>
                <w:rFonts w:eastAsia="Times New Roman" w:cs="Times New Roman"/>
                <w:b/>
                <w:bCs/>
                <w:color w:val="000000"/>
                <w:sz w:val="20"/>
                <w:szCs w:val="20"/>
              </w:rPr>
            </w:pPr>
            <w:r w:rsidRPr="002E4C2B">
              <w:rPr>
                <w:rFonts w:eastAsia="Times New Roman" w:cs="Times New Roman"/>
                <w:b/>
                <w:bCs/>
                <w:color w:val="000000"/>
                <w:sz w:val="20"/>
                <w:szCs w:val="20"/>
              </w:rPr>
              <w:t>Count</w:t>
            </w:r>
          </w:p>
        </w:tc>
        <w:tc>
          <w:tcPr>
            <w:tcW w:w="856" w:type="dxa"/>
            <w:tcBorders>
              <w:top w:val="nil"/>
              <w:left w:val="nil"/>
              <w:bottom w:val="single" w:sz="4" w:space="0" w:color="auto"/>
              <w:right w:val="single" w:sz="4" w:space="0" w:color="auto"/>
            </w:tcBorders>
            <w:shd w:val="clear" w:color="000000" w:fill="D9D9D9"/>
            <w:noWrap/>
            <w:vAlign w:val="bottom"/>
            <w:hideMark/>
          </w:tcPr>
          <w:p w14:paraId="78A58094" w14:textId="77777777" w:rsidR="00AB20EA" w:rsidRPr="002E4C2B" w:rsidRDefault="00AB20EA" w:rsidP="00095F89">
            <w:pPr>
              <w:spacing w:after="0" w:line="240" w:lineRule="auto"/>
              <w:jc w:val="center"/>
              <w:rPr>
                <w:rFonts w:eastAsia="Times New Roman" w:cs="Times New Roman"/>
                <w:b/>
                <w:bCs/>
                <w:color w:val="000000"/>
                <w:sz w:val="20"/>
                <w:szCs w:val="20"/>
              </w:rPr>
            </w:pPr>
            <w:r w:rsidRPr="002E4C2B">
              <w:rPr>
                <w:rFonts w:eastAsia="Times New Roman" w:cs="Times New Roman"/>
                <w:b/>
                <w:bCs/>
                <w:color w:val="000000"/>
                <w:sz w:val="20"/>
                <w:szCs w:val="20"/>
              </w:rPr>
              <w:t>Percent</w:t>
            </w:r>
          </w:p>
        </w:tc>
        <w:tc>
          <w:tcPr>
            <w:tcW w:w="1026" w:type="dxa"/>
            <w:tcBorders>
              <w:top w:val="nil"/>
              <w:left w:val="nil"/>
              <w:bottom w:val="single" w:sz="4" w:space="0" w:color="auto"/>
              <w:right w:val="nil"/>
            </w:tcBorders>
            <w:shd w:val="clear" w:color="000000" w:fill="D9D9D9"/>
            <w:noWrap/>
            <w:vAlign w:val="bottom"/>
            <w:hideMark/>
          </w:tcPr>
          <w:p w14:paraId="0042B803" w14:textId="77777777" w:rsidR="00AB20EA" w:rsidRPr="002E4C2B" w:rsidRDefault="00AB20EA" w:rsidP="00095F89">
            <w:pPr>
              <w:spacing w:after="0" w:line="240" w:lineRule="auto"/>
              <w:jc w:val="center"/>
              <w:rPr>
                <w:rFonts w:eastAsia="Times New Roman" w:cs="Times New Roman"/>
                <w:b/>
                <w:bCs/>
                <w:color w:val="000000"/>
                <w:sz w:val="20"/>
                <w:szCs w:val="20"/>
              </w:rPr>
            </w:pPr>
            <w:r w:rsidRPr="002E4C2B">
              <w:rPr>
                <w:rFonts w:eastAsia="Times New Roman" w:cs="Times New Roman"/>
                <w:b/>
                <w:bCs/>
                <w:color w:val="000000"/>
                <w:sz w:val="20"/>
                <w:szCs w:val="20"/>
              </w:rPr>
              <w:t>Count</w:t>
            </w:r>
          </w:p>
        </w:tc>
        <w:tc>
          <w:tcPr>
            <w:tcW w:w="856" w:type="dxa"/>
            <w:tcBorders>
              <w:top w:val="nil"/>
              <w:left w:val="nil"/>
              <w:bottom w:val="single" w:sz="4" w:space="0" w:color="auto"/>
              <w:right w:val="single" w:sz="4" w:space="0" w:color="auto"/>
            </w:tcBorders>
            <w:shd w:val="clear" w:color="000000" w:fill="D9D9D9"/>
            <w:noWrap/>
            <w:vAlign w:val="bottom"/>
            <w:hideMark/>
          </w:tcPr>
          <w:p w14:paraId="1A9A0383" w14:textId="77777777" w:rsidR="00AB20EA" w:rsidRPr="002E4C2B" w:rsidRDefault="00AB20EA" w:rsidP="00095F89">
            <w:pPr>
              <w:spacing w:after="0" w:line="240" w:lineRule="auto"/>
              <w:jc w:val="center"/>
              <w:rPr>
                <w:rFonts w:eastAsia="Times New Roman" w:cs="Times New Roman"/>
                <w:b/>
                <w:bCs/>
                <w:color w:val="000000"/>
                <w:sz w:val="20"/>
                <w:szCs w:val="20"/>
              </w:rPr>
            </w:pPr>
            <w:r w:rsidRPr="002E4C2B">
              <w:rPr>
                <w:rFonts w:eastAsia="Times New Roman" w:cs="Times New Roman"/>
                <w:b/>
                <w:bCs/>
                <w:color w:val="000000"/>
                <w:sz w:val="20"/>
                <w:szCs w:val="20"/>
              </w:rPr>
              <w:t>Percent</w:t>
            </w:r>
          </w:p>
        </w:tc>
        <w:tc>
          <w:tcPr>
            <w:tcW w:w="1026" w:type="dxa"/>
            <w:tcBorders>
              <w:top w:val="nil"/>
              <w:left w:val="nil"/>
              <w:bottom w:val="single" w:sz="4" w:space="0" w:color="auto"/>
              <w:right w:val="nil"/>
            </w:tcBorders>
            <w:shd w:val="clear" w:color="000000" w:fill="D9D9D9"/>
            <w:noWrap/>
            <w:vAlign w:val="bottom"/>
            <w:hideMark/>
          </w:tcPr>
          <w:p w14:paraId="218589D1" w14:textId="77777777" w:rsidR="00AB20EA" w:rsidRPr="002E4C2B" w:rsidRDefault="00AB20EA" w:rsidP="00095F89">
            <w:pPr>
              <w:spacing w:after="0" w:line="240" w:lineRule="auto"/>
              <w:jc w:val="center"/>
              <w:rPr>
                <w:rFonts w:eastAsia="Times New Roman" w:cs="Times New Roman"/>
                <w:b/>
                <w:bCs/>
                <w:color w:val="000000"/>
                <w:sz w:val="20"/>
                <w:szCs w:val="20"/>
              </w:rPr>
            </w:pPr>
            <w:r w:rsidRPr="002E4C2B">
              <w:rPr>
                <w:rFonts w:eastAsia="Times New Roman" w:cs="Times New Roman"/>
                <w:b/>
                <w:bCs/>
                <w:color w:val="000000"/>
                <w:sz w:val="20"/>
                <w:szCs w:val="20"/>
              </w:rPr>
              <w:t>Count</w:t>
            </w:r>
          </w:p>
        </w:tc>
        <w:tc>
          <w:tcPr>
            <w:tcW w:w="856" w:type="dxa"/>
            <w:tcBorders>
              <w:top w:val="nil"/>
              <w:left w:val="nil"/>
              <w:bottom w:val="single" w:sz="4" w:space="0" w:color="auto"/>
              <w:right w:val="single" w:sz="4" w:space="0" w:color="auto"/>
            </w:tcBorders>
            <w:shd w:val="clear" w:color="000000" w:fill="D9D9D9"/>
            <w:noWrap/>
            <w:vAlign w:val="bottom"/>
            <w:hideMark/>
          </w:tcPr>
          <w:p w14:paraId="1B04D4E0" w14:textId="77777777" w:rsidR="00AB20EA" w:rsidRPr="002E4C2B" w:rsidRDefault="00AB20EA" w:rsidP="00095F89">
            <w:pPr>
              <w:spacing w:after="0" w:line="240" w:lineRule="auto"/>
              <w:jc w:val="center"/>
              <w:rPr>
                <w:rFonts w:eastAsia="Times New Roman" w:cs="Times New Roman"/>
                <w:b/>
                <w:bCs/>
                <w:color w:val="000000"/>
                <w:sz w:val="20"/>
                <w:szCs w:val="20"/>
              </w:rPr>
            </w:pPr>
            <w:r w:rsidRPr="002E4C2B">
              <w:rPr>
                <w:rFonts w:eastAsia="Times New Roman" w:cs="Times New Roman"/>
                <w:b/>
                <w:bCs/>
                <w:color w:val="000000"/>
                <w:sz w:val="20"/>
                <w:szCs w:val="20"/>
              </w:rPr>
              <w:t>Percent</w:t>
            </w:r>
          </w:p>
        </w:tc>
        <w:tc>
          <w:tcPr>
            <w:tcW w:w="1026" w:type="dxa"/>
            <w:tcBorders>
              <w:top w:val="nil"/>
              <w:left w:val="nil"/>
              <w:bottom w:val="single" w:sz="4" w:space="0" w:color="auto"/>
              <w:right w:val="nil"/>
            </w:tcBorders>
            <w:shd w:val="clear" w:color="000000" w:fill="D9D9D9"/>
            <w:noWrap/>
            <w:vAlign w:val="bottom"/>
            <w:hideMark/>
          </w:tcPr>
          <w:p w14:paraId="2367590A" w14:textId="77777777" w:rsidR="00AB20EA" w:rsidRPr="002E4C2B" w:rsidRDefault="00AB20EA" w:rsidP="00095F89">
            <w:pPr>
              <w:spacing w:after="0" w:line="240" w:lineRule="auto"/>
              <w:jc w:val="center"/>
              <w:rPr>
                <w:rFonts w:eastAsia="Times New Roman" w:cs="Times New Roman"/>
                <w:b/>
                <w:bCs/>
                <w:color w:val="000000"/>
                <w:sz w:val="20"/>
                <w:szCs w:val="20"/>
              </w:rPr>
            </w:pPr>
            <w:r w:rsidRPr="002E4C2B">
              <w:rPr>
                <w:rFonts w:eastAsia="Times New Roman" w:cs="Times New Roman"/>
                <w:b/>
                <w:bCs/>
                <w:color w:val="000000"/>
                <w:sz w:val="20"/>
                <w:szCs w:val="20"/>
              </w:rPr>
              <w:t>Count</w:t>
            </w:r>
          </w:p>
        </w:tc>
        <w:tc>
          <w:tcPr>
            <w:tcW w:w="856" w:type="dxa"/>
            <w:tcBorders>
              <w:top w:val="nil"/>
              <w:left w:val="nil"/>
              <w:bottom w:val="single" w:sz="4" w:space="0" w:color="auto"/>
            </w:tcBorders>
            <w:shd w:val="clear" w:color="000000" w:fill="D9D9D9"/>
            <w:noWrap/>
            <w:vAlign w:val="bottom"/>
            <w:hideMark/>
          </w:tcPr>
          <w:p w14:paraId="4ECF88EF" w14:textId="77777777" w:rsidR="00AB20EA" w:rsidRPr="002E4C2B" w:rsidRDefault="00AB20EA" w:rsidP="00095F89">
            <w:pPr>
              <w:spacing w:after="0" w:line="240" w:lineRule="auto"/>
              <w:jc w:val="center"/>
              <w:rPr>
                <w:rFonts w:eastAsia="Times New Roman" w:cs="Times New Roman"/>
                <w:b/>
                <w:bCs/>
                <w:color w:val="000000"/>
                <w:sz w:val="20"/>
                <w:szCs w:val="20"/>
              </w:rPr>
            </w:pPr>
            <w:r w:rsidRPr="002E4C2B">
              <w:rPr>
                <w:rFonts w:eastAsia="Times New Roman" w:cs="Times New Roman"/>
                <w:b/>
                <w:bCs/>
                <w:color w:val="000000"/>
                <w:sz w:val="20"/>
                <w:szCs w:val="20"/>
              </w:rPr>
              <w:t>Percent</w:t>
            </w:r>
          </w:p>
        </w:tc>
      </w:tr>
      <w:tr w:rsidR="00AB20EA" w:rsidRPr="002E4C2B" w14:paraId="44C100C4" w14:textId="77777777" w:rsidTr="00095F89">
        <w:trPr>
          <w:trHeight w:val="415"/>
          <w:jc w:val="center"/>
        </w:trPr>
        <w:tc>
          <w:tcPr>
            <w:tcW w:w="1473" w:type="dxa"/>
            <w:tcBorders>
              <w:top w:val="nil"/>
              <w:left w:val="nil"/>
              <w:bottom w:val="nil"/>
              <w:right w:val="single" w:sz="4" w:space="0" w:color="auto"/>
            </w:tcBorders>
            <w:shd w:val="clear" w:color="auto" w:fill="auto"/>
            <w:hideMark/>
          </w:tcPr>
          <w:p w14:paraId="442DA3A8" w14:textId="77777777" w:rsidR="00AB20EA" w:rsidRPr="002E4C2B" w:rsidRDefault="00AB20EA" w:rsidP="00095F89">
            <w:pPr>
              <w:spacing w:after="0" w:line="240" w:lineRule="auto"/>
              <w:rPr>
                <w:rFonts w:eastAsia="Times New Roman" w:cs="Times New Roman"/>
                <w:color w:val="000000"/>
                <w:sz w:val="20"/>
                <w:szCs w:val="20"/>
              </w:rPr>
            </w:pPr>
            <w:r w:rsidRPr="002E4C2B">
              <w:rPr>
                <w:rFonts w:eastAsia="Times New Roman" w:cs="Times New Roman"/>
                <w:color w:val="000000"/>
                <w:sz w:val="20"/>
                <w:szCs w:val="20"/>
              </w:rPr>
              <w:t>Most Able                  (Fully Independent)</w:t>
            </w:r>
          </w:p>
        </w:tc>
        <w:tc>
          <w:tcPr>
            <w:tcW w:w="1026" w:type="dxa"/>
            <w:tcBorders>
              <w:top w:val="nil"/>
              <w:left w:val="nil"/>
              <w:bottom w:val="single" w:sz="4" w:space="0" w:color="auto"/>
              <w:right w:val="nil"/>
            </w:tcBorders>
            <w:shd w:val="clear" w:color="auto" w:fill="auto"/>
            <w:noWrap/>
            <w:vAlign w:val="center"/>
            <w:hideMark/>
          </w:tcPr>
          <w:p w14:paraId="25EC3661"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2,807,841</w:t>
            </w:r>
          </w:p>
        </w:tc>
        <w:tc>
          <w:tcPr>
            <w:tcW w:w="856" w:type="dxa"/>
            <w:tcBorders>
              <w:top w:val="nil"/>
              <w:left w:val="nil"/>
              <w:bottom w:val="single" w:sz="4" w:space="0" w:color="auto"/>
              <w:right w:val="single" w:sz="4" w:space="0" w:color="auto"/>
            </w:tcBorders>
            <w:shd w:val="clear" w:color="auto" w:fill="auto"/>
            <w:noWrap/>
            <w:vAlign w:val="center"/>
            <w:hideMark/>
          </w:tcPr>
          <w:p w14:paraId="71EEF29D"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92.7%</w:t>
            </w:r>
          </w:p>
        </w:tc>
        <w:tc>
          <w:tcPr>
            <w:tcW w:w="1026" w:type="dxa"/>
            <w:tcBorders>
              <w:top w:val="nil"/>
              <w:left w:val="nil"/>
              <w:bottom w:val="single" w:sz="4" w:space="0" w:color="auto"/>
              <w:right w:val="nil"/>
            </w:tcBorders>
            <w:shd w:val="clear" w:color="auto" w:fill="auto"/>
            <w:noWrap/>
            <w:vAlign w:val="center"/>
            <w:hideMark/>
          </w:tcPr>
          <w:p w14:paraId="76DE66E5"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2,723,422</w:t>
            </w:r>
          </w:p>
        </w:tc>
        <w:tc>
          <w:tcPr>
            <w:tcW w:w="856" w:type="dxa"/>
            <w:tcBorders>
              <w:top w:val="nil"/>
              <w:left w:val="nil"/>
              <w:bottom w:val="single" w:sz="4" w:space="0" w:color="auto"/>
              <w:right w:val="single" w:sz="4" w:space="0" w:color="auto"/>
            </w:tcBorders>
            <w:shd w:val="clear" w:color="auto" w:fill="auto"/>
            <w:noWrap/>
            <w:vAlign w:val="center"/>
            <w:hideMark/>
          </w:tcPr>
          <w:p w14:paraId="4D1E54C1"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92.8%</w:t>
            </w:r>
          </w:p>
        </w:tc>
        <w:tc>
          <w:tcPr>
            <w:tcW w:w="1026" w:type="dxa"/>
            <w:tcBorders>
              <w:top w:val="nil"/>
              <w:left w:val="nil"/>
              <w:bottom w:val="single" w:sz="4" w:space="0" w:color="auto"/>
              <w:right w:val="nil"/>
            </w:tcBorders>
            <w:shd w:val="clear" w:color="auto" w:fill="auto"/>
            <w:noWrap/>
            <w:vAlign w:val="center"/>
            <w:hideMark/>
          </w:tcPr>
          <w:p w14:paraId="1FA649CE"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2,453,465</w:t>
            </w:r>
          </w:p>
        </w:tc>
        <w:tc>
          <w:tcPr>
            <w:tcW w:w="856" w:type="dxa"/>
            <w:tcBorders>
              <w:top w:val="nil"/>
              <w:left w:val="nil"/>
              <w:bottom w:val="single" w:sz="4" w:space="0" w:color="auto"/>
              <w:right w:val="single" w:sz="4" w:space="0" w:color="auto"/>
            </w:tcBorders>
            <w:shd w:val="clear" w:color="auto" w:fill="auto"/>
            <w:noWrap/>
            <w:vAlign w:val="center"/>
            <w:hideMark/>
          </w:tcPr>
          <w:p w14:paraId="496A2792"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92.9%</w:t>
            </w:r>
          </w:p>
        </w:tc>
        <w:tc>
          <w:tcPr>
            <w:tcW w:w="1026" w:type="dxa"/>
            <w:tcBorders>
              <w:top w:val="nil"/>
              <w:left w:val="nil"/>
              <w:bottom w:val="single" w:sz="4" w:space="0" w:color="auto"/>
              <w:right w:val="nil"/>
            </w:tcBorders>
            <w:shd w:val="clear" w:color="auto" w:fill="auto"/>
            <w:noWrap/>
            <w:vAlign w:val="center"/>
            <w:hideMark/>
          </w:tcPr>
          <w:p w14:paraId="087CEDAD"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1,049,455</w:t>
            </w:r>
          </w:p>
        </w:tc>
        <w:tc>
          <w:tcPr>
            <w:tcW w:w="856" w:type="dxa"/>
            <w:tcBorders>
              <w:top w:val="nil"/>
              <w:left w:val="nil"/>
              <w:bottom w:val="single" w:sz="4" w:space="0" w:color="auto"/>
              <w:right w:val="single" w:sz="4" w:space="0" w:color="auto"/>
            </w:tcBorders>
            <w:shd w:val="clear" w:color="auto" w:fill="auto"/>
            <w:noWrap/>
            <w:vAlign w:val="center"/>
            <w:hideMark/>
          </w:tcPr>
          <w:p w14:paraId="3BB6ACF6"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93.4%</w:t>
            </w:r>
          </w:p>
        </w:tc>
        <w:tc>
          <w:tcPr>
            <w:tcW w:w="1026" w:type="dxa"/>
            <w:tcBorders>
              <w:top w:val="nil"/>
              <w:left w:val="nil"/>
              <w:bottom w:val="single" w:sz="4" w:space="0" w:color="auto"/>
              <w:right w:val="nil"/>
            </w:tcBorders>
            <w:shd w:val="clear" w:color="auto" w:fill="auto"/>
            <w:noWrap/>
            <w:vAlign w:val="center"/>
            <w:hideMark/>
          </w:tcPr>
          <w:p w14:paraId="6A162C29"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3,209,789</w:t>
            </w:r>
          </w:p>
        </w:tc>
        <w:tc>
          <w:tcPr>
            <w:tcW w:w="856" w:type="dxa"/>
            <w:tcBorders>
              <w:top w:val="nil"/>
              <w:left w:val="nil"/>
              <w:bottom w:val="single" w:sz="4" w:space="0" w:color="auto"/>
            </w:tcBorders>
            <w:shd w:val="clear" w:color="auto" w:fill="auto"/>
            <w:noWrap/>
            <w:vAlign w:val="center"/>
            <w:hideMark/>
          </w:tcPr>
          <w:p w14:paraId="6FA91614"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92.3%</w:t>
            </w:r>
          </w:p>
        </w:tc>
      </w:tr>
      <w:tr w:rsidR="00AB20EA" w:rsidRPr="002E4C2B" w14:paraId="10F32611" w14:textId="77777777" w:rsidTr="00095F89">
        <w:trPr>
          <w:trHeight w:val="206"/>
          <w:jc w:val="center"/>
        </w:trPr>
        <w:tc>
          <w:tcPr>
            <w:tcW w:w="1473" w:type="dxa"/>
            <w:tcBorders>
              <w:top w:val="nil"/>
              <w:left w:val="nil"/>
              <w:bottom w:val="nil"/>
              <w:right w:val="nil"/>
            </w:tcBorders>
            <w:shd w:val="clear" w:color="auto" w:fill="auto"/>
            <w:noWrap/>
            <w:vAlign w:val="bottom"/>
            <w:hideMark/>
          </w:tcPr>
          <w:p w14:paraId="3B4730A7" w14:textId="77777777" w:rsidR="00AB20EA" w:rsidRPr="002E4C2B" w:rsidRDefault="00AB20EA" w:rsidP="00095F89">
            <w:pPr>
              <w:spacing w:after="0" w:line="240" w:lineRule="auto"/>
              <w:rPr>
                <w:rFonts w:eastAsia="Times New Roman" w:cs="Times New Roman"/>
                <w:color w:val="000000"/>
                <w:sz w:val="20"/>
                <w:szCs w:val="20"/>
              </w:rPr>
            </w:pPr>
          </w:p>
          <w:tbl>
            <w:tblPr>
              <w:tblW w:w="1242" w:type="dxa"/>
              <w:tblCellSpacing w:w="0" w:type="dxa"/>
              <w:tblCellMar>
                <w:left w:w="0" w:type="dxa"/>
                <w:right w:w="0" w:type="dxa"/>
              </w:tblCellMar>
              <w:tblLook w:val="04A0" w:firstRow="1" w:lastRow="0" w:firstColumn="1" w:lastColumn="0" w:noHBand="0" w:noVBand="1"/>
            </w:tblPr>
            <w:tblGrid>
              <w:gridCol w:w="1252"/>
            </w:tblGrid>
            <w:tr w:rsidR="00AB20EA" w:rsidRPr="002E4C2B" w14:paraId="7D4421C1" w14:textId="77777777" w:rsidTr="00095F89">
              <w:trPr>
                <w:trHeight w:val="206"/>
                <w:tblCellSpacing w:w="0" w:type="dxa"/>
              </w:trPr>
              <w:tc>
                <w:tcPr>
                  <w:tcW w:w="1242" w:type="dxa"/>
                  <w:tcBorders>
                    <w:top w:val="nil"/>
                    <w:left w:val="nil"/>
                    <w:bottom w:val="nil"/>
                    <w:right w:val="single" w:sz="4" w:space="0" w:color="auto"/>
                  </w:tcBorders>
                  <w:shd w:val="clear" w:color="auto" w:fill="auto"/>
                  <w:noWrap/>
                  <w:vAlign w:val="bottom"/>
                  <w:hideMark/>
                </w:tcPr>
                <w:p w14:paraId="35223B27" w14:textId="77777777" w:rsidR="00AB20EA" w:rsidRPr="002E4C2B" w:rsidRDefault="00AB20EA" w:rsidP="00095F89">
                  <w:pPr>
                    <w:spacing w:after="0" w:line="240" w:lineRule="auto"/>
                    <w:rPr>
                      <w:rFonts w:eastAsia="Times New Roman" w:cs="Times New Roman"/>
                      <w:color w:val="000000"/>
                      <w:sz w:val="20"/>
                      <w:szCs w:val="20"/>
                    </w:rPr>
                  </w:pPr>
                  <w:r w:rsidRPr="002E4C2B">
                    <w:rPr>
                      <w:rFonts w:eastAsia="Times New Roman" w:cs="Times New Roman"/>
                      <w:color w:val="000000"/>
                      <w:sz w:val="20"/>
                      <w:szCs w:val="20"/>
                    </w:rPr>
                    <w:t> </w:t>
                  </w:r>
                </w:p>
              </w:tc>
            </w:tr>
          </w:tbl>
          <w:p w14:paraId="39CFDA1B" w14:textId="77777777" w:rsidR="00AB20EA" w:rsidRPr="002E4C2B" w:rsidRDefault="00AB20EA" w:rsidP="00095F89">
            <w:pPr>
              <w:spacing w:after="0" w:line="240" w:lineRule="auto"/>
              <w:rPr>
                <w:rFonts w:eastAsia="Times New Roman" w:cs="Times New Roman"/>
                <w:color w:val="000000"/>
                <w:sz w:val="20"/>
                <w:szCs w:val="20"/>
              </w:rPr>
            </w:pPr>
          </w:p>
        </w:tc>
        <w:tc>
          <w:tcPr>
            <w:tcW w:w="1026" w:type="dxa"/>
            <w:tcBorders>
              <w:top w:val="nil"/>
              <w:left w:val="nil"/>
              <w:bottom w:val="single" w:sz="4" w:space="0" w:color="auto"/>
              <w:right w:val="nil"/>
            </w:tcBorders>
            <w:shd w:val="clear" w:color="auto" w:fill="auto"/>
            <w:noWrap/>
            <w:vAlign w:val="bottom"/>
            <w:hideMark/>
          </w:tcPr>
          <w:p w14:paraId="75EF1459"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1,238,755</w:t>
            </w:r>
          </w:p>
        </w:tc>
        <w:tc>
          <w:tcPr>
            <w:tcW w:w="856" w:type="dxa"/>
            <w:tcBorders>
              <w:top w:val="nil"/>
              <w:left w:val="nil"/>
              <w:bottom w:val="single" w:sz="4" w:space="0" w:color="auto"/>
              <w:right w:val="single" w:sz="4" w:space="0" w:color="auto"/>
            </w:tcBorders>
            <w:shd w:val="clear" w:color="auto" w:fill="auto"/>
            <w:noWrap/>
            <w:vAlign w:val="bottom"/>
            <w:hideMark/>
          </w:tcPr>
          <w:p w14:paraId="6FEC92AA"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89.1%</w:t>
            </w:r>
          </w:p>
        </w:tc>
        <w:tc>
          <w:tcPr>
            <w:tcW w:w="1026" w:type="dxa"/>
            <w:tcBorders>
              <w:top w:val="nil"/>
              <w:left w:val="nil"/>
              <w:bottom w:val="single" w:sz="4" w:space="0" w:color="auto"/>
              <w:right w:val="nil"/>
            </w:tcBorders>
            <w:shd w:val="clear" w:color="auto" w:fill="auto"/>
            <w:noWrap/>
            <w:vAlign w:val="bottom"/>
            <w:hideMark/>
          </w:tcPr>
          <w:p w14:paraId="61C3792B"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1,243,526</w:t>
            </w:r>
          </w:p>
        </w:tc>
        <w:tc>
          <w:tcPr>
            <w:tcW w:w="856" w:type="dxa"/>
            <w:tcBorders>
              <w:top w:val="nil"/>
              <w:left w:val="nil"/>
              <w:bottom w:val="single" w:sz="4" w:space="0" w:color="auto"/>
              <w:right w:val="single" w:sz="4" w:space="0" w:color="auto"/>
            </w:tcBorders>
            <w:shd w:val="clear" w:color="auto" w:fill="auto"/>
            <w:noWrap/>
            <w:vAlign w:val="bottom"/>
            <w:hideMark/>
          </w:tcPr>
          <w:p w14:paraId="230C58BD"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89.2%</w:t>
            </w:r>
          </w:p>
        </w:tc>
        <w:tc>
          <w:tcPr>
            <w:tcW w:w="1026" w:type="dxa"/>
            <w:tcBorders>
              <w:top w:val="nil"/>
              <w:left w:val="nil"/>
              <w:bottom w:val="single" w:sz="4" w:space="0" w:color="auto"/>
              <w:right w:val="nil"/>
            </w:tcBorders>
            <w:shd w:val="clear" w:color="auto" w:fill="auto"/>
            <w:noWrap/>
            <w:vAlign w:val="bottom"/>
            <w:hideMark/>
          </w:tcPr>
          <w:p w14:paraId="2BB516A4"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1,113,237</w:t>
            </w:r>
          </w:p>
        </w:tc>
        <w:tc>
          <w:tcPr>
            <w:tcW w:w="856" w:type="dxa"/>
            <w:tcBorders>
              <w:top w:val="nil"/>
              <w:left w:val="nil"/>
              <w:bottom w:val="single" w:sz="4" w:space="0" w:color="auto"/>
              <w:right w:val="single" w:sz="4" w:space="0" w:color="auto"/>
            </w:tcBorders>
            <w:shd w:val="clear" w:color="auto" w:fill="auto"/>
            <w:noWrap/>
            <w:vAlign w:val="bottom"/>
            <w:hideMark/>
          </w:tcPr>
          <w:p w14:paraId="5D324C18"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90.1%</w:t>
            </w:r>
          </w:p>
        </w:tc>
        <w:tc>
          <w:tcPr>
            <w:tcW w:w="1026" w:type="dxa"/>
            <w:tcBorders>
              <w:top w:val="nil"/>
              <w:left w:val="nil"/>
              <w:bottom w:val="single" w:sz="4" w:space="0" w:color="auto"/>
              <w:right w:val="nil"/>
            </w:tcBorders>
            <w:shd w:val="clear" w:color="auto" w:fill="auto"/>
            <w:noWrap/>
            <w:vAlign w:val="bottom"/>
            <w:hideMark/>
          </w:tcPr>
          <w:p w14:paraId="6D9E2F99"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1,395,803</w:t>
            </w:r>
          </w:p>
        </w:tc>
        <w:tc>
          <w:tcPr>
            <w:tcW w:w="856" w:type="dxa"/>
            <w:tcBorders>
              <w:top w:val="nil"/>
              <w:left w:val="nil"/>
              <w:bottom w:val="single" w:sz="4" w:space="0" w:color="auto"/>
              <w:right w:val="single" w:sz="4" w:space="0" w:color="auto"/>
            </w:tcBorders>
            <w:shd w:val="clear" w:color="auto" w:fill="auto"/>
            <w:noWrap/>
            <w:vAlign w:val="bottom"/>
            <w:hideMark/>
          </w:tcPr>
          <w:p w14:paraId="6894FC96"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92.6%</w:t>
            </w:r>
          </w:p>
        </w:tc>
        <w:tc>
          <w:tcPr>
            <w:tcW w:w="1026" w:type="dxa"/>
            <w:tcBorders>
              <w:top w:val="nil"/>
              <w:left w:val="nil"/>
              <w:bottom w:val="single" w:sz="4" w:space="0" w:color="auto"/>
              <w:right w:val="nil"/>
            </w:tcBorders>
            <w:shd w:val="clear" w:color="auto" w:fill="auto"/>
            <w:noWrap/>
            <w:vAlign w:val="bottom"/>
            <w:hideMark/>
          </w:tcPr>
          <w:p w14:paraId="36AAF802"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1,095,062</w:t>
            </w:r>
          </w:p>
        </w:tc>
        <w:tc>
          <w:tcPr>
            <w:tcW w:w="856" w:type="dxa"/>
            <w:tcBorders>
              <w:top w:val="nil"/>
              <w:left w:val="nil"/>
              <w:bottom w:val="single" w:sz="4" w:space="0" w:color="auto"/>
            </w:tcBorders>
            <w:shd w:val="clear" w:color="auto" w:fill="auto"/>
            <w:noWrap/>
            <w:vAlign w:val="bottom"/>
            <w:hideMark/>
          </w:tcPr>
          <w:p w14:paraId="57F945AF"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88.2%</w:t>
            </w:r>
          </w:p>
        </w:tc>
      </w:tr>
      <w:tr w:rsidR="00AB20EA" w:rsidRPr="002E4C2B" w14:paraId="3A32DC6E" w14:textId="77777777" w:rsidTr="00095F89">
        <w:trPr>
          <w:trHeight w:val="206"/>
          <w:jc w:val="center"/>
        </w:trPr>
        <w:tc>
          <w:tcPr>
            <w:tcW w:w="1473" w:type="dxa"/>
            <w:tcBorders>
              <w:top w:val="nil"/>
              <w:left w:val="nil"/>
              <w:bottom w:val="nil"/>
              <w:right w:val="single" w:sz="4" w:space="0" w:color="auto"/>
            </w:tcBorders>
            <w:shd w:val="clear" w:color="auto" w:fill="auto"/>
            <w:noWrap/>
            <w:vAlign w:val="bottom"/>
            <w:hideMark/>
          </w:tcPr>
          <w:p w14:paraId="5B080555" w14:textId="77777777" w:rsidR="00AB20EA" w:rsidRPr="002E4C2B" w:rsidRDefault="00AB20EA" w:rsidP="00095F89">
            <w:pPr>
              <w:spacing w:after="0" w:line="240" w:lineRule="auto"/>
              <w:rPr>
                <w:rFonts w:eastAsia="Times New Roman" w:cs="Times New Roman"/>
                <w:color w:val="000000"/>
                <w:sz w:val="20"/>
                <w:szCs w:val="20"/>
              </w:rPr>
            </w:pPr>
            <w:r w:rsidRPr="00D15EE5">
              <w:rPr>
                <w:rFonts w:eastAsia="Times New Roman" w:cs="Times New Roman"/>
                <w:noProof/>
                <w:color w:val="000000"/>
                <w:sz w:val="20"/>
                <w:szCs w:val="20"/>
              </w:rPr>
              <mc:AlternateContent>
                <mc:Choice Requires="wps">
                  <w:drawing>
                    <wp:anchor distT="0" distB="0" distL="114300" distR="114300" simplePos="0" relativeHeight="251662336" behindDoc="0" locked="0" layoutInCell="1" allowOverlap="1" wp14:anchorId="4AC4F424" wp14:editId="00D6F461">
                      <wp:simplePos x="0" y="0"/>
                      <wp:positionH relativeFrom="column">
                        <wp:posOffset>93345</wp:posOffset>
                      </wp:positionH>
                      <wp:positionV relativeFrom="paragraph">
                        <wp:posOffset>-311150</wp:posOffset>
                      </wp:positionV>
                      <wp:extent cx="419100" cy="876300"/>
                      <wp:effectExtent l="19050" t="19050" r="38100" b="38100"/>
                      <wp:wrapNone/>
                      <wp:docPr id="2" name="Up-Down Arrow 2"/>
                      <wp:cNvGraphicFramePr/>
                      <a:graphic xmlns:a="http://schemas.openxmlformats.org/drawingml/2006/main">
                        <a:graphicData uri="http://schemas.microsoft.com/office/word/2010/wordprocessingShape">
                          <wps:wsp>
                            <wps:cNvSpPr/>
                            <wps:spPr>
                              <a:xfrm>
                                <a:off x="0" y="0"/>
                                <a:ext cx="419100" cy="876300"/>
                              </a:xfrm>
                              <a:prstGeom prst="upDownArrow">
                                <a:avLst/>
                              </a:prstGeom>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type w14:anchorId="051CBADA"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Up-Down Arrow 2" o:spid="_x0000_s1026" type="#_x0000_t70" style="position:absolute;margin-left:7.35pt;margin-top:-24.5pt;width:33pt;height:6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" adj=",5165" fillcolor="#4f81bd [3204]" strokecolor="#243f60 [1604]" strokeweight="2pt"/>
                  </w:pict>
                </mc:Fallback>
              </mc:AlternateContent>
            </w:r>
            <w:r w:rsidRPr="002E4C2B">
              <w:rPr>
                <w:rFonts w:eastAsia="Times New Roman" w:cs="Times New Roman"/>
                <w:color w:val="000000"/>
                <w:sz w:val="20"/>
                <w:szCs w:val="20"/>
              </w:rPr>
              <w:t> </w:t>
            </w:r>
          </w:p>
        </w:tc>
        <w:tc>
          <w:tcPr>
            <w:tcW w:w="1026" w:type="dxa"/>
            <w:tcBorders>
              <w:top w:val="nil"/>
              <w:left w:val="nil"/>
              <w:bottom w:val="single" w:sz="4" w:space="0" w:color="auto"/>
              <w:right w:val="nil"/>
            </w:tcBorders>
            <w:shd w:val="clear" w:color="auto" w:fill="auto"/>
            <w:noWrap/>
            <w:vAlign w:val="bottom"/>
            <w:hideMark/>
          </w:tcPr>
          <w:p w14:paraId="5DC17FB2"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383,388</w:t>
            </w:r>
          </w:p>
        </w:tc>
        <w:tc>
          <w:tcPr>
            <w:tcW w:w="856" w:type="dxa"/>
            <w:tcBorders>
              <w:top w:val="nil"/>
              <w:left w:val="nil"/>
              <w:bottom w:val="single" w:sz="4" w:space="0" w:color="auto"/>
              <w:right w:val="single" w:sz="4" w:space="0" w:color="auto"/>
            </w:tcBorders>
            <w:shd w:val="clear" w:color="auto" w:fill="auto"/>
            <w:noWrap/>
            <w:vAlign w:val="bottom"/>
            <w:hideMark/>
          </w:tcPr>
          <w:p w14:paraId="634CA621"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85.9%</w:t>
            </w:r>
          </w:p>
        </w:tc>
        <w:tc>
          <w:tcPr>
            <w:tcW w:w="1026" w:type="dxa"/>
            <w:tcBorders>
              <w:top w:val="nil"/>
              <w:left w:val="nil"/>
              <w:bottom w:val="single" w:sz="4" w:space="0" w:color="auto"/>
              <w:right w:val="nil"/>
            </w:tcBorders>
            <w:shd w:val="clear" w:color="auto" w:fill="auto"/>
            <w:noWrap/>
            <w:vAlign w:val="bottom"/>
            <w:hideMark/>
          </w:tcPr>
          <w:p w14:paraId="0E8E315C"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460,756</w:t>
            </w:r>
          </w:p>
        </w:tc>
        <w:tc>
          <w:tcPr>
            <w:tcW w:w="856" w:type="dxa"/>
            <w:tcBorders>
              <w:top w:val="nil"/>
              <w:left w:val="nil"/>
              <w:bottom w:val="single" w:sz="4" w:space="0" w:color="auto"/>
              <w:right w:val="single" w:sz="4" w:space="0" w:color="auto"/>
            </w:tcBorders>
            <w:shd w:val="clear" w:color="auto" w:fill="auto"/>
            <w:noWrap/>
            <w:vAlign w:val="bottom"/>
            <w:hideMark/>
          </w:tcPr>
          <w:p w14:paraId="00084315"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86.3%</w:t>
            </w:r>
          </w:p>
        </w:tc>
        <w:tc>
          <w:tcPr>
            <w:tcW w:w="1026" w:type="dxa"/>
            <w:tcBorders>
              <w:top w:val="nil"/>
              <w:left w:val="nil"/>
              <w:bottom w:val="single" w:sz="4" w:space="0" w:color="auto"/>
              <w:right w:val="nil"/>
            </w:tcBorders>
            <w:shd w:val="clear" w:color="auto" w:fill="auto"/>
            <w:noWrap/>
            <w:vAlign w:val="bottom"/>
            <w:hideMark/>
          </w:tcPr>
          <w:p w14:paraId="580239FE"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797,807</w:t>
            </w:r>
          </w:p>
        </w:tc>
        <w:tc>
          <w:tcPr>
            <w:tcW w:w="856" w:type="dxa"/>
            <w:tcBorders>
              <w:top w:val="nil"/>
              <w:left w:val="nil"/>
              <w:bottom w:val="single" w:sz="4" w:space="0" w:color="auto"/>
              <w:right w:val="single" w:sz="4" w:space="0" w:color="auto"/>
            </w:tcBorders>
            <w:shd w:val="clear" w:color="auto" w:fill="auto"/>
            <w:noWrap/>
            <w:vAlign w:val="bottom"/>
            <w:hideMark/>
          </w:tcPr>
          <w:p w14:paraId="6877BC69"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87.5%</w:t>
            </w:r>
          </w:p>
        </w:tc>
        <w:tc>
          <w:tcPr>
            <w:tcW w:w="1026" w:type="dxa"/>
            <w:tcBorders>
              <w:top w:val="nil"/>
              <w:left w:val="nil"/>
              <w:bottom w:val="single" w:sz="4" w:space="0" w:color="auto"/>
              <w:right w:val="nil"/>
            </w:tcBorders>
            <w:shd w:val="clear" w:color="auto" w:fill="auto"/>
            <w:noWrap/>
            <w:vAlign w:val="bottom"/>
            <w:hideMark/>
          </w:tcPr>
          <w:p w14:paraId="5483E847"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1,106,766</w:t>
            </w:r>
          </w:p>
        </w:tc>
        <w:tc>
          <w:tcPr>
            <w:tcW w:w="856" w:type="dxa"/>
            <w:tcBorders>
              <w:top w:val="nil"/>
              <w:left w:val="nil"/>
              <w:bottom w:val="single" w:sz="4" w:space="0" w:color="auto"/>
              <w:right w:val="single" w:sz="4" w:space="0" w:color="auto"/>
            </w:tcBorders>
            <w:shd w:val="clear" w:color="auto" w:fill="auto"/>
            <w:noWrap/>
            <w:vAlign w:val="bottom"/>
            <w:hideMark/>
          </w:tcPr>
          <w:p w14:paraId="6372C75A"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90.0%</w:t>
            </w:r>
          </w:p>
        </w:tc>
        <w:tc>
          <w:tcPr>
            <w:tcW w:w="1026" w:type="dxa"/>
            <w:tcBorders>
              <w:top w:val="nil"/>
              <w:left w:val="nil"/>
              <w:bottom w:val="single" w:sz="4" w:space="0" w:color="auto"/>
              <w:right w:val="nil"/>
            </w:tcBorders>
            <w:shd w:val="clear" w:color="auto" w:fill="auto"/>
            <w:noWrap/>
            <w:vAlign w:val="bottom"/>
            <w:hideMark/>
          </w:tcPr>
          <w:p w14:paraId="4556C68D"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98,227</w:t>
            </w:r>
          </w:p>
        </w:tc>
        <w:tc>
          <w:tcPr>
            <w:tcW w:w="856" w:type="dxa"/>
            <w:tcBorders>
              <w:top w:val="nil"/>
              <w:left w:val="nil"/>
              <w:bottom w:val="single" w:sz="4" w:space="0" w:color="auto"/>
            </w:tcBorders>
            <w:shd w:val="clear" w:color="auto" w:fill="auto"/>
            <w:noWrap/>
            <w:vAlign w:val="bottom"/>
            <w:hideMark/>
          </w:tcPr>
          <w:p w14:paraId="2D0BD68E"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84.8%</w:t>
            </w:r>
          </w:p>
        </w:tc>
      </w:tr>
      <w:tr w:rsidR="00AB20EA" w:rsidRPr="002E4C2B" w14:paraId="17071754" w14:textId="77777777" w:rsidTr="00095F89">
        <w:trPr>
          <w:trHeight w:val="206"/>
          <w:jc w:val="center"/>
        </w:trPr>
        <w:tc>
          <w:tcPr>
            <w:tcW w:w="1473" w:type="dxa"/>
            <w:tcBorders>
              <w:top w:val="nil"/>
              <w:left w:val="nil"/>
              <w:bottom w:val="nil"/>
              <w:right w:val="single" w:sz="4" w:space="0" w:color="auto"/>
            </w:tcBorders>
            <w:shd w:val="clear" w:color="auto" w:fill="auto"/>
            <w:noWrap/>
            <w:vAlign w:val="bottom"/>
            <w:hideMark/>
          </w:tcPr>
          <w:p w14:paraId="4C3F2F71" w14:textId="77777777" w:rsidR="00AB20EA" w:rsidRPr="002E4C2B" w:rsidRDefault="00AB20EA" w:rsidP="00095F89">
            <w:pPr>
              <w:spacing w:after="0" w:line="240" w:lineRule="auto"/>
              <w:rPr>
                <w:rFonts w:eastAsia="Times New Roman" w:cs="Times New Roman"/>
                <w:color w:val="000000"/>
                <w:sz w:val="20"/>
                <w:szCs w:val="20"/>
              </w:rPr>
            </w:pPr>
            <w:r w:rsidRPr="002E4C2B">
              <w:rPr>
                <w:rFonts w:eastAsia="Times New Roman" w:cs="Times New Roman"/>
                <w:color w:val="000000"/>
                <w:sz w:val="20"/>
                <w:szCs w:val="20"/>
              </w:rPr>
              <w:t> </w:t>
            </w:r>
          </w:p>
        </w:tc>
        <w:tc>
          <w:tcPr>
            <w:tcW w:w="1026" w:type="dxa"/>
            <w:tcBorders>
              <w:top w:val="nil"/>
              <w:left w:val="nil"/>
              <w:bottom w:val="single" w:sz="4" w:space="0" w:color="auto"/>
              <w:right w:val="nil"/>
            </w:tcBorders>
            <w:shd w:val="clear" w:color="auto" w:fill="auto"/>
            <w:noWrap/>
            <w:vAlign w:val="bottom"/>
            <w:hideMark/>
          </w:tcPr>
          <w:p w14:paraId="2F0BE6D5"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112,516</w:t>
            </w:r>
          </w:p>
        </w:tc>
        <w:tc>
          <w:tcPr>
            <w:tcW w:w="856" w:type="dxa"/>
            <w:tcBorders>
              <w:top w:val="nil"/>
              <w:left w:val="nil"/>
              <w:bottom w:val="single" w:sz="4" w:space="0" w:color="auto"/>
              <w:right w:val="single" w:sz="4" w:space="0" w:color="auto"/>
            </w:tcBorders>
            <w:shd w:val="clear" w:color="auto" w:fill="auto"/>
            <w:noWrap/>
            <w:vAlign w:val="bottom"/>
            <w:hideMark/>
          </w:tcPr>
          <w:p w14:paraId="76A3389E"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84.7%</w:t>
            </w:r>
          </w:p>
        </w:tc>
        <w:tc>
          <w:tcPr>
            <w:tcW w:w="1026" w:type="dxa"/>
            <w:tcBorders>
              <w:top w:val="nil"/>
              <w:left w:val="nil"/>
              <w:bottom w:val="single" w:sz="4" w:space="0" w:color="auto"/>
              <w:right w:val="nil"/>
            </w:tcBorders>
            <w:shd w:val="clear" w:color="auto" w:fill="auto"/>
            <w:noWrap/>
            <w:vAlign w:val="bottom"/>
            <w:hideMark/>
          </w:tcPr>
          <w:p w14:paraId="6EBFEAEC"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114,796</w:t>
            </w:r>
          </w:p>
        </w:tc>
        <w:tc>
          <w:tcPr>
            <w:tcW w:w="856" w:type="dxa"/>
            <w:tcBorders>
              <w:top w:val="nil"/>
              <w:left w:val="nil"/>
              <w:bottom w:val="single" w:sz="4" w:space="0" w:color="auto"/>
              <w:right w:val="single" w:sz="4" w:space="0" w:color="auto"/>
            </w:tcBorders>
            <w:shd w:val="clear" w:color="auto" w:fill="auto"/>
            <w:noWrap/>
            <w:vAlign w:val="bottom"/>
            <w:hideMark/>
          </w:tcPr>
          <w:p w14:paraId="53A464BB"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84.7%</w:t>
            </w:r>
          </w:p>
        </w:tc>
        <w:tc>
          <w:tcPr>
            <w:tcW w:w="1026" w:type="dxa"/>
            <w:tcBorders>
              <w:top w:val="nil"/>
              <w:left w:val="nil"/>
              <w:bottom w:val="single" w:sz="4" w:space="0" w:color="auto"/>
              <w:right w:val="nil"/>
            </w:tcBorders>
            <w:shd w:val="clear" w:color="auto" w:fill="auto"/>
            <w:noWrap/>
            <w:vAlign w:val="bottom"/>
            <w:hideMark/>
          </w:tcPr>
          <w:p w14:paraId="64B943A8"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177,991</w:t>
            </w:r>
          </w:p>
        </w:tc>
        <w:tc>
          <w:tcPr>
            <w:tcW w:w="856" w:type="dxa"/>
            <w:tcBorders>
              <w:top w:val="nil"/>
              <w:left w:val="nil"/>
              <w:bottom w:val="single" w:sz="4" w:space="0" w:color="auto"/>
              <w:right w:val="single" w:sz="4" w:space="0" w:color="auto"/>
            </w:tcBorders>
            <w:shd w:val="clear" w:color="auto" w:fill="auto"/>
            <w:noWrap/>
            <w:vAlign w:val="bottom"/>
            <w:hideMark/>
          </w:tcPr>
          <w:p w14:paraId="32656930"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85.0%</w:t>
            </w:r>
          </w:p>
        </w:tc>
        <w:tc>
          <w:tcPr>
            <w:tcW w:w="1026" w:type="dxa"/>
            <w:tcBorders>
              <w:top w:val="nil"/>
              <w:left w:val="nil"/>
              <w:bottom w:val="single" w:sz="4" w:space="0" w:color="auto"/>
              <w:right w:val="nil"/>
            </w:tcBorders>
            <w:shd w:val="clear" w:color="auto" w:fill="auto"/>
            <w:noWrap/>
            <w:vAlign w:val="bottom"/>
            <w:hideMark/>
          </w:tcPr>
          <w:p w14:paraId="77811227"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675,249</w:t>
            </w:r>
          </w:p>
        </w:tc>
        <w:tc>
          <w:tcPr>
            <w:tcW w:w="856" w:type="dxa"/>
            <w:tcBorders>
              <w:top w:val="nil"/>
              <w:left w:val="nil"/>
              <w:bottom w:val="single" w:sz="4" w:space="0" w:color="auto"/>
              <w:right w:val="single" w:sz="4" w:space="0" w:color="auto"/>
            </w:tcBorders>
            <w:shd w:val="clear" w:color="auto" w:fill="auto"/>
            <w:noWrap/>
            <w:vAlign w:val="bottom"/>
            <w:hideMark/>
          </w:tcPr>
          <w:p w14:paraId="2DA25975"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87.5%</w:t>
            </w:r>
          </w:p>
        </w:tc>
        <w:tc>
          <w:tcPr>
            <w:tcW w:w="1026" w:type="dxa"/>
            <w:tcBorders>
              <w:top w:val="nil"/>
              <w:left w:val="nil"/>
              <w:bottom w:val="single" w:sz="4" w:space="0" w:color="auto"/>
              <w:right w:val="nil"/>
            </w:tcBorders>
            <w:shd w:val="clear" w:color="auto" w:fill="auto"/>
            <w:noWrap/>
            <w:vAlign w:val="bottom"/>
            <w:hideMark/>
          </w:tcPr>
          <w:p w14:paraId="484E9793"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20,553</w:t>
            </w:r>
          </w:p>
        </w:tc>
        <w:tc>
          <w:tcPr>
            <w:tcW w:w="856" w:type="dxa"/>
            <w:tcBorders>
              <w:top w:val="nil"/>
              <w:left w:val="nil"/>
              <w:bottom w:val="single" w:sz="4" w:space="0" w:color="auto"/>
            </w:tcBorders>
            <w:shd w:val="clear" w:color="auto" w:fill="auto"/>
            <w:noWrap/>
            <w:vAlign w:val="bottom"/>
            <w:hideMark/>
          </w:tcPr>
          <w:p w14:paraId="0A19B37A"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84.3%</w:t>
            </w:r>
          </w:p>
        </w:tc>
      </w:tr>
      <w:tr w:rsidR="00AB20EA" w:rsidRPr="002E4C2B" w14:paraId="73F66D7B" w14:textId="77777777" w:rsidTr="00095F89">
        <w:trPr>
          <w:trHeight w:val="206"/>
          <w:jc w:val="center"/>
        </w:trPr>
        <w:tc>
          <w:tcPr>
            <w:tcW w:w="1473" w:type="dxa"/>
            <w:tcBorders>
              <w:top w:val="nil"/>
              <w:left w:val="nil"/>
              <w:bottom w:val="nil"/>
              <w:right w:val="single" w:sz="4" w:space="0" w:color="auto"/>
            </w:tcBorders>
            <w:shd w:val="clear" w:color="auto" w:fill="auto"/>
            <w:noWrap/>
            <w:vAlign w:val="bottom"/>
            <w:hideMark/>
          </w:tcPr>
          <w:p w14:paraId="0616BA5A" w14:textId="77777777" w:rsidR="00AB20EA" w:rsidRPr="002E4C2B" w:rsidRDefault="00AB20EA" w:rsidP="00095F89">
            <w:pPr>
              <w:spacing w:after="0" w:line="240" w:lineRule="auto"/>
              <w:rPr>
                <w:rFonts w:eastAsia="Times New Roman" w:cs="Times New Roman"/>
                <w:color w:val="000000"/>
                <w:sz w:val="20"/>
                <w:szCs w:val="20"/>
              </w:rPr>
            </w:pPr>
            <w:r w:rsidRPr="002E4C2B">
              <w:rPr>
                <w:rFonts w:eastAsia="Times New Roman" w:cs="Times New Roman"/>
                <w:color w:val="000000"/>
                <w:sz w:val="20"/>
                <w:szCs w:val="20"/>
              </w:rPr>
              <w:t> </w:t>
            </w:r>
          </w:p>
        </w:tc>
        <w:tc>
          <w:tcPr>
            <w:tcW w:w="1026" w:type="dxa"/>
            <w:tcBorders>
              <w:top w:val="nil"/>
              <w:left w:val="nil"/>
              <w:bottom w:val="nil"/>
              <w:right w:val="nil"/>
              <w:tl2br w:val="single" w:sz="4" w:space="0" w:color="auto"/>
              <w:tr2bl w:val="single" w:sz="4" w:space="0" w:color="auto"/>
            </w:tcBorders>
            <w:shd w:val="clear" w:color="auto" w:fill="auto"/>
            <w:noWrap/>
            <w:vAlign w:val="bottom"/>
            <w:hideMark/>
          </w:tcPr>
          <w:p w14:paraId="30F7B117" w14:textId="77777777" w:rsidR="00AB20EA" w:rsidRPr="002E4C2B" w:rsidRDefault="00AB20EA" w:rsidP="00095F89">
            <w:pPr>
              <w:spacing w:after="0" w:line="240" w:lineRule="auto"/>
              <w:rPr>
                <w:rFonts w:eastAsia="Times New Roman" w:cs="Times New Roman"/>
                <w:color w:val="000000"/>
                <w:sz w:val="20"/>
                <w:szCs w:val="20"/>
              </w:rPr>
            </w:pPr>
            <w:r w:rsidRPr="002E4C2B">
              <w:rPr>
                <w:rFonts w:eastAsia="Times New Roman" w:cs="Times New Roman"/>
                <w:strike/>
                <w:color w:val="000000"/>
                <w:sz w:val="20"/>
                <w:szCs w:val="20"/>
              </w:rPr>
              <w:t> </w:t>
            </w:r>
          </w:p>
        </w:tc>
        <w:tc>
          <w:tcPr>
            <w:tcW w:w="856" w:type="dxa"/>
            <w:tcBorders>
              <w:top w:val="nil"/>
              <w:left w:val="nil"/>
              <w:bottom w:val="nil"/>
              <w:right w:val="single" w:sz="4" w:space="0" w:color="auto"/>
              <w:tl2br w:val="single" w:sz="4" w:space="0" w:color="auto"/>
              <w:tr2bl w:val="single" w:sz="4" w:space="0" w:color="auto"/>
            </w:tcBorders>
            <w:shd w:val="clear" w:color="auto" w:fill="auto"/>
            <w:noWrap/>
            <w:vAlign w:val="bottom"/>
            <w:hideMark/>
          </w:tcPr>
          <w:p w14:paraId="29518125" w14:textId="77777777" w:rsidR="00AB20EA" w:rsidRPr="002E4C2B" w:rsidRDefault="00AB20EA" w:rsidP="00095F89">
            <w:pPr>
              <w:spacing w:after="0" w:line="240" w:lineRule="auto"/>
              <w:rPr>
                <w:rFonts w:eastAsia="Times New Roman" w:cs="Times New Roman"/>
                <w:color w:val="000000"/>
                <w:sz w:val="20"/>
                <w:szCs w:val="20"/>
              </w:rPr>
            </w:pPr>
            <w:r w:rsidRPr="002E4C2B">
              <w:rPr>
                <w:rFonts w:eastAsia="Times New Roman" w:cs="Times New Roman"/>
                <w:strike/>
                <w:color w:val="000000"/>
                <w:sz w:val="20"/>
                <w:szCs w:val="20"/>
              </w:rPr>
              <w:t> </w:t>
            </w:r>
          </w:p>
        </w:tc>
        <w:tc>
          <w:tcPr>
            <w:tcW w:w="1026" w:type="dxa"/>
            <w:tcBorders>
              <w:top w:val="nil"/>
              <w:left w:val="nil"/>
              <w:bottom w:val="nil"/>
              <w:right w:val="nil"/>
              <w:tl2br w:val="single" w:sz="4" w:space="0" w:color="auto"/>
              <w:tr2bl w:val="single" w:sz="4" w:space="0" w:color="auto"/>
            </w:tcBorders>
            <w:shd w:val="clear" w:color="auto" w:fill="auto"/>
            <w:noWrap/>
            <w:vAlign w:val="bottom"/>
            <w:hideMark/>
          </w:tcPr>
          <w:p w14:paraId="36D42E5A" w14:textId="77777777" w:rsidR="00AB20EA" w:rsidRPr="002E4C2B" w:rsidRDefault="00AB20EA" w:rsidP="00095F89">
            <w:pPr>
              <w:spacing w:after="0" w:line="240" w:lineRule="auto"/>
              <w:rPr>
                <w:rFonts w:eastAsia="Times New Roman" w:cs="Times New Roman"/>
                <w:color w:val="000000"/>
                <w:sz w:val="20"/>
                <w:szCs w:val="20"/>
              </w:rPr>
            </w:pPr>
            <w:r w:rsidRPr="002E4C2B">
              <w:rPr>
                <w:rFonts w:eastAsia="Times New Roman" w:cs="Times New Roman"/>
                <w:strike/>
                <w:color w:val="000000"/>
                <w:sz w:val="20"/>
                <w:szCs w:val="20"/>
              </w:rPr>
              <w:t> </w:t>
            </w:r>
          </w:p>
        </w:tc>
        <w:tc>
          <w:tcPr>
            <w:tcW w:w="856" w:type="dxa"/>
            <w:tcBorders>
              <w:top w:val="nil"/>
              <w:left w:val="nil"/>
              <w:bottom w:val="nil"/>
              <w:right w:val="single" w:sz="4" w:space="0" w:color="auto"/>
              <w:tl2br w:val="single" w:sz="4" w:space="0" w:color="auto"/>
              <w:tr2bl w:val="single" w:sz="4" w:space="0" w:color="auto"/>
            </w:tcBorders>
            <w:shd w:val="clear" w:color="auto" w:fill="auto"/>
            <w:noWrap/>
            <w:vAlign w:val="bottom"/>
            <w:hideMark/>
          </w:tcPr>
          <w:p w14:paraId="0502F83C" w14:textId="77777777" w:rsidR="00AB20EA" w:rsidRPr="002E4C2B" w:rsidRDefault="00AB20EA" w:rsidP="00095F89">
            <w:pPr>
              <w:spacing w:after="0" w:line="240" w:lineRule="auto"/>
              <w:rPr>
                <w:rFonts w:eastAsia="Times New Roman" w:cs="Times New Roman"/>
                <w:color w:val="000000"/>
                <w:sz w:val="20"/>
                <w:szCs w:val="20"/>
              </w:rPr>
            </w:pPr>
            <w:r w:rsidRPr="002E4C2B">
              <w:rPr>
                <w:rFonts w:eastAsia="Times New Roman" w:cs="Times New Roman"/>
                <w:strike/>
                <w:color w:val="000000"/>
                <w:sz w:val="20"/>
                <w:szCs w:val="20"/>
              </w:rPr>
              <w:t> </w:t>
            </w:r>
          </w:p>
        </w:tc>
        <w:tc>
          <w:tcPr>
            <w:tcW w:w="1026" w:type="dxa"/>
            <w:tcBorders>
              <w:top w:val="nil"/>
              <w:left w:val="nil"/>
              <w:bottom w:val="nil"/>
              <w:right w:val="nil"/>
              <w:tl2br w:val="single" w:sz="4" w:space="0" w:color="auto"/>
              <w:tr2bl w:val="single" w:sz="4" w:space="0" w:color="auto"/>
            </w:tcBorders>
            <w:shd w:val="clear" w:color="auto" w:fill="auto"/>
            <w:noWrap/>
            <w:vAlign w:val="bottom"/>
            <w:hideMark/>
          </w:tcPr>
          <w:p w14:paraId="5DF9B87D" w14:textId="77777777" w:rsidR="00AB20EA" w:rsidRPr="002E4C2B" w:rsidRDefault="00AB20EA" w:rsidP="00095F89">
            <w:pPr>
              <w:spacing w:after="0" w:line="240" w:lineRule="auto"/>
              <w:rPr>
                <w:rFonts w:eastAsia="Times New Roman" w:cs="Times New Roman"/>
                <w:color w:val="000000"/>
                <w:sz w:val="20"/>
                <w:szCs w:val="20"/>
              </w:rPr>
            </w:pPr>
            <w:r w:rsidRPr="002E4C2B">
              <w:rPr>
                <w:rFonts w:eastAsia="Times New Roman" w:cs="Times New Roman"/>
                <w:strike/>
                <w:color w:val="000000"/>
                <w:sz w:val="20"/>
                <w:szCs w:val="20"/>
              </w:rPr>
              <w:t> </w:t>
            </w:r>
          </w:p>
        </w:tc>
        <w:tc>
          <w:tcPr>
            <w:tcW w:w="856" w:type="dxa"/>
            <w:tcBorders>
              <w:top w:val="nil"/>
              <w:left w:val="nil"/>
              <w:bottom w:val="nil"/>
              <w:right w:val="single" w:sz="4" w:space="0" w:color="auto"/>
              <w:tl2br w:val="single" w:sz="4" w:space="0" w:color="auto"/>
              <w:tr2bl w:val="single" w:sz="4" w:space="0" w:color="auto"/>
            </w:tcBorders>
            <w:shd w:val="clear" w:color="auto" w:fill="auto"/>
            <w:noWrap/>
            <w:vAlign w:val="bottom"/>
            <w:hideMark/>
          </w:tcPr>
          <w:p w14:paraId="50277112" w14:textId="77777777" w:rsidR="00AB20EA" w:rsidRPr="002E4C2B" w:rsidRDefault="00AB20EA" w:rsidP="00095F89">
            <w:pPr>
              <w:spacing w:after="0" w:line="240" w:lineRule="auto"/>
              <w:rPr>
                <w:rFonts w:eastAsia="Times New Roman" w:cs="Times New Roman"/>
                <w:color w:val="000000"/>
                <w:sz w:val="20"/>
                <w:szCs w:val="20"/>
              </w:rPr>
            </w:pPr>
            <w:r w:rsidRPr="002E4C2B">
              <w:rPr>
                <w:rFonts w:eastAsia="Times New Roman" w:cs="Times New Roman"/>
                <w:strike/>
                <w:color w:val="000000"/>
                <w:sz w:val="20"/>
                <w:szCs w:val="20"/>
              </w:rPr>
              <w:t> </w:t>
            </w:r>
          </w:p>
        </w:tc>
        <w:tc>
          <w:tcPr>
            <w:tcW w:w="1026" w:type="dxa"/>
            <w:tcBorders>
              <w:top w:val="nil"/>
              <w:left w:val="nil"/>
              <w:bottom w:val="single" w:sz="4" w:space="0" w:color="auto"/>
              <w:right w:val="nil"/>
            </w:tcBorders>
            <w:shd w:val="clear" w:color="auto" w:fill="auto"/>
            <w:noWrap/>
            <w:vAlign w:val="bottom"/>
            <w:hideMark/>
          </w:tcPr>
          <w:p w14:paraId="14299B54"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104,099</w:t>
            </w:r>
          </w:p>
        </w:tc>
        <w:tc>
          <w:tcPr>
            <w:tcW w:w="856" w:type="dxa"/>
            <w:tcBorders>
              <w:top w:val="nil"/>
              <w:left w:val="nil"/>
              <w:bottom w:val="single" w:sz="4" w:space="0" w:color="auto"/>
              <w:right w:val="single" w:sz="4" w:space="0" w:color="auto"/>
            </w:tcBorders>
            <w:shd w:val="clear" w:color="auto" w:fill="auto"/>
            <w:noWrap/>
            <w:vAlign w:val="bottom"/>
            <w:hideMark/>
          </w:tcPr>
          <w:p w14:paraId="1B38AC8D"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88.3%</w:t>
            </w:r>
          </w:p>
        </w:tc>
        <w:tc>
          <w:tcPr>
            <w:tcW w:w="1026" w:type="dxa"/>
            <w:tcBorders>
              <w:top w:val="nil"/>
              <w:left w:val="nil"/>
              <w:bottom w:val="single" w:sz="4" w:space="0" w:color="auto"/>
              <w:right w:val="nil"/>
            </w:tcBorders>
            <w:shd w:val="clear" w:color="auto" w:fill="auto"/>
            <w:noWrap/>
            <w:vAlign w:val="bottom"/>
            <w:hideMark/>
          </w:tcPr>
          <w:p w14:paraId="68405830"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118,869</w:t>
            </w:r>
          </w:p>
        </w:tc>
        <w:tc>
          <w:tcPr>
            <w:tcW w:w="856" w:type="dxa"/>
            <w:tcBorders>
              <w:top w:val="nil"/>
              <w:left w:val="nil"/>
              <w:bottom w:val="single" w:sz="4" w:space="0" w:color="auto"/>
            </w:tcBorders>
            <w:shd w:val="clear" w:color="auto" w:fill="auto"/>
            <w:noWrap/>
            <w:vAlign w:val="bottom"/>
            <w:hideMark/>
          </w:tcPr>
          <w:p w14:paraId="078427C5"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84.6%</w:t>
            </w:r>
          </w:p>
        </w:tc>
      </w:tr>
      <w:tr w:rsidR="00AB20EA" w:rsidRPr="002E4C2B" w14:paraId="0C189FC6" w14:textId="77777777" w:rsidTr="00095F89">
        <w:trPr>
          <w:trHeight w:val="206"/>
          <w:jc w:val="center"/>
        </w:trPr>
        <w:tc>
          <w:tcPr>
            <w:tcW w:w="1473" w:type="dxa"/>
            <w:tcBorders>
              <w:top w:val="nil"/>
              <w:left w:val="nil"/>
              <w:bottom w:val="nil"/>
              <w:right w:val="single" w:sz="4" w:space="0" w:color="auto"/>
            </w:tcBorders>
            <w:shd w:val="clear" w:color="auto" w:fill="auto"/>
            <w:noWrap/>
            <w:vAlign w:val="bottom"/>
            <w:hideMark/>
          </w:tcPr>
          <w:p w14:paraId="4FD2FB5F" w14:textId="77777777" w:rsidR="00AB20EA" w:rsidRPr="002E4C2B" w:rsidRDefault="00AB20EA" w:rsidP="00095F89">
            <w:pPr>
              <w:spacing w:after="0" w:line="240" w:lineRule="auto"/>
              <w:rPr>
                <w:rFonts w:eastAsia="Times New Roman" w:cs="Times New Roman"/>
                <w:color w:val="000000"/>
                <w:sz w:val="20"/>
                <w:szCs w:val="20"/>
              </w:rPr>
            </w:pPr>
            <w:r w:rsidRPr="002E4C2B">
              <w:rPr>
                <w:rFonts w:eastAsia="Times New Roman" w:cs="Times New Roman"/>
                <w:color w:val="000000"/>
                <w:sz w:val="20"/>
                <w:szCs w:val="20"/>
              </w:rPr>
              <w:t> </w:t>
            </w:r>
          </w:p>
        </w:tc>
        <w:tc>
          <w:tcPr>
            <w:tcW w:w="1026" w:type="dxa"/>
            <w:tcBorders>
              <w:top w:val="nil"/>
              <w:left w:val="nil"/>
              <w:bottom w:val="nil"/>
              <w:right w:val="nil"/>
              <w:tl2br w:val="single" w:sz="4" w:space="0" w:color="auto"/>
              <w:tr2bl w:val="single" w:sz="4" w:space="0" w:color="auto"/>
            </w:tcBorders>
            <w:shd w:val="clear" w:color="auto" w:fill="auto"/>
            <w:noWrap/>
            <w:vAlign w:val="bottom"/>
            <w:hideMark/>
          </w:tcPr>
          <w:p w14:paraId="6C0256BB" w14:textId="77777777" w:rsidR="00AB20EA" w:rsidRPr="002E4C2B" w:rsidRDefault="00AB20EA" w:rsidP="00095F89">
            <w:pPr>
              <w:spacing w:after="0" w:line="240" w:lineRule="auto"/>
              <w:rPr>
                <w:rFonts w:eastAsia="Times New Roman" w:cs="Times New Roman"/>
                <w:color w:val="000000"/>
                <w:sz w:val="20"/>
                <w:szCs w:val="20"/>
              </w:rPr>
            </w:pPr>
            <w:r w:rsidRPr="002E4C2B">
              <w:rPr>
                <w:rFonts w:eastAsia="Times New Roman" w:cs="Times New Roman"/>
                <w:strike/>
                <w:color w:val="000000"/>
                <w:sz w:val="20"/>
                <w:szCs w:val="20"/>
              </w:rPr>
              <w:t> </w:t>
            </w:r>
          </w:p>
        </w:tc>
        <w:tc>
          <w:tcPr>
            <w:tcW w:w="856" w:type="dxa"/>
            <w:tcBorders>
              <w:top w:val="nil"/>
              <w:left w:val="nil"/>
              <w:bottom w:val="nil"/>
              <w:right w:val="single" w:sz="4" w:space="0" w:color="auto"/>
              <w:tl2br w:val="single" w:sz="4" w:space="0" w:color="auto"/>
              <w:tr2bl w:val="single" w:sz="4" w:space="0" w:color="auto"/>
            </w:tcBorders>
            <w:shd w:val="clear" w:color="auto" w:fill="auto"/>
            <w:noWrap/>
            <w:vAlign w:val="bottom"/>
            <w:hideMark/>
          </w:tcPr>
          <w:p w14:paraId="30C6415D" w14:textId="77777777" w:rsidR="00AB20EA" w:rsidRPr="002E4C2B" w:rsidRDefault="00AB20EA" w:rsidP="00095F89">
            <w:pPr>
              <w:spacing w:after="0" w:line="240" w:lineRule="auto"/>
              <w:rPr>
                <w:rFonts w:eastAsia="Times New Roman" w:cs="Times New Roman"/>
                <w:color w:val="000000"/>
                <w:sz w:val="20"/>
                <w:szCs w:val="20"/>
              </w:rPr>
            </w:pPr>
            <w:r w:rsidRPr="002E4C2B">
              <w:rPr>
                <w:rFonts w:eastAsia="Times New Roman" w:cs="Times New Roman"/>
                <w:strike/>
                <w:color w:val="000000"/>
                <w:sz w:val="20"/>
                <w:szCs w:val="20"/>
              </w:rPr>
              <w:t> </w:t>
            </w:r>
          </w:p>
        </w:tc>
        <w:tc>
          <w:tcPr>
            <w:tcW w:w="1026" w:type="dxa"/>
            <w:tcBorders>
              <w:top w:val="nil"/>
              <w:left w:val="nil"/>
              <w:bottom w:val="nil"/>
              <w:right w:val="nil"/>
              <w:tl2br w:val="single" w:sz="4" w:space="0" w:color="auto"/>
              <w:tr2bl w:val="single" w:sz="4" w:space="0" w:color="auto"/>
            </w:tcBorders>
            <w:shd w:val="clear" w:color="auto" w:fill="auto"/>
            <w:noWrap/>
            <w:vAlign w:val="bottom"/>
            <w:hideMark/>
          </w:tcPr>
          <w:p w14:paraId="40C66952" w14:textId="77777777" w:rsidR="00AB20EA" w:rsidRPr="002E4C2B" w:rsidRDefault="00AB20EA" w:rsidP="00095F89">
            <w:pPr>
              <w:spacing w:after="0" w:line="240" w:lineRule="auto"/>
              <w:rPr>
                <w:rFonts w:eastAsia="Times New Roman" w:cs="Times New Roman"/>
                <w:color w:val="000000"/>
                <w:sz w:val="20"/>
                <w:szCs w:val="20"/>
              </w:rPr>
            </w:pPr>
            <w:r w:rsidRPr="002E4C2B">
              <w:rPr>
                <w:rFonts w:eastAsia="Times New Roman" w:cs="Times New Roman"/>
                <w:strike/>
                <w:color w:val="000000"/>
                <w:sz w:val="20"/>
                <w:szCs w:val="20"/>
              </w:rPr>
              <w:t> </w:t>
            </w:r>
          </w:p>
        </w:tc>
        <w:tc>
          <w:tcPr>
            <w:tcW w:w="856" w:type="dxa"/>
            <w:tcBorders>
              <w:top w:val="nil"/>
              <w:left w:val="nil"/>
              <w:bottom w:val="nil"/>
              <w:right w:val="single" w:sz="4" w:space="0" w:color="auto"/>
              <w:tl2br w:val="single" w:sz="4" w:space="0" w:color="auto"/>
              <w:tr2bl w:val="single" w:sz="4" w:space="0" w:color="auto"/>
            </w:tcBorders>
            <w:shd w:val="clear" w:color="auto" w:fill="auto"/>
            <w:noWrap/>
            <w:vAlign w:val="bottom"/>
            <w:hideMark/>
          </w:tcPr>
          <w:p w14:paraId="16C35525" w14:textId="77777777" w:rsidR="00AB20EA" w:rsidRPr="002E4C2B" w:rsidRDefault="00AB20EA" w:rsidP="00095F89">
            <w:pPr>
              <w:spacing w:after="0" w:line="240" w:lineRule="auto"/>
              <w:rPr>
                <w:rFonts w:eastAsia="Times New Roman" w:cs="Times New Roman"/>
                <w:color w:val="000000"/>
                <w:sz w:val="20"/>
                <w:szCs w:val="20"/>
              </w:rPr>
            </w:pPr>
            <w:r w:rsidRPr="002E4C2B">
              <w:rPr>
                <w:rFonts w:eastAsia="Times New Roman" w:cs="Times New Roman"/>
                <w:strike/>
                <w:color w:val="000000"/>
                <w:sz w:val="20"/>
                <w:szCs w:val="20"/>
              </w:rPr>
              <w:t> </w:t>
            </w:r>
          </w:p>
        </w:tc>
        <w:tc>
          <w:tcPr>
            <w:tcW w:w="1026" w:type="dxa"/>
            <w:tcBorders>
              <w:top w:val="nil"/>
              <w:left w:val="nil"/>
              <w:bottom w:val="nil"/>
              <w:right w:val="nil"/>
              <w:tl2br w:val="single" w:sz="4" w:space="0" w:color="auto"/>
              <w:tr2bl w:val="single" w:sz="4" w:space="0" w:color="auto"/>
            </w:tcBorders>
            <w:shd w:val="clear" w:color="auto" w:fill="auto"/>
            <w:noWrap/>
            <w:vAlign w:val="bottom"/>
            <w:hideMark/>
          </w:tcPr>
          <w:p w14:paraId="5EA62490" w14:textId="77777777" w:rsidR="00AB20EA" w:rsidRPr="002E4C2B" w:rsidRDefault="00AB20EA" w:rsidP="00095F89">
            <w:pPr>
              <w:spacing w:after="0" w:line="240" w:lineRule="auto"/>
              <w:rPr>
                <w:rFonts w:eastAsia="Times New Roman" w:cs="Times New Roman"/>
                <w:color w:val="000000"/>
                <w:sz w:val="20"/>
                <w:szCs w:val="20"/>
              </w:rPr>
            </w:pPr>
            <w:r w:rsidRPr="002E4C2B">
              <w:rPr>
                <w:rFonts w:eastAsia="Times New Roman" w:cs="Times New Roman"/>
                <w:strike/>
                <w:color w:val="000000"/>
                <w:sz w:val="20"/>
                <w:szCs w:val="20"/>
              </w:rPr>
              <w:t> </w:t>
            </w:r>
          </w:p>
        </w:tc>
        <w:tc>
          <w:tcPr>
            <w:tcW w:w="856" w:type="dxa"/>
            <w:tcBorders>
              <w:top w:val="nil"/>
              <w:left w:val="nil"/>
              <w:bottom w:val="nil"/>
              <w:right w:val="single" w:sz="4" w:space="0" w:color="auto"/>
              <w:tl2br w:val="single" w:sz="4" w:space="0" w:color="auto"/>
              <w:tr2bl w:val="single" w:sz="4" w:space="0" w:color="auto"/>
            </w:tcBorders>
            <w:shd w:val="clear" w:color="auto" w:fill="auto"/>
            <w:noWrap/>
            <w:vAlign w:val="bottom"/>
            <w:hideMark/>
          </w:tcPr>
          <w:p w14:paraId="26D58407" w14:textId="77777777" w:rsidR="00AB20EA" w:rsidRPr="002E4C2B" w:rsidRDefault="00AB20EA" w:rsidP="00095F89">
            <w:pPr>
              <w:spacing w:after="0" w:line="240" w:lineRule="auto"/>
              <w:rPr>
                <w:rFonts w:eastAsia="Times New Roman" w:cs="Times New Roman"/>
                <w:color w:val="000000"/>
                <w:sz w:val="20"/>
                <w:szCs w:val="20"/>
              </w:rPr>
            </w:pPr>
            <w:r w:rsidRPr="002E4C2B">
              <w:rPr>
                <w:rFonts w:eastAsia="Times New Roman" w:cs="Times New Roman"/>
                <w:strike/>
                <w:color w:val="000000"/>
                <w:sz w:val="20"/>
                <w:szCs w:val="20"/>
              </w:rPr>
              <w:t> </w:t>
            </w:r>
          </w:p>
        </w:tc>
        <w:tc>
          <w:tcPr>
            <w:tcW w:w="1026" w:type="dxa"/>
            <w:tcBorders>
              <w:top w:val="nil"/>
              <w:left w:val="nil"/>
              <w:bottom w:val="single" w:sz="4" w:space="0" w:color="auto"/>
              <w:right w:val="nil"/>
            </w:tcBorders>
            <w:shd w:val="clear" w:color="auto" w:fill="auto"/>
            <w:noWrap/>
            <w:vAlign w:val="bottom"/>
            <w:hideMark/>
          </w:tcPr>
          <w:p w14:paraId="6836C09B"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109,635</w:t>
            </w:r>
          </w:p>
        </w:tc>
        <w:tc>
          <w:tcPr>
            <w:tcW w:w="856" w:type="dxa"/>
            <w:tcBorders>
              <w:top w:val="nil"/>
              <w:left w:val="nil"/>
              <w:bottom w:val="single" w:sz="4" w:space="0" w:color="auto"/>
              <w:right w:val="single" w:sz="4" w:space="0" w:color="auto"/>
            </w:tcBorders>
            <w:shd w:val="clear" w:color="auto" w:fill="auto"/>
            <w:noWrap/>
            <w:vAlign w:val="bottom"/>
            <w:hideMark/>
          </w:tcPr>
          <w:p w14:paraId="1787DFC4"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85.5%</w:t>
            </w:r>
          </w:p>
        </w:tc>
        <w:tc>
          <w:tcPr>
            <w:tcW w:w="1026" w:type="dxa"/>
            <w:tcBorders>
              <w:top w:val="nil"/>
              <w:left w:val="nil"/>
              <w:bottom w:val="nil"/>
              <w:right w:val="nil"/>
              <w:tl2br w:val="single" w:sz="4" w:space="0" w:color="auto"/>
              <w:tr2bl w:val="single" w:sz="4" w:space="0" w:color="auto"/>
            </w:tcBorders>
            <w:shd w:val="clear" w:color="auto" w:fill="auto"/>
            <w:noWrap/>
            <w:vAlign w:val="bottom"/>
            <w:hideMark/>
          </w:tcPr>
          <w:p w14:paraId="52A0136E" w14:textId="77777777" w:rsidR="00AB20EA" w:rsidRPr="002E4C2B" w:rsidRDefault="00AB20EA" w:rsidP="00095F89">
            <w:pPr>
              <w:spacing w:after="0" w:line="240" w:lineRule="auto"/>
              <w:rPr>
                <w:rFonts w:eastAsia="Times New Roman" w:cs="Times New Roman"/>
                <w:color w:val="000000"/>
                <w:sz w:val="20"/>
                <w:szCs w:val="20"/>
              </w:rPr>
            </w:pPr>
            <w:r w:rsidRPr="002E4C2B">
              <w:rPr>
                <w:rFonts w:eastAsia="Times New Roman" w:cs="Times New Roman"/>
                <w:strike/>
                <w:color w:val="000000"/>
                <w:sz w:val="20"/>
                <w:szCs w:val="20"/>
              </w:rPr>
              <w:t> </w:t>
            </w:r>
          </w:p>
        </w:tc>
        <w:tc>
          <w:tcPr>
            <w:tcW w:w="856" w:type="dxa"/>
            <w:tcBorders>
              <w:top w:val="nil"/>
              <w:left w:val="nil"/>
              <w:bottom w:val="nil"/>
              <w:tl2br w:val="single" w:sz="4" w:space="0" w:color="auto"/>
              <w:tr2bl w:val="single" w:sz="4" w:space="0" w:color="auto"/>
            </w:tcBorders>
            <w:shd w:val="clear" w:color="auto" w:fill="auto"/>
            <w:noWrap/>
            <w:vAlign w:val="bottom"/>
            <w:hideMark/>
          </w:tcPr>
          <w:p w14:paraId="621649C3" w14:textId="77777777" w:rsidR="00AB20EA" w:rsidRPr="002E4C2B" w:rsidRDefault="00AB20EA" w:rsidP="00095F89">
            <w:pPr>
              <w:spacing w:after="0" w:line="240" w:lineRule="auto"/>
              <w:rPr>
                <w:rFonts w:eastAsia="Times New Roman" w:cs="Times New Roman"/>
                <w:color w:val="000000"/>
                <w:sz w:val="20"/>
                <w:szCs w:val="20"/>
              </w:rPr>
            </w:pPr>
            <w:r w:rsidRPr="002E4C2B">
              <w:rPr>
                <w:rFonts w:eastAsia="Times New Roman" w:cs="Times New Roman"/>
                <w:strike/>
                <w:color w:val="000000"/>
                <w:sz w:val="20"/>
                <w:szCs w:val="20"/>
              </w:rPr>
              <w:t> </w:t>
            </w:r>
          </w:p>
        </w:tc>
      </w:tr>
      <w:tr w:rsidR="00AB20EA" w:rsidRPr="002E4C2B" w14:paraId="1B13C7F7" w14:textId="77777777" w:rsidTr="00095F89">
        <w:trPr>
          <w:trHeight w:val="206"/>
          <w:jc w:val="center"/>
        </w:trPr>
        <w:tc>
          <w:tcPr>
            <w:tcW w:w="1473" w:type="dxa"/>
            <w:tcBorders>
              <w:top w:val="nil"/>
              <w:left w:val="nil"/>
              <w:bottom w:val="single" w:sz="4" w:space="0" w:color="auto"/>
              <w:right w:val="single" w:sz="4" w:space="0" w:color="auto"/>
            </w:tcBorders>
            <w:shd w:val="clear" w:color="auto" w:fill="auto"/>
            <w:noWrap/>
            <w:vAlign w:val="bottom"/>
            <w:hideMark/>
          </w:tcPr>
          <w:p w14:paraId="27B631EB" w14:textId="5014B2CC" w:rsidR="00AB20EA" w:rsidRPr="002E4C2B" w:rsidRDefault="00AB20EA" w:rsidP="00095F89">
            <w:pPr>
              <w:spacing w:after="0" w:line="240" w:lineRule="auto"/>
              <w:rPr>
                <w:rFonts w:eastAsia="Times New Roman" w:cs="Times New Roman"/>
                <w:color w:val="000000"/>
                <w:sz w:val="20"/>
                <w:szCs w:val="20"/>
              </w:rPr>
            </w:pPr>
            <w:r w:rsidRPr="002E4C2B">
              <w:rPr>
                <w:rFonts w:eastAsia="Times New Roman" w:cs="Times New Roman"/>
                <w:color w:val="000000"/>
                <w:sz w:val="20"/>
                <w:szCs w:val="20"/>
              </w:rPr>
              <w:t>Least Able</w:t>
            </w:r>
            <w:r w:rsidR="00371C3F">
              <w:rPr>
                <w:rFonts w:eastAsia="Times New Roman" w:cs="Times New Roman"/>
                <w:color w:val="000000"/>
                <w:sz w:val="20"/>
                <w:szCs w:val="20"/>
              </w:rPr>
              <w:t xml:space="preserve"> (Dependent)</w:t>
            </w:r>
          </w:p>
        </w:tc>
        <w:tc>
          <w:tcPr>
            <w:tcW w:w="1026" w:type="dxa"/>
            <w:tcBorders>
              <w:top w:val="nil"/>
              <w:left w:val="nil"/>
              <w:bottom w:val="single" w:sz="4" w:space="0" w:color="auto"/>
              <w:right w:val="nil"/>
              <w:tl2br w:val="single" w:sz="4" w:space="0" w:color="auto"/>
              <w:tr2bl w:val="single" w:sz="4" w:space="0" w:color="auto"/>
            </w:tcBorders>
            <w:shd w:val="clear" w:color="auto" w:fill="auto"/>
            <w:noWrap/>
            <w:vAlign w:val="bottom"/>
            <w:hideMark/>
          </w:tcPr>
          <w:p w14:paraId="13A5C6B0" w14:textId="77777777" w:rsidR="00AB20EA" w:rsidRPr="002E4C2B" w:rsidRDefault="00AB20EA" w:rsidP="00095F89">
            <w:pPr>
              <w:spacing w:after="0" w:line="240" w:lineRule="auto"/>
              <w:rPr>
                <w:rFonts w:eastAsia="Times New Roman" w:cs="Times New Roman"/>
                <w:color w:val="000000"/>
                <w:sz w:val="20"/>
                <w:szCs w:val="20"/>
              </w:rPr>
            </w:pPr>
            <w:r w:rsidRPr="002E4C2B">
              <w:rPr>
                <w:rFonts w:eastAsia="Times New Roman" w:cs="Times New Roman"/>
                <w:strike/>
                <w:color w:val="000000"/>
                <w:sz w:val="20"/>
                <w:szCs w:val="20"/>
              </w:rPr>
              <w:t> </w:t>
            </w:r>
          </w:p>
        </w:tc>
        <w:tc>
          <w:tcPr>
            <w:tcW w:w="856" w:type="dxa"/>
            <w:tcBorders>
              <w:top w:val="nil"/>
              <w:left w:val="nil"/>
              <w:bottom w:val="single" w:sz="4" w:space="0" w:color="auto"/>
              <w:right w:val="single" w:sz="4" w:space="0" w:color="auto"/>
              <w:tl2br w:val="single" w:sz="4" w:space="0" w:color="auto"/>
              <w:tr2bl w:val="single" w:sz="4" w:space="0" w:color="auto"/>
            </w:tcBorders>
            <w:shd w:val="clear" w:color="auto" w:fill="auto"/>
            <w:noWrap/>
            <w:vAlign w:val="bottom"/>
            <w:hideMark/>
          </w:tcPr>
          <w:p w14:paraId="59C3F7E5" w14:textId="77777777" w:rsidR="00AB20EA" w:rsidRPr="002E4C2B" w:rsidRDefault="00AB20EA" w:rsidP="00095F89">
            <w:pPr>
              <w:spacing w:after="0" w:line="240" w:lineRule="auto"/>
              <w:rPr>
                <w:rFonts w:eastAsia="Times New Roman" w:cs="Times New Roman"/>
                <w:color w:val="000000"/>
                <w:sz w:val="20"/>
                <w:szCs w:val="20"/>
              </w:rPr>
            </w:pPr>
            <w:r w:rsidRPr="002E4C2B">
              <w:rPr>
                <w:rFonts w:eastAsia="Times New Roman" w:cs="Times New Roman"/>
                <w:strike/>
                <w:color w:val="000000"/>
                <w:sz w:val="20"/>
                <w:szCs w:val="20"/>
              </w:rPr>
              <w:t> </w:t>
            </w:r>
          </w:p>
        </w:tc>
        <w:tc>
          <w:tcPr>
            <w:tcW w:w="1026" w:type="dxa"/>
            <w:tcBorders>
              <w:top w:val="nil"/>
              <w:left w:val="nil"/>
              <w:bottom w:val="single" w:sz="4" w:space="0" w:color="auto"/>
              <w:right w:val="nil"/>
              <w:tl2br w:val="single" w:sz="4" w:space="0" w:color="auto"/>
              <w:tr2bl w:val="single" w:sz="4" w:space="0" w:color="auto"/>
            </w:tcBorders>
            <w:shd w:val="clear" w:color="auto" w:fill="auto"/>
            <w:noWrap/>
            <w:vAlign w:val="bottom"/>
            <w:hideMark/>
          </w:tcPr>
          <w:p w14:paraId="4E0A019A" w14:textId="77777777" w:rsidR="00AB20EA" w:rsidRPr="002E4C2B" w:rsidRDefault="00AB20EA" w:rsidP="00095F89">
            <w:pPr>
              <w:spacing w:after="0" w:line="240" w:lineRule="auto"/>
              <w:rPr>
                <w:rFonts w:eastAsia="Times New Roman" w:cs="Times New Roman"/>
                <w:color w:val="000000"/>
                <w:sz w:val="20"/>
                <w:szCs w:val="20"/>
              </w:rPr>
            </w:pPr>
            <w:r w:rsidRPr="002E4C2B">
              <w:rPr>
                <w:rFonts w:eastAsia="Times New Roman" w:cs="Times New Roman"/>
                <w:strike/>
                <w:color w:val="000000"/>
                <w:sz w:val="20"/>
                <w:szCs w:val="20"/>
              </w:rPr>
              <w:t> </w:t>
            </w:r>
          </w:p>
        </w:tc>
        <w:tc>
          <w:tcPr>
            <w:tcW w:w="856" w:type="dxa"/>
            <w:tcBorders>
              <w:top w:val="nil"/>
              <w:left w:val="nil"/>
              <w:bottom w:val="single" w:sz="4" w:space="0" w:color="auto"/>
              <w:right w:val="single" w:sz="4" w:space="0" w:color="auto"/>
              <w:tl2br w:val="single" w:sz="4" w:space="0" w:color="auto"/>
              <w:tr2bl w:val="single" w:sz="4" w:space="0" w:color="auto"/>
            </w:tcBorders>
            <w:shd w:val="clear" w:color="auto" w:fill="auto"/>
            <w:noWrap/>
            <w:vAlign w:val="bottom"/>
            <w:hideMark/>
          </w:tcPr>
          <w:p w14:paraId="70EC62FC" w14:textId="77777777" w:rsidR="00AB20EA" w:rsidRPr="002E4C2B" w:rsidRDefault="00AB20EA" w:rsidP="00095F89">
            <w:pPr>
              <w:spacing w:after="0" w:line="240" w:lineRule="auto"/>
              <w:rPr>
                <w:rFonts w:eastAsia="Times New Roman" w:cs="Times New Roman"/>
                <w:color w:val="000000"/>
                <w:sz w:val="20"/>
                <w:szCs w:val="20"/>
              </w:rPr>
            </w:pPr>
            <w:r w:rsidRPr="002E4C2B">
              <w:rPr>
                <w:rFonts w:eastAsia="Times New Roman" w:cs="Times New Roman"/>
                <w:strike/>
                <w:color w:val="000000"/>
                <w:sz w:val="20"/>
                <w:szCs w:val="20"/>
              </w:rPr>
              <w:t> </w:t>
            </w:r>
          </w:p>
        </w:tc>
        <w:tc>
          <w:tcPr>
            <w:tcW w:w="1026" w:type="dxa"/>
            <w:tcBorders>
              <w:top w:val="nil"/>
              <w:left w:val="nil"/>
              <w:bottom w:val="single" w:sz="4" w:space="0" w:color="auto"/>
              <w:right w:val="nil"/>
              <w:tl2br w:val="single" w:sz="4" w:space="0" w:color="auto"/>
              <w:tr2bl w:val="single" w:sz="4" w:space="0" w:color="auto"/>
            </w:tcBorders>
            <w:shd w:val="clear" w:color="auto" w:fill="auto"/>
            <w:noWrap/>
            <w:vAlign w:val="bottom"/>
            <w:hideMark/>
          </w:tcPr>
          <w:p w14:paraId="379E48EC" w14:textId="77777777" w:rsidR="00AB20EA" w:rsidRPr="002E4C2B" w:rsidRDefault="00AB20EA" w:rsidP="00095F89">
            <w:pPr>
              <w:spacing w:after="0" w:line="240" w:lineRule="auto"/>
              <w:rPr>
                <w:rFonts w:eastAsia="Times New Roman" w:cs="Times New Roman"/>
                <w:color w:val="000000"/>
                <w:sz w:val="20"/>
                <w:szCs w:val="20"/>
              </w:rPr>
            </w:pPr>
            <w:r w:rsidRPr="002E4C2B">
              <w:rPr>
                <w:rFonts w:eastAsia="Times New Roman" w:cs="Times New Roman"/>
                <w:strike/>
                <w:color w:val="000000"/>
                <w:sz w:val="20"/>
                <w:szCs w:val="20"/>
              </w:rPr>
              <w:t> </w:t>
            </w:r>
          </w:p>
        </w:tc>
        <w:tc>
          <w:tcPr>
            <w:tcW w:w="856" w:type="dxa"/>
            <w:tcBorders>
              <w:top w:val="nil"/>
              <w:left w:val="nil"/>
              <w:bottom w:val="single" w:sz="4" w:space="0" w:color="auto"/>
              <w:right w:val="single" w:sz="4" w:space="0" w:color="auto"/>
              <w:tl2br w:val="single" w:sz="4" w:space="0" w:color="auto"/>
              <w:tr2bl w:val="single" w:sz="4" w:space="0" w:color="auto"/>
            </w:tcBorders>
            <w:shd w:val="clear" w:color="auto" w:fill="auto"/>
            <w:noWrap/>
            <w:vAlign w:val="bottom"/>
            <w:hideMark/>
          </w:tcPr>
          <w:p w14:paraId="4E604473" w14:textId="77777777" w:rsidR="00AB20EA" w:rsidRPr="002E4C2B" w:rsidRDefault="00AB20EA" w:rsidP="00095F89">
            <w:pPr>
              <w:spacing w:after="0" w:line="240" w:lineRule="auto"/>
              <w:rPr>
                <w:rFonts w:eastAsia="Times New Roman" w:cs="Times New Roman"/>
                <w:color w:val="000000"/>
                <w:sz w:val="20"/>
                <w:szCs w:val="20"/>
              </w:rPr>
            </w:pPr>
            <w:r w:rsidRPr="002E4C2B">
              <w:rPr>
                <w:rFonts w:eastAsia="Times New Roman" w:cs="Times New Roman"/>
                <w:strike/>
                <w:color w:val="000000"/>
                <w:sz w:val="20"/>
                <w:szCs w:val="20"/>
              </w:rPr>
              <w:t> </w:t>
            </w:r>
          </w:p>
        </w:tc>
        <w:tc>
          <w:tcPr>
            <w:tcW w:w="1026" w:type="dxa"/>
            <w:tcBorders>
              <w:top w:val="nil"/>
              <w:left w:val="nil"/>
              <w:bottom w:val="single" w:sz="4" w:space="0" w:color="auto"/>
              <w:right w:val="nil"/>
            </w:tcBorders>
            <w:shd w:val="clear" w:color="auto" w:fill="auto"/>
            <w:noWrap/>
            <w:vAlign w:val="bottom"/>
            <w:hideMark/>
          </w:tcPr>
          <w:p w14:paraId="5E2ECAE3"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101,493</w:t>
            </w:r>
          </w:p>
        </w:tc>
        <w:tc>
          <w:tcPr>
            <w:tcW w:w="856" w:type="dxa"/>
            <w:tcBorders>
              <w:top w:val="nil"/>
              <w:left w:val="nil"/>
              <w:bottom w:val="single" w:sz="4" w:space="0" w:color="auto"/>
              <w:right w:val="single" w:sz="4" w:space="0" w:color="auto"/>
            </w:tcBorders>
            <w:shd w:val="clear" w:color="auto" w:fill="auto"/>
            <w:noWrap/>
            <w:vAlign w:val="bottom"/>
            <w:hideMark/>
          </w:tcPr>
          <w:p w14:paraId="442A61DF" w14:textId="77777777" w:rsidR="00AB20EA" w:rsidRPr="002E4C2B" w:rsidRDefault="00AB20EA" w:rsidP="00095F89">
            <w:pPr>
              <w:spacing w:after="0" w:line="240" w:lineRule="auto"/>
              <w:jc w:val="right"/>
              <w:rPr>
                <w:rFonts w:eastAsia="Times New Roman" w:cs="Times New Roman"/>
                <w:color w:val="000000"/>
                <w:sz w:val="20"/>
                <w:szCs w:val="20"/>
              </w:rPr>
            </w:pPr>
            <w:r w:rsidRPr="002E4C2B">
              <w:rPr>
                <w:rFonts w:eastAsia="Times New Roman" w:cs="Times New Roman"/>
                <w:color w:val="000000"/>
                <w:sz w:val="20"/>
                <w:szCs w:val="20"/>
              </w:rPr>
              <w:t>84.5%</w:t>
            </w:r>
          </w:p>
        </w:tc>
        <w:tc>
          <w:tcPr>
            <w:tcW w:w="1026" w:type="dxa"/>
            <w:tcBorders>
              <w:top w:val="nil"/>
              <w:left w:val="nil"/>
              <w:bottom w:val="single" w:sz="4" w:space="0" w:color="auto"/>
              <w:right w:val="nil"/>
              <w:tl2br w:val="single" w:sz="4" w:space="0" w:color="auto"/>
              <w:tr2bl w:val="single" w:sz="4" w:space="0" w:color="auto"/>
            </w:tcBorders>
            <w:shd w:val="clear" w:color="auto" w:fill="auto"/>
            <w:noWrap/>
            <w:vAlign w:val="bottom"/>
            <w:hideMark/>
          </w:tcPr>
          <w:p w14:paraId="28F98812" w14:textId="77777777" w:rsidR="00AB20EA" w:rsidRPr="002E4C2B" w:rsidRDefault="00AB20EA" w:rsidP="00095F89">
            <w:pPr>
              <w:spacing w:after="0" w:line="240" w:lineRule="auto"/>
              <w:rPr>
                <w:rFonts w:eastAsia="Times New Roman" w:cs="Times New Roman"/>
                <w:color w:val="000000"/>
                <w:sz w:val="20"/>
                <w:szCs w:val="20"/>
              </w:rPr>
            </w:pPr>
            <w:r w:rsidRPr="002E4C2B">
              <w:rPr>
                <w:rFonts w:eastAsia="Times New Roman" w:cs="Times New Roman"/>
                <w:strike/>
                <w:color w:val="000000"/>
                <w:sz w:val="20"/>
                <w:szCs w:val="20"/>
              </w:rPr>
              <w:t> </w:t>
            </w:r>
          </w:p>
        </w:tc>
        <w:tc>
          <w:tcPr>
            <w:tcW w:w="856" w:type="dxa"/>
            <w:tcBorders>
              <w:top w:val="nil"/>
              <w:left w:val="nil"/>
              <w:bottom w:val="single" w:sz="4" w:space="0" w:color="auto"/>
              <w:tl2br w:val="single" w:sz="4" w:space="0" w:color="auto"/>
              <w:tr2bl w:val="single" w:sz="4" w:space="0" w:color="auto"/>
            </w:tcBorders>
            <w:shd w:val="clear" w:color="auto" w:fill="auto"/>
            <w:noWrap/>
            <w:vAlign w:val="bottom"/>
            <w:hideMark/>
          </w:tcPr>
          <w:p w14:paraId="07E5EF23" w14:textId="77777777" w:rsidR="00AB20EA" w:rsidRPr="002E4C2B" w:rsidRDefault="00AB20EA" w:rsidP="00095F89">
            <w:pPr>
              <w:spacing w:after="0" w:line="240" w:lineRule="auto"/>
              <w:rPr>
                <w:rFonts w:eastAsia="Times New Roman" w:cs="Times New Roman"/>
                <w:color w:val="000000"/>
                <w:sz w:val="20"/>
                <w:szCs w:val="20"/>
              </w:rPr>
            </w:pPr>
            <w:r w:rsidRPr="002E4C2B">
              <w:rPr>
                <w:rFonts w:eastAsia="Times New Roman" w:cs="Times New Roman"/>
                <w:strike/>
                <w:color w:val="000000"/>
                <w:sz w:val="20"/>
                <w:szCs w:val="20"/>
              </w:rPr>
              <w:t> </w:t>
            </w:r>
          </w:p>
        </w:tc>
      </w:tr>
    </w:tbl>
    <w:p w14:paraId="60EB15B0" w14:textId="77777777" w:rsidR="00AB20EA" w:rsidRDefault="00AB20EA" w:rsidP="00173658">
      <w:pPr>
        <w:pStyle w:val="ListParagraph"/>
        <w:autoSpaceDE w:val="0"/>
        <w:autoSpaceDN w:val="0"/>
        <w:adjustRightInd w:val="0"/>
        <w:spacing w:after="0" w:line="240" w:lineRule="auto"/>
        <w:ind w:firstLine="720"/>
        <w:rPr>
          <w:rFonts w:cstheme="minorHAnsi"/>
          <w:bCs/>
          <w:sz w:val="18"/>
        </w:rPr>
      </w:pPr>
      <w:r w:rsidRPr="00B22B45">
        <w:rPr>
          <w:rFonts w:cstheme="minorHAnsi"/>
          <w:bCs/>
          <w:sz w:val="18"/>
        </w:rPr>
        <w:t>Acumen Analysis of Medicare Claims File and OASIS Assessments (M1800</w:t>
      </w:r>
      <w:r>
        <w:rPr>
          <w:rFonts w:cstheme="minorHAnsi"/>
          <w:bCs/>
          <w:sz w:val="18"/>
        </w:rPr>
        <w:t>-M1890</w:t>
      </w:r>
      <w:r w:rsidRPr="00B22B45">
        <w:rPr>
          <w:rFonts w:cstheme="minorHAnsi"/>
          <w:bCs/>
          <w:sz w:val="18"/>
        </w:rPr>
        <w:t xml:space="preserve"> Item</w:t>
      </w:r>
      <w:r>
        <w:rPr>
          <w:rFonts w:cstheme="minorHAnsi"/>
          <w:bCs/>
          <w:sz w:val="18"/>
        </w:rPr>
        <w:t>s</w:t>
      </w:r>
      <w:r w:rsidRPr="00B22B45">
        <w:rPr>
          <w:rFonts w:cstheme="minorHAnsi"/>
          <w:bCs/>
          <w:sz w:val="18"/>
        </w:rPr>
        <w:t>) for HH, CY 2015-2016.</w:t>
      </w:r>
    </w:p>
    <w:p w14:paraId="35ABDB4D" w14:textId="77777777" w:rsidR="00AB20EA" w:rsidRPr="00B22B45" w:rsidRDefault="00AB20EA" w:rsidP="00AB20EA">
      <w:pPr>
        <w:pStyle w:val="ListParagraph"/>
        <w:autoSpaceDE w:val="0"/>
        <w:autoSpaceDN w:val="0"/>
        <w:adjustRightInd w:val="0"/>
        <w:spacing w:after="0" w:line="240" w:lineRule="auto"/>
        <w:rPr>
          <w:rFonts w:cstheme="minorHAnsi"/>
          <w:bCs/>
          <w:sz w:val="18"/>
        </w:rPr>
      </w:pPr>
    </w:p>
    <w:p w14:paraId="1D08F510" w14:textId="77777777" w:rsidR="00AB20EA" w:rsidRPr="00B22B45" w:rsidRDefault="00AB20EA" w:rsidP="00173658">
      <w:pPr>
        <w:pStyle w:val="ListParagraph"/>
        <w:autoSpaceDE w:val="0"/>
        <w:autoSpaceDN w:val="0"/>
        <w:adjustRightInd w:val="0"/>
        <w:spacing w:after="0" w:line="240" w:lineRule="auto"/>
        <w:jc w:val="center"/>
        <w:rPr>
          <w:rFonts w:cstheme="minorHAnsi"/>
          <w:b/>
          <w:bCs/>
        </w:rPr>
      </w:pPr>
      <w:r w:rsidRPr="00B22B45">
        <w:rPr>
          <w:rFonts w:cstheme="minorHAnsi"/>
          <w:b/>
          <w:bCs/>
        </w:rPr>
        <w:t xml:space="preserve">Table </w:t>
      </w:r>
      <w:r>
        <w:rPr>
          <w:rFonts w:cstheme="minorHAnsi"/>
          <w:b/>
          <w:bCs/>
        </w:rPr>
        <w:t>8</w:t>
      </w:r>
      <w:r w:rsidRPr="00B22B45">
        <w:rPr>
          <w:rFonts w:cstheme="minorHAnsi"/>
          <w:b/>
          <w:bCs/>
        </w:rPr>
        <w:t>-2. Successful DTC Rate by Activities of Daily Living Scores at Discharge (Stay-Level)</w:t>
      </w:r>
    </w:p>
    <w:tbl>
      <w:tblPr>
        <w:tblW w:w="13264" w:type="dxa"/>
        <w:jc w:val="center"/>
        <w:tblLook w:val="04A0" w:firstRow="1" w:lastRow="0" w:firstColumn="1" w:lastColumn="0" w:noHBand="0" w:noVBand="1"/>
      </w:tblPr>
      <w:tblGrid>
        <w:gridCol w:w="1324"/>
        <w:gridCol w:w="1026"/>
        <w:gridCol w:w="925"/>
        <w:gridCol w:w="1026"/>
        <w:gridCol w:w="856"/>
        <w:gridCol w:w="1165"/>
        <w:gridCol w:w="1104"/>
        <w:gridCol w:w="1026"/>
        <w:gridCol w:w="882"/>
        <w:gridCol w:w="1026"/>
        <w:gridCol w:w="951"/>
        <w:gridCol w:w="1026"/>
        <w:gridCol w:w="927"/>
      </w:tblGrid>
      <w:tr w:rsidR="00AB20EA" w:rsidRPr="00DF67CC" w14:paraId="696A93F7" w14:textId="77777777" w:rsidTr="00095F89">
        <w:trPr>
          <w:trHeight w:val="61"/>
          <w:jc w:val="center"/>
        </w:trPr>
        <w:tc>
          <w:tcPr>
            <w:tcW w:w="1324" w:type="dxa"/>
            <w:vMerge w:val="restart"/>
            <w:tcBorders>
              <w:top w:val="single" w:sz="8" w:space="0" w:color="auto"/>
              <w:left w:val="nil"/>
              <w:bottom w:val="single" w:sz="4" w:space="0" w:color="000000"/>
              <w:right w:val="nil"/>
            </w:tcBorders>
            <w:shd w:val="clear" w:color="000000" w:fill="D9D9D9"/>
            <w:noWrap/>
            <w:vAlign w:val="bottom"/>
            <w:hideMark/>
          </w:tcPr>
          <w:p w14:paraId="7BAE235A" w14:textId="77777777" w:rsidR="00AB20EA" w:rsidRPr="00DF67CC" w:rsidRDefault="00AB20EA" w:rsidP="00095F89">
            <w:pPr>
              <w:spacing w:after="0" w:line="240" w:lineRule="auto"/>
              <w:jc w:val="center"/>
              <w:rPr>
                <w:rFonts w:ascii="Calibri" w:eastAsia="Times New Roman" w:hAnsi="Calibri" w:cs="Times New Roman"/>
                <w:b/>
                <w:bCs/>
                <w:color w:val="000000"/>
                <w:sz w:val="20"/>
                <w:szCs w:val="20"/>
              </w:rPr>
            </w:pPr>
            <w:r w:rsidRPr="00DF67CC">
              <w:rPr>
                <w:rFonts w:ascii="Calibri" w:eastAsia="Times New Roman" w:hAnsi="Calibri" w:cs="Times New Roman"/>
                <w:b/>
                <w:bCs/>
                <w:color w:val="000000"/>
                <w:sz w:val="20"/>
                <w:szCs w:val="20"/>
              </w:rPr>
              <w:t>HH</w:t>
            </w:r>
          </w:p>
        </w:tc>
        <w:tc>
          <w:tcPr>
            <w:tcW w:w="1951" w:type="dxa"/>
            <w:gridSpan w:val="2"/>
            <w:tcBorders>
              <w:top w:val="single" w:sz="8" w:space="0" w:color="auto"/>
              <w:left w:val="single" w:sz="4" w:space="0" w:color="auto"/>
              <w:bottom w:val="single" w:sz="4" w:space="0" w:color="auto"/>
              <w:right w:val="single" w:sz="4" w:space="0" w:color="000000"/>
            </w:tcBorders>
            <w:shd w:val="clear" w:color="000000" w:fill="D9D9D9"/>
            <w:noWrap/>
            <w:vAlign w:val="bottom"/>
            <w:hideMark/>
          </w:tcPr>
          <w:p w14:paraId="628F2AE8" w14:textId="77777777" w:rsidR="00AB20EA" w:rsidRPr="00DF67CC" w:rsidRDefault="00AB20EA" w:rsidP="00095F89">
            <w:pPr>
              <w:spacing w:after="0" w:line="240" w:lineRule="auto"/>
              <w:jc w:val="center"/>
              <w:rPr>
                <w:rFonts w:ascii="Calibri" w:eastAsia="Times New Roman" w:hAnsi="Calibri" w:cs="Times New Roman"/>
                <w:b/>
                <w:bCs/>
                <w:color w:val="000000"/>
                <w:sz w:val="20"/>
                <w:szCs w:val="20"/>
              </w:rPr>
            </w:pPr>
            <w:r w:rsidRPr="00DF67CC">
              <w:rPr>
                <w:rFonts w:ascii="Calibri" w:eastAsia="Times New Roman" w:hAnsi="Calibri" w:cs="Times New Roman"/>
                <w:b/>
                <w:bCs/>
                <w:color w:val="000000"/>
                <w:sz w:val="20"/>
                <w:szCs w:val="20"/>
              </w:rPr>
              <w:t>Toilet Hygiene</w:t>
            </w:r>
            <w:r>
              <w:rPr>
                <w:rFonts w:ascii="Calibri" w:eastAsia="Times New Roman" w:hAnsi="Calibri" w:cs="Times New Roman"/>
                <w:b/>
                <w:bCs/>
                <w:color w:val="000000"/>
                <w:sz w:val="20"/>
                <w:szCs w:val="20"/>
              </w:rPr>
              <w:t xml:space="preserve"> (M1845)</w:t>
            </w:r>
          </w:p>
        </w:tc>
        <w:tc>
          <w:tcPr>
            <w:tcW w:w="1882" w:type="dxa"/>
            <w:gridSpan w:val="2"/>
            <w:tcBorders>
              <w:top w:val="single" w:sz="8" w:space="0" w:color="auto"/>
              <w:left w:val="nil"/>
              <w:bottom w:val="single" w:sz="4" w:space="0" w:color="auto"/>
              <w:right w:val="single" w:sz="4" w:space="0" w:color="000000"/>
            </w:tcBorders>
            <w:shd w:val="clear" w:color="000000" w:fill="D9D9D9"/>
            <w:noWrap/>
            <w:vAlign w:val="bottom"/>
            <w:hideMark/>
          </w:tcPr>
          <w:p w14:paraId="296DDFD2" w14:textId="77777777" w:rsidR="00AB20EA" w:rsidRPr="00DF67CC" w:rsidRDefault="00AB20EA" w:rsidP="00095F89">
            <w:pPr>
              <w:spacing w:after="0" w:line="240" w:lineRule="auto"/>
              <w:jc w:val="center"/>
              <w:rPr>
                <w:rFonts w:ascii="Calibri" w:eastAsia="Times New Roman" w:hAnsi="Calibri" w:cs="Times New Roman"/>
                <w:b/>
                <w:bCs/>
                <w:color w:val="000000"/>
                <w:sz w:val="20"/>
                <w:szCs w:val="20"/>
              </w:rPr>
            </w:pPr>
            <w:r w:rsidRPr="00DF67CC">
              <w:rPr>
                <w:rFonts w:ascii="Calibri" w:eastAsia="Times New Roman" w:hAnsi="Calibri" w:cs="Times New Roman"/>
                <w:b/>
                <w:bCs/>
                <w:color w:val="000000"/>
                <w:sz w:val="20"/>
                <w:szCs w:val="20"/>
              </w:rPr>
              <w:t>Transferring</w:t>
            </w:r>
            <w:r>
              <w:rPr>
                <w:rFonts w:ascii="Calibri" w:eastAsia="Times New Roman" w:hAnsi="Calibri" w:cs="Times New Roman"/>
                <w:b/>
                <w:bCs/>
                <w:color w:val="000000"/>
                <w:sz w:val="20"/>
                <w:szCs w:val="20"/>
              </w:rPr>
              <w:t xml:space="preserve"> (M1850)</w:t>
            </w:r>
          </w:p>
        </w:tc>
        <w:tc>
          <w:tcPr>
            <w:tcW w:w="2269" w:type="dxa"/>
            <w:gridSpan w:val="2"/>
            <w:tcBorders>
              <w:top w:val="single" w:sz="8" w:space="0" w:color="auto"/>
              <w:left w:val="nil"/>
              <w:bottom w:val="single" w:sz="4" w:space="0" w:color="auto"/>
              <w:right w:val="single" w:sz="4" w:space="0" w:color="000000"/>
            </w:tcBorders>
            <w:shd w:val="clear" w:color="000000" w:fill="D9D9D9"/>
            <w:noWrap/>
            <w:vAlign w:val="bottom"/>
            <w:hideMark/>
          </w:tcPr>
          <w:p w14:paraId="77305773" w14:textId="77777777" w:rsidR="00AB20EA" w:rsidRPr="00DF67CC" w:rsidRDefault="00AB20EA" w:rsidP="00095F89">
            <w:pPr>
              <w:spacing w:after="0" w:line="240" w:lineRule="auto"/>
              <w:jc w:val="center"/>
              <w:rPr>
                <w:rFonts w:ascii="Calibri" w:eastAsia="Times New Roman" w:hAnsi="Calibri" w:cs="Times New Roman"/>
                <w:b/>
                <w:bCs/>
                <w:color w:val="000000"/>
                <w:sz w:val="20"/>
                <w:szCs w:val="20"/>
              </w:rPr>
            </w:pPr>
            <w:r w:rsidRPr="00DF67CC">
              <w:rPr>
                <w:rFonts w:ascii="Calibri" w:eastAsia="Times New Roman" w:hAnsi="Calibri" w:cs="Times New Roman"/>
                <w:b/>
                <w:bCs/>
                <w:color w:val="000000"/>
                <w:sz w:val="20"/>
                <w:szCs w:val="20"/>
              </w:rPr>
              <w:t>Ambulation</w:t>
            </w:r>
            <w:r>
              <w:rPr>
                <w:rFonts w:ascii="Calibri" w:eastAsia="Times New Roman" w:hAnsi="Calibri" w:cs="Times New Roman"/>
                <w:b/>
                <w:bCs/>
                <w:color w:val="000000"/>
                <w:sz w:val="20"/>
                <w:szCs w:val="20"/>
              </w:rPr>
              <w:t>/Locomotion (M1860)</w:t>
            </w:r>
          </w:p>
        </w:tc>
        <w:tc>
          <w:tcPr>
            <w:tcW w:w="1908" w:type="dxa"/>
            <w:gridSpan w:val="2"/>
            <w:tcBorders>
              <w:top w:val="single" w:sz="8" w:space="0" w:color="auto"/>
              <w:left w:val="nil"/>
              <w:bottom w:val="single" w:sz="4" w:space="0" w:color="auto"/>
              <w:right w:val="single" w:sz="4" w:space="0" w:color="000000"/>
            </w:tcBorders>
            <w:shd w:val="clear" w:color="000000" w:fill="D9D9D9"/>
            <w:noWrap/>
            <w:vAlign w:val="bottom"/>
            <w:hideMark/>
          </w:tcPr>
          <w:p w14:paraId="1497C0A7" w14:textId="77777777" w:rsidR="00AB20EA" w:rsidRPr="00DF67CC" w:rsidRDefault="00AB20EA" w:rsidP="00095F89">
            <w:pPr>
              <w:spacing w:after="0" w:line="240" w:lineRule="auto"/>
              <w:jc w:val="center"/>
              <w:rPr>
                <w:rFonts w:ascii="Calibri" w:eastAsia="Times New Roman" w:hAnsi="Calibri" w:cs="Times New Roman"/>
                <w:b/>
                <w:bCs/>
                <w:color w:val="000000"/>
                <w:sz w:val="20"/>
                <w:szCs w:val="20"/>
              </w:rPr>
            </w:pPr>
            <w:r>
              <w:rPr>
                <w:rFonts w:ascii="Calibri" w:eastAsia="Times New Roman" w:hAnsi="Calibri" w:cs="Times New Roman"/>
                <w:b/>
                <w:bCs/>
                <w:color w:val="000000"/>
                <w:sz w:val="20"/>
                <w:szCs w:val="20"/>
              </w:rPr>
              <w:t xml:space="preserve">Feeding or </w:t>
            </w:r>
            <w:r w:rsidRPr="00DF67CC">
              <w:rPr>
                <w:rFonts w:ascii="Calibri" w:eastAsia="Times New Roman" w:hAnsi="Calibri" w:cs="Times New Roman"/>
                <w:b/>
                <w:bCs/>
                <w:color w:val="000000"/>
                <w:sz w:val="20"/>
                <w:szCs w:val="20"/>
              </w:rPr>
              <w:t>Eating</w:t>
            </w:r>
            <w:r>
              <w:rPr>
                <w:rFonts w:ascii="Calibri" w:eastAsia="Times New Roman" w:hAnsi="Calibri" w:cs="Times New Roman"/>
                <w:b/>
                <w:bCs/>
                <w:color w:val="000000"/>
                <w:sz w:val="20"/>
                <w:szCs w:val="20"/>
              </w:rPr>
              <w:t xml:space="preserve"> (M1870)</w:t>
            </w:r>
          </w:p>
        </w:tc>
        <w:tc>
          <w:tcPr>
            <w:tcW w:w="1977" w:type="dxa"/>
            <w:gridSpan w:val="2"/>
            <w:tcBorders>
              <w:top w:val="single" w:sz="8" w:space="0" w:color="auto"/>
              <w:left w:val="nil"/>
              <w:bottom w:val="single" w:sz="4" w:space="0" w:color="auto"/>
              <w:right w:val="single" w:sz="4" w:space="0" w:color="000000"/>
            </w:tcBorders>
            <w:shd w:val="clear" w:color="000000" w:fill="D9D9D9"/>
            <w:noWrap/>
            <w:vAlign w:val="bottom"/>
            <w:hideMark/>
          </w:tcPr>
          <w:p w14:paraId="1CC69379" w14:textId="77777777" w:rsidR="00AB20EA" w:rsidRPr="00DF67CC" w:rsidRDefault="00AB20EA" w:rsidP="00095F89">
            <w:pPr>
              <w:spacing w:after="0" w:line="240" w:lineRule="auto"/>
              <w:jc w:val="center"/>
              <w:rPr>
                <w:rFonts w:ascii="Calibri" w:eastAsia="Times New Roman" w:hAnsi="Calibri" w:cs="Times New Roman"/>
                <w:b/>
                <w:bCs/>
                <w:color w:val="000000"/>
                <w:sz w:val="20"/>
                <w:szCs w:val="20"/>
              </w:rPr>
            </w:pPr>
            <w:r w:rsidRPr="00DF67CC">
              <w:rPr>
                <w:rFonts w:ascii="Calibri" w:eastAsia="Times New Roman" w:hAnsi="Calibri" w:cs="Times New Roman"/>
                <w:b/>
                <w:bCs/>
                <w:color w:val="000000"/>
                <w:sz w:val="20"/>
                <w:szCs w:val="20"/>
              </w:rPr>
              <w:t>Meal Prep</w:t>
            </w:r>
            <w:r>
              <w:rPr>
                <w:rFonts w:ascii="Calibri" w:eastAsia="Times New Roman" w:hAnsi="Calibri" w:cs="Times New Roman"/>
                <w:b/>
                <w:bCs/>
                <w:color w:val="000000"/>
                <w:sz w:val="20"/>
                <w:szCs w:val="20"/>
              </w:rPr>
              <w:t>aration (M1880)</w:t>
            </w:r>
          </w:p>
        </w:tc>
        <w:tc>
          <w:tcPr>
            <w:tcW w:w="1953" w:type="dxa"/>
            <w:gridSpan w:val="2"/>
            <w:tcBorders>
              <w:top w:val="single" w:sz="8" w:space="0" w:color="auto"/>
              <w:left w:val="nil"/>
              <w:bottom w:val="single" w:sz="4" w:space="0" w:color="auto"/>
              <w:right w:val="nil"/>
            </w:tcBorders>
            <w:shd w:val="clear" w:color="000000" w:fill="D9D9D9"/>
            <w:noWrap/>
            <w:vAlign w:val="bottom"/>
            <w:hideMark/>
          </w:tcPr>
          <w:p w14:paraId="09144368" w14:textId="77777777" w:rsidR="00AB20EA" w:rsidRPr="00DF67CC" w:rsidRDefault="00AB20EA" w:rsidP="00095F89">
            <w:pPr>
              <w:spacing w:after="0" w:line="240" w:lineRule="auto"/>
              <w:jc w:val="center"/>
              <w:rPr>
                <w:rFonts w:ascii="Calibri" w:eastAsia="Times New Roman" w:hAnsi="Calibri" w:cs="Times New Roman"/>
                <w:b/>
                <w:bCs/>
                <w:color w:val="000000"/>
                <w:sz w:val="20"/>
                <w:szCs w:val="20"/>
              </w:rPr>
            </w:pPr>
            <w:r w:rsidRPr="00DF67CC">
              <w:rPr>
                <w:rFonts w:ascii="Calibri" w:eastAsia="Times New Roman" w:hAnsi="Calibri" w:cs="Times New Roman"/>
                <w:b/>
                <w:bCs/>
                <w:color w:val="000000"/>
                <w:sz w:val="20"/>
                <w:szCs w:val="20"/>
              </w:rPr>
              <w:t>Telephone</w:t>
            </w:r>
            <w:r>
              <w:rPr>
                <w:rFonts w:ascii="Calibri" w:eastAsia="Times New Roman" w:hAnsi="Calibri" w:cs="Times New Roman"/>
                <w:b/>
                <w:bCs/>
                <w:color w:val="000000"/>
                <w:sz w:val="20"/>
                <w:szCs w:val="20"/>
              </w:rPr>
              <w:t xml:space="preserve"> Use (M1890)</w:t>
            </w:r>
          </w:p>
        </w:tc>
      </w:tr>
      <w:tr w:rsidR="00AB20EA" w:rsidRPr="00DF67CC" w14:paraId="76252F98" w14:textId="77777777" w:rsidTr="00095F89">
        <w:trPr>
          <w:trHeight w:val="61"/>
          <w:jc w:val="center"/>
        </w:trPr>
        <w:tc>
          <w:tcPr>
            <w:tcW w:w="1324" w:type="dxa"/>
            <w:vMerge/>
            <w:tcBorders>
              <w:top w:val="single" w:sz="8" w:space="0" w:color="auto"/>
              <w:left w:val="nil"/>
              <w:bottom w:val="single" w:sz="4" w:space="0" w:color="000000"/>
              <w:right w:val="nil"/>
            </w:tcBorders>
            <w:vAlign w:val="center"/>
            <w:hideMark/>
          </w:tcPr>
          <w:p w14:paraId="38BB6ADC" w14:textId="77777777" w:rsidR="00AB20EA" w:rsidRPr="00DF67CC" w:rsidRDefault="00AB20EA" w:rsidP="00095F89">
            <w:pPr>
              <w:spacing w:after="0" w:line="240" w:lineRule="auto"/>
              <w:rPr>
                <w:rFonts w:ascii="Calibri" w:eastAsia="Times New Roman" w:hAnsi="Calibri" w:cs="Times New Roman"/>
                <w:b/>
                <w:bCs/>
                <w:color w:val="000000"/>
                <w:sz w:val="20"/>
                <w:szCs w:val="20"/>
              </w:rPr>
            </w:pPr>
          </w:p>
        </w:tc>
        <w:tc>
          <w:tcPr>
            <w:tcW w:w="1026" w:type="dxa"/>
            <w:tcBorders>
              <w:top w:val="nil"/>
              <w:left w:val="single" w:sz="4" w:space="0" w:color="auto"/>
              <w:bottom w:val="single" w:sz="4" w:space="0" w:color="auto"/>
              <w:right w:val="nil"/>
            </w:tcBorders>
            <w:shd w:val="clear" w:color="000000" w:fill="D9D9D9"/>
            <w:noWrap/>
            <w:vAlign w:val="bottom"/>
            <w:hideMark/>
          </w:tcPr>
          <w:p w14:paraId="08FF44A1" w14:textId="77777777" w:rsidR="00AB20EA" w:rsidRPr="00DF67CC" w:rsidRDefault="00AB20EA" w:rsidP="00095F89">
            <w:pPr>
              <w:spacing w:after="0" w:line="240" w:lineRule="auto"/>
              <w:jc w:val="center"/>
              <w:rPr>
                <w:rFonts w:ascii="Calibri" w:eastAsia="Times New Roman" w:hAnsi="Calibri" w:cs="Times New Roman"/>
                <w:b/>
                <w:bCs/>
                <w:color w:val="000000"/>
                <w:sz w:val="20"/>
                <w:szCs w:val="20"/>
              </w:rPr>
            </w:pPr>
            <w:r w:rsidRPr="00DF67CC">
              <w:rPr>
                <w:rFonts w:ascii="Calibri" w:eastAsia="Times New Roman" w:hAnsi="Calibri" w:cs="Times New Roman"/>
                <w:b/>
                <w:bCs/>
                <w:color w:val="000000"/>
                <w:sz w:val="20"/>
                <w:szCs w:val="20"/>
              </w:rPr>
              <w:t>Count</w:t>
            </w:r>
          </w:p>
        </w:tc>
        <w:tc>
          <w:tcPr>
            <w:tcW w:w="925" w:type="dxa"/>
            <w:tcBorders>
              <w:top w:val="nil"/>
              <w:left w:val="nil"/>
              <w:bottom w:val="single" w:sz="4" w:space="0" w:color="auto"/>
              <w:right w:val="single" w:sz="4" w:space="0" w:color="auto"/>
            </w:tcBorders>
            <w:shd w:val="clear" w:color="000000" w:fill="D9D9D9"/>
            <w:noWrap/>
            <w:vAlign w:val="bottom"/>
            <w:hideMark/>
          </w:tcPr>
          <w:p w14:paraId="43F88BA3" w14:textId="77777777" w:rsidR="00AB20EA" w:rsidRPr="00DF67CC" w:rsidRDefault="00AB20EA" w:rsidP="00095F89">
            <w:pPr>
              <w:spacing w:after="0" w:line="240" w:lineRule="auto"/>
              <w:jc w:val="center"/>
              <w:rPr>
                <w:rFonts w:ascii="Calibri" w:eastAsia="Times New Roman" w:hAnsi="Calibri" w:cs="Times New Roman"/>
                <w:b/>
                <w:bCs/>
                <w:color w:val="000000"/>
                <w:sz w:val="20"/>
                <w:szCs w:val="20"/>
              </w:rPr>
            </w:pPr>
            <w:r w:rsidRPr="00DF67CC">
              <w:rPr>
                <w:rFonts w:ascii="Calibri" w:eastAsia="Times New Roman" w:hAnsi="Calibri" w:cs="Times New Roman"/>
                <w:b/>
                <w:bCs/>
                <w:color w:val="000000"/>
                <w:sz w:val="20"/>
                <w:szCs w:val="20"/>
              </w:rPr>
              <w:t>Percent</w:t>
            </w:r>
          </w:p>
        </w:tc>
        <w:tc>
          <w:tcPr>
            <w:tcW w:w="1026" w:type="dxa"/>
            <w:tcBorders>
              <w:top w:val="nil"/>
              <w:left w:val="nil"/>
              <w:bottom w:val="single" w:sz="4" w:space="0" w:color="auto"/>
              <w:right w:val="nil"/>
            </w:tcBorders>
            <w:shd w:val="clear" w:color="000000" w:fill="D9D9D9"/>
            <w:noWrap/>
            <w:vAlign w:val="bottom"/>
            <w:hideMark/>
          </w:tcPr>
          <w:p w14:paraId="3111BA11" w14:textId="77777777" w:rsidR="00AB20EA" w:rsidRPr="00DF67CC" w:rsidRDefault="00AB20EA" w:rsidP="00095F89">
            <w:pPr>
              <w:spacing w:after="0" w:line="240" w:lineRule="auto"/>
              <w:jc w:val="center"/>
              <w:rPr>
                <w:rFonts w:ascii="Calibri" w:eastAsia="Times New Roman" w:hAnsi="Calibri" w:cs="Times New Roman"/>
                <w:b/>
                <w:bCs/>
                <w:color w:val="000000"/>
                <w:sz w:val="20"/>
                <w:szCs w:val="20"/>
              </w:rPr>
            </w:pPr>
            <w:r w:rsidRPr="00DF67CC">
              <w:rPr>
                <w:rFonts w:ascii="Calibri" w:eastAsia="Times New Roman" w:hAnsi="Calibri" w:cs="Times New Roman"/>
                <w:b/>
                <w:bCs/>
                <w:color w:val="000000"/>
                <w:sz w:val="20"/>
                <w:szCs w:val="20"/>
              </w:rPr>
              <w:t>Count</w:t>
            </w:r>
          </w:p>
        </w:tc>
        <w:tc>
          <w:tcPr>
            <w:tcW w:w="856" w:type="dxa"/>
            <w:tcBorders>
              <w:top w:val="nil"/>
              <w:left w:val="nil"/>
              <w:bottom w:val="single" w:sz="4" w:space="0" w:color="auto"/>
              <w:right w:val="single" w:sz="4" w:space="0" w:color="auto"/>
            </w:tcBorders>
            <w:shd w:val="clear" w:color="000000" w:fill="D9D9D9"/>
            <w:noWrap/>
            <w:vAlign w:val="bottom"/>
            <w:hideMark/>
          </w:tcPr>
          <w:p w14:paraId="101BED74" w14:textId="77777777" w:rsidR="00AB20EA" w:rsidRPr="00DF67CC" w:rsidRDefault="00AB20EA" w:rsidP="00095F89">
            <w:pPr>
              <w:spacing w:after="0" w:line="240" w:lineRule="auto"/>
              <w:jc w:val="center"/>
              <w:rPr>
                <w:rFonts w:ascii="Calibri" w:eastAsia="Times New Roman" w:hAnsi="Calibri" w:cs="Times New Roman"/>
                <w:b/>
                <w:bCs/>
                <w:color w:val="000000"/>
                <w:sz w:val="20"/>
                <w:szCs w:val="20"/>
              </w:rPr>
            </w:pPr>
            <w:r w:rsidRPr="00DF67CC">
              <w:rPr>
                <w:rFonts w:ascii="Calibri" w:eastAsia="Times New Roman" w:hAnsi="Calibri" w:cs="Times New Roman"/>
                <w:b/>
                <w:bCs/>
                <w:color w:val="000000"/>
                <w:sz w:val="20"/>
                <w:szCs w:val="20"/>
              </w:rPr>
              <w:t>Percent</w:t>
            </w:r>
          </w:p>
        </w:tc>
        <w:tc>
          <w:tcPr>
            <w:tcW w:w="1165" w:type="dxa"/>
            <w:tcBorders>
              <w:top w:val="nil"/>
              <w:left w:val="nil"/>
              <w:bottom w:val="single" w:sz="4" w:space="0" w:color="auto"/>
              <w:right w:val="nil"/>
            </w:tcBorders>
            <w:shd w:val="clear" w:color="000000" w:fill="D9D9D9"/>
            <w:noWrap/>
            <w:vAlign w:val="bottom"/>
            <w:hideMark/>
          </w:tcPr>
          <w:p w14:paraId="1A71355D" w14:textId="77777777" w:rsidR="00AB20EA" w:rsidRPr="00DF67CC" w:rsidRDefault="00AB20EA" w:rsidP="00095F89">
            <w:pPr>
              <w:spacing w:after="0" w:line="240" w:lineRule="auto"/>
              <w:jc w:val="center"/>
              <w:rPr>
                <w:rFonts w:ascii="Calibri" w:eastAsia="Times New Roman" w:hAnsi="Calibri" w:cs="Times New Roman"/>
                <w:b/>
                <w:bCs/>
                <w:color w:val="000000"/>
                <w:sz w:val="20"/>
                <w:szCs w:val="20"/>
              </w:rPr>
            </w:pPr>
            <w:r w:rsidRPr="00DF67CC">
              <w:rPr>
                <w:rFonts w:ascii="Calibri" w:eastAsia="Times New Roman" w:hAnsi="Calibri" w:cs="Times New Roman"/>
                <w:b/>
                <w:bCs/>
                <w:color w:val="000000"/>
                <w:sz w:val="20"/>
                <w:szCs w:val="20"/>
              </w:rPr>
              <w:t>Count</w:t>
            </w:r>
          </w:p>
        </w:tc>
        <w:tc>
          <w:tcPr>
            <w:tcW w:w="1104" w:type="dxa"/>
            <w:tcBorders>
              <w:top w:val="nil"/>
              <w:left w:val="nil"/>
              <w:bottom w:val="single" w:sz="4" w:space="0" w:color="auto"/>
              <w:right w:val="single" w:sz="4" w:space="0" w:color="auto"/>
            </w:tcBorders>
            <w:shd w:val="clear" w:color="000000" w:fill="D9D9D9"/>
            <w:noWrap/>
            <w:vAlign w:val="bottom"/>
            <w:hideMark/>
          </w:tcPr>
          <w:p w14:paraId="0418E96F" w14:textId="77777777" w:rsidR="00AB20EA" w:rsidRPr="00DF67CC" w:rsidRDefault="00AB20EA" w:rsidP="00095F89">
            <w:pPr>
              <w:spacing w:after="0" w:line="240" w:lineRule="auto"/>
              <w:jc w:val="center"/>
              <w:rPr>
                <w:rFonts w:ascii="Calibri" w:eastAsia="Times New Roman" w:hAnsi="Calibri" w:cs="Times New Roman"/>
                <w:b/>
                <w:bCs/>
                <w:color w:val="000000"/>
                <w:sz w:val="20"/>
                <w:szCs w:val="20"/>
              </w:rPr>
            </w:pPr>
            <w:r w:rsidRPr="00DF67CC">
              <w:rPr>
                <w:rFonts w:ascii="Calibri" w:eastAsia="Times New Roman" w:hAnsi="Calibri" w:cs="Times New Roman"/>
                <w:b/>
                <w:bCs/>
                <w:color w:val="000000"/>
                <w:sz w:val="20"/>
                <w:szCs w:val="20"/>
              </w:rPr>
              <w:t>Percent</w:t>
            </w:r>
          </w:p>
        </w:tc>
        <w:tc>
          <w:tcPr>
            <w:tcW w:w="1026" w:type="dxa"/>
            <w:tcBorders>
              <w:top w:val="nil"/>
              <w:left w:val="nil"/>
              <w:bottom w:val="single" w:sz="4" w:space="0" w:color="auto"/>
              <w:right w:val="nil"/>
            </w:tcBorders>
            <w:shd w:val="clear" w:color="000000" w:fill="D9D9D9"/>
            <w:noWrap/>
            <w:vAlign w:val="bottom"/>
            <w:hideMark/>
          </w:tcPr>
          <w:p w14:paraId="4AC00716" w14:textId="77777777" w:rsidR="00AB20EA" w:rsidRPr="00DF67CC" w:rsidRDefault="00AB20EA" w:rsidP="00095F89">
            <w:pPr>
              <w:spacing w:after="0" w:line="240" w:lineRule="auto"/>
              <w:jc w:val="center"/>
              <w:rPr>
                <w:rFonts w:ascii="Calibri" w:eastAsia="Times New Roman" w:hAnsi="Calibri" w:cs="Times New Roman"/>
                <w:b/>
                <w:bCs/>
                <w:color w:val="000000"/>
                <w:sz w:val="20"/>
                <w:szCs w:val="20"/>
              </w:rPr>
            </w:pPr>
            <w:r w:rsidRPr="00DF67CC">
              <w:rPr>
                <w:rFonts w:ascii="Calibri" w:eastAsia="Times New Roman" w:hAnsi="Calibri" w:cs="Times New Roman"/>
                <w:b/>
                <w:bCs/>
                <w:color w:val="000000"/>
                <w:sz w:val="20"/>
                <w:szCs w:val="20"/>
              </w:rPr>
              <w:t>Count</w:t>
            </w:r>
          </w:p>
        </w:tc>
        <w:tc>
          <w:tcPr>
            <w:tcW w:w="882" w:type="dxa"/>
            <w:tcBorders>
              <w:top w:val="nil"/>
              <w:left w:val="nil"/>
              <w:bottom w:val="single" w:sz="4" w:space="0" w:color="auto"/>
              <w:right w:val="single" w:sz="4" w:space="0" w:color="auto"/>
            </w:tcBorders>
            <w:shd w:val="clear" w:color="000000" w:fill="D9D9D9"/>
            <w:noWrap/>
            <w:vAlign w:val="bottom"/>
            <w:hideMark/>
          </w:tcPr>
          <w:p w14:paraId="43DCC6EF" w14:textId="77777777" w:rsidR="00AB20EA" w:rsidRPr="00DF67CC" w:rsidRDefault="00AB20EA" w:rsidP="00095F89">
            <w:pPr>
              <w:spacing w:after="0" w:line="240" w:lineRule="auto"/>
              <w:jc w:val="center"/>
              <w:rPr>
                <w:rFonts w:ascii="Calibri" w:eastAsia="Times New Roman" w:hAnsi="Calibri" w:cs="Times New Roman"/>
                <w:b/>
                <w:bCs/>
                <w:color w:val="000000"/>
                <w:sz w:val="20"/>
                <w:szCs w:val="20"/>
              </w:rPr>
            </w:pPr>
            <w:r w:rsidRPr="00DF67CC">
              <w:rPr>
                <w:rFonts w:ascii="Calibri" w:eastAsia="Times New Roman" w:hAnsi="Calibri" w:cs="Times New Roman"/>
                <w:b/>
                <w:bCs/>
                <w:color w:val="000000"/>
                <w:sz w:val="20"/>
                <w:szCs w:val="20"/>
              </w:rPr>
              <w:t>Percent</w:t>
            </w:r>
          </w:p>
        </w:tc>
        <w:tc>
          <w:tcPr>
            <w:tcW w:w="1026" w:type="dxa"/>
            <w:tcBorders>
              <w:top w:val="nil"/>
              <w:left w:val="nil"/>
              <w:bottom w:val="single" w:sz="4" w:space="0" w:color="auto"/>
              <w:right w:val="nil"/>
            </w:tcBorders>
            <w:shd w:val="clear" w:color="000000" w:fill="D9D9D9"/>
            <w:noWrap/>
            <w:vAlign w:val="bottom"/>
            <w:hideMark/>
          </w:tcPr>
          <w:p w14:paraId="07C8A6E7" w14:textId="77777777" w:rsidR="00AB20EA" w:rsidRPr="00DF67CC" w:rsidRDefault="00AB20EA" w:rsidP="00095F89">
            <w:pPr>
              <w:spacing w:after="0" w:line="240" w:lineRule="auto"/>
              <w:jc w:val="center"/>
              <w:rPr>
                <w:rFonts w:ascii="Calibri" w:eastAsia="Times New Roman" w:hAnsi="Calibri" w:cs="Times New Roman"/>
                <w:b/>
                <w:bCs/>
                <w:color w:val="000000"/>
                <w:sz w:val="20"/>
                <w:szCs w:val="20"/>
              </w:rPr>
            </w:pPr>
            <w:r w:rsidRPr="00DF67CC">
              <w:rPr>
                <w:rFonts w:ascii="Calibri" w:eastAsia="Times New Roman" w:hAnsi="Calibri" w:cs="Times New Roman"/>
                <w:b/>
                <w:bCs/>
                <w:color w:val="000000"/>
                <w:sz w:val="20"/>
                <w:szCs w:val="20"/>
              </w:rPr>
              <w:t>Count</w:t>
            </w:r>
          </w:p>
        </w:tc>
        <w:tc>
          <w:tcPr>
            <w:tcW w:w="951" w:type="dxa"/>
            <w:tcBorders>
              <w:top w:val="nil"/>
              <w:left w:val="nil"/>
              <w:bottom w:val="single" w:sz="4" w:space="0" w:color="auto"/>
              <w:right w:val="single" w:sz="4" w:space="0" w:color="auto"/>
            </w:tcBorders>
            <w:shd w:val="clear" w:color="000000" w:fill="D9D9D9"/>
            <w:noWrap/>
            <w:vAlign w:val="bottom"/>
            <w:hideMark/>
          </w:tcPr>
          <w:p w14:paraId="37B7AADC" w14:textId="77777777" w:rsidR="00AB20EA" w:rsidRPr="00DF67CC" w:rsidRDefault="00AB20EA" w:rsidP="00095F89">
            <w:pPr>
              <w:spacing w:after="0" w:line="240" w:lineRule="auto"/>
              <w:jc w:val="center"/>
              <w:rPr>
                <w:rFonts w:ascii="Calibri" w:eastAsia="Times New Roman" w:hAnsi="Calibri" w:cs="Times New Roman"/>
                <w:b/>
                <w:bCs/>
                <w:color w:val="000000"/>
                <w:sz w:val="20"/>
                <w:szCs w:val="20"/>
              </w:rPr>
            </w:pPr>
            <w:r w:rsidRPr="00DF67CC">
              <w:rPr>
                <w:rFonts w:ascii="Calibri" w:eastAsia="Times New Roman" w:hAnsi="Calibri" w:cs="Times New Roman"/>
                <w:b/>
                <w:bCs/>
                <w:color w:val="000000"/>
                <w:sz w:val="20"/>
                <w:szCs w:val="20"/>
              </w:rPr>
              <w:t>Percent</w:t>
            </w:r>
          </w:p>
        </w:tc>
        <w:tc>
          <w:tcPr>
            <w:tcW w:w="1026" w:type="dxa"/>
            <w:tcBorders>
              <w:top w:val="nil"/>
              <w:left w:val="nil"/>
              <w:bottom w:val="single" w:sz="4" w:space="0" w:color="auto"/>
              <w:right w:val="nil"/>
            </w:tcBorders>
            <w:shd w:val="clear" w:color="000000" w:fill="D9D9D9"/>
            <w:noWrap/>
            <w:vAlign w:val="bottom"/>
            <w:hideMark/>
          </w:tcPr>
          <w:p w14:paraId="1C228394" w14:textId="77777777" w:rsidR="00AB20EA" w:rsidRPr="00DF67CC" w:rsidRDefault="00AB20EA" w:rsidP="00095F89">
            <w:pPr>
              <w:spacing w:after="0" w:line="240" w:lineRule="auto"/>
              <w:jc w:val="center"/>
              <w:rPr>
                <w:rFonts w:ascii="Calibri" w:eastAsia="Times New Roman" w:hAnsi="Calibri" w:cs="Times New Roman"/>
                <w:b/>
                <w:bCs/>
                <w:color w:val="000000"/>
                <w:sz w:val="20"/>
                <w:szCs w:val="20"/>
              </w:rPr>
            </w:pPr>
            <w:r w:rsidRPr="00DF67CC">
              <w:rPr>
                <w:rFonts w:ascii="Calibri" w:eastAsia="Times New Roman" w:hAnsi="Calibri" w:cs="Times New Roman"/>
                <w:b/>
                <w:bCs/>
                <w:color w:val="000000"/>
                <w:sz w:val="20"/>
                <w:szCs w:val="20"/>
              </w:rPr>
              <w:t>Count</w:t>
            </w:r>
          </w:p>
        </w:tc>
        <w:tc>
          <w:tcPr>
            <w:tcW w:w="927" w:type="dxa"/>
            <w:tcBorders>
              <w:top w:val="nil"/>
              <w:left w:val="nil"/>
              <w:bottom w:val="single" w:sz="4" w:space="0" w:color="auto"/>
              <w:right w:val="nil"/>
            </w:tcBorders>
            <w:shd w:val="clear" w:color="000000" w:fill="D9D9D9"/>
            <w:noWrap/>
            <w:vAlign w:val="bottom"/>
            <w:hideMark/>
          </w:tcPr>
          <w:p w14:paraId="731E8D71" w14:textId="77777777" w:rsidR="00AB20EA" w:rsidRPr="00DF67CC" w:rsidRDefault="00AB20EA" w:rsidP="00095F89">
            <w:pPr>
              <w:spacing w:after="0" w:line="240" w:lineRule="auto"/>
              <w:jc w:val="center"/>
              <w:rPr>
                <w:rFonts w:ascii="Calibri" w:eastAsia="Times New Roman" w:hAnsi="Calibri" w:cs="Times New Roman"/>
                <w:b/>
                <w:bCs/>
                <w:color w:val="000000"/>
                <w:sz w:val="20"/>
                <w:szCs w:val="20"/>
              </w:rPr>
            </w:pPr>
            <w:r w:rsidRPr="00DF67CC">
              <w:rPr>
                <w:rFonts w:ascii="Calibri" w:eastAsia="Times New Roman" w:hAnsi="Calibri" w:cs="Times New Roman"/>
                <w:b/>
                <w:bCs/>
                <w:color w:val="000000"/>
                <w:sz w:val="20"/>
                <w:szCs w:val="20"/>
              </w:rPr>
              <w:t>Percent</w:t>
            </w:r>
          </w:p>
        </w:tc>
      </w:tr>
      <w:tr w:rsidR="00AB20EA" w:rsidRPr="00DF67CC" w14:paraId="6D18C37E" w14:textId="77777777" w:rsidTr="00095F89">
        <w:trPr>
          <w:trHeight w:val="106"/>
          <w:jc w:val="center"/>
        </w:trPr>
        <w:tc>
          <w:tcPr>
            <w:tcW w:w="1324" w:type="dxa"/>
            <w:tcBorders>
              <w:top w:val="nil"/>
              <w:left w:val="nil"/>
              <w:bottom w:val="nil"/>
              <w:right w:val="single" w:sz="4" w:space="0" w:color="auto"/>
            </w:tcBorders>
            <w:shd w:val="clear" w:color="auto" w:fill="auto"/>
            <w:hideMark/>
          </w:tcPr>
          <w:p w14:paraId="0B9FCAB1" w14:textId="77777777" w:rsidR="00AB20EA" w:rsidRPr="00DF67CC" w:rsidRDefault="00AB20EA" w:rsidP="00095F89">
            <w:pPr>
              <w:spacing w:after="0" w:line="240" w:lineRule="auto"/>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Most Able                  (Fully Independent)</w:t>
            </w:r>
          </w:p>
        </w:tc>
        <w:tc>
          <w:tcPr>
            <w:tcW w:w="1026" w:type="dxa"/>
            <w:tcBorders>
              <w:top w:val="nil"/>
              <w:left w:val="nil"/>
              <w:bottom w:val="single" w:sz="4" w:space="0" w:color="auto"/>
              <w:right w:val="nil"/>
            </w:tcBorders>
            <w:shd w:val="clear" w:color="auto" w:fill="auto"/>
            <w:noWrap/>
            <w:vAlign w:val="center"/>
            <w:hideMark/>
          </w:tcPr>
          <w:p w14:paraId="0C2F8E25"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2,961,741</w:t>
            </w:r>
          </w:p>
        </w:tc>
        <w:tc>
          <w:tcPr>
            <w:tcW w:w="925" w:type="dxa"/>
            <w:tcBorders>
              <w:top w:val="nil"/>
              <w:left w:val="nil"/>
              <w:bottom w:val="single" w:sz="4" w:space="0" w:color="auto"/>
              <w:right w:val="single" w:sz="4" w:space="0" w:color="auto"/>
            </w:tcBorders>
            <w:shd w:val="clear" w:color="auto" w:fill="auto"/>
            <w:noWrap/>
            <w:vAlign w:val="center"/>
            <w:hideMark/>
          </w:tcPr>
          <w:p w14:paraId="176CCA81"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92.5%</w:t>
            </w:r>
          </w:p>
        </w:tc>
        <w:tc>
          <w:tcPr>
            <w:tcW w:w="1026" w:type="dxa"/>
            <w:tcBorders>
              <w:top w:val="nil"/>
              <w:left w:val="nil"/>
              <w:bottom w:val="single" w:sz="4" w:space="0" w:color="auto"/>
              <w:right w:val="nil"/>
            </w:tcBorders>
            <w:shd w:val="clear" w:color="auto" w:fill="auto"/>
            <w:noWrap/>
            <w:vAlign w:val="center"/>
            <w:hideMark/>
          </w:tcPr>
          <w:p w14:paraId="43A17F05"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2,155,574</w:t>
            </w:r>
          </w:p>
        </w:tc>
        <w:tc>
          <w:tcPr>
            <w:tcW w:w="856" w:type="dxa"/>
            <w:tcBorders>
              <w:top w:val="nil"/>
              <w:left w:val="nil"/>
              <w:bottom w:val="single" w:sz="4" w:space="0" w:color="auto"/>
              <w:right w:val="single" w:sz="4" w:space="0" w:color="auto"/>
            </w:tcBorders>
            <w:shd w:val="clear" w:color="auto" w:fill="auto"/>
            <w:noWrap/>
            <w:vAlign w:val="center"/>
            <w:hideMark/>
          </w:tcPr>
          <w:p w14:paraId="2592B996"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92.9%</w:t>
            </w:r>
          </w:p>
        </w:tc>
        <w:tc>
          <w:tcPr>
            <w:tcW w:w="1165" w:type="dxa"/>
            <w:tcBorders>
              <w:top w:val="nil"/>
              <w:left w:val="nil"/>
              <w:bottom w:val="single" w:sz="4" w:space="0" w:color="auto"/>
              <w:right w:val="nil"/>
            </w:tcBorders>
            <w:shd w:val="clear" w:color="auto" w:fill="auto"/>
            <w:noWrap/>
            <w:vAlign w:val="center"/>
            <w:hideMark/>
          </w:tcPr>
          <w:p w14:paraId="08E67002"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1,030,618</w:t>
            </w:r>
          </w:p>
        </w:tc>
        <w:tc>
          <w:tcPr>
            <w:tcW w:w="1104" w:type="dxa"/>
            <w:tcBorders>
              <w:top w:val="nil"/>
              <w:left w:val="nil"/>
              <w:bottom w:val="single" w:sz="4" w:space="0" w:color="auto"/>
              <w:right w:val="single" w:sz="4" w:space="0" w:color="auto"/>
            </w:tcBorders>
            <w:shd w:val="clear" w:color="auto" w:fill="auto"/>
            <w:noWrap/>
            <w:vAlign w:val="center"/>
            <w:hideMark/>
          </w:tcPr>
          <w:p w14:paraId="0B63BF44"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93.1%</w:t>
            </w:r>
          </w:p>
        </w:tc>
        <w:tc>
          <w:tcPr>
            <w:tcW w:w="1026" w:type="dxa"/>
            <w:tcBorders>
              <w:top w:val="nil"/>
              <w:left w:val="nil"/>
              <w:bottom w:val="single" w:sz="4" w:space="0" w:color="auto"/>
              <w:right w:val="nil"/>
            </w:tcBorders>
            <w:shd w:val="clear" w:color="auto" w:fill="auto"/>
            <w:noWrap/>
            <w:vAlign w:val="center"/>
            <w:hideMark/>
          </w:tcPr>
          <w:p w14:paraId="0CAD5292"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3,336,954</w:t>
            </w:r>
          </w:p>
        </w:tc>
        <w:tc>
          <w:tcPr>
            <w:tcW w:w="882" w:type="dxa"/>
            <w:tcBorders>
              <w:top w:val="nil"/>
              <w:left w:val="nil"/>
              <w:bottom w:val="single" w:sz="4" w:space="0" w:color="auto"/>
              <w:right w:val="single" w:sz="4" w:space="0" w:color="auto"/>
            </w:tcBorders>
            <w:shd w:val="clear" w:color="auto" w:fill="auto"/>
            <w:noWrap/>
            <w:vAlign w:val="center"/>
            <w:hideMark/>
          </w:tcPr>
          <w:p w14:paraId="70456DB9"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92.0%</w:t>
            </w:r>
          </w:p>
        </w:tc>
        <w:tc>
          <w:tcPr>
            <w:tcW w:w="1026" w:type="dxa"/>
            <w:tcBorders>
              <w:top w:val="nil"/>
              <w:left w:val="nil"/>
              <w:bottom w:val="single" w:sz="4" w:space="0" w:color="auto"/>
              <w:right w:val="nil"/>
            </w:tcBorders>
            <w:shd w:val="clear" w:color="auto" w:fill="auto"/>
            <w:noWrap/>
            <w:vAlign w:val="center"/>
            <w:hideMark/>
          </w:tcPr>
          <w:p w14:paraId="328F455F"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2,542,804</w:t>
            </w:r>
          </w:p>
        </w:tc>
        <w:tc>
          <w:tcPr>
            <w:tcW w:w="951" w:type="dxa"/>
            <w:tcBorders>
              <w:top w:val="nil"/>
              <w:left w:val="nil"/>
              <w:bottom w:val="single" w:sz="4" w:space="0" w:color="auto"/>
              <w:right w:val="single" w:sz="4" w:space="0" w:color="auto"/>
            </w:tcBorders>
            <w:shd w:val="clear" w:color="auto" w:fill="auto"/>
            <w:noWrap/>
            <w:vAlign w:val="center"/>
            <w:hideMark/>
          </w:tcPr>
          <w:p w14:paraId="3D652E65"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92.9%</w:t>
            </w:r>
          </w:p>
        </w:tc>
        <w:tc>
          <w:tcPr>
            <w:tcW w:w="1026" w:type="dxa"/>
            <w:tcBorders>
              <w:top w:val="nil"/>
              <w:left w:val="nil"/>
              <w:bottom w:val="single" w:sz="4" w:space="0" w:color="auto"/>
              <w:right w:val="nil"/>
            </w:tcBorders>
            <w:shd w:val="clear" w:color="auto" w:fill="auto"/>
            <w:noWrap/>
            <w:vAlign w:val="center"/>
            <w:hideMark/>
          </w:tcPr>
          <w:p w14:paraId="6DB1AD35"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3,456,213</w:t>
            </w:r>
          </w:p>
        </w:tc>
        <w:tc>
          <w:tcPr>
            <w:tcW w:w="927" w:type="dxa"/>
            <w:tcBorders>
              <w:top w:val="nil"/>
              <w:left w:val="nil"/>
              <w:bottom w:val="single" w:sz="4" w:space="0" w:color="auto"/>
              <w:right w:val="nil"/>
            </w:tcBorders>
            <w:shd w:val="clear" w:color="auto" w:fill="auto"/>
            <w:noWrap/>
            <w:vAlign w:val="center"/>
            <w:hideMark/>
          </w:tcPr>
          <w:p w14:paraId="544EC642"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91.7%</w:t>
            </w:r>
          </w:p>
        </w:tc>
      </w:tr>
      <w:tr w:rsidR="00AB20EA" w:rsidRPr="00DF67CC" w14:paraId="6DBCDDBE" w14:textId="77777777" w:rsidTr="00095F89">
        <w:trPr>
          <w:trHeight w:val="61"/>
          <w:jc w:val="center"/>
        </w:trPr>
        <w:tc>
          <w:tcPr>
            <w:tcW w:w="1324" w:type="dxa"/>
            <w:tcBorders>
              <w:top w:val="nil"/>
              <w:left w:val="nil"/>
              <w:bottom w:val="nil"/>
              <w:right w:val="nil"/>
            </w:tcBorders>
            <w:shd w:val="clear" w:color="auto" w:fill="auto"/>
            <w:noWrap/>
            <w:vAlign w:val="bottom"/>
            <w:hideMark/>
          </w:tcPr>
          <w:p w14:paraId="6A1099BA" w14:textId="77777777" w:rsidR="00AB20EA" w:rsidRPr="00DF67CC" w:rsidRDefault="00AB20EA" w:rsidP="00095F89">
            <w:pPr>
              <w:spacing w:after="0" w:line="240" w:lineRule="auto"/>
              <w:rPr>
                <w:rFonts w:ascii="Calibri" w:eastAsia="Times New Roman" w:hAnsi="Calibri" w:cs="Times New Roman"/>
                <w:color w:val="000000"/>
                <w:sz w:val="20"/>
                <w:szCs w:val="20"/>
              </w:rPr>
            </w:pPr>
          </w:p>
          <w:tbl>
            <w:tblPr>
              <w:tblW w:w="320" w:type="dxa"/>
              <w:tblCellSpacing w:w="0" w:type="dxa"/>
              <w:tblCellMar>
                <w:left w:w="0" w:type="dxa"/>
                <w:right w:w="0" w:type="dxa"/>
              </w:tblCellMar>
              <w:tblLook w:val="04A0" w:firstRow="1" w:lastRow="0" w:firstColumn="1" w:lastColumn="0" w:noHBand="0" w:noVBand="1"/>
            </w:tblPr>
            <w:tblGrid>
              <w:gridCol w:w="330"/>
            </w:tblGrid>
            <w:tr w:rsidR="00AB20EA" w:rsidRPr="00DF67CC" w14:paraId="395F9E80" w14:textId="77777777" w:rsidTr="00095F89">
              <w:trPr>
                <w:trHeight w:val="61"/>
                <w:tblCellSpacing w:w="0" w:type="dxa"/>
              </w:trPr>
              <w:tc>
                <w:tcPr>
                  <w:tcW w:w="320" w:type="dxa"/>
                  <w:tcBorders>
                    <w:top w:val="nil"/>
                    <w:left w:val="nil"/>
                    <w:bottom w:val="nil"/>
                    <w:right w:val="single" w:sz="4" w:space="0" w:color="auto"/>
                  </w:tcBorders>
                  <w:shd w:val="clear" w:color="auto" w:fill="auto"/>
                  <w:noWrap/>
                  <w:vAlign w:val="bottom"/>
                  <w:hideMark/>
                </w:tcPr>
                <w:p w14:paraId="19E67693" w14:textId="77777777" w:rsidR="00AB20EA" w:rsidRPr="00DF67CC" w:rsidRDefault="00AB20EA" w:rsidP="00095F89">
                  <w:pPr>
                    <w:spacing w:after="0" w:line="240" w:lineRule="auto"/>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 </w:t>
                  </w:r>
                </w:p>
              </w:tc>
            </w:tr>
          </w:tbl>
          <w:p w14:paraId="245057B6" w14:textId="77777777" w:rsidR="00AB20EA" w:rsidRPr="00DF67CC" w:rsidRDefault="00AB20EA" w:rsidP="00095F89">
            <w:pPr>
              <w:spacing w:after="0" w:line="240" w:lineRule="auto"/>
              <w:rPr>
                <w:rFonts w:ascii="Calibri" w:eastAsia="Times New Roman" w:hAnsi="Calibri" w:cs="Times New Roman"/>
                <w:color w:val="000000"/>
                <w:sz w:val="20"/>
                <w:szCs w:val="20"/>
              </w:rPr>
            </w:pPr>
          </w:p>
        </w:tc>
        <w:tc>
          <w:tcPr>
            <w:tcW w:w="1026" w:type="dxa"/>
            <w:tcBorders>
              <w:top w:val="nil"/>
              <w:left w:val="nil"/>
              <w:bottom w:val="single" w:sz="4" w:space="0" w:color="auto"/>
              <w:right w:val="nil"/>
            </w:tcBorders>
            <w:shd w:val="clear" w:color="auto" w:fill="auto"/>
            <w:noWrap/>
            <w:vAlign w:val="bottom"/>
            <w:hideMark/>
          </w:tcPr>
          <w:p w14:paraId="3941B856"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1,051,260</w:t>
            </w:r>
          </w:p>
        </w:tc>
        <w:tc>
          <w:tcPr>
            <w:tcW w:w="925" w:type="dxa"/>
            <w:tcBorders>
              <w:top w:val="nil"/>
              <w:left w:val="nil"/>
              <w:bottom w:val="single" w:sz="4" w:space="0" w:color="auto"/>
              <w:right w:val="single" w:sz="4" w:space="0" w:color="auto"/>
            </w:tcBorders>
            <w:shd w:val="clear" w:color="auto" w:fill="auto"/>
            <w:noWrap/>
            <w:vAlign w:val="bottom"/>
            <w:hideMark/>
          </w:tcPr>
          <w:p w14:paraId="29497F34"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89.1%</w:t>
            </w:r>
          </w:p>
        </w:tc>
        <w:tc>
          <w:tcPr>
            <w:tcW w:w="1026" w:type="dxa"/>
            <w:tcBorders>
              <w:top w:val="nil"/>
              <w:left w:val="nil"/>
              <w:bottom w:val="single" w:sz="4" w:space="0" w:color="auto"/>
              <w:right w:val="nil"/>
            </w:tcBorders>
            <w:shd w:val="clear" w:color="auto" w:fill="auto"/>
            <w:noWrap/>
            <w:vAlign w:val="bottom"/>
            <w:hideMark/>
          </w:tcPr>
          <w:p w14:paraId="03A1BE11"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2,046,319</w:t>
            </w:r>
          </w:p>
        </w:tc>
        <w:tc>
          <w:tcPr>
            <w:tcW w:w="856" w:type="dxa"/>
            <w:tcBorders>
              <w:top w:val="nil"/>
              <w:left w:val="nil"/>
              <w:bottom w:val="single" w:sz="4" w:space="0" w:color="auto"/>
              <w:right w:val="single" w:sz="4" w:space="0" w:color="auto"/>
            </w:tcBorders>
            <w:shd w:val="clear" w:color="auto" w:fill="auto"/>
            <w:noWrap/>
            <w:vAlign w:val="bottom"/>
            <w:hideMark/>
          </w:tcPr>
          <w:p w14:paraId="6F055349"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89.9%</w:t>
            </w:r>
          </w:p>
        </w:tc>
        <w:tc>
          <w:tcPr>
            <w:tcW w:w="1165" w:type="dxa"/>
            <w:tcBorders>
              <w:top w:val="nil"/>
              <w:left w:val="nil"/>
              <w:bottom w:val="single" w:sz="4" w:space="0" w:color="auto"/>
              <w:right w:val="nil"/>
            </w:tcBorders>
            <w:shd w:val="clear" w:color="auto" w:fill="auto"/>
            <w:noWrap/>
            <w:vAlign w:val="bottom"/>
            <w:hideMark/>
          </w:tcPr>
          <w:p w14:paraId="3A5911CE"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1,240,514</w:t>
            </w:r>
          </w:p>
        </w:tc>
        <w:tc>
          <w:tcPr>
            <w:tcW w:w="1104" w:type="dxa"/>
            <w:tcBorders>
              <w:top w:val="nil"/>
              <w:left w:val="nil"/>
              <w:bottom w:val="single" w:sz="4" w:space="0" w:color="auto"/>
              <w:right w:val="single" w:sz="4" w:space="0" w:color="auto"/>
            </w:tcBorders>
            <w:shd w:val="clear" w:color="auto" w:fill="auto"/>
            <w:noWrap/>
            <w:vAlign w:val="bottom"/>
            <w:hideMark/>
          </w:tcPr>
          <w:p w14:paraId="060CD019"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92.6%</w:t>
            </w:r>
          </w:p>
        </w:tc>
        <w:tc>
          <w:tcPr>
            <w:tcW w:w="1026" w:type="dxa"/>
            <w:tcBorders>
              <w:top w:val="nil"/>
              <w:left w:val="nil"/>
              <w:bottom w:val="single" w:sz="4" w:space="0" w:color="auto"/>
              <w:right w:val="nil"/>
            </w:tcBorders>
            <w:shd w:val="clear" w:color="auto" w:fill="auto"/>
            <w:noWrap/>
            <w:vAlign w:val="bottom"/>
            <w:hideMark/>
          </w:tcPr>
          <w:p w14:paraId="349814C4"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1,109,656</w:t>
            </w:r>
          </w:p>
        </w:tc>
        <w:tc>
          <w:tcPr>
            <w:tcW w:w="882" w:type="dxa"/>
            <w:tcBorders>
              <w:top w:val="nil"/>
              <w:left w:val="nil"/>
              <w:bottom w:val="single" w:sz="4" w:space="0" w:color="auto"/>
              <w:right w:val="single" w:sz="4" w:space="0" w:color="auto"/>
            </w:tcBorders>
            <w:shd w:val="clear" w:color="auto" w:fill="auto"/>
            <w:noWrap/>
            <w:vAlign w:val="bottom"/>
            <w:hideMark/>
          </w:tcPr>
          <w:p w14:paraId="49617A32"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88.1%</w:t>
            </w:r>
          </w:p>
        </w:tc>
        <w:tc>
          <w:tcPr>
            <w:tcW w:w="1026" w:type="dxa"/>
            <w:tcBorders>
              <w:top w:val="nil"/>
              <w:left w:val="nil"/>
              <w:bottom w:val="single" w:sz="4" w:space="0" w:color="auto"/>
              <w:right w:val="nil"/>
            </w:tcBorders>
            <w:shd w:val="clear" w:color="auto" w:fill="auto"/>
            <w:noWrap/>
            <w:vAlign w:val="bottom"/>
            <w:hideMark/>
          </w:tcPr>
          <w:p w14:paraId="3B99A595"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1,250,429</w:t>
            </w:r>
          </w:p>
        </w:tc>
        <w:tc>
          <w:tcPr>
            <w:tcW w:w="951" w:type="dxa"/>
            <w:tcBorders>
              <w:top w:val="nil"/>
              <w:left w:val="nil"/>
              <w:bottom w:val="single" w:sz="4" w:space="0" w:color="auto"/>
              <w:right w:val="single" w:sz="4" w:space="0" w:color="auto"/>
            </w:tcBorders>
            <w:shd w:val="clear" w:color="auto" w:fill="auto"/>
            <w:noWrap/>
            <w:vAlign w:val="bottom"/>
            <w:hideMark/>
          </w:tcPr>
          <w:p w14:paraId="107221AB"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89.3%</w:t>
            </w:r>
          </w:p>
        </w:tc>
        <w:tc>
          <w:tcPr>
            <w:tcW w:w="1026" w:type="dxa"/>
            <w:tcBorders>
              <w:top w:val="nil"/>
              <w:left w:val="nil"/>
              <w:bottom w:val="single" w:sz="4" w:space="0" w:color="auto"/>
              <w:right w:val="nil"/>
            </w:tcBorders>
            <w:shd w:val="clear" w:color="auto" w:fill="auto"/>
            <w:noWrap/>
            <w:vAlign w:val="bottom"/>
            <w:hideMark/>
          </w:tcPr>
          <w:p w14:paraId="05825D1D"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316,024</w:t>
            </w:r>
          </w:p>
        </w:tc>
        <w:tc>
          <w:tcPr>
            <w:tcW w:w="927" w:type="dxa"/>
            <w:tcBorders>
              <w:top w:val="nil"/>
              <w:left w:val="nil"/>
              <w:bottom w:val="single" w:sz="4" w:space="0" w:color="auto"/>
              <w:right w:val="nil"/>
            </w:tcBorders>
            <w:shd w:val="clear" w:color="auto" w:fill="auto"/>
            <w:noWrap/>
            <w:vAlign w:val="bottom"/>
            <w:hideMark/>
          </w:tcPr>
          <w:p w14:paraId="753AD9A7"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89.7%</w:t>
            </w:r>
          </w:p>
        </w:tc>
      </w:tr>
      <w:tr w:rsidR="00AB20EA" w:rsidRPr="00DF67CC" w14:paraId="0307640F" w14:textId="77777777" w:rsidTr="00095F89">
        <w:trPr>
          <w:trHeight w:val="61"/>
          <w:jc w:val="center"/>
        </w:trPr>
        <w:tc>
          <w:tcPr>
            <w:tcW w:w="1324" w:type="dxa"/>
            <w:tcBorders>
              <w:top w:val="nil"/>
              <w:left w:val="nil"/>
              <w:bottom w:val="nil"/>
              <w:right w:val="single" w:sz="4" w:space="0" w:color="auto"/>
            </w:tcBorders>
            <w:shd w:val="clear" w:color="auto" w:fill="auto"/>
            <w:noWrap/>
            <w:vAlign w:val="bottom"/>
            <w:hideMark/>
          </w:tcPr>
          <w:p w14:paraId="0193A874" w14:textId="77777777" w:rsidR="00AB20EA" w:rsidRPr="00DF67CC" w:rsidRDefault="00AB20EA" w:rsidP="00095F89">
            <w:pPr>
              <w:spacing w:after="0" w:line="240" w:lineRule="auto"/>
              <w:rPr>
                <w:rFonts w:ascii="Calibri" w:eastAsia="Times New Roman" w:hAnsi="Calibri" w:cs="Times New Roman"/>
                <w:color w:val="000000"/>
                <w:sz w:val="20"/>
                <w:szCs w:val="20"/>
              </w:rPr>
            </w:pPr>
            <w:r w:rsidRPr="00D15EE5">
              <w:rPr>
                <w:rFonts w:ascii="Calibri" w:eastAsia="Times New Roman" w:hAnsi="Calibri" w:cs="Times New Roman"/>
                <w:noProof/>
                <w:color w:val="000000"/>
                <w:sz w:val="20"/>
                <w:szCs w:val="20"/>
              </w:rPr>
              <mc:AlternateContent>
                <mc:Choice Requires="wps">
                  <w:drawing>
                    <wp:anchor distT="0" distB="0" distL="114300" distR="114300" simplePos="0" relativeHeight="251663360" behindDoc="0" locked="0" layoutInCell="1" allowOverlap="1" wp14:anchorId="5169E4E9" wp14:editId="667F96E9">
                      <wp:simplePos x="0" y="0"/>
                      <wp:positionH relativeFrom="column">
                        <wp:posOffset>37465</wp:posOffset>
                      </wp:positionH>
                      <wp:positionV relativeFrom="paragraph">
                        <wp:posOffset>-267335</wp:posOffset>
                      </wp:positionV>
                      <wp:extent cx="457200" cy="800100"/>
                      <wp:effectExtent l="19050" t="19050" r="38100" b="38100"/>
                      <wp:wrapNone/>
                      <wp:docPr id="5" name="Up-Down Arrow 5"/>
                      <wp:cNvGraphicFramePr/>
                      <a:graphic xmlns:a="http://schemas.openxmlformats.org/drawingml/2006/main">
                        <a:graphicData uri="http://schemas.microsoft.com/office/word/2010/wordprocessingShape">
                          <wps:wsp>
                            <wps:cNvSpPr/>
                            <wps:spPr>
                              <a:xfrm>
                                <a:off x="0" y="0"/>
                                <a:ext cx="419100" cy="781050"/>
                              </a:xfrm>
                              <a:prstGeom prst="upDownArrow">
                                <a:avLst/>
                              </a:prstGeom>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642823D5" id="Up-Down Arrow 5" o:spid="_x0000_s1026" type="#_x0000_t70" style="position:absolute;margin-left:2.95pt;margin-top:-21.05pt;width:36pt;height:6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" adj=",5795" fillcolor="#4f81bd [3204]" strokecolor="#243f60 [1604]" strokeweight="2pt"/>
                  </w:pict>
                </mc:Fallback>
              </mc:AlternateContent>
            </w:r>
            <w:r w:rsidRPr="00DF67CC">
              <w:rPr>
                <w:rFonts w:ascii="Calibri" w:eastAsia="Times New Roman" w:hAnsi="Calibri" w:cs="Times New Roman"/>
                <w:color w:val="000000"/>
                <w:sz w:val="20"/>
                <w:szCs w:val="20"/>
              </w:rPr>
              <w:t> </w:t>
            </w:r>
          </w:p>
        </w:tc>
        <w:tc>
          <w:tcPr>
            <w:tcW w:w="1026" w:type="dxa"/>
            <w:tcBorders>
              <w:top w:val="nil"/>
              <w:left w:val="nil"/>
              <w:bottom w:val="single" w:sz="4" w:space="0" w:color="auto"/>
              <w:right w:val="nil"/>
            </w:tcBorders>
            <w:shd w:val="clear" w:color="auto" w:fill="auto"/>
            <w:noWrap/>
            <w:vAlign w:val="bottom"/>
            <w:hideMark/>
          </w:tcPr>
          <w:p w14:paraId="18B2294F"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383,984</w:t>
            </w:r>
          </w:p>
        </w:tc>
        <w:tc>
          <w:tcPr>
            <w:tcW w:w="925" w:type="dxa"/>
            <w:tcBorders>
              <w:top w:val="nil"/>
              <w:left w:val="nil"/>
              <w:bottom w:val="single" w:sz="4" w:space="0" w:color="auto"/>
              <w:right w:val="single" w:sz="4" w:space="0" w:color="auto"/>
            </w:tcBorders>
            <w:shd w:val="clear" w:color="auto" w:fill="auto"/>
            <w:noWrap/>
            <w:vAlign w:val="bottom"/>
            <w:hideMark/>
          </w:tcPr>
          <w:p w14:paraId="05E773E7"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86.3%</w:t>
            </w:r>
          </w:p>
        </w:tc>
        <w:tc>
          <w:tcPr>
            <w:tcW w:w="1026" w:type="dxa"/>
            <w:tcBorders>
              <w:top w:val="nil"/>
              <w:left w:val="nil"/>
              <w:bottom w:val="single" w:sz="4" w:space="0" w:color="auto"/>
              <w:right w:val="nil"/>
            </w:tcBorders>
            <w:shd w:val="clear" w:color="auto" w:fill="auto"/>
            <w:noWrap/>
            <w:vAlign w:val="bottom"/>
            <w:hideMark/>
          </w:tcPr>
          <w:p w14:paraId="1B560660"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237,806</w:t>
            </w:r>
          </w:p>
        </w:tc>
        <w:tc>
          <w:tcPr>
            <w:tcW w:w="856" w:type="dxa"/>
            <w:tcBorders>
              <w:top w:val="nil"/>
              <w:left w:val="nil"/>
              <w:bottom w:val="single" w:sz="4" w:space="0" w:color="auto"/>
              <w:right w:val="single" w:sz="4" w:space="0" w:color="auto"/>
            </w:tcBorders>
            <w:shd w:val="clear" w:color="auto" w:fill="auto"/>
            <w:noWrap/>
            <w:vAlign w:val="bottom"/>
            <w:hideMark/>
          </w:tcPr>
          <w:p w14:paraId="4E3F5B77"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85.3%</w:t>
            </w:r>
          </w:p>
        </w:tc>
        <w:tc>
          <w:tcPr>
            <w:tcW w:w="1165" w:type="dxa"/>
            <w:tcBorders>
              <w:top w:val="nil"/>
              <w:left w:val="nil"/>
              <w:bottom w:val="single" w:sz="4" w:space="0" w:color="auto"/>
              <w:right w:val="nil"/>
            </w:tcBorders>
            <w:shd w:val="clear" w:color="auto" w:fill="auto"/>
            <w:noWrap/>
            <w:vAlign w:val="bottom"/>
            <w:hideMark/>
          </w:tcPr>
          <w:p w14:paraId="6FA4CA78"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1,672,463</w:t>
            </w:r>
          </w:p>
        </w:tc>
        <w:tc>
          <w:tcPr>
            <w:tcW w:w="1104" w:type="dxa"/>
            <w:tcBorders>
              <w:top w:val="nil"/>
              <w:left w:val="nil"/>
              <w:bottom w:val="single" w:sz="4" w:space="0" w:color="auto"/>
              <w:right w:val="single" w:sz="4" w:space="0" w:color="auto"/>
            </w:tcBorders>
            <w:shd w:val="clear" w:color="auto" w:fill="auto"/>
            <w:noWrap/>
            <w:vAlign w:val="bottom"/>
            <w:hideMark/>
          </w:tcPr>
          <w:p w14:paraId="1FF844D9"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90.0%</w:t>
            </w:r>
          </w:p>
        </w:tc>
        <w:tc>
          <w:tcPr>
            <w:tcW w:w="1026" w:type="dxa"/>
            <w:tcBorders>
              <w:top w:val="nil"/>
              <w:left w:val="nil"/>
              <w:bottom w:val="single" w:sz="4" w:space="0" w:color="auto"/>
              <w:right w:val="nil"/>
            </w:tcBorders>
            <w:shd w:val="clear" w:color="auto" w:fill="auto"/>
            <w:noWrap/>
            <w:vAlign w:val="bottom"/>
            <w:hideMark/>
          </w:tcPr>
          <w:p w14:paraId="1275F800"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74,178</w:t>
            </w:r>
          </w:p>
        </w:tc>
        <w:tc>
          <w:tcPr>
            <w:tcW w:w="882" w:type="dxa"/>
            <w:tcBorders>
              <w:top w:val="nil"/>
              <w:left w:val="nil"/>
              <w:bottom w:val="single" w:sz="4" w:space="0" w:color="auto"/>
              <w:right w:val="single" w:sz="4" w:space="0" w:color="auto"/>
            </w:tcBorders>
            <w:shd w:val="clear" w:color="auto" w:fill="auto"/>
            <w:noWrap/>
            <w:vAlign w:val="bottom"/>
            <w:hideMark/>
          </w:tcPr>
          <w:p w14:paraId="52B7D032"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85.7%</w:t>
            </w:r>
          </w:p>
        </w:tc>
        <w:tc>
          <w:tcPr>
            <w:tcW w:w="1026" w:type="dxa"/>
            <w:tcBorders>
              <w:top w:val="nil"/>
              <w:left w:val="nil"/>
              <w:bottom w:val="single" w:sz="4" w:space="0" w:color="auto"/>
              <w:right w:val="nil"/>
            </w:tcBorders>
            <w:shd w:val="clear" w:color="auto" w:fill="auto"/>
            <w:noWrap/>
            <w:vAlign w:val="bottom"/>
            <w:hideMark/>
          </w:tcPr>
          <w:p w14:paraId="70BAF0D8"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749,267</w:t>
            </w:r>
          </w:p>
        </w:tc>
        <w:tc>
          <w:tcPr>
            <w:tcW w:w="951" w:type="dxa"/>
            <w:tcBorders>
              <w:top w:val="nil"/>
              <w:left w:val="nil"/>
              <w:bottom w:val="single" w:sz="4" w:space="0" w:color="auto"/>
              <w:right w:val="single" w:sz="4" w:space="0" w:color="auto"/>
            </w:tcBorders>
            <w:shd w:val="clear" w:color="auto" w:fill="auto"/>
            <w:noWrap/>
            <w:vAlign w:val="bottom"/>
            <w:hideMark/>
          </w:tcPr>
          <w:p w14:paraId="4EB670C6"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87.2%</w:t>
            </w:r>
          </w:p>
        </w:tc>
        <w:tc>
          <w:tcPr>
            <w:tcW w:w="1026" w:type="dxa"/>
            <w:tcBorders>
              <w:top w:val="nil"/>
              <w:left w:val="nil"/>
              <w:bottom w:val="single" w:sz="4" w:space="0" w:color="auto"/>
              <w:right w:val="nil"/>
            </w:tcBorders>
            <w:shd w:val="clear" w:color="auto" w:fill="auto"/>
            <w:noWrap/>
            <w:vAlign w:val="bottom"/>
            <w:hideMark/>
          </w:tcPr>
          <w:p w14:paraId="481141C2"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280,577</w:t>
            </w:r>
          </w:p>
        </w:tc>
        <w:tc>
          <w:tcPr>
            <w:tcW w:w="927" w:type="dxa"/>
            <w:tcBorders>
              <w:top w:val="nil"/>
              <w:left w:val="nil"/>
              <w:bottom w:val="single" w:sz="4" w:space="0" w:color="auto"/>
              <w:right w:val="nil"/>
            </w:tcBorders>
            <w:shd w:val="clear" w:color="auto" w:fill="auto"/>
            <w:noWrap/>
            <w:vAlign w:val="bottom"/>
            <w:hideMark/>
          </w:tcPr>
          <w:p w14:paraId="5914838B"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88.6%</w:t>
            </w:r>
          </w:p>
        </w:tc>
      </w:tr>
      <w:tr w:rsidR="00AB20EA" w:rsidRPr="00DF67CC" w14:paraId="0BAC7F5E" w14:textId="77777777" w:rsidTr="00095F89">
        <w:trPr>
          <w:trHeight w:val="323"/>
          <w:jc w:val="center"/>
        </w:trPr>
        <w:tc>
          <w:tcPr>
            <w:tcW w:w="1324" w:type="dxa"/>
            <w:tcBorders>
              <w:top w:val="nil"/>
              <w:left w:val="nil"/>
              <w:bottom w:val="nil"/>
              <w:right w:val="single" w:sz="4" w:space="0" w:color="auto"/>
            </w:tcBorders>
            <w:shd w:val="clear" w:color="auto" w:fill="auto"/>
            <w:noWrap/>
            <w:vAlign w:val="bottom"/>
            <w:hideMark/>
          </w:tcPr>
          <w:p w14:paraId="4D9650E4" w14:textId="77777777" w:rsidR="00AB20EA" w:rsidRPr="00DF67CC" w:rsidRDefault="00AB20EA" w:rsidP="00095F89">
            <w:pPr>
              <w:spacing w:after="0" w:line="240" w:lineRule="auto"/>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 </w:t>
            </w:r>
          </w:p>
        </w:tc>
        <w:tc>
          <w:tcPr>
            <w:tcW w:w="1026" w:type="dxa"/>
            <w:tcBorders>
              <w:top w:val="nil"/>
              <w:left w:val="nil"/>
              <w:bottom w:val="single" w:sz="4" w:space="0" w:color="auto"/>
              <w:right w:val="nil"/>
            </w:tcBorders>
            <w:shd w:val="clear" w:color="auto" w:fill="auto"/>
            <w:noWrap/>
            <w:vAlign w:val="bottom"/>
            <w:hideMark/>
          </w:tcPr>
          <w:p w14:paraId="1AAA1293"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145,515</w:t>
            </w:r>
          </w:p>
        </w:tc>
        <w:tc>
          <w:tcPr>
            <w:tcW w:w="925" w:type="dxa"/>
            <w:tcBorders>
              <w:top w:val="nil"/>
              <w:left w:val="nil"/>
              <w:bottom w:val="single" w:sz="4" w:space="0" w:color="auto"/>
              <w:right w:val="single" w:sz="4" w:space="0" w:color="auto"/>
            </w:tcBorders>
            <w:shd w:val="clear" w:color="auto" w:fill="auto"/>
            <w:noWrap/>
            <w:vAlign w:val="bottom"/>
            <w:hideMark/>
          </w:tcPr>
          <w:p w14:paraId="0997506C"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85.1%</w:t>
            </w:r>
          </w:p>
        </w:tc>
        <w:tc>
          <w:tcPr>
            <w:tcW w:w="1026" w:type="dxa"/>
            <w:tcBorders>
              <w:top w:val="nil"/>
              <w:left w:val="nil"/>
              <w:bottom w:val="single" w:sz="4" w:space="0" w:color="auto"/>
              <w:right w:val="nil"/>
            </w:tcBorders>
            <w:shd w:val="clear" w:color="auto" w:fill="auto"/>
            <w:noWrap/>
            <w:vAlign w:val="bottom"/>
            <w:hideMark/>
          </w:tcPr>
          <w:p w14:paraId="0CF4E97F"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72,610</w:t>
            </w:r>
          </w:p>
        </w:tc>
        <w:tc>
          <w:tcPr>
            <w:tcW w:w="856" w:type="dxa"/>
            <w:tcBorders>
              <w:top w:val="nil"/>
              <w:left w:val="nil"/>
              <w:bottom w:val="single" w:sz="4" w:space="0" w:color="auto"/>
              <w:right w:val="single" w:sz="4" w:space="0" w:color="auto"/>
            </w:tcBorders>
            <w:shd w:val="clear" w:color="auto" w:fill="auto"/>
            <w:noWrap/>
            <w:vAlign w:val="bottom"/>
            <w:hideMark/>
          </w:tcPr>
          <w:p w14:paraId="2AAE71B3"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84.7%</w:t>
            </w:r>
          </w:p>
        </w:tc>
        <w:tc>
          <w:tcPr>
            <w:tcW w:w="1165" w:type="dxa"/>
            <w:tcBorders>
              <w:top w:val="nil"/>
              <w:left w:val="nil"/>
              <w:bottom w:val="single" w:sz="4" w:space="0" w:color="auto"/>
              <w:right w:val="nil"/>
            </w:tcBorders>
            <w:shd w:val="clear" w:color="auto" w:fill="auto"/>
            <w:noWrap/>
            <w:vAlign w:val="bottom"/>
            <w:hideMark/>
          </w:tcPr>
          <w:p w14:paraId="014C9B3A"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389,998</w:t>
            </w:r>
          </w:p>
        </w:tc>
        <w:tc>
          <w:tcPr>
            <w:tcW w:w="1104" w:type="dxa"/>
            <w:tcBorders>
              <w:top w:val="nil"/>
              <w:left w:val="nil"/>
              <w:bottom w:val="single" w:sz="4" w:space="0" w:color="auto"/>
              <w:right w:val="single" w:sz="4" w:space="0" w:color="auto"/>
            </w:tcBorders>
            <w:shd w:val="clear" w:color="auto" w:fill="auto"/>
            <w:noWrap/>
            <w:vAlign w:val="bottom"/>
            <w:hideMark/>
          </w:tcPr>
          <w:p w14:paraId="72EBA036"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86.7%</w:t>
            </w:r>
          </w:p>
        </w:tc>
        <w:tc>
          <w:tcPr>
            <w:tcW w:w="1026" w:type="dxa"/>
            <w:tcBorders>
              <w:top w:val="nil"/>
              <w:left w:val="nil"/>
              <w:bottom w:val="single" w:sz="4" w:space="0" w:color="auto"/>
              <w:right w:val="nil"/>
            </w:tcBorders>
            <w:shd w:val="clear" w:color="auto" w:fill="auto"/>
            <w:noWrap/>
            <w:vAlign w:val="bottom"/>
            <w:hideMark/>
          </w:tcPr>
          <w:p w14:paraId="546E34E6"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7,130</w:t>
            </w:r>
          </w:p>
        </w:tc>
        <w:tc>
          <w:tcPr>
            <w:tcW w:w="882" w:type="dxa"/>
            <w:tcBorders>
              <w:top w:val="nil"/>
              <w:left w:val="nil"/>
              <w:bottom w:val="single" w:sz="4" w:space="0" w:color="auto"/>
              <w:right w:val="single" w:sz="4" w:space="0" w:color="auto"/>
            </w:tcBorders>
            <w:shd w:val="clear" w:color="auto" w:fill="auto"/>
            <w:noWrap/>
            <w:vAlign w:val="bottom"/>
            <w:hideMark/>
          </w:tcPr>
          <w:p w14:paraId="22F0358C"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84.9%</w:t>
            </w:r>
          </w:p>
        </w:tc>
        <w:tc>
          <w:tcPr>
            <w:tcW w:w="1026" w:type="dxa"/>
            <w:tcBorders>
              <w:top w:val="nil"/>
              <w:left w:val="nil"/>
              <w:bottom w:val="nil"/>
              <w:right w:val="nil"/>
              <w:tl2br w:val="single" w:sz="4" w:space="0" w:color="auto"/>
              <w:tr2bl w:val="single" w:sz="4" w:space="0" w:color="auto"/>
            </w:tcBorders>
            <w:shd w:val="clear" w:color="auto" w:fill="auto"/>
            <w:noWrap/>
            <w:vAlign w:val="bottom"/>
            <w:hideMark/>
          </w:tcPr>
          <w:p w14:paraId="7442F51A" w14:textId="77777777" w:rsidR="00AB20EA" w:rsidRPr="00DF67CC" w:rsidRDefault="00AB20EA" w:rsidP="00095F89">
            <w:pPr>
              <w:spacing w:after="0" w:line="240" w:lineRule="auto"/>
              <w:rPr>
                <w:rFonts w:ascii="Calibri" w:eastAsia="Times New Roman" w:hAnsi="Calibri" w:cs="Times New Roman"/>
                <w:color w:val="000000"/>
                <w:sz w:val="20"/>
                <w:szCs w:val="20"/>
              </w:rPr>
            </w:pPr>
            <w:r w:rsidRPr="00DF67CC">
              <w:rPr>
                <w:rFonts w:ascii="Calibri" w:eastAsia="Times New Roman" w:hAnsi="Calibri" w:cs="Times New Roman"/>
                <w:strike/>
                <w:color w:val="000000"/>
                <w:sz w:val="20"/>
                <w:szCs w:val="20"/>
              </w:rPr>
              <w:t> </w:t>
            </w:r>
          </w:p>
        </w:tc>
        <w:tc>
          <w:tcPr>
            <w:tcW w:w="951" w:type="dxa"/>
            <w:tcBorders>
              <w:top w:val="nil"/>
              <w:left w:val="nil"/>
              <w:bottom w:val="nil"/>
              <w:right w:val="single" w:sz="4" w:space="0" w:color="auto"/>
              <w:tl2br w:val="single" w:sz="4" w:space="0" w:color="auto"/>
              <w:tr2bl w:val="single" w:sz="4" w:space="0" w:color="auto"/>
            </w:tcBorders>
            <w:shd w:val="clear" w:color="auto" w:fill="auto"/>
            <w:noWrap/>
            <w:vAlign w:val="bottom"/>
            <w:hideMark/>
          </w:tcPr>
          <w:p w14:paraId="47C1DDF5" w14:textId="77777777" w:rsidR="00AB20EA" w:rsidRPr="00DF67CC" w:rsidRDefault="00AB20EA" w:rsidP="00095F89">
            <w:pPr>
              <w:spacing w:after="0" w:line="240" w:lineRule="auto"/>
              <w:rPr>
                <w:rFonts w:ascii="Calibri" w:eastAsia="Times New Roman" w:hAnsi="Calibri" w:cs="Times New Roman"/>
                <w:color w:val="000000"/>
                <w:sz w:val="20"/>
                <w:szCs w:val="20"/>
              </w:rPr>
            </w:pPr>
            <w:r w:rsidRPr="00DF67CC">
              <w:rPr>
                <w:rFonts w:ascii="Calibri" w:eastAsia="Times New Roman" w:hAnsi="Calibri" w:cs="Times New Roman"/>
                <w:strike/>
                <w:color w:val="000000"/>
                <w:sz w:val="20"/>
                <w:szCs w:val="20"/>
              </w:rPr>
              <w:t> </w:t>
            </w:r>
          </w:p>
        </w:tc>
        <w:tc>
          <w:tcPr>
            <w:tcW w:w="1026" w:type="dxa"/>
            <w:tcBorders>
              <w:top w:val="nil"/>
              <w:left w:val="nil"/>
              <w:bottom w:val="single" w:sz="4" w:space="0" w:color="auto"/>
              <w:right w:val="nil"/>
            </w:tcBorders>
            <w:shd w:val="clear" w:color="auto" w:fill="auto"/>
            <w:noWrap/>
            <w:vAlign w:val="bottom"/>
            <w:hideMark/>
          </w:tcPr>
          <w:p w14:paraId="736CCF0D"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175,355</w:t>
            </w:r>
          </w:p>
        </w:tc>
        <w:tc>
          <w:tcPr>
            <w:tcW w:w="927" w:type="dxa"/>
            <w:tcBorders>
              <w:top w:val="nil"/>
              <w:left w:val="nil"/>
              <w:bottom w:val="single" w:sz="4" w:space="0" w:color="auto"/>
              <w:right w:val="nil"/>
            </w:tcBorders>
            <w:shd w:val="clear" w:color="auto" w:fill="auto"/>
            <w:noWrap/>
            <w:vAlign w:val="bottom"/>
            <w:hideMark/>
          </w:tcPr>
          <w:p w14:paraId="305017C4"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87.9%</w:t>
            </w:r>
          </w:p>
        </w:tc>
      </w:tr>
      <w:tr w:rsidR="00AB20EA" w:rsidRPr="00DF67CC" w14:paraId="68973DEF" w14:textId="77777777" w:rsidTr="00095F89">
        <w:trPr>
          <w:trHeight w:val="61"/>
          <w:jc w:val="center"/>
        </w:trPr>
        <w:tc>
          <w:tcPr>
            <w:tcW w:w="1324" w:type="dxa"/>
            <w:tcBorders>
              <w:top w:val="nil"/>
              <w:left w:val="nil"/>
              <w:bottom w:val="nil"/>
              <w:right w:val="single" w:sz="4" w:space="0" w:color="auto"/>
            </w:tcBorders>
            <w:shd w:val="clear" w:color="auto" w:fill="auto"/>
            <w:noWrap/>
            <w:vAlign w:val="bottom"/>
            <w:hideMark/>
          </w:tcPr>
          <w:p w14:paraId="739EDF5C" w14:textId="77777777" w:rsidR="00AB20EA" w:rsidRPr="00DF67CC" w:rsidRDefault="00AB20EA" w:rsidP="00095F89">
            <w:pPr>
              <w:spacing w:after="0" w:line="240" w:lineRule="auto"/>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 </w:t>
            </w:r>
          </w:p>
        </w:tc>
        <w:tc>
          <w:tcPr>
            <w:tcW w:w="1026" w:type="dxa"/>
            <w:tcBorders>
              <w:top w:val="nil"/>
              <w:left w:val="nil"/>
              <w:bottom w:val="nil"/>
              <w:right w:val="nil"/>
              <w:tl2br w:val="single" w:sz="4" w:space="0" w:color="auto"/>
              <w:tr2bl w:val="single" w:sz="4" w:space="0" w:color="auto"/>
            </w:tcBorders>
            <w:shd w:val="clear" w:color="auto" w:fill="auto"/>
            <w:noWrap/>
            <w:vAlign w:val="bottom"/>
            <w:hideMark/>
          </w:tcPr>
          <w:p w14:paraId="30EBBEB0" w14:textId="77777777" w:rsidR="00AB20EA" w:rsidRPr="00DF67CC" w:rsidRDefault="00AB20EA" w:rsidP="00095F89">
            <w:pPr>
              <w:spacing w:after="0" w:line="240" w:lineRule="auto"/>
              <w:rPr>
                <w:rFonts w:ascii="Calibri" w:eastAsia="Times New Roman" w:hAnsi="Calibri" w:cs="Times New Roman"/>
                <w:color w:val="000000"/>
                <w:sz w:val="20"/>
                <w:szCs w:val="20"/>
              </w:rPr>
            </w:pPr>
            <w:r w:rsidRPr="00DF67CC">
              <w:rPr>
                <w:rFonts w:ascii="Calibri" w:eastAsia="Times New Roman" w:hAnsi="Calibri" w:cs="Times New Roman"/>
                <w:strike/>
                <w:color w:val="000000"/>
                <w:sz w:val="20"/>
                <w:szCs w:val="20"/>
              </w:rPr>
              <w:t> </w:t>
            </w:r>
          </w:p>
        </w:tc>
        <w:tc>
          <w:tcPr>
            <w:tcW w:w="925" w:type="dxa"/>
            <w:tcBorders>
              <w:top w:val="nil"/>
              <w:left w:val="nil"/>
              <w:bottom w:val="nil"/>
              <w:right w:val="single" w:sz="4" w:space="0" w:color="auto"/>
              <w:tl2br w:val="single" w:sz="4" w:space="0" w:color="auto"/>
              <w:tr2bl w:val="single" w:sz="4" w:space="0" w:color="auto"/>
            </w:tcBorders>
            <w:shd w:val="clear" w:color="auto" w:fill="auto"/>
            <w:noWrap/>
            <w:vAlign w:val="bottom"/>
            <w:hideMark/>
          </w:tcPr>
          <w:p w14:paraId="5EFF3FED" w14:textId="77777777" w:rsidR="00AB20EA" w:rsidRPr="00DF67CC" w:rsidRDefault="00AB20EA" w:rsidP="00095F89">
            <w:pPr>
              <w:spacing w:after="0" w:line="240" w:lineRule="auto"/>
              <w:rPr>
                <w:rFonts w:ascii="Calibri" w:eastAsia="Times New Roman" w:hAnsi="Calibri" w:cs="Times New Roman"/>
                <w:color w:val="000000"/>
                <w:sz w:val="20"/>
                <w:szCs w:val="20"/>
              </w:rPr>
            </w:pPr>
            <w:r w:rsidRPr="00DF67CC">
              <w:rPr>
                <w:rFonts w:ascii="Calibri" w:eastAsia="Times New Roman" w:hAnsi="Calibri" w:cs="Times New Roman"/>
                <w:strike/>
                <w:color w:val="000000"/>
                <w:sz w:val="20"/>
                <w:szCs w:val="20"/>
              </w:rPr>
              <w:t> </w:t>
            </w:r>
          </w:p>
        </w:tc>
        <w:tc>
          <w:tcPr>
            <w:tcW w:w="1026" w:type="dxa"/>
            <w:tcBorders>
              <w:top w:val="nil"/>
              <w:left w:val="nil"/>
              <w:bottom w:val="single" w:sz="4" w:space="0" w:color="auto"/>
              <w:right w:val="nil"/>
            </w:tcBorders>
            <w:shd w:val="clear" w:color="auto" w:fill="auto"/>
            <w:noWrap/>
            <w:vAlign w:val="bottom"/>
            <w:hideMark/>
          </w:tcPr>
          <w:p w14:paraId="014446B6"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9,684</w:t>
            </w:r>
          </w:p>
        </w:tc>
        <w:tc>
          <w:tcPr>
            <w:tcW w:w="856" w:type="dxa"/>
            <w:tcBorders>
              <w:top w:val="nil"/>
              <w:left w:val="nil"/>
              <w:bottom w:val="single" w:sz="4" w:space="0" w:color="auto"/>
              <w:right w:val="single" w:sz="4" w:space="0" w:color="auto"/>
            </w:tcBorders>
            <w:shd w:val="clear" w:color="auto" w:fill="auto"/>
            <w:noWrap/>
            <w:vAlign w:val="bottom"/>
            <w:hideMark/>
          </w:tcPr>
          <w:p w14:paraId="33595EE7"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83.1%</w:t>
            </w:r>
          </w:p>
        </w:tc>
        <w:tc>
          <w:tcPr>
            <w:tcW w:w="1165" w:type="dxa"/>
            <w:tcBorders>
              <w:top w:val="nil"/>
              <w:left w:val="nil"/>
              <w:bottom w:val="single" w:sz="4" w:space="0" w:color="auto"/>
              <w:right w:val="nil"/>
            </w:tcBorders>
            <w:shd w:val="clear" w:color="auto" w:fill="auto"/>
            <w:noWrap/>
            <w:vAlign w:val="bottom"/>
            <w:hideMark/>
          </w:tcPr>
          <w:p w14:paraId="069A92E6"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112,294</w:t>
            </w:r>
          </w:p>
        </w:tc>
        <w:tc>
          <w:tcPr>
            <w:tcW w:w="1104" w:type="dxa"/>
            <w:tcBorders>
              <w:top w:val="nil"/>
              <w:left w:val="nil"/>
              <w:bottom w:val="single" w:sz="4" w:space="0" w:color="auto"/>
              <w:right w:val="single" w:sz="4" w:space="0" w:color="auto"/>
            </w:tcBorders>
            <w:shd w:val="clear" w:color="auto" w:fill="auto"/>
            <w:noWrap/>
            <w:vAlign w:val="bottom"/>
            <w:hideMark/>
          </w:tcPr>
          <w:p w14:paraId="73022B66"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86.6%</w:t>
            </w:r>
          </w:p>
        </w:tc>
        <w:tc>
          <w:tcPr>
            <w:tcW w:w="1026" w:type="dxa"/>
            <w:tcBorders>
              <w:top w:val="nil"/>
              <w:left w:val="nil"/>
              <w:bottom w:val="single" w:sz="4" w:space="0" w:color="auto"/>
              <w:right w:val="nil"/>
            </w:tcBorders>
            <w:shd w:val="clear" w:color="auto" w:fill="auto"/>
            <w:noWrap/>
            <w:vAlign w:val="bottom"/>
            <w:hideMark/>
          </w:tcPr>
          <w:p w14:paraId="3547E633"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12,751</w:t>
            </w:r>
          </w:p>
        </w:tc>
        <w:tc>
          <w:tcPr>
            <w:tcW w:w="882" w:type="dxa"/>
            <w:tcBorders>
              <w:top w:val="nil"/>
              <w:left w:val="nil"/>
              <w:bottom w:val="single" w:sz="4" w:space="0" w:color="auto"/>
              <w:right w:val="single" w:sz="4" w:space="0" w:color="auto"/>
            </w:tcBorders>
            <w:shd w:val="clear" w:color="auto" w:fill="auto"/>
            <w:noWrap/>
            <w:vAlign w:val="bottom"/>
            <w:hideMark/>
          </w:tcPr>
          <w:p w14:paraId="2256F13F"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83.2%</w:t>
            </w:r>
          </w:p>
        </w:tc>
        <w:tc>
          <w:tcPr>
            <w:tcW w:w="1026" w:type="dxa"/>
            <w:tcBorders>
              <w:top w:val="nil"/>
              <w:left w:val="nil"/>
              <w:bottom w:val="nil"/>
              <w:right w:val="nil"/>
              <w:tl2br w:val="single" w:sz="4" w:space="0" w:color="auto"/>
              <w:tr2bl w:val="single" w:sz="4" w:space="0" w:color="auto"/>
            </w:tcBorders>
            <w:shd w:val="clear" w:color="auto" w:fill="auto"/>
            <w:noWrap/>
            <w:vAlign w:val="bottom"/>
            <w:hideMark/>
          </w:tcPr>
          <w:p w14:paraId="7C71B2A2" w14:textId="77777777" w:rsidR="00AB20EA" w:rsidRPr="00DF67CC" w:rsidRDefault="00AB20EA" w:rsidP="00095F89">
            <w:pPr>
              <w:spacing w:after="0" w:line="240" w:lineRule="auto"/>
              <w:rPr>
                <w:rFonts w:ascii="Calibri" w:eastAsia="Times New Roman" w:hAnsi="Calibri" w:cs="Times New Roman"/>
                <w:color w:val="000000"/>
                <w:sz w:val="20"/>
                <w:szCs w:val="20"/>
              </w:rPr>
            </w:pPr>
            <w:r w:rsidRPr="00DF67CC">
              <w:rPr>
                <w:rFonts w:ascii="Calibri" w:eastAsia="Times New Roman" w:hAnsi="Calibri" w:cs="Times New Roman"/>
                <w:strike/>
                <w:color w:val="000000"/>
                <w:sz w:val="20"/>
                <w:szCs w:val="20"/>
              </w:rPr>
              <w:t> </w:t>
            </w:r>
          </w:p>
        </w:tc>
        <w:tc>
          <w:tcPr>
            <w:tcW w:w="951" w:type="dxa"/>
            <w:tcBorders>
              <w:top w:val="nil"/>
              <w:left w:val="nil"/>
              <w:bottom w:val="nil"/>
              <w:right w:val="single" w:sz="4" w:space="0" w:color="auto"/>
              <w:tl2br w:val="single" w:sz="4" w:space="0" w:color="auto"/>
              <w:tr2bl w:val="single" w:sz="4" w:space="0" w:color="auto"/>
            </w:tcBorders>
            <w:shd w:val="clear" w:color="auto" w:fill="auto"/>
            <w:noWrap/>
            <w:vAlign w:val="bottom"/>
            <w:hideMark/>
          </w:tcPr>
          <w:p w14:paraId="30DEEC42" w14:textId="77777777" w:rsidR="00AB20EA" w:rsidRPr="00DF67CC" w:rsidRDefault="00AB20EA" w:rsidP="00095F89">
            <w:pPr>
              <w:spacing w:after="0" w:line="240" w:lineRule="auto"/>
              <w:rPr>
                <w:rFonts w:ascii="Calibri" w:eastAsia="Times New Roman" w:hAnsi="Calibri" w:cs="Times New Roman"/>
                <w:color w:val="000000"/>
                <w:sz w:val="20"/>
                <w:szCs w:val="20"/>
              </w:rPr>
            </w:pPr>
            <w:r w:rsidRPr="00DF67CC">
              <w:rPr>
                <w:rFonts w:ascii="Calibri" w:eastAsia="Times New Roman" w:hAnsi="Calibri" w:cs="Times New Roman"/>
                <w:strike/>
                <w:color w:val="000000"/>
                <w:sz w:val="20"/>
                <w:szCs w:val="20"/>
              </w:rPr>
              <w:t> </w:t>
            </w:r>
          </w:p>
        </w:tc>
        <w:tc>
          <w:tcPr>
            <w:tcW w:w="1026" w:type="dxa"/>
            <w:tcBorders>
              <w:top w:val="nil"/>
              <w:left w:val="nil"/>
              <w:bottom w:val="single" w:sz="4" w:space="0" w:color="auto"/>
              <w:right w:val="nil"/>
            </w:tcBorders>
            <w:shd w:val="clear" w:color="auto" w:fill="auto"/>
            <w:noWrap/>
            <w:vAlign w:val="bottom"/>
            <w:hideMark/>
          </w:tcPr>
          <w:p w14:paraId="731A801B"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101,891</w:t>
            </w:r>
          </w:p>
        </w:tc>
        <w:tc>
          <w:tcPr>
            <w:tcW w:w="927" w:type="dxa"/>
            <w:tcBorders>
              <w:top w:val="nil"/>
              <w:left w:val="nil"/>
              <w:bottom w:val="single" w:sz="4" w:space="0" w:color="auto"/>
              <w:right w:val="nil"/>
            </w:tcBorders>
            <w:shd w:val="clear" w:color="auto" w:fill="auto"/>
            <w:noWrap/>
            <w:vAlign w:val="bottom"/>
            <w:hideMark/>
          </w:tcPr>
          <w:p w14:paraId="5AB18DBC"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87.5%</w:t>
            </w:r>
          </w:p>
        </w:tc>
      </w:tr>
      <w:tr w:rsidR="00AB20EA" w:rsidRPr="00DF67CC" w14:paraId="2C27F765" w14:textId="77777777" w:rsidTr="00095F89">
        <w:trPr>
          <w:trHeight w:val="61"/>
          <w:jc w:val="center"/>
        </w:trPr>
        <w:tc>
          <w:tcPr>
            <w:tcW w:w="1324" w:type="dxa"/>
            <w:tcBorders>
              <w:top w:val="nil"/>
              <w:left w:val="nil"/>
              <w:bottom w:val="nil"/>
              <w:right w:val="single" w:sz="4" w:space="0" w:color="auto"/>
            </w:tcBorders>
            <w:shd w:val="clear" w:color="auto" w:fill="auto"/>
            <w:noWrap/>
            <w:vAlign w:val="bottom"/>
            <w:hideMark/>
          </w:tcPr>
          <w:p w14:paraId="0D2FF576" w14:textId="77777777" w:rsidR="00AB20EA" w:rsidRPr="00DF67CC" w:rsidRDefault="00AB20EA" w:rsidP="00095F89">
            <w:pPr>
              <w:spacing w:after="0" w:line="240" w:lineRule="auto"/>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 </w:t>
            </w:r>
          </w:p>
        </w:tc>
        <w:tc>
          <w:tcPr>
            <w:tcW w:w="1026" w:type="dxa"/>
            <w:tcBorders>
              <w:top w:val="nil"/>
              <w:left w:val="nil"/>
              <w:bottom w:val="nil"/>
              <w:right w:val="nil"/>
              <w:tl2br w:val="single" w:sz="4" w:space="0" w:color="auto"/>
              <w:tr2bl w:val="single" w:sz="4" w:space="0" w:color="auto"/>
            </w:tcBorders>
            <w:shd w:val="clear" w:color="auto" w:fill="auto"/>
            <w:noWrap/>
            <w:vAlign w:val="bottom"/>
            <w:hideMark/>
          </w:tcPr>
          <w:p w14:paraId="03E8581C" w14:textId="77777777" w:rsidR="00AB20EA" w:rsidRPr="00DF67CC" w:rsidRDefault="00AB20EA" w:rsidP="00095F89">
            <w:pPr>
              <w:spacing w:after="0" w:line="240" w:lineRule="auto"/>
              <w:rPr>
                <w:rFonts w:ascii="Calibri" w:eastAsia="Times New Roman" w:hAnsi="Calibri" w:cs="Times New Roman"/>
                <w:color w:val="000000"/>
                <w:sz w:val="20"/>
                <w:szCs w:val="20"/>
              </w:rPr>
            </w:pPr>
            <w:r w:rsidRPr="00DF67CC">
              <w:rPr>
                <w:rFonts w:ascii="Calibri" w:eastAsia="Times New Roman" w:hAnsi="Calibri" w:cs="Times New Roman"/>
                <w:strike/>
                <w:color w:val="000000"/>
                <w:sz w:val="20"/>
                <w:szCs w:val="20"/>
              </w:rPr>
              <w:t> </w:t>
            </w:r>
          </w:p>
        </w:tc>
        <w:tc>
          <w:tcPr>
            <w:tcW w:w="925" w:type="dxa"/>
            <w:tcBorders>
              <w:top w:val="nil"/>
              <w:left w:val="nil"/>
              <w:bottom w:val="nil"/>
              <w:right w:val="single" w:sz="4" w:space="0" w:color="auto"/>
              <w:tl2br w:val="single" w:sz="4" w:space="0" w:color="auto"/>
              <w:tr2bl w:val="single" w:sz="4" w:space="0" w:color="auto"/>
            </w:tcBorders>
            <w:shd w:val="clear" w:color="auto" w:fill="auto"/>
            <w:noWrap/>
            <w:vAlign w:val="bottom"/>
            <w:hideMark/>
          </w:tcPr>
          <w:p w14:paraId="0388CC0B" w14:textId="77777777" w:rsidR="00AB20EA" w:rsidRPr="00DF67CC" w:rsidRDefault="00AB20EA" w:rsidP="00095F89">
            <w:pPr>
              <w:spacing w:after="0" w:line="240" w:lineRule="auto"/>
              <w:rPr>
                <w:rFonts w:ascii="Calibri" w:eastAsia="Times New Roman" w:hAnsi="Calibri" w:cs="Times New Roman"/>
                <w:color w:val="000000"/>
                <w:sz w:val="20"/>
                <w:szCs w:val="20"/>
              </w:rPr>
            </w:pPr>
            <w:r w:rsidRPr="00DF67CC">
              <w:rPr>
                <w:rFonts w:ascii="Calibri" w:eastAsia="Times New Roman" w:hAnsi="Calibri" w:cs="Times New Roman"/>
                <w:strike/>
                <w:color w:val="000000"/>
                <w:sz w:val="20"/>
                <w:szCs w:val="20"/>
              </w:rPr>
              <w:t> </w:t>
            </w:r>
          </w:p>
        </w:tc>
        <w:tc>
          <w:tcPr>
            <w:tcW w:w="1026" w:type="dxa"/>
            <w:tcBorders>
              <w:top w:val="nil"/>
              <w:left w:val="nil"/>
              <w:bottom w:val="single" w:sz="4" w:space="0" w:color="auto"/>
              <w:right w:val="nil"/>
            </w:tcBorders>
            <w:shd w:val="clear" w:color="auto" w:fill="auto"/>
            <w:noWrap/>
            <w:vAlign w:val="bottom"/>
            <w:hideMark/>
          </w:tcPr>
          <w:p w14:paraId="3208795F"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20,507</w:t>
            </w:r>
          </w:p>
        </w:tc>
        <w:tc>
          <w:tcPr>
            <w:tcW w:w="856" w:type="dxa"/>
            <w:tcBorders>
              <w:top w:val="nil"/>
              <w:left w:val="nil"/>
              <w:bottom w:val="single" w:sz="4" w:space="0" w:color="auto"/>
              <w:right w:val="single" w:sz="4" w:space="0" w:color="auto"/>
            </w:tcBorders>
            <w:shd w:val="clear" w:color="auto" w:fill="auto"/>
            <w:noWrap/>
            <w:vAlign w:val="bottom"/>
            <w:hideMark/>
          </w:tcPr>
          <w:p w14:paraId="0A24EDE8"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81.6%</w:t>
            </w:r>
          </w:p>
        </w:tc>
        <w:tc>
          <w:tcPr>
            <w:tcW w:w="1165" w:type="dxa"/>
            <w:tcBorders>
              <w:top w:val="nil"/>
              <w:left w:val="nil"/>
              <w:bottom w:val="single" w:sz="4" w:space="0" w:color="auto"/>
              <w:right w:val="nil"/>
            </w:tcBorders>
            <w:shd w:val="clear" w:color="auto" w:fill="auto"/>
            <w:noWrap/>
            <w:vAlign w:val="bottom"/>
            <w:hideMark/>
          </w:tcPr>
          <w:p w14:paraId="45C7A031"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81,897</w:t>
            </w:r>
          </w:p>
        </w:tc>
        <w:tc>
          <w:tcPr>
            <w:tcW w:w="1104" w:type="dxa"/>
            <w:tcBorders>
              <w:top w:val="nil"/>
              <w:left w:val="nil"/>
              <w:bottom w:val="single" w:sz="4" w:space="0" w:color="auto"/>
              <w:right w:val="single" w:sz="4" w:space="0" w:color="auto"/>
            </w:tcBorders>
            <w:shd w:val="clear" w:color="auto" w:fill="auto"/>
            <w:noWrap/>
            <w:vAlign w:val="bottom"/>
            <w:hideMark/>
          </w:tcPr>
          <w:p w14:paraId="16595983"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85.3%</w:t>
            </w:r>
          </w:p>
        </w:tc>
        <w:tc>
          <w:tcPr>
            <w:tcW w:w="1026" w:type="dxa"/>
            <w:tcBorders>
              <w:top w:val="nil"/>
              <w:left w:val="nil"/>
              <w:bottom w:val="single" w:sz="4" w:space="0" w:color="auto"/>
              <w:right w:val="nil"/>
            </w:tcBorders>
            <w:shd w:val="clear" w:color="auto" w:fill="auto"/>
            <w:noWrap/>
            <w:vAlign w:val="bottom"/>
            <w:hideMark/>
          </w:tcPr>
          <w:p w14:paraId="7CCBA4AB"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1,831</w:t>
            </w:r>
          </w:p>
        </w:tc>
        <w:tc>
          <w:tcPr>
            <w:tcW w:w="882" w:type="dxa"/>
            <w:tcBorders>
              <w:top w:val="nil"/>
              <w:left w:val="nil"/>
              <w:bottom w:val="single" w:sz="4" w:space="0" w:color="auto"/>
              <w:right w:val="single" w:sz="4" w:space="0" w:color="auto"/>
            </w:tcBorders>
            <w:shd w:val="clear" w:color="auto" w:fill="auto"/>
            <w:noWrap/>
            <w:vAlign w:val="bottom"/>
            <w:hideMark/>
          </w:tcPr>
          <w:p w14:paraId="2B792929"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76.0%</w:t>
            </w:r>
          </w:p>
        </w:tc>
        <w:tc>
          <w:tcPr>
            <w:tcW w:w="1026" w:type="dxa"/>
            <w:tcBorders>
              <w:top w:val="nil"/>
              <w:left w:val="nil"/>
              <w:bottom w:val="nil"/>
              <w:right w:val="nil"/>
              <w:tl2br w:val="single" w:sz="4" w:space="0" w:color="auto"/>
              <w:tr2bl w:val="single" w:sz="4" w:space="0" w:color="auto"/>
            </w:tcBorders>
            <w:shd w:val="clear" w:color="auto" w:fill="auto"/>
            <w:noWrap/>
            <w:vAlign w:val="bottom"/>
            <w:hideMark/>
          </w:tcPr>
          <w:p w14:paraId="622CD93E" w14:textId="77777777" w:rsidR="00AB20EA" w:rsidRPr="00DF67CC" w:rsidRDefault="00AB20EA" w:rsidP="00095F89">
            <w:pPr>
              <w:spacing w:after="0" w:line="240" w:lineRule="auto"/>
              <w:rPr>
                <w:rFonts w:ascii="Calibri" w:eastAsia="Times New Roman" w:hAnsi="Calibri" w:cs="Times New Roman"/>
                <w:color w:val="000000"/>
                <w:sz w:val="20"/>
                <w:szCs w:val="20"/>
              </w:rPr>
            </w:pPr>
            <w:r w:rsidRPr="00DF67CC">
              <w:rPr>
                <w:rFonts w:ascii="Calibri" w:eastAsia="Times New Roman" w:hAnsi="Calibri" w:cs="Times New Roman"/>
                <w:strike/>
                <w:color w:val="000000"/>
                <w:sz w:val="20"/>
                <w:szCs w:val="20"/>
              </w:rPr>
              <w:t> </w:t>
            </w:r>
          </w:p>
        </w:tc>
        <w:tc>
          <w:tcPr>
            <w:tcW w:w="951" w:type="dxa"/>
            <w:tcBorders>
              <w:top w:val="nil"/>
              <w:left w:val="nil"/>
              <w:bottom w:val="nil"/>
              <w:right w:val="single" w:sz="4" w:space="0" w:color="auto"/>
              <w:tl2br w:val="single" w:sz="4" w:space="0" w:color="auto"/>
              <w:tr2bl w:val="single" w:sz="4" w:space="0" w:color="auto"/>
            </w:tcBorders>
            <w:shd w:val="clear" w:color="auto" w:fill="auto"/>
            <w:noWrap/>
            <w:vAlign w:val="bottom"/>
            <w:hideMark/>
          </w:tcPr>
          <w:p w14:paraId="6D970712" w14:textId="77777777" w:rsidR="00AB20EA" w:rsidRPr="00DF67CC" w:rsidRDefault="00AB20EA" w:rsidP="00095F89">
            <w:pPr>
              <w:spacing w:after="0" w:line="240" w:lineRule="auto"/>
              <w:rPr>
                <w:rFonts w:ascii="Calibri" w:eastAsia="Times New Roman" w:hAnsi="Calibri" w:cs="Times New Roman"/>
                <w:color w:val="000000"/>
                <w:sz w:val="20"/>
                <w:szCs w:val="20"/>
              </w:rPr>
            </w:pPr>
            <w:r w:rsidRPr="00DF67CC">
              <w:rPr>
                <w:rFonts w:ascii="Calibri" w:eastAsia="Times New Roman" w:hAnsi="Calibri" w:cs="Times New Roman"/>
                <w:strike/>
                <w:color w:val="000000"/>
                <w:sz w:val="20"/>
                <w:szCs w:val="20"/>
              </w:rPr>
              <w:t> </w:t>
            </w:r>
          </w:p>
        </w:tc>
        <w:tc>
          <w:tcPr>
            <w:tcW w:w="1026" w:type="dxa"/>
            <w:tcBorders>
              <w:top w:val="nil"/>
              <w:left w:val="nil"/>
              <w:bottom w:val="single" w:sz="4" w:space="0" w:color="auto"/>
              <w:right w:val="nil"/>
            </w:tcBorders>
            <w:shd w:val="clear" w:color="auto" w:fill="auto"/>
            <w:noWrap/>
            <w:vAlign w:val="bottom"/>
            <w:hideMark/>
          </w:tcPr>
          <w:p w14:paraId="55F73ECA"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117,962</w:t>
            </w:r>
          </w:p>
        </w:tc>
        <w:tc>
          <w:tcPr>
            <w:tcW w:w="927" w:type="dxa"/>
            <w:tcBorders>
              <w:top w:val="nil"/>
              <w:left w:val="nil"/>
              <w:bottom w:val="single" w:sz="4" w:space="0" w:color="auto"/>
              <w:right w:val="nil"/>
            </w:tcBorders>
            <w:shd w:val="clear" w:color="auto" w:fill="auto"/>
            <w:noWrap/>
            <w:vAlign w:val="bottom"/>
            <w:hideMark/>
          </w:tcPr>
          <w:p w14:paraId="0930B1F7"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87.0%</w:t>
            </w:r>
          </w:p>
        </w:tc>
      </w:tr>
      <w:tr w:rsidR="00AB20EA" w:rsidRPr="00DF67CC" w14:paraId="349DE658" w14:textId="77777777" w:rsidTr="00095F89">
        <w:trPr>
          <w:trHeight w:val="61"/>
          <w:jc w:val="center"/>
        </w:trPr>
        <w:tc>
          <w:tcPr>
            <w:tcW w:w="1324" w:type="dxa"/>
            <w:tcBorders>
              <w:top w:val="nil"/>
              <w:left w:val="nil"/>
              <w:bottom w:val="single" w:sz="4" w:space="0" w:color="auto"/>
              <w:right w:val="single" w:sz="4" w:space="0" w:color="auto"/>
            </w:tcBorders>
            <w:shd w:val="clear" w:color="auto" w:fill="auto"/>
            <w:noWrap/>
            <w:vAlign w:val="bottom"/>
            <w:hideMark/>
          </w:tcPr>
          <w:p w14:paraId="144AAD0B" w14:textId="6538E22B" w:rsidR="00AB20EA" w:rsidRPr="00DF67CC" w:rsidRDefault="00AB20EA" w:rsidP="00095F89">
            <w:pPr>
              <w:spacing w:after="0" w:line="240" w:lineRule="auto"/>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Least Able</w:t>
            </w:r>
            <w:r w:rsidR="00371C3F">
              <w:rPr>
                <w:rFonts w:ascii="Calibri" w:eastAsia="Times New Roman" w:hAnsi="Calibri" w:cs="Times New Roman"/>
                <w:color w:val="000000"/>
                <w:sz w:val="20"/>
                <w:szCs w:val="20"/>
              </w:rPr>
              <w:t xml:space="preserve"> </w:t>
            </w:r>
            <w:r w:rsidR="00371C3F">
              <w:rPr>
                <w:rFonts w:eastAsia="Times New Roman" w:cs="Times New Roman"/>
                <w:color w:val="000000"/>
                <w:sz w:val="20"/>
                <w:szCs w:val="20"/>
              </w:rPr>
              <w:t>(Dependent)</w:t>
            </w:r>
          </w:p>
        </w:tc>
        <w:tc>
          <w:tcPr>
            <w:tcW w:w="1026" w:type="dxa"/>
            <w:tcBorders>
              <w:top w:val="nil"/>
              <w:left w:val="nil"/>
              <w:bottom w:val="single" w:sz="4" w:space="0" w:color="auto"/>
              <w:right w:val="nil"/>
              <w:tl2br w:val="single" w:sz="4" w:space="0" w:color="auto"/>
              <w:tr2bl w:val="single" w:sz="4" w:space="0" w:color="auto"/>
            </w:tcBorders>
            <w:shd w:val="clear" w:color="auto" w:fill="auto"/>
            <w:noWrap/>
            <w:vAlign w:val="bottom"/>
            <w:hideMark/>
          </w:tcPr>
          <w:p w14:paraId="0FDD4030" w14:textId="77777777" w:rsidR="00AB20EA" w:rsidRPr="00DF67CC" w:rsidRDefault="00AB20EA" w:rsidP="00095F89">
            <w:pPr>
              <w:spacing w:after="0" w:line="240" w:lineRule="auto"/>
              <w:rPr>
                <w:rFonts w:ascii="Calibri" w:eastAsia="Times New Roman" w:hAnsi="Calibri" w:cs="Times New Roman"/>
                <w:color w:val="000000"/>
                <w:sz w:val="20"/>
                <w:szCs w:val="20"/>
              </w:rPr>
            </w:pPr>
            <w:r w:rsidRPr="00DF67CC">
              <w:rPr>
                <w:rFonts w:ascii="Calibri" w:eastAsia="Times New Roman" w:hAnsi="Calibri" w:cs="Times New Roman"/>
                <w:strike/>
                <w:color w:val="000000"/>
                <w:sz w:val="20"/>
                <w:szCs w:val="20"/>
              </w:rPr>
              <w:t> </w:t>
            </w:r>
          </w:p>
        </w:tc>
        <w:tc>
          <w:tcPr>
            <w:tcW w:w="925" w:type="dxa"/>
            <w:tcBorders>
              <w:top w:val="nil"/>
              <w:left w:val="nil"/>
              <w:bottom w:val="single" w:sz="4" w:space="0" w:color="auto"/>
              <w:right w:val="single" w:sz="4" w:space="0" w:color="auto"/>
              <w:tl2br w:val="single" w:sz="4" w:space="0" w:color="auto"/>
              <w:tr2bl w:val="single" w:sz="4" w:space="0" w:color="auto"/>
            </w:tcBorders>
            <w:shd w:val="clear" w:color="auto" w:fill="auto"/>
            <w:noWrap/>
            <w:vAlign w:val="bottom"/>
            <w:hideMark/>
          </w:tcPr>
          <w:p w14:paraId="35F425F7" w14:textId="77777777" w:rsidR="00AB20EA" w:rsidRPr="00DF67CC" w:rsidRDefault="00AB20EA" w:rsidP="00095F89">
            <w:pPr>
              <w:spacing w:after="0" w:line="240" w:lineRule="auto"/>
              <w:rPr>
                <w:rFonts w:ascii="Calibri" w:eastAsia="Times New Roman" w:hAnsi="Calibri" w:cs="Times New Roman"/>
                <w:color w:val="000000"/>
                <w:sz w:val="20"/>
                <w:szCs w:val="20"/>
              </w:rPr>
            </w:pPr>
            <w:r w:rsidRPr="00DF67CC">
              <w:rPr>
                <w:rFonts w:ascii="Calibri" w:eastAsia="Times New Roman" w:hAnsi="Calibri" w:cs="Times New Roman"/>
                <w:strike/>
                <w:color w:val="000000"/>
                <w:sz w:val="20"/>
                <w:szCs w:val="20"/>
              </w:rPr>
              <w:t> </w:t>
            </w:r>
          </w:p>
        </w:tc>
        <w:tc>
          <w:tcPr>
            <w:tcW w:w="1026" w:type="dxa"/>
            <w:tcBorders>
              <w:top w:val="nil"/>
              <w:left w:val="nil"/>
              <w:bottom w:val="single" w:sz="4" w:space="0" w:color="auto"/>
              <w:right w:val="nil"/>
              <w:tl2br w:val="single" w:sz="4" w:space="0" w:color="auto"/>
              <w:tr2bl w:val="single" w:sz="4" w:space="0" w:color="auto"/>
            </w:tcBorders>
            <w:shd w:val="clear" w:color="auto" w:fill="auto"/>
            <w:noWrap/>
            <w:vAlign w:val="bottom"/>
            <w:hideMark/>
          </w:tcPr>
          <w:p w14:paraId="726134DE" w14:textId="77777777" w:rsidR="00AB20EA" w:rsidRPr="00DF67CC" w:rsidRDefault="00AB20EA" w:rsidP="00095F89">
            <w:pPr>
              <w:spacing w:after="0" w:line="240" w:lineRule="auto"/>
              <w:rPr>
                <w:rFonts w:ascii="Calibri" w:eastAsia="Times New Roman" w:hAnsi="Calibri" w:cs="Times New Roman"/>
                <w:color w:val="000000"/>
                <w:sz w:val="20"/>
                <w:szCs w:val="20"/>
              </w:rPr>
            </w:pPr>
            <w:r w:rsidRPr="00DF67CC">
              <w:rPr>
                <w:rFonts w:ascii="Calibri" w:eastAsia="Times New Roman" w:hAnsi="Calibri" w:cs="Times New Roman"/>
                <w:strike/>
                <w:color w:val="000000"/>
                <w:sz w:val="20"/>
                <w:szCs w:val="20"/>
              </w:rPr>
              <w:t> </w:t>
            </w:r>
          </w:p>
        </w:tc>
        <w:tc>
          <w:tcPr>
            <w:tcW w:w="856" w:type="dxa"/>
            <w:tcBorders>
              <w:top w:val="nil"/>
              <w:left w:val="nil"/>
              <w:bottom w:val="single" w:sz="4" w:space="0" w:color="auto"/>
              <w:right w:val="single" w:sz="4" w:space="0" w:color="auto"/>
              <w:tl2br w:val="single" w:sz="4" w:space="0" w:color="auto"/>
              <w:tr2bl w:val="single" w:sz="4" w:space="0" w:color="auto"/>
            </w:tcBorders>
            <w:shd w:val="clear" w:color="auto" w:fill="auto"/>
            <w:noWrap/>
            <w:vAlign w:val="bottom"/>
            <w:hideMark/>
          </w:tcPr>
          <w:p w14:paraId="16361513" w14:textId="77777777" w:rsidR="00AB20EA" w:rsidRPr="00DF67CC" w:rsidRDefault="00AB20EA" w:rsidP="00095F89">
            <w:pPr>
              <w:spacing w:after="0" w:line="240" w:lineRule="auto"/>
              <w:rPr>
                <w:rFonts w:ascii="Calibri" w:eastAsia="Times New Roman" w:hAnsi="Calibri" w:cs="Times New Roman"/>
                <w:color w:val="000000"/>
                <w:sz w:val="20"/>
                <w:szCs w:val="20"/>
              </w:rPr>
            </w:pPr>
            <w:r w:rsidRPr="00DF67CC">
              <w:rPr>
                <w:rFonts w:ascii="Calibri" w:eastAsia="Times New Roman" w:hAnsi="Calibri" w:cs="Times New Roman"/>
                <w:strike/>
                <w:color w:val="000000"/>
                <w:sz w:val="20"/>
                <w:szCs w:val="20"/>
              </w:rPr>
              <w:t> </w:t>
            </w:r>
          </w:p>
        </w:tc>
        <w:tc>
          <w:tcPr>
            <w:tcW w:w="1165" w:type="dxa"/>
            <w:tcBorders>
              <w:top w:val="nil"/>
              <w:left w:val="nil"/>
              <w:bottom w:val="single" w:sz="4" w:space="0" w:color="auto"/>
              <w:right w:val="nil"/>
            </w:tcBorders>
            <w:shd w:val="clear" w:color="auto" w:fill="auto"/>
            <w:noWrap/>
            <w:vAlign w:val="bottom"/>
            <w:hideMark/>
          </w:tcPr>
          <w:p w14:paraId="33D32716"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14,716</w:t>
            </w:r>
          </w:p>
        </w:tc>
        <w:tc>
          <w:tcPr>
            <w:tcW w:w="1104" w:type="dxa"/>
            <w:tcBorders>
              <w:top w:val="nil"/>
              <w:left w:val="nil"/>
              <w:bottom w:val="single" w:sz="4" w:space="0" w:color="auto"/>
              <w:right w:val="single" w:sz="4" w:space="0" w:color="auto"/>
            </w:tcBorders>
            <w:shd w:val="clear" w:color="auto" w:fill="auto"/>
            <w:noWrap/>
            <w:vAlign w:val="bottom"/>
            <w:hideMark/>
          </w:tcPr>
          <w:p w14:paraId="468F3EC6" w14:textId="77777777" w:rsidR="00AB20EA" w:rsidRPr="00DF67CC" w:rsidRDefault="00AB20EA" w:rsidP="00095F89">
            <w:pPr>
              <w:spacing w:after="0" w:line="240" w:lineRule="auto"/>
              <w:jc w:val="right"/>
              <w:rPr>
                <w:rFonts w:ascii="Calibri" w:eastAsia="Times New Roman" w:hAnsi="Calibri" w:cs="Times New Roman"/>
                <w:color w:val="000000"/>
                <w:sz w:val="20"/>
                <w:szCs w:val="20"/>
              </w:rPr>
            </w:pPr>
            <w:r w:rsidRPr="00DF67CC">
              <w:rPr>
                <w:rFonts w:ascii="Calibri" w:eastAsia="Times New Roman" w:hAnsi="Calibri" w:cs="Times New Roman"/>
                <w:color w:val="000000"/>
                <w:sz w:val="20"/>
                <w:szCs w:val="20"/>
              </w:rPr>
              <w:t>80.5%</w:t>
            </w:r>
          </w:p>
        </w:tc>
        <w:tc>
          <w:tcPr>
            <w:tcW w:w="1026" w:type="dxa"/>
            <w:tcBorders>
              <w:top w:val="nil"/>
              <w:left w:val="nil"/>
              <w:bottom w:val="single" w:sz="4" w:space="0" w:color="auto"/>
              <w:right w:val="nil"/>
              <w:tl2br w:val="single" w:sz="4" w:space="0" w:color="auto"/>
              <w:tr2bl w:val="single" w:sz="4" w:space="0" w:color="auto"/>
            </w:tcBorders>
            <w:shd w:val="clear" w:color="auto" w:fill="auto"/>
            <w:noWrap/>
            <w:vAlign w:val="bottom"/>
            <w:hideMark/>
          </w:tcPr>
          <w:p w14:paraId="00680C39" w14:textId="77777777" w:rsidR="00AB20EA" w:rsidRPr="00DF67CC" w:rsidRDefault="00AB20EA" w:rsidP="00095F89">
            <w:pPr>
              <w:spacing w:after="0" w:line="240" w:lineRule="auto"/>
              <w:rPr>
                <w:rFonts w:ascii="Calibri" w:eastAsia="Times New Roman" w:hAnsi="Calibri" w:cs="Times New Roman"/>
                <w:color w:val="000000"/>
                <w:sz w:val="20"/>
                <w:szCs w:val="20"/>
              </w:rPr>
            </w:pPr>
            <w:r w:rsidRPr="00DF67CC">
              <w:rPr>
                <w:rFonts w:ascii="Calibri" w:eastAsia="Times New Roman" w:hAnsi="Calibri" w:cs="Times New Roman"/>
                <w:strike/>
                <w:color w:val="000000"/>
                <w:sz w:val="20"/>
                <w:szCs w:val="20"/>
              </w:rPr>
              <w:t> </w:t>
            </w:r>
          </w:p>
        </w:tc>
        <w:tc>
          <w:tcPr>
            <w:tcW w:w="882" w:type="dxa"/>
            <w:tcBorders>
              <w:top w:val="nil"/>
              <w:left w:val="nil"/>
              <w:bottom w:val="single" w:sz="4" w:space="0" w:color="auto"/>
              <w:right w:val="single" w:sz="4" w:space="0" w:color="auto"/>
              <w:tl2br w:val="single" w:sz="4" w:space="0" w:color="auto"/>
              <w:tr2bl w:val="single" w:sz="4" w:space="0" w:color="auto"/>
            </w:tcBorders>
            <w:shd w:val="clear" w:color="auto" w:fill="auto"/>
            <w:noWrap/>
            <w:vAlign w:val="bottom"/>
            <w:hideMark/>
          </w:tcPr>
          <w:p w14:paraId="32A99577" w14:textId="77777777" w:rsidR="00AB20EA" w:rsidRPr="00DF67CC" w:rsidRDefault="00AB20EA" w:rsidP="00095F89">
            <w:pPr>
              <w:spacing w:after="0" w:line="240" w:lineRule="auto"/>
              <w:rPr>
                <w:rFonts w:ascii="Calibri" w:eastAsia="Times New Roman" w:hAnsi="Calibri" w:cs="Times New Roman"/>
                <w:color w:val="000000"/>
                <w:sz w:val="20"/>
                <w:szCs w:val="20"/>
              </w:rPr>
            </w:pPr>
            <w:r w:rsidRPr="00DF67CC">
              <w:rPr>
                <w:rFonts w:ascii="Calibri" w:eastAsia="Times New Roman" w:hAnsi="Calibri" w:cs="Times New Roman"/>
                <w:strike/>
                <w:color w:val="000000"/>
                <w:sz w:val="20"/>
                <w:szCs w:val="20"/>
              </w:rPr>
              <w:t> </w:t>
            </w:r>
          </w:p>
        </w:tc>
        <w:tc>
          <w:tcPr>
            <w:tcW w:w="1026" w:type="dxa"/>
            <w:tcBorders>
              <w:top w:val="nil"/>
              <w:left w:val="nil"/>
              <w:bottom w:val="single" w:sz="4" w:space="0" w:color="auto"/>
              <w:right w:val="nil"/>
              <w:tl2br w:val="single" w:sz="4" w:space="0" w:color="auto"/>
              <w:tr2bl w:val="single" w:sz="4" w:space="0" w:color="auto"/>
            </w:tcBorders>
            <w:shd w:val="clear" w:color="auto" w:fill="auto"/>
            <w:noWrap/>
            <w:vAlign w:val="bottom"/>
            <w:hideMark/>
          </w:tcPr>
          <w:p w14:paraId="2ED7B6E5" w14:textId="77777777" w:rsidR="00AB20EA" w:rsidRPr="00DF67CC" w:rsidRDefault="00AB20EA" w:rsidP="00095F89">
            <w:pPr>
              <w:spacing w:after="0" w:line="240" w:lineRule="auto"/>
              <w:rPr>
                <w:rFonts w:ascii="Calibri" w:eastAsia="Times New Roman" w:hAnsi="Calibri" w:cs="Times New Roman"/>
                <w:color w:val="000000"/>
                <w:sz w:val="20"/>
                <w:szCs w:val="20"/>
              </w:rPr>
            </w:pPr>
            <w:r w:rsidRPr="00DF67CC">
              <w:rPr>
                <w:rFonts w:ascii="Calibri" w:eastAsia="Times New Roman" w:hAnsi="Calibri" w:cs="Times New Roman"/>
                <w:strike/>
                <w:color w:val="000000"/>
                <w:sz w:val="20"/>
                <w:szCs w:val="20"/>
              </w:rPr>
              <w:t> </w:t>
            </w:r>
          </w:p>
        </w:tc>
        <w:tc>
          <w:tcPr>
            <w:tcW w:w="951" w:type="dxa"/>
            <w:tcBorders>
              <w:top w:val="nil"/>
              <w:left w:val="nil"/>
              <w:bottom w:val="single" w:sz="4" w:space="0" w:color="auto"/>
              <w:right w:val="single" w:sz="4" w:space="0" w:color="auto"/>
              <w:tl2br w:val="single" w:sz="4" w:space="0" w:color="auto"/>
              <w:tr2bl w:val="single" w:sz="4" w:space="0" w:color="auto"/>
            </w:tcBorders>
            <w:shd w:val="clear" w:color="auto" w:fill="auto"/>
            <w:noWrap/>
            <w:vAlign w:val="bottom"/>
            <w:hideMark/>
          </w:tcPr>
          <w:p w14:paraId="24904E0D" w14:textId="77777777" w:rsidR="00AB20EA" w:rsidRPr="00DF67CC" w:rsidRDefault="00AB20EA" w:rsidP="00095F89">
            <w:pPr>
              <w:spacing w:after="0" w:line="240" w:lineRule="auto"/>
              <w:rPr>
                <w:rFonts w:ascii="Calibri" w:eastAsia="Times New Roman" w:hAnsi="Calibri" w:cs="Times New Roman"/>
                <w:color w:val="000000"/>
                <w:sz w:val="20"/>
                <w:szCs w:val="20"/>
              </w:rPr>
            </w:pPr>
            <w:r w:rsidRPr="00DF67CC">
              <w:rPr>
                <w:rFonts w:ascii="Calibri" w:eastAsia="Times New Roman" w:hAnsi="Calibri" w:cs="Times New Roman"/>
                <w:strike/>
                <w:color w:val="000000"/>
                <w:sz w:val="20"/>
                <w:szCs w:val="20"/>
              </w:rPr>
              <w:t> </w:t>
            </w:r>
          </w:p>
        </w:tc>
        <w:tc>
          <w:tcPr>
            <w:tcW w:w="1026" w:type="dxa"/>
            <w:tcBorders>
              <w:top w:val="nil"/>
              <w:left w:val="nil"/>
              <w:bottom w:val="single" w:sz="4" w:space="0" w:color="auto"/>
              <w:right w:val="nil"/>
              <w:tl2br w:val="single" w:sz="4" w:space="0" w:color="auto"/>
              <w:tr2bl w:val="single" w:sz="4" w:space="0" w:color="auto"/>
            </w:tcBorders>
            <w:shd w:val="clear" w:color="auto" w:fill="auto"/>
            <w:noWrap/>
            <w:vAlign w:val="bottom"/>
            <w:hideMark/>
          </w:tcPr>
          <w:p w14:paraId="4F0F20EA" w14:textId="77777777" w:rsidR="00AB20EA" w:rsidRPr="00DF67CC" w:rsidRDefault="00AB20EA" w:rsidP="00095F89">
            <w:pPr>
              <w:spacing w:after="0" w:line="240" w:lineRule="auto"/>
              <w:rPr>
                <w:rFonts w:ascii="Calibri" w:eastAsia="Times New Roman" w:hAnsi="Calibri" w:cs="Times New Roman"/>
                <w:color w:val="000000"/>
                <w:sz w:val="20"/>
                <w:szCs w:val="20"/>
              </w:rPr>
            </w:pPr>
            <w:r w:rsidRPr="00DF67CC">
              <w:rPr>
                <w:rFonts w:ascii="Calibri" w:eastAsia="Times New Roman" w:hAnsi="Calibri" w:cs="Times New Roman"/>
                <w:strike/>
                <w:color w:val="000000"/>
                <w:sz w:val="20"/>
                <w:szCs w:val="20"/>
              </w:rPr>
              <w:t> </w:t>
            </w:r>
          </w:p>
        </w:tc>
        <w:tc>
          <w:tcPr>
            <w:tcW w:w="927" w:type="dxa"/>
            <w:tcBorders>
              <w:top w:val="nil"/>
              <w:left w:val="nil"/>
              <w:bottom w:val="single" w:sz="4" w:space="0" w:color="auto"/>
              <w:right w:val="nil"/>
              <w:tl2br w:val="single" w:sz="4" w:space="0" w:color="auto"/>
              <w:tr2bl w:val="single" w:sz="4" w:space="0" w:color="auto"/>
            </w:tcBorders>
            <w:shd w:val="clear" w:color="auto" w:fill="auto"/>
            <w:noWrap/>
            <w:vAlign w:val="bottom"/>
            <w:hideMark/>
          </w:tcPr>
          <w:p w14:paraId="126E82D5" w14:textId="77777777" w:rsidR="00AB20EA" w:rsidRPr="00DF67CC" w:rsidRDefault="00AB20EA" w:rsidP="00095F89">
            <w:pPr>
              <w:spacing w:after="0" w:line="240" w:lineRule="auto"/>
              <w:rPr>
                <w:rFonts w:ascii="Calibri" w:eastAsia="Times New Roman" w:hAnsi="Calibri" w:cs="Times New Roman"/>
                <w:color w:val="000000"/>
                <w:sz w:val="20"/>
                <w:szCs w:val="20"/>
              </w:rPr>
            </w:pPr>
            <w:r w:rsidRPr="00DF67CC">
              <w:rPr>
                <w:rFonts w:ascii="Calibri" w:eastAsia="Times New Roman" w:hAnsi="Calibri" w:cs="Times New Roman"/>
                <w:strike/>
                <w:color w:val="000000"/>
                <w:sz w:val="20"/>
                <w:szCs w:val="20"/>
              </w:rPr>
              <w:t> </w:t>
            </w:r>
          </w:p>
        </w:tc>
      </w:tr>
    </w:tbl>
    <w:p w14:paraId="41AFCD0C" w14:textId="03AA4E88" w:rsidR="00B22B45" w:rsidRDefault="00AB20EA" w:rsidP="00DB52B4">
      <w:pPr>
        <w:autoSpaceDE w:val="0"/>
        <w:autoSpaceDN w:val="0"/>
        <w:adjustRightInd w:val="0"/>
        <w:spacing w:after="0" w:line="240" w:lineRule="auto"/>
        <w:rPr>
          <w:rFonts w:cstheme="minorHAnsi"/>
          <w:bCs/>
          <w:sz w:val="18"/>
        </w:rPr>
      </w:pPr>
      <w:r w:rsidRPr="00DB52B4">
        <w:rPr>
          <w:rFonts w:cstheme="minorHAnsi"/>
          <w:bCs/>
          <w:sz w:val="18"/>
        </w:rPr>
        <w:t xml:space="preserve">  Acumen Analysis of Medicare Claims File and OASIS Assessments (M1800</w:t>
      </w:r>
      <w:r>
        <w:rPr>
          <w:rFonts w:cstheme="minorHAnsi"/>
          <w:bCs/>
          <w:sz w:val="18"/>
        </w:rPr>
        <w:t>-M1890</w:t>
      </w:r>
      <w:r w:rsidRPr="00DB52B4">
        <w:rPr>
          <w:rFonts w:cstheme="minorHAnsi"/>
          <w:bCs/>
          <w:sz w:val="18"/>
        </w:rPr>
        <w:t xml:space="preserve"> Item</w:t>
      </w:r>
      <w:r>
        <w:rPr>
          <w:rFonts w:cstheme="minorHAnsi"/>
          <w:bCs/>
          <w:sz w:val="18"/>
        </w:rPr>
        <w:t>s</w:t>
      </w:r>
      <w:r w:rsidRPr="00DB52B4">
        <w:rPr>
          <w:rFonts w:cstheme="minorHAnsi"/>
          <w:bCs/>
          <w:sz w:val="18"/>
        </w:rPr>
        <w:t>) for HH, CY 2015-2016.</w:t>
      </w:r>
    </w:p>
    <w:p w14:paraId="2F12B00B" w14:textId="77777777" w:rsidR="0035072E" w:rsidRDefault="0035072E" w:rsidP="00DB52B4">
      <w:pPr>
        <w:autoSpaceDE w:val="0"/>
        <w:autoSpaceDN w:val="0"/>
        <w:adjustRightInd w:val="0"/>
        <w:spacing w:after="0" w:line="240" w:lineRule="auto"/>
        <w:rPr>
          <w:rFonts w:cstheme="minorHAnsi"/>
          <w:bCs/>
          <w:sz w:val="18"/>
        </w:rPr>
      </w:pPr>
    </w:p>
    <w:p w14:paraId="572EBD14" w14:textId="77777777" w:rsidR="00753DAA" w:rsidRDefault="00753DAA" w:rsidP="0035072E">
      <w:pPr>
        <w:autoSpaceDE w:val="0"/>
        <w:autoSpaceDN w:val="0"/>
        <w:adjustRightInd w:val="0"/>
        <w:spacing w:after="0" w:line="240" w:lineRule="auto"/>
        <w:rPr>
          <w:b/>
        </w:rPr>
      </w:pPr>
    </w:p>
    <w:p w14:paraId="37187FA2" w14:textId="77777777" w:rsidR="00753DAA" w:rsidRDefault="00753DAA" w:rsidP="0035072E">
      <w:pPr>
        <w:autoSpaceDE w:val="0"/>
        <w:autoSpaceDN w:val="0"/>
        <w:adjustRightInd w:val="0"/>
        <w:spacing w:after="0" w:line="240" w:lineRule="auto"/>
        <w:rPr>
          <w:b/>
        </w:rPr>
      </w:pPr>
    </w:p>
    <w:p w14:paraId="41E53BC0" w14:textId="77777777" w:rsidR="00753DAA" w:rsidRDefault="00753DAA" w:rsidP="0035072E">
      <w:pPr>
        <w:autoSpaceDE w:val="0"/>
        <w:autoSpaceDN w:val="0"/>
        <w:adjustRightInd w:val="0"/>
        <w:spacing w:after="0" w:line="240" w:lineRule="auto"/>
        <w:rPr>
          <w:b/>
        </w:rPr>
      </w:pPr>
    </w:p>
    <w:p w14:paraId="6035DE60" w14:textId="77777777" w:rsidR="002077C1" w:rsidRDefault="002077C1" w:rsidP="0035072E">
      <w:pPr>
        <w:autoSpaceDE w:val="0"/>
        <w:autoSpaceDN w:val="0"/>
        <w:adjustRightInd w:val="0"/>
        <w:spacing w:after="0" w:line="240" w:lineRule="auto"/>
        <w:rPr>
          <w:b/>
        </w:rPr>
        <w:sectPr w:rsidR="002077C1" w:rsidSect="002077C1">
          <w:headerReference w:type="default" r:id="rId26"/>
          <w:footerReference w:type="default" r:id="rId27"/>
          <w:pgSz w:w="15840" w:h="12240" w:orient="landscape"/>
          <w:pgMar w:top="420" w:right="1500" w:bottom="1080" w:left="880" w:header="0" w:footer="699" w:gutter="0"/>
          <w:cols w:space="720"/>
        </w:sectPr>
      </w:pPr>
    </w:p>
    <w:p w14:paraId="26016C46" w14:textId="570F4CAB" w:rsidR="0035072E" w:rsidRDefault="0035072E" w:rsidP="002A0122">
      <w:pPr>
        <w:pStyle w:val="ListParagraph"/>
        <w:numPr>
          <w:ilvl w:val="0"/>
          <w:numId w:val="15"/>
        </w:numPr>
        <w:autoSpaceDE w:val="0"/>
        <w:autoSpaceDN w:val="0"/>
        <w:adjustRightInd w:val="0"/>
        <w:spacing w:after="0" w:line="240" w:lineRule="auto"/>
        <w:rPr>
          <w:b/>
        </w:rPr>
      </w:pPr>
      <w:r w:rsidRPr="002A0122">
        <w:rPr>
          <w:b/>
        </w:rPr>
        <w:lastRenderedPageBreak/>
        <w:t>Performance Measure Score Testing</w:t>
      </w:r>
    </w:p>
    <w:p w14:paraId="6B95324E" w14:textId="77777777" w:rsidR="002A0122" w:rsidRPr="002A0122" w:rsidRDefault="002A0122" w:rsidP="002A0122">
      <w:pPr>
        <w:pStyle w:val="ListParagraph"/>
        <w:autoSpaceDE w:val="0"/>
        <w:autoSpaceDN w:val="0"/>
        <w:adjustRightInd w:val="0"/>
        <w:spacing w:after="0" w:line="240" w:lineRule="auto"/>
        <w:rPr>
          <w:b/>
        </w:rPr>
      </w:pPr>
    </w:p>
    <w:p w14:paraId="1FA37274" w14:textId="1B9D1797" w:rsidR="0035072E" w:rsidRDefault="0035072E" w:rsidP="0035072E">
      <w:pPr>
        <w:autoSpaceDE w:val="0"/>
        <w:autoSpaceDN w:val="0"/>
        <w:adjustRightInd w:val="0"/>
        <w:spacing w:after="0" w:line="240" w:lineRule="auto"/>
      </w:pPr>
      <w:r>
        <w:t xml:space="preserve">We examined whether an </w:t>
      </w:r>
      <w:r w:rsidR="00341B52">
        <w:t>HHA’</w:t>
      </w:r>
      <w:r>
        <w:t xml:space="preserve">s performance </w:t>
      </w:r>
      <w:r w:rsidRPr="00B26F2B">
        <w:t xml:space="preserve">on </w:t>
      </w:r>
      <w:r>
        <w:t xml:space="preserve">the </w:t>
      </w:r>
      <w:r w:rsidR="00D650DB">
        <w:rPr>
          <w:rFonts w:cstheme="minorHAnsi"/>
          <w:bCs/>
        </w:rPr>
        <w:t xml:space="preserve">DTC-PAC HH measure </w:t>
      </w:r>
      <w:r w:rsidRPr="00B26F2B">
        <w:t xml:space="preserve">was correlated with its </w:t>
      </w:r>
      <w:r>
        <w:t>performance</w:t>
      </w:r>
      <w:r w:rsidRPr="00B26F2B">
        <w:t xml:space="preserve"> on another quality measure in the same clinically related group. Among </w:t>
      </w:r>
      <w:r w:rsidR="00341B52">
        <w:t>HHA</w:t>
      </w:r>
      <w:r>
        <w:t>’s</w:t>
      </w:r>
      <w:r w:rsidRPr="00B26F2B">
        <w:t xml:space="preserve"> that had sufficient denominator size for </w:t>
      </w:r>
      <w:r>
        <w:t>each</w:t>
      </w:r>
      <w:r w:rsidRPr="00B26F2B">
        <w:t xml:space="preserve"> measure, we calculated</w:t>
      </w:r>
      <w:r>
        <w:t xml:space="preserve"> both the Pearson and Spearman correlations</w:t>
      </w:r>
      <w:r w:rsidRPr="00B26F2B">
        <w:t xml:space="preserve"> between the facility’s </w:t>
      </w:r>
      <w:r>
        <w:t>measure performance the Discharge to Community measure and</w:t>
      </w:r>
      <w:r w:rsidR="00F361D3">
        <w:t xml:space="preserve"> five</w:t>
      </w:r>
      <w:r w:rsidR="00341B52">
        <w:t xml:space="preserve"> claims based measures: Acute Care Hospitalization, Emergency Department Use without Hospitalization, Rehospitalization During the First 30 Days of Home Health, Emergency Department Use without Hospital Readmission During the First 30 Days of Home Health, </w:t>
      </w:r>
      <w:r w:rsidR="00F361D3">
        <w:t xml:space="preserve">and </w:t>
      </w:r>
      <w:r>
        <w:t>Potentially Preventable 30-Day Post-Discharge Readmissions.</w:t>
      </w:r>
    </w:p>
    <w:p w14:paraId="5C6A8862" w14:textId="77777777" w:rsidR="0035072E" w:rsidRDefault="0035072E" w:rsidP="0035072E">
      <w:pPr>
        <w:autoSpaceDE w:val="0"/>
        <w:autoSpaceDN w:val="0"/>
        <w:adjustRightInd w:val="0"/>
        <w:spacing w:after="0" w:line="240" w:lineRule="auto"/>
      </w:pPr>
    </w:p>
    <w:p w14:paraId="7DFEF2F0" w14:textId="4113467A" w:rsidR="0035072E" w:rsidRPr="00B26F2B" w:rsidRDefault="0035072E" w:rsidP="0035072E">
      <w:pPr>
        <w:autoSpaceDE w:val="0"/>
        <w:autoSpaceDN w:val="0"/>
        <w:adjustRightInd w:val="0"/>
        <w:spacing w:after="0" w:line="240" w:lineRule="auto"/>
        <w:rPr>
          <w:rFonts w:cstheme="minorHAnsi"/>
        </w:rPr>
      </w:pPr>
      <w:r w:rsidRPr="00B26F2B">
        <w:t xml:space="preserve">As hypothesized, we found that the correlation between the </w:t>
      </w:r>
      <w:r w:rsidR="00341B52">
        <w:t>HHA</w:t>
      </w:r>
      <w:r>
        <w:t>’s measure performance scores and</w:t>
      </w:r>
      <w:r w:rsidRPr="00B26F2B">
        <w:t xml:space="preserve"> percentile ranks on </w:t>
      </w:r>
      <w:r>
        <w:t xml:space="preserve">the DTC measure and these </w:t>
      </w:r>
      <w:r w:rsidR="00887815">
        <w:t>five</w:t>
      </w:r>
      <w:r w:rsidRPr="00B26F2B">
        <w:t xml:space="preserve"> measures was </w:t>
      </w:r>
      <w:r>
        <w:t>negative</w:t>
      </w:r>
      <w:r w:rsidRPr="00B26F2B">
        <w:t>, small, (</w:t>
      </w:r>
      <w:r w:rsidRPr="00B26F2B">
        <w:rPr>
          <w:i/>
          <w:iCs/>
        </w:rPr>
        <w:t>r</w:t>
      </w:r>
      <w:r w:rsidRPr="00B26F2B">
        <w:t xml:space="preserve"> = </w:t>
      </w:r>
      <w:r>
        <w:t>-</w:t>
      </w:r>
      <w:r w:rsidRPr="00B26F2B">
        <w:t>0.</w:t>
      </w:r>
      <w:r w:rsidR="00887815">
        <w:t>004</w:t>
      </w:r>
      <w:r>
        <w:t xml:space="preserve"> through -0.</w:t>
      </w:r>
      <w:r w:rsidR="00887815">
        <w:t>19</w:t>
      </w:r>
      <w:r>
        <w:t>)</w:t>
      </w:r>
      <w:r w:rsidR="00887815">
        <w:t>, except for the PPR measure (</w:t>
      </w:r>
      <w:r w:rsidR="00887815" w:rsidRPr="00B26F2B">
        <w:rPr>
          <w:i/>
          <w:iCs/>
        </w:rPr>
        <w:t>r</w:t>
      </w:r>
      <w:r w:rsidR="00887815" w:rsidRPr="00B26F2B">
        <w:t xml:space="preserve"> = </w:t>
      </w:r>
      <w:r w:rsidR="00887815">
        <w:t>-0.60)</w:t>
      </w:r>
      <w:r>
        <w:t xml:space="preserve"> </w:t>
      </w:r>
      <w:r w:rsidRPr="00B26F2B">
        <w:t>and statistically significant (</w:t>
      </w:r>
      <w:r w:rsidRPr="00B26F2B">
        <w:rPr>
          <w:i/>
          <w:iCs/>
        </w:rPr>
        <w:t>p</w:t>
      </w:r>
      <w:r w:rsidRPr="00B26F2B">
        <w:t xml:space="preserve"> &lt; 0.001)</w:t>
      </w:r>
      <w:r>
        <w:t xml:space="preserve"> </w:t>
      </w:r>
      <w:r w:rsidRPr="006969FF">
        <w:rPr>
          <w:b/>
        </w:rPr>
        <w:t xml:space="preserve">Table </w:t>
      </w:r>
      <w:r w:rsidR="00B07DAA">
        <w:rPr>
          <w:b/>
        </w:rPr>
        <w:t>9</w:t>
      </w:r>
      <w:r w:rsidRPr="00B26F2B">
        <w:t xml:space="preserve">. </w:t>
      </w:r>
    </w:p>
    <w:p w14:paraId="38BACB23" w14:textId="77777777" w:rsidR="0035072E" w:rsidRPr="00C857D8" w:rsidRDefault="0035072E" w:rsidP="0035072E">
      <w:pPr>
        <w:autoSpaceDE w:val="0"/>
        <w:autoSpaceDN w:val="0"/>
        <w:adjustRightInd w:val="0"/>
        <w:spacing w:after="0" w:line="240" w:lineRule="auto"/>
        <w:rPr>
          <w:rFonts w:cstheme="minorHAnsi"/>
          <w:b/>
          <w:bCs/>
        </w:rPr>
      </w:pPr>
    </w:p>
    <w:p w14:paraId="710FD18F" w14:textId="303822FC" w:rsidR="0035072E" w:rsidRPr="00C857D8" w:rsidRDefault="0035072E" w:rsidP="00173658">
      <w:pPr>
        <w:autoSpaceDE w:val="0"/>
        <w:autoSpaceDN w:val="0"/>
        <w:adjustRightInd w:val="0"/>
        <w:spacing w:after="0" w:line="240" w:lineRule="auto"/>
        <w:jc w:val="center"/>
        <w:rPr>
          <w:b/>
        </w:rPr>
      </w:pPr>
      <w:r w:rsidRPr="00C857D8">
        <w:rPr>
          <w:b/>
        </w:rPr>
        <w:t xml:space="preserve">Table </w:t>
      </w:r>
      <w:r w:rsidR="00EE36FA" w:rsidRPr="00C857D8">
        <w:rPr>
          <w:b/>
        </w:rPr>
        <w:t>9</w:t>
      </w:r>
      <w:r w:rsidRPr="00C857D8">
        <w:rPr>
          <w:b/>
        </w:rPr>
        <w:t>. Correlation</w:t>
      </w:r>
      <w:r w:rsidR="00D650DB" w:rsidRPr="00C857D8">
        <w:rPr>
          <w:b/>
        </w:rPr>
        <w:t xml:space="preserve"> b</w:t>
      </w:r>
      <w:r w:rsidRPr="00C857D8">
        <w:rPr>
          <w:b/>
        </w:rPr>
        <w:t xml:space="preserve">etween </w:t>
      </w:r>
      <w:r w:rsidR="00405375" w:rsidRPr="00C857D8">
        <w:rPr>
          <w:b/>
        </w:rPr>
        <w:t>Quality Measures</w:t>
      </w:r>
      <w:r w:rsidRPr="00C857D8">
        <w:rPr>
          <w:b/>
        </w:rPr>
        <w:t xml:space="preserve"> and DTC</w:t>
      </w:r>
      <w:r w:rsidR="00627103" w:rsidRPr="00C857D8">
        <w:rPr>
          <w:b/>
        </w:rPr>
        <w:t xml:space="preserve"> Expected Rate</w:t>
      </w:r>
    </w:p>
    <w:tbl>
      <w:tblPr>
        <w:tblStyle w:val="CMSTable"/>
        <w:tblW w:w="10170" w:type="dxa"/>
        <w:jc w:val="center"/>
        <w:tblLook w:val="04A0" w:firstRow="1" w:lastRow="0" w:firstColumn="1" w:lastColumn="0" w:noHBand="0" w:noVBand="1"/>
      </w:tblPr>
      <w:tblGrid>
        <w:gridCol w:w="6339"/>
        <w:gridCol w:w="1148"/>
        <w:gridCol w:w="784"/>
        <w:gridCol w:w="1169"/>
        <w:gridCol w:w="730"/>
      </w:tblGrid>
      <w:tr w:rsidR="00C35A3C" w:rsidRPr="00514842" w14:paraId="2B40CA6D" w14:textId="77777777" w:rsidTr="003917F9">
        <w:trPr>
          <w:cnfStyle w:val="100000000000" w:firstRow="1" w:lastRow="0" w:firstColumn="0" w:lastColumn="0" w:oddVBand="0" w:evenVBand="0" w:oddHBand="0" w:evenHBand="0" w:firstRowFirstColumn="0" w:firstRowLastColumn="0" w:lastRowFirstColumn="0" w:lastRowLastColumn="0"/>
          <w:trHeight w:val="510"/>
          <w:jc w:val="center"/>
        </w:trPr>
        <w:tc>
          <w:tcPr>
            <w:tcW w:w="6339" w:type="dxa"/>
            <w:tcBorders>
              <w:top w:val="single" w:sz="4" w:space="0" w:color="auto"/>
            </w:tcBorders>
            <w:shd w:val="clear" w:color="auto" w:fill="D9D9D9" w:themeFill="background1" w:themeFillShade="D9"/>
          </w:tcPr>
          <w:p w14:paraId="70598A43" w14:textId="4C6F71FB" w:rsidR="0035072E" w:rsidRPr="00514842" w:rsidRDefault="00950B89" w:rsidP="003C63EE">
            <w:pPr>
              <w:autoSpaceDE w:val="0"/>
              <w:autoSpaceDN w:val="0"/>
              <w:adjustRightInd w:val="0"/>
              <w:rPr>
                <w:rFonts w:asciiTheme="minorHAnsi" w:hAnsiTheme="minorHAnsi" w:cstheme="minorHAnsi"/>
                <w:b/>
                <w:bCs/>
                <w:szCs w:val="22"/>
              </w:rPr>
            </w:pPr>
            <w:r w:rsidRPr="00514842">
              <w:rPr>
                <w:rFonts w:asciiTheme="minorHAnsi" w:hAnsiTheme="minorHAnsi" w:cstheme="minorHAnsi"/>
                <w:b/>
                <w:bCs/>
                <w:szCs w:val="22"/>
              </w:rPr>
              <w:t>Measure</w:t>
            </w:r>
          </w:p>
        </w:tc>
        <w:tc>
          <w:tcPr>
            <w:tcW w:w="1148" w:type="dxa"/>
            <w:tcBorders>
              <w:top w:val="single" w:sz="4" w:space="0" w:color="auto"/>
            </w:tcBorders>
            <w:shd w:val="clear" w:color="auto" w:fill="D9D9D9" w:themeFill="background1" w:themeFillShade="D9"/>
          </w:tcPr>
          <w:p w14:paraId="361A10E5" w14:textId="77777777" w:rsidR="0035072E" w:rsidRPr="00514842" w:rsidRDefault="0035072E" w:rsidP="003C63EE">
            <w:pPr>
              <w:autoSpaceDE w:val="0"/>
              <w:autoSpaceDN w:val="0"/>
              <w:adjustRightInd w:val="0"/>
              <w:rPr>
                <w:rFonts w:asciiTheme="minorHAnsi" w:hAnsiTheme="minorHAnsi" w:cstheme="minorHAnsi"/>
                <w:b/>
                <w:bCs/>
                <w:szCs w:val="22"/>
              </w:rPr>
            </w:pPr>
            <w:r w:rsidRPr="00514842">
              <w:rPr>
                <w:rFonts w:asciiTheme="minorHAnsi" w:hAnsiTheme="minorHAnsi" w:cstheme="minorHAnsi"/>
                <w:b/>
                <w:bCs/>
                <w:szCs w:val="22"/>
              </w:rPr>
              <w:t>Pearson Correlation</w:t>
            </w:r>
          </w:p>
        </w:tc>
        <w:tc>
          <w:tcPr>
            <w:tcW w:w="784" w:type="dxa"/>
            <w:tcBorders>
              <w:top w:val="single" w:sz="4" w:space="0" w:color="auto"/>
            </w:tcBorders>
            <w:shd w:val="clear" w:color="auto" w:fill="D9D9D9" w:themeFill="background1" w:themeFillShade="D9"/>
          </w:tcPr>
          <w:p w14:paraId="2106F20B" w14:textId="77777777" w:rsidR="0035072E" w:rsidRPr="00514842" w:rsidRDefault="0035072E" w:rsidP="003C63EE">
            <w:pPr>
              <w:autoSpaceDE w:val="0"/>
              <w:autoSpaceDN w:val="0"/>
              <w:adjustRightInd w:val="0"/>
              <w:rPr>
                <w:rFonts w:asciiTheme="minorHAnsi" w:hAnsiTheme="minorHAnsi" w:cstheme="minorHAnsi"/>
                <w:b/>
                <w:bCs/>
                <w:szCs w:val="22"/>
              </w:rPr>
            </w:pPr>
            <w:r w:rsidRPr="00514842">
              <w:rPr>
                <w:rFonts w:asciiTheme="minorHAnsi" w:hAnsiTheme="minorHAnsi" w:cstheme="minorHAnsi"/>
                <w:b/>
                <w:bCs/>
                <w:szCs w:val="22"/>
              </w:rPr>
              <w:t>p</w:t>
            </w:r>
          </w:p>
        </w:tc>
        <w:tc>
          <w:tcPr>
            <w:tcW w:w="1169" w:type="dxa"/>
            <w:tcBorders>
              <w:top w:val="single" w:sz="4" w:space="0" w:color="auto"/>
            </w:tcBorders>
            <w:shd w:val="clear" w:color="auto" w:fill="D9D9D9" w:themeFill="background1" w:themeFillShade="D9"/>
          </w:tcPr>
          <w:p w14:paraId="22804319" w14:textId="77777777" w:rsidR="0035072E" w:rsidRPr="00514842" w:rsidRDefault="0035072E" w:rsidP="003C63EE">
            <w:pPr>
              <w:autoSpaceDE w:val="0"/>
              <w:autoSpaceDN w:val="0"/>
              <w:adjustRightInd w:val="0"/>
              <w:rPr>
                <w:rFonts w:asciiTheme="minorHAnsi" w:hAnsiTheme="minorHAnsi" w:cstheme="minorHAnsi"/>
                <w:b/>
                <w:bCs/>
                <w:szCs w:val="22"/>
              </w:rPr>
            </w:pPr>
            <w:r w:rsidRPr="00514842">
              <w:rPr>
                <w:rFonts w:asciiTheme="minorHAnsi" w:hAnsiTheme="minorHAnsi" w:cstheme="minorHAnsi"/>
                <w:b/>
                <w:bCs/>
                <w:szCs w:val="22"/>
              </w:rPr>
              <w:t>Spearman Correlation</w:t>
            </w:r>
          </w:p>
        </w:tc>
        <w:tc>
          <w:tcPr>
            <w:tcW w:w="730" w:type="dxa"/>
            <w:tcBorders>
              <w:top w:val="single" w:sz="4" w:space="0" w:color="auto"/>
            </w:tcBorders>
            <w:shd w:val="clear" w:color="auto" w:fill="D9D9D9" w:themeFill="background1" w:themeFillShade="D9"/>
          </w:tcPr>
          <w:p w14:paraId="2D9AEB47" w14:textId="77777777" w:rsidR="0035072E" w:rsidRPr="00514842" w:rsidRDefault="0035072E" w:rsidP="003C63EE">
            <w:pPr>
              <w:autoSpaceDE w:val="0"/>
              <w:autoSpaceDN w:val="0"/>
              <w:adjustRightInd w:val="0"/>
              <w:rPr>
                <w:rFonts w:asciiTheme="minorHAnsi" w:hAnsiTheme="minorHAnsi" w:cstheme="minorHAnsi"/>
                <w:b/>
                <w:bCs/>
                <w:szCs w:val="22"/>
              </w:rPr>
            </w:pPr>
            <w:r w:rsidRPr="00514842">
              <w:rPr>
                <w:rFonts w:asciiTheme="minorHAnsi" w:hAnsiTheme="minorHAnsi" w:cstheme="minorHAnsi"/>
                <w:b/>
                <w:bCs/>
                <w:szCs w:val="22"/>
              </w:rPr>
              <w:t>p</w:t>
            </w:r>
          </w:p>
        </w:tc>
      </w:tr>
      <w:tr w:rsidR="00877289" w:rsidRPr="00514842" w14:paraId="3EDB0E1F" w14:textId="77777777" w:rsidTr="003917F9">
        <w:trPr>
          <w:trHeight w:val="255"/>
          <w:jc w:val="center"/>
        </w:trPr>
        <w:tc>
          <w:tcPr>
            <w:tcW w:w="6339" w:type="dxa"/>
          </w:tcPr>
          <w:p w14:paraId="45FFC3DA" w14:textId="27030EDD" w:rsidR="00877289" w:rsidRPr="00E65B55" w:rsidRDefault="00877289" w:rsidP="00877289">
            <w:pPr>
              <w:autoSpaceDE w:val="0"/>
              <w:autoSpaceDN w:val="0"/>
              <w:adjustRightInd w:val="0"/>
              <w:rPr>
                <w:rFonts w:ascii="Calibri" w:hAnsi="Calibri" w:cstheme="minorHAnsi"/>
                <w:bCs/>
                <w:szCs w:val="22"/>
              </w:rPr>
            </w:pPr>
            <w:r w:rsidRPr="00E65B55">
              <w:rPr>
                <w:rFonts w:ascii="Calibri" w:hAnsi="Calibri"/>
                <w:szCs w:val="22"/>
              </w:rPr>
              <w:t>Acute Care Hospitalization (NQF# 0171)</w:t>
            </w:r>
          </w:p>
        </w:tc>
        <w:tc>
          <w:tcPr>
            <w:tcW w:w="1148" w:type="dxa"/>
            <w:vAlign w:val="bottom"/>
          </w:tcPr>
          <w:p w14:paraId="0009603C" w14:textId="68BB349A" w:rsidR="00877289" w:rsidRPr="00514842" w:rsidRDefault="00877289" w:rsidP="00877289">
            <w:pPr>
              <w:autoSpaceDE w:val="0"/>
              <w:autoSpaceDN w:val="0"/>
              <w:adjustRightInd w:val="0"/>
              <w:jc w:val="center"/>
              <w:rPr>
                <w:rFonts w:cstheme="minorHAnsi"/>
                <w:bCs/>
              </w:rPr>
            </w:pPr>
            <w:r>
              <w:rPr>
                <w:rFonts w:ascii="Calibri" w:hAnsi="Calibri"/>
                <w:color w:val="000000"/>
                <w:szCs w:val="22"/>
              </w:rPr>
              <w:t>-0.18994</w:t>
            </w:r>
          </w:p>
        </w:tc>
        <w:tc>
          <w:tcPr>
            <w:tcW w:w="784" w:type="dxa"/>
            <w:vAlign w:val="bottom"/>
          </w:tcPr>
          <w:p w14:paraId="02BD8FB4" w14:textId="70DDF48C" w:rsidR="00877289" w:rsidRPr="00514842" w:rsidRDefault="00877289" w:rsidP="00877289">
            <w:pPr>
              <w:autoSpaceDE w:val="0"/>
              <w:autoSpaceDN w:val="0"/>
              <w:adjustRightInd w:val="0"/>
              <w:jc w:val="center"/>
              <w:rPr>
                <w:rFonts w:cstheme="minorHAnsi"/>
                <w:bCs/>
              </w:rPr>
            </w:pPr>
            <w:r>
              <w:rPr>
                <w:rFonts w:ascii="Calibri" w:hAnsi="Calibri"/>
                <w:color w:val="000000"/>
                <w:szCs w:val="22"/>
              </w:rPr>
              <w:t>&lt;.0001</w:t>
            </w:r>
          </w:p>
        </w:tc>
        <w:tc>
          <w:tcPr>
            <w:tcW w:w="1169" w:type="dxa"/>
            <w:vAlign w:val="bottom"/>
          </w:tcPr>
          <w:p w14:paraId="3D3E9ED2" w14:textId="0DFBA1B0" w:rsidR="00877289" w:rsidRPr="00514842" w:rsidRDefault="00877289" w:rsidP="00877289">
            <w:pPr>
              <w:autoSpaceDE w:val="0"/>
              <w:autoSpaceDN w:val="0"/>
              <w:adjustRightInd w:val="0"/>
              <w:jc w:val="center"/>
              <w:rPr>
                <w:rFonts w:cstheme="minorHAnsi"/>
                <w:bCs/>
              </w:rPr>
            </w:pPr>
            <w:r>
              <w:rPr>
                <w:rFonts w:ascii="Calibri" w:hAnsi="Calibri"/>
                <w:color w:val="000000"/>
                <w:szCs w:val="22"/>
              </w:rPr>
              <w:t>-0.2102</w:t>
            </w:r>
          </w:p>
        </w:tc>
        <w:tc>
          <w:tcPr>
            <w:tcW w:w="730" w:type="dxa"/>
            <w:vAlign w:val="bottom"/>
          </w:tcPr>
          <w:p w14:paraId="265FA8CA" w14:textId="0976961D" w:rsidR="00877289" w:rsidRPr="00514842" w:rsidRDefault="00877289" w:rsidP="00877289">
            <w:pPr>
              <w:autoSpaceDE w:val="0"/>
              <w:autoSpaceDN w:val="0"/>
              <w:adjustRightInd w:val="0"/>
              <w:jc w:val="center"/>
              <w:rPr>
                <w:rFonts w:cstheme="minorHAnsi"/>
                <w:bCs/>
              </w:rPr>
            </w:pPr>
            <w:r>
              <w:rPr>
                <w:rFonts w:ascii="Calibri" w:hAnsi="Calibri"/>
                <w:color w:val="000000"/>
                <w:szCs w:val="22"/>
              </w:rPr>
              <w:t>&lt;.0001</w:t>
            </w:r>
          </w:p>
        </w:tc>
      </w:tr>
      <w:tr w:rsidR="00877289" w:rsidRPr="00514842" w14:paraId="222C1938" w14:textId="77777777" w:rsidTr="003917F9">
        <w:trPr>
          <w:trHeight w:val="80"/>
          <w:jc w:val="center"/>
        </w:trPr>
        <w:tc>
          <w:tcPr>
            <w:tcW w:w="6339" w:type="dxa"/>
          </w:tcPr>
          <w:p w14:paraId="74B992B3" w14:textId="3B5DF968" w:rsidR="00877289" w:rsidRPr="00E65B55" w:rsidRDefault="00877289" w:rsidP="00877289">
            <w:pPr>
              <w:autoSpaceDE w:val="0"/>
              <w:autoSpaceDN w:val="0"/>
              <w:adjustRightInd w:val="0"/>
              <w:rPr>
                <w:rFonts w:ascii="Calibri" w:hAnsi="Calibri" w:cstheme="minorHAnsi"/>
                <w:bCs/>
                <w:szCs w:val="22"/>
              </w:rPr>
            </w:pPr>
            <w:r w:rsidRPr="00E65B55">
              <w:rPr>
                <w:rFonts w:ascii="Calibri" w:hAnsi="Calibri"/>
                <w:szCs w:val="22"/>
              </w:rPr>
              <w:t>Emergency Department Use without Hospitalization (NQF# 0173)</w:t>
            </w:r>
          </w:p>
        </w:tc>
        <w:tc>
          <w:tcPr>
            <w:tcW w:w="1148" w:type="dxa"/>
            <w:vAlign w:val="bottom"/>
          </w:tcPr>
          <w:p w14:paraId="0E3DDC42" w14:textId="25697A5A" w:rsidR="00877289" w:rsidRPr="00514842" w:rsidRDefault="00877289" w:rsidP="00877289">
            <w:pPr>
              <w:autoSpaceDE w:val="0"/>
              <w:autoSpaceDN w:val="0"/>
              <w:adjustRightInd w:val="0"/>
              <w:jc w:val="center"/>
              <w:rPr>
                <w:rFonts w:cstheme="minorHAnsi"/>
                <w:bCs/>
              </w:rPr>
            </w:pPr>
            <w:r>
              <w:rPr>
                <w:rFonts w:ascii="Calibri" w:hAnsi="Calibri"/>
                <w:color w:val="000000"/>
                <w:szCs w:val="22"/>
              </w:rPr>
              <w:t>-0.04831</w:t>
            </w:r>
          </w:p>
        </w:tc>
        <w:tc>
          <w:tcPr>
            <w:tcW w:w="784" w:type="dxa"/>
            <w:vAlign w:val="bottom"/>
          </w:tcPr>
          <w:p w14:paraId="763793EF" w14:textId="5A87A1CA" w:rsidR="00877289" w:rsidRPr="00514842" w:rsidRDefault="00877289" w:rsidP="00877289">
            <w:pPr>
              <w:autoSpaceDE w:val="0"/>
              <w:autoSpaceDN w:val="0"/>
              <w:adjustRightInd w:val="0"/>
              <w:jc w:val="center"/>
              <w:rPr>
                <w:rFonts w:cstheme="minorHAnsi"/>
                <w:bCs/>
              </w:rPr>
            </w:pPr>
            <w:r>
              <w:rPr>
                <w:rFonts w:ascii="Calibri" w:hAnsi="Calibri"/>
                <w:color w:val="000000"/>
                <w:szCs w:val="22"/>
              </w:rPr>
              <w:t>&lt;.0001</w:t>
            </w:r>
          </w:p>
        </w:tc>
        <w:tc>
          <w:tcPr>
            <w:tcW w:w="1169" w:type="dxa"/>
            <w:vAlign w:val="bottom"/>
          </w:tcPr>
          <w:p w14:paraId="4D332E5C" w14:textId="2056AD15" w:rsidR="00877289" w:rsidRPr="00514842" w:rsidRDefault="00877289" w:rsidP="00877289">
            <w:pPr>
              <w:autoSpaceDE w:val="0"/>
              <w:autoSpaceDN w:val="0"/>
              <w:adjustRightInd w:val="0"/>
              <w:jc w:val="center"/>
              <w:rPr>
                <w:rFonts w:cstheme="minorHAnsi"/>
                <w:bCs/>
              </w:rPr>
            </w:pPr>
            <w:r>
              <w:rPr>
                <w:rFonts w:ascii="Calibri" w:hAnsi="Calibri"/>
                <w:color w:val="000000"/>
                <w:szCs w:val="22"/>
              </w:rPr>
              <w:t>-0.0495</w:t>
            </w:r>
          </w:p>
        </w:tc>
        <w:tc>
          <w:tcPr>
            <w:tcW w:w="730" w:type="dxa"/>
            <w:vAlign w:val="bottom"/>
          </w:tcPr>
          <w:p w14:paraId="3F86670C" w14:textId="383ACB48" w:rsidR="00877289" w:rsidRPr="00514842" w:rsidRDefault="00877289" w:rsidP="00877289">
            <w:pPr>
              <w:autoSpaceDE w:val="0"/>
              <w:autoSpaceDN w:val="0"/>
              <w:adjustRightInd w:val="0"/>
              <w:jc w:val="center"/>
              <w:rPr>
                <w:rFonts w:cstheme="minorHAnsi"/>
                <w:bCs/>
              </w:rPr>
            </w:pPr>
            <w:r>
              <w:rPr>
                <w:rFonts w:ascii="Calibri" w:hAnsi="Calibri"/>
                <w:color w:val="000000"/>
                <w:szCs w:val="22"/>
              </w:rPr>
              <w:t>&lt;.0001</w:t>
            </w:r>
          </w:p>
        </w:tc>
      </w:tr>
      <w:tr w:rsidR="00877289" w:rsidRPr="00514842" w14:paraId="0C21858C" w14:textId="77777777" w:rsidTr="003917F9">
        <w:trPr>
          <w:trHeight w:val="270"/>
          <w:jc w:val="center"/>
        </w:trPr>
        <w:tc>
          <w:tcPr>
            <w:tcW w:w="6339" w:type="dxa"/>
          </w:tcPr>
          <w:p w14:paraId="554576C1" w14:textId="2E46AA4F" w:rsidR="00877289" w:rsidRPr="00E65B55" w:rsidRDefault="00877289" w:rsidP="00877289">
            <w:pPr>
              <w:autoSpaceDE w:val="0"/>
              <w:autoSpaceDN w:val="0"/>
              <w:adjustRightInd w:val="0"/>
              <w:rPr>
                <w:rFonts w:ascii="Calibri" w:hAnsi="Calibri" w:cstheme="minorHAnsi"/>
                <w:bCs/>
                <w:szCs w:val="22"/>
              </w:rPr>
            </w:pPr>
            <w:r w:rsidRPr="00E65B55">
              <w:rPr>
                <w:rFonts w:ascii="Calibri" w:hAnsi="Calibri"/>
                <w:szCs w:val="22"/>
              </w:rPr>
              <w:t>Rehospitalization During the First 30 Days of Home Health (NQF# 2380)</w:t>
            </w:r>
          </w:p>
        </w:tc>
        <w:tc>
          <w:tcPr>
            <w:tcW w:w="1148" w:type="dxa"/>
            <w:vAlign w:val="bottom"/>
          </w:tcPr>
          <w:p w14:paraId="64E99A5C" w14:textId="6EDBB005" w:rsidR="00877289" w:rsidRPr="00514842" w:rsidRDefault="00877289" w:rsidP="00877289">
            <w:pPr>
              <w:autoSpaceDE w:val="0"/>
              <w:autoSpaceDN w:val="0"/>
              <w:adjustRightInd w:val="0"/>
              <w:jc w:val="center"/>
              <w:rPr>
                <w:rFonts w:cstheme="minorHAnsi"/>
                <w:bCs/>
              </w:rPr>
            </w:pPr>
            <w:r>
              <w:rPr>
                <w:rFonts w:ascii="Calibri" w:hAnsi="Calibri"/>
                <w:color w:val="000000"/>
                <w:szCs w:val="22"/>
              </w:rPr>
              <w:t>-0.08026</w:t>
            </w:r>
          </w:p>
        </w:tc>
        <w:tc>
          <w:tcPr>
            <w:tcW w:w="784" w:type="dxa"/>
            <w:vAlign w:val="bottom"/>
          </w:tcPr>
          <w:p w14:paraId="70D3A9DD" w14:textId="7CFC975D" w:rsidR="00877289" w:rsidRPr="00514842" w:rsidRDefault="00877289" w:rsidP="00877289">
            <w:pPr>
              <w:autoSpaceDE w:val="0"/>
              <w:autoSpaceDN w:val="0"/>
              <w:adjustRightInd w:val="0"/>
              <w:jc w:val="center"/>
              <w:rPr>
                <w:rFonts w:cstheme="minorHAnsi"/>
                <w:bCs/>
              </w:rPr>
            </w:pPr>
            <w:r>
              <w:rPr>
                <w:rFonts w:ascii="Calibri" w:hAnsi="Calibri"/>
                <w:color w:val="000000"/>
                <w:szCs w:val="22"/>
              </w:rPr>
              <w:t>&lt;.0001</w:t>
            </w:r>
          </w:p>
        </w:tc>
        <w:tc>
          <w:tcPr>
            <w:tcW w:w="1169" w:type="dxa"/>
            <w:vAlign w:val="bottom"/>
          </w:tcPr>
          <w:p w14:paraId="03287973" w14:textId="0147CC31" w:rsidR="00877289" w:rsidRPr="00514842" w:rsidRDefault="00877289" w:rsidP="00877289">
            <w:pPr>
              <w:autoSpaceDE w:val="0"/>
              <w:autoSpaceDN w:val="0"/>
              <w:adjustRightInd w:val="0"/>
              <w:jc w:val="center"/>
              <w:rPr>
                <w:rFonts w:cstheme="minorHAnsi"/>
                <w:bCs/>
              </w:rPr>
            </w:pPr>
            <w:r>
              <w:rPr>
                <w:rFonts w:ascii="Calibri" w:hAnsi="Calibri"/>
                <w:color w:val="000000"/>
                <w:szCs w:val="22"/>
              </w:rPr>
              <w:t>-0.08059</w:t>
            </w:r>
          </w:p>
        </w:tc>
        <w:tc>
          <w:tcPr>
            <w:tcW w:w="730" w:type="dxa"/>
            <w:vAlign w:val="bottom"/>
          </w:tcPr>
          <w:p w14:paraId="42C7F57D" w14:textId="3A711B97" w:rsidR="00877289" w:rsidRPr="00514842" w:rsidRDefault="00877289" w:rsidP="00877289">
            <w:pPr>
              <w:autoSpaceDE w:val="0"/>
              <w:autoSpaceDN w:val="0"/>
              <w:adjustRightInd w:val="0"/>
              <w:jc w:val="center"/>
              <w:rPr>
                <w:rFonts w:cstheme="minorHAnsi"/>
                <w:bCs/>
              </w:rPr>
            </w:pPr>
            <w:r>
              <w:rPr>
                <w:rFonts w:ascii="Calibri" w:hAnsi="Calibri"/>
                <w:color w:val="000000"/>
                <w:szCs w:val="22"/>
              </w:rPr>
              <w:t>&lt;.0001</w:t>
            </w:r>
          </w:p>
        </w:tc>
      </w:tr>
      <w:tr w:rsidR="00877289" w:rsidRPr="00514842" w14:paraId="6569911F" w14:textId="77777777" w:rsidTr="003917F9">
        <w:trPr>
          <w:trHeight w:val="496"/>
          <w:jc w:val="center"/>
        </w:trPr>
        <w:tc>
          <w:tcPr>
            <w:tcW w:w="6339" w:type="dxa"/>
          </w:tcPr>
          <w:p w14:paraId="38A741F4" w14:textId="48F90FCC" w:rsidR="00877289" w:rsidRPr="00E65B55" w:rsidRDefault="00877289" w:rsidP="00877289">
            <w:pPr>
              <w:autoSpaceDE w:val="0"/>
              <w:autoSpaceDN w:val="0"/>
              <w:adjustRightInd w:val="0"/>
              <w:rPr>
                <w:rFonts w:ascii="Calibri" w:hAnsi="Calibri"/>
              </w:rPr>
            </w:pPr>
            <w:r w:rsidRPr="00E65B55">
              <w:rPr>
                <w:rFonts w:ascii="Calibri" w:hAnsi="Calibri"/>
                <w:szCs w:val="22"/>
              </w:rPr>
              <w:t>Emergency Department Use without Hospital Readmission During the First 30 Days of Home Health (NQF#2505)</w:t>
            </w:r>
          </w:p>
        </w:tc>
        <w:tc>
          <w:tcPr>
            <w:tcW w:w="1148" w:type="dxa"/>
            <w:vAlign w:val="bottom"/>
          </w:tcPr>
          <w:p w14:paraId="0399FAE5" w14:textId="203C34A5" w:rsidR="00877289" w:rsidRPr="00514842" w:rsidRDefault="00877289" w:rsidP="00877289">
            <w:pPr>
              <w:autoSpaceDE w:val="0"/>
              <w:autoSpaceDN w:val="0"/>
              <w:adjustRightInd w:val="0"/>
              <w:jc w:val="center"/>
              <w:rPr>
                <w:rFonts w:cstheme="minorHAnsi"/>
                <w:bCs/>
              </w:rPr>
            </w:pPr>
            <w:r>
              <w:rPr>
                <w:rFonts w:ascii="Calibri" w:hAnsi="Calibri"/>
                <w:color w:val="000000"/>
                <w:szCs w:val="22"/>
              </w:rPr>
              <w:t>-0.00393</w:t>
            </w:r>
          </w:p>
        </w:tc>
        <w:tc>
          <w:tcPr>
            <w:tcW w:w="784" w:type="dxa"/>
            <w:vAlign w:val="bottom"/>
          </w:tcPr>
          <w:p w14:paraId="453AE115" w14:textId="40BC5324" w:rsidR="00877289" w:rsidRPr="00514842" w:rsidRDefault="00877289" w:rsidP="00877289">
            <w:pPr>
              <w:autoSpaceDE w:val="0"/>
              <w:autoSpaceDN w:val="0"/>
              <w:adjustRightInd w:val="0"/>
              <w:jc w:val="center"/>
              <w:rPr>
                <w:rFonts w:cstheme="minorHAnsi"/>
                <w:bCs/>
              </w:rPr>
            </w:pPr>
            <w:r>
              <w:rPr>
                <w:rFonts w:ascii="Calibri" w:hAnsi="Calibri"/>
                <w:color w:val="000000"/>
                <w:szCs w:val="22"/>
              </w:rPr>
              <w:t>0.7848</w:t>
            </w:r>
          </w:p>
        </w:tc>
        <w:tc>
          <w:tcPr>
            <w:tcW w:w="1169" w:type="dxa"/>
            <w:vAlign w:val="bottom"/>
          </w:tcPr>
          <w:p w14:paraId="7ED9BDD0" w14:textId="13CE6492" w:rsidR="00877289" w:rsidRPr="00514842" w:rsidRDefault="00877289" w:rsidP="00877289">
            <w:pPr>
              <w:autoSpaceDE w:val="0"/>
              <w:autoSpaceDN w:val="0"/>
              <w:adjustRightInd w:val="0"/>
              <w:jc w:val="center"/>
              <w:rPr>
                <w:rFonts w:cstheme="minorHAnsi"/>
                <w:bCs/>
              </w:rPr>
            </w:pPr>
            <w:r>
              <w:rPr>
                <w:rFonts w:ascii="Calibri" w:hAnsi="Calibri"/>
                <w:color w:val="000000"/>
                <w:szCs w:val="22"/>
              </w:rPr>
              <w:t>0.00664</w:t>
            </w:r>
          </w:p>
        </w:tc>
        <w:tc>
          <w:tcPr>
            <w:tcW w:w="730" w:type="dxa"/>
            <w:vAlign w:val="bottom"/>
          </w:tcPr>
          <w:p w14:paraId="0253D6F1" w14:textId="6FF4FC5E" w:rsidR="00877289" w:rsidRPr="00514842" w:rsidRDefault="00877289" w:rsidP="00877289">
            <w:pPr>
              <w:autoSpaceDE w:val="0"/>
              <w:autoSpaceDN w:val="0"/>
              <w:adjustRightInd w:val="0"/>
              <w:jc w:val="center"/>
              <w:rPr>
                <w:rFonts w:cstheme="minorHAnsi"/>
                <w:bCs/>
              </w:rPr>
            </w:pPr>
            <w:r>
              <w:rPr>
                <w:rFonts w:ascii="Calibri" w:hAnsi="Calibri"/>
                <w:color w:val="000000"/>
                <w:szCs w:val="22"/>
              </w:rPr>
              <w:t>0.6443</w:t>
            </w:r>
          </w:p>
        </w:tc>
      </w:tr>
      <w:tr w:rsidR="00877289" w:rsidRPr="00514842" w14:paraId="027C6EF1" w14:textId="77777777" w:rsidTr="003917F9">
        <w:trPr>
          <w:trHeight w:val="255"/>
          <w:jc w:val="center"/>
        </w:trPr>
        <w:tc>
          <w:tcPr>
            <w:tcW w:w="6339" w:type="dxa"/>
            <w:tcBorders>
              <w:bottom w:val="single" w:sz="4" w:space="0" w:color="auto"/>
            </w:tcBorders>
          </w:tcPr>
          <w:p w14:paraId="6FA283F2" w14:textId="77777777" w:rsidR="00877289" w:rsidRPr="00514842" w:rsidRDefault="00877289" w:rsidP="00877289">
            <w:pPr>
              <w:autoSpaceDE w:val="0"/>
              <w:autoSpaceDN w:val="0"/>
              <w:adjustRightInd w:val="0"/>
              <w:rPr>
                <w:rFonts w:asciiTheme="minorHAnsi" w:hAnsiTheme="minorHAnsi" w:cstheme="minorHAnsi"/>
                <w:bCs/>
                <w:szCs w:val="22"/>
              </w:rPr>
            </w:pPr>
            <w:r w:rsidRPr="00514842">
              <w:rPr>
                <w:rFonts w:asciiTheme="minorHAnsi" w:hAnsiTheme="minorHAnsi" w:cstheme="minorHAnsi"/>
                <w:bCs/>
                <w:szCs w:val="22"/>
              </w:rPr>
              <w:t>Potentially Preventable 30</w:t>
            </w:r>
            <w:r>
              <w:rPr>
                <w:rFonts w:asciiTheme="minorHAnsi" w:hAnsiTheme="minorHAnsi" w:cstheme="minorHAnsi"/>
                <w:bCs/>
                <w:szCs w:val="22"/>
              </w:rPr>
              <w:t>-Day Post-Discharge Readmissions</w:t>
            </w:r>
          </w:p>
        </w:tc>
        <w:tc>
          <w:tcPr>
            <w:tcW w:w="1148" w:type="dxa"/>
            <w:tcBorders>
              <w:bottom w:val="single" w:sz="4" w:space="0" w:color="auto"/>
            </w:tcBorders>
            <w:vAlign w:val="bottom"/>
          </w:tcPr>
          <w:p w14:paraId="48ACDEA3" w14:textId="33908007" w:rsidR="00877289" w:rsidRPr="00514842" w:rsidRDefault="00877289" w:rsidP="00877289">
            <w:pPr>
              <w:autoSpaceDE w:val="0"/>
              <w:autoSpaceDN w:val="0"/>
              <w:adjustRightInd w:val="0"/>
              <w:jc w:val="center"/>
              <w:rPr>
                <w:rFonts w:asciiTheme="minorHAnsi" w:hAnsiTheme="minorHAnsi" w:cstheme="minorHAnsi"/>
                <w:bCs/>
                <w:szCs w:val="22"/>
              </w:rPr>
            </w:pPr>
            <w:r>
              <w:rPr>
                <w:rFonts w:ascii="Calibri" w:hAnsi="Calibri"/>
                <w:color w:val="000000"/>
                <w:szCs w:val="22"/>
              </w:rPr>
              <w:t>-0.59861</w:t>
            </w:r>
          </w:p>
        </w:tc>
        <w:tc>
          <w:tcPr>
            <w:tcW w:w="784" w:type="dxa"/>
            <w:tcBorders>
              <w:bottom w:val="single" w:sz="4" w:space="0" w:color="auto"/>
            </w:tcBorders>
            <w:vAlign w:val="bottom"/>
          </w:tcPr>
          <w:p w14:paraId="2AE5F9A5" w14:textId="498C4B08" w:rsidR="00877289" w:rsidRPr="00514842" w:rsidRDefault="00877289" w:rsidP="00877289">
            <w:pPr>
              <w:autoSpaceDE w:val="0"/>
              <w:autoSpaceDN w:val="0"/>
              <w:adjustRightInd w:val="0"/>
              <w:jc w:val="center"/>
              <w:rPr>
                <w:rFonts w:asciiTheme="minorHAnsi" w:hAnsiTheme="minorHAnsi" w:cstheme="minorHAnsi"/>
                <w:bCs/>
                <w:szCs w:val="22"/>
              </w:rPr>
            </w:pPr>
            <w:r>
              <w:rPr>
                <w:rFonts w:ascii="Calibri" w:hAnsi="Calibri"/>
                <w:color w:val="000000"/>
                <w:szCs w:val="22"/>
              </w:rPr>
              <w:t>&lt;.0001</w:t>
            </w:r>
          </w:p>
        </w:tc>
        <w:tc>
          <w:tcPr>
            <w:tcW w:w="1169" w:type="dxa"/>
            <w:tcBorders>
              <w:bottom w:val="single" w:sz="4" w:space="0" w:color="auto"/>
            </w:tcBorders>
            <w:vAlign w:val="bottom"/>
          </w:tcPr>
          <w:p w14:paraId="53A6EE08" w14:textId="26275E7B" w:rsidR="00877289" w:rsidRPr="00514842" w:rsidRDefault="00877289" w:rsidP="00877289">
            <w:pPr>
              <w:autoSpaceDE w:val="0"/>
              <w:autoSpaceDN w:val="0"/>
              <w:adjustRightInd w:val="0"/>
              <w:jc w:val="center"/>
              <w:rPr>
                <w:rFonts w:asciiTheme="minorHAnsi" w:hAnsiTheme="minorHAnsi" w:cstheme="minorHAnsi"/>
                <w:bCs/>
                <w:szCs w:val="22"/>
              </w:rPr>
            </w:pPr>
            <w:r>
              <w:rPr>
                <w:rFonts w:ascii="Calibri" w:hAnsi="Calibri"/>
                <w:color w:val="000000"/>
                <w:szCs w:val="22"/>
              </w:rPr>
              <w:t>-0.59786</w:t>
            </w:r>
          </w:p>
        </w:tc>
        <w:tc>
          <w:tcPr>
            <w:tcW w:w="730" w:type="dxa"/>
            <w:tcBorders>
              <w:bottom w:val="single" w:sz="4" w:space="0" w:color="auto"/>
            </w:tcBorders>
            <w:vAlign w:val="bottom"/>
          </w:tcPr>
          <w:p w14:paraId="4606807F" w14:textId="4F604FBA" w:rsidR="00877289" w:rsidRPr="00514842" w:rsidRDefault="00877289" w:rsidP="00877289">
            <w:pPr>
              <w:autoSpaceDE w:val="0"/>
              <w:autoSpaceDN w:val="0"/>
              <w:adjustRightInd w:val="0"/>
              <w:jc w:val="center"/>
              <w:rPr>
                <w:rFonts w:asciiTheme="minorHAnsi" w:hAnsiTheme="minorHAnsi" w:cstheme="minorHAnsi"/>
                <w:bCs/>
                <w:szCs w:val="22"/>
              </w:rPr>
            </w:pPr>
            <w:r>
              <w:rPr>
                <w:rFonts w:ascii="Calibri" w:hAnsi="Calibri"/>
                <w:color w:val="000000"/>
                <w:szCs w:val="22"/>
              </w:rPr>
              <w:t>&lt;.0001</w:t>
            </w:r>
          </w:p>
        </w:tc>
      </w:tr>
    </w:tbl>
    <w:p w14:paraId="7AF8632B" w14:textId="284571ED" w:rsidR="0035072E" w:rsidRPr="00DB52B4" w:rsidRDefault="00341B52" w:rsidP="00DB52B4">
      <w:pPr>
        <w:autoSpaceDE w:val="0"/>
        <w:autoSpaceDN w:val="0"/>
        <w:adjustRightInd w:val="0"/>
        <w:spacing w:after="0" w:line="240" w:lineRule="auto"/>
        <w:rPr>
          <w:rFonts w:cstheme="minorHAnsi"/>
          <w:bCs/>
        </w:rPr>
      </w:pPr>
      <w:r w:rsidRPr="00341B52">
        <w:rPr>
          <w:rFonts w:cstheme="minorHAnsi"/>
          <w:bCs/>
          <w:sz w:val="18"/>
        </w:rPr>
        <w:t xml:space="preserve"> </w:t>
      </w:r>
      <w:r w:rsidR="00173658">
        <w:rPr>
          <w:rFonts w:cstheme="minorHAnsi"/>
          <w:bCs/>
          <w:sz w:val="18"/>
        </w:rPr>
        <w:tab/>
      </w:r>
      <w:r>
        <w:rPr>
          <w:rFonts w:cstheme="minorHAnsi"/>
          <w:bCs/>
          <w:sz w:val="18"/>
        </w:rPr>
        <w:t>Acumen</w:t>
      </w:r>
      <w:r w:rsidRPr="0090361B">
        <w:rPr>
          <w:rFonts w:cstheme="minorHAnsi"/>
          <w:bCs/>
          <w:sz w:val="18"/>
        </w:rPr>
        <w:t xml:space="preserve"> Analysis of Medicare Claims File for </w:t>
      </w:r>
      <w:r>
        <w:rPr>
          <w:rFonts w:cstheme="minorHAnsi"/>
          <w:bCs/>
          <w:sz w:val="18"/>
        </w:rPr>
        <w:t>HH</w:t>
      </w:r>
      <w:r w:rsidRPr="0090361B">
        <w:rPr>
          <w:rFonts w:cstheme="minorHAnsi"/>
          <w:bCs/>
          <w:sz w:val="18"/>
        </w:rPr>
        <w:t xml:space="preserve">, </w:t>
      </w:r>
      <w:r>
        <w:rPr>
          <w:rFonts w:cstheme="minorHAnsi"/>
          <w:bCs/>
          <w:sz w:val="18"/>
        </w:rPr>
        <w:t>CY</w:t>
      </w:r>
      <w:r w:rsidRPr="0090361B">
        <w:rPr>
          <w:rFonts w:cstheme="minorHAnsi"/>
          <w:bCs/>
          <w:sz w:val="18"/>
        </w:rPr>
        <w:t xml:space="preserve"> 201</w:t>
      </w:r>
      <w:r>
        <w:rPr>
          <w:rFonts w:cstheme="minorHAnsi"/>
          <w:bCs/>
          <w:sz w:val="18"/>
        </w:rPr>
        <w:t>5</w:t>
      </w:r>
      <w:r w:rsidRPr="0090361B">
        <w:rPr>
          <w:rFonts w:cstheme="minorHAnsi"/>
          <w:bCs/>
          <w:sz w:val="18"/>
        </w:rPr>
        <w:t>-</w:t>
      </w:r>
      <w:r w:rsidR="00950B89" w:rsidRPr="0090361B">
        <w:rPr>
          <w:rFonts w:cstheme="minorHAnsi"/>
          <w:bCs/>
          <w:sz w:val="18"/>
        </w:rPr>
        <w:t>201</w:t>
      </w:r>
      <w:r w:rsidR="00950B89">
        <w:rPr>
          <w:rFonts w:cstheme="minorHAnsi"/>
          <w:bCs/>
          <w:sz w:val="18"/>
        </w:rPr>
        <w:t>6</w:t>
      </w:r>
      <w:r>
        <w:rPr>
          <w:rFonts w:cstheme="minorHAnsi"/>
          <w:bCs/>
          <w:sz w:val="18"/>
        </w:rPr>
        <w:t>.</w:t>
      </w:r>
    </w:p>
    <w:p w14:paraId="0C35A733" w14:textId="77777777" w:rsidR="00B22B45" w:rsidRPr="00B22B45" w:rsidRDefault="00B22B45" w:rsidP="00B22B45">
      <w:pPr>
        <w:autoSpaceDE w:val="0"/>
        <w:autoSpaceDN w:val="0"/>
        <w:adjustRightInd w:val="0"/>
        <w:spacing w:after="0" w:line="240" w:lineRule="auto"/>
        <w:rPr>
          <w:rFonts w:cstheme="minorHAnsi"/>
          <w:bCs/>
        </w:rPr>
      </w:pPr>
    </w:p>
    <w:p w14:paraId="0946564B" w14:textId="77777777" w:rsidR="004206CA" w:rsidRDefault="004206CA" w:rsidP="004206CA">
      <w:pPr>
        <w:pStyle w:val="ListParagraph"/>
        <w:numPr>
          <w:ilvl w:val="0"/>
          <w:numId w:val="15"/>
        </w:numPr>
        <w:autoSpaceDE w:val="0"/>
        <w:autoSpaceDN w:val="0"/>
        <w:adjustRightInd w:val="0"/>
        <w:spacing w:after="0" w:line="240" w:lineRule="auto"/>
        <w:rPr>
          <w:rFonts w:cstheme="minorHAnsi"/>
          <w:b/>
        </w:rPr>
      </w:pPr>
      <w:r w:rsidRPr="005029B4">
        <w:rPr>
          <w:rFonts w:cstheme="minorHAnsi"/>
          <w:b/>
        </w:rPr>
        <w:t>Systematic Assessment of Face Validity</w:t>
      </w:r>
    </w:p>
    <w:p w14:paraId="6A693FCE" w14:textId="77777777" w:rsidR="004206CA" w:rsidRPr="005029B4" w:rsidRDefault="004206CA" w:rsidP="004206CA">
      <w:pPr>
        <w:pStyle w:val="ListParagraph"/>
        <w:autoSpaceDE w:val="0"/>
        <w:autoSpaceDN w:val="0"/>
        <w:adjustRightInd w:val="0"/>
        <w:spacing w:after="0" w:line="240" w:lineRule="auto"/>
        <w:rPr>
          <w:rFonts w:cstheme="minorHAnsi"/>
          <w:b/>
        </w:rPr>
      </w:pPr>
    </w:p>
    <w:p w14:paraId="53888B33" w14:textId="03A48BDF" w:rsidR="004206CA" w:rsidRDefault="004206CA" w:rsidP="004206CA">
      <w:pPr>
        <w:spacing w:after="0" w:line="240" w:lineRule="auto"/>
        <w:ind w:left="360"/>
        <w:rPr>
          <w:rFonts w:cstheme="minorHAnsi"/>
        </w:rPr>
      </w:pPr>
      <w:r w:rsidRPr="005029B4">
        <w:rPr>
          <w:rFonts w:cstheme="minorHAnsi"/>
        </w:rPr>
        <w:t xml:space="preserve">Note that findings summarized in this section are not statistical results. We found extensive support for the face validity and importance of the discharge to community measure as an indicator of quality of care based on </w:t>
      </w:r>
      <w:r w:rsidRPr="00957F6A">
        <w:rPr>
          <w:rFonts w:cstheme="minorHAnsi"/>
        </w:rPr>
        <w:t>our environmental scan, TEP feedback, and public comment feedback</w:t>
      </w:r>
      <w:r>
        <w:rPr>
          <w:rFonts w:cstheme="minorHAnsi"/>
        </w:rPr>
        <w:t>;</w:t>
      </w:r>
      <w:r w:rsidRPr="00E97BAD">
        <w:rPr>
          <w:rFonts w:cstheme="minorHAnsi"/>
        </w:rPr>
        <w:t xml:space="preserve"> </w:t>
      </w:r>
      <w:r>
        <w:rPr>
          <w:rFonts w:cstheme="minorHAnsi"/>
        </w:rPr>
        <w:t xml:space="preserve">in addition to </w:t>
      </w:r>
      <w:r w:rsidR="00562F10">
        <w:rPr>
          <w:rFonts w:cstheme="minorHAnsi"/>
        </w:rPr>
        <w:t>H</w:t>
      </w:r>
      <w:r>
        <w:rPr>
          <w:rFonts w:cstheme="minorHAnsi"/>
        </w:rPr>
        <w:t xml:space="preserve">H-specific literature, we reviewed literature related to </w:t>
      </w:r>
      <w:r w:rsidR="00562F10">
        <w:rPr>
          <w:rFonts w:cstheme="minorHAnsi"/>
        </w:rPr>
        <w:t xml:space="preserve">LTCH, </w:t>
      </w:r>
      <w:r>
        <w:rPr>
          <w:rFonts w:cstheme="minorHAnsi"/>
        </w:rPr>
        <w:t>IRF</w:t>
      </w:r>
      <w:r w:rsidR="00562F10">
        <w:rPr>
          <w:rFonts w:cstheme="minorHAnsi"/>
        </w:rPr>
        <w:t>,</w:t>
      </w:r>
      <w:r>
        <w:rPr>
          <w:rFonts w:cstheme="minorHAnsi"/>
        </w:rPr>
        <w:t xml:space="preserve"> and SNF settings</w:t>
      </w:r>
      <w:r w:rsidRPr="00957F6A">
        <w:rPr>
          <w:rFonts w:cstheme="minorHAnsi"/>
        </w:rPr>
        <w:t>.</w:t>
      </w:r>
      <w:r>
        <w:rPr>
          <w:rFonts w:cstheme="minorHAnsi"/>
        </w:rPr>
        <w:t xml:space="preserve"> </w:t>
      </w:r>
      <w:r w:rsidRPr="005029B4">
        <w:rPr>
          <w:rFonts w:cstheme="minorHAnsi"/>
        </w:rPr>
        <w:t xml:space="preserve">Discharge to a community setting is an important goal for </w:t>
      </w:r>
      <w:r>
        <w:rPr>
          <w:rFonts w:cstheme="minorHAnsi"/>
        </w:rPr>
        <w:t>many</w:t>
      </w:r>
      <w:r w:rsidRPr="005029B4">
        <w:rPr>
          <w:rFonts w:cstheme="minorHAnsi"/>
        </w:rPr>
        <w:t xml:space="preserve"> </w:t>
      </w:r>
      <w:r w:rsidR="00562F10">
        <w:rPr>
          <w:rFonts w:cstheme="minorHAnsi"/>
        </w:rPr>
        <w:t>HH</w:t>
      </w:r>
      <w:r w:rsidRPr="005029B4">
        <w:rPr>
          <w:rFonts w:cstheme="minorHAnsi"/>
        </w:rPr>
        <w:t xml:space="preserve"> patients, making this a high priority measure concept from the patient and family perspective. Home is often considered a symbol of independence, privacy and competence.</w:t>
      </w:r>
      <w:r w:rsidRPr="005029B4">
        <w:rPr>
          <w:rStyle w:val="FootnoteReference"/>
          <w:rFonts w:cstheme="minorHAnsi"/>
        </w:rPr>
        <w:footnoteReference w:id="26"/>
      </w:r>
      <w:r w:rsidRPr="005029B4">
        <w:rPr>
          <w:rFonts w:cstheme="minorHAnsi"/>
        </w:rPr>
        <w:t xml:space="preserve"> Discharge to community is a valuable outcome because it offers a multi-dimensional view of preparation for community life, including cognitive, physical, and psychosocial elements.</w:t>
      </w:r>
      <w:r w:rsidRPr="005029B4">
        <w:rPr>
          <w:rFonts w:cstheme="minorHAnsi"/>
        </w:rPr>
        <w:fldChar w:fldCharType="begin">
          <w:fldData xml:space="preserve">PEVuZE5vdGU+PENpdGU+PEF1dGhvcj5UYW53aXI8L0F1dGhvcj48WWVhcj4yMDE0PC9ZZWFyPjxS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</w:fldData>
        </w:fldChar>
      </w:r>
      <w:r w:rsidRPr="005029B4">
        <w:rPr>
          <w:rFonts w:cstheme="minorHAnsi"/>
        </w:rPr>
        <w:instrText xml:space="preserve"> ADDIN EN.CITE </w:instrText>
      </w:r>
      <w:r w:rsidRPr="005029B4">
        <w:rPr>
          <w:rFonts w:cstheme="minorHAnsi"/>
        </w:rPr>
        <w:fldChar w:fldCharType="begin">
          <w:fldData xml:space="preserve">PEVuZE5vdGU+PENpdGU+PEF1dGhvcj5UYW53aXI8L0F1dGhvcj48WWVhcj4yMDE0PC9ZZWFyPjxS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</w:fldData>
        </w:fldChar>
      </w:r>
      <w:r w:rsidRPr="005029B4">
        <w:rPr>
          <w:rFonts w:cstheme="minorHAnsi"/>
        </w:rPr>
        <w:instrText xml:space="preserve"> ADDIN EN.CITE.DATA </w:instrText>
      </w:r>
      <w:r w:rsidRPr="005029B4">
        <w:rPr>
          <w:rFonts w:cstheme="minorHAnsi"/>
        </w:rPr>
      </w:r>
      <w:r w:rsidRPr="005029B4">
        <w:rPr>
          <w:rFonts w:cstheme="minorHAnsi"/>
        </w:rPr>
        <w:fldChar w:fldCharType="end"/>
      </w:r>
      <w:r w:rsidRPr="005029B4">
        <w:rPr>
          <w:rFonts w:cstheme="minorHAnsi"/>
        </w:rPr>
      </w:r>
      <w:r w:rsidRPr="005029B4">
        <w:rPr>
          <w:rFonts w:cstheme="minorHAnsi"/>
        </w:rPr>
        <w:fldChar w:fldCharType="separate"/>
      </w:r>
      <w:r w:rsidRPr="005029B4">
        <w:rPr>
          <w:rStyle w:val="FootnoteReference"/>
          <w:rFonts w:cstheme="minorHAnsi"/>
        </w:rPr>
        <w:footnoteReference w:id="27"/>
      </w:r>
      <w:r w:rsidRPr="005029B4">
        <w:rPr>
          <w:rFonts w:cstheme="minorHAnsi"/>
          <w:noProof/>
          <w:vertAlign w:val="superscript"/>
        </w:rPr>
        <w:t>,</w:t>
      </w:r>
      <w:r w:rsidRPr="005029B4">
        <w:rPr>
          <w:rStyle w:val="FootnoteReference"/>
          <w:rFonts w:cstheme="minorHAnsi"/>
          <w:noProof/>
        </w:rPr>
        <w:footnoteReference w:id="28"/>
      </w:r>
      <w:r w:rsidRPr="005029B4">
        <w:rPr>
          <w:rFonts w:cstheme="minorHAnsi"/>
          <w:noProof/>
          <w:vertAlign w:val="superscript"/>
        </w:rPr>
        <w:t>,</w:t>
      </w:r>
      <w:r w:rsidRPr="005029B4">
        <w:rPr>
          <w:rFonts w:cstheme="minorHAnsi"/>
        </w:rPr>
        <w:fldChar w:fldCharType="end"/>
      </w:r>
      <w:r>
        <w:rPr>
          <w:rStyle w:val="FootnoteReference"/>
        </w:rPr>
        <w:footnoteReference w:id="29"/>
      </w:r>
      <w:r w:rsidRPr="00C71E22">
        <w:rPr>
          <w:rFonts w:cstheme="minorHAnsi"/>
          <w:vertAlign w:val="superscript"/>
        </w:rPr>
        <w:t>,</w:t>
      </w:r>
      <w:r w:rsidRPr="005029B4">
        <w:rPr>
          <w:rStyle w:val="FootnoteReference"/>
          <w:rFonts w:cstheme="minorHAnsi"/>
        </w:rPr>
        <w:footnoteReference w:id="30"/>
      </w:r>
      <w:r w:rsidRPr="005029B4">
        <w:rPr>
          <w:rFonts w:cstheme="minorHAnsi"/>
        </w:rPr>
        <w:t xml:space="preserve"> In addition to being important from a patient and family perspective, avoiding institutionalization and promoting discharge to community when appropriate, are also important from a cost and </w:t>
      </w:r>
      <w:r w:rsidRPr="005029B4">
        <w:rPr>
          <w:rFonts w:cstheme="minorHAnsi"/>
        </w:rPr>
        <w:lastRenderedPageBreak/>
        <w:t>resource use perspective. Patients discharged to community settings may incur lower costs over the recovery episode, compared with patients discharged to institutional settings.</w:t>
      </w:r>
      <w:r w:rsidRPr="005029B4">
        <w:rPr>
          <w:rStyle w:val="FootnoteReference"/>
          <w:rFonts w:cstheme="minorHAnsi"/>
        </w:rPr>
        <w:footnoteReference w:id="31"/>
      </w:r>
      <w:r w:rsidRPr="00055679">
        <w:rPr>
          <w:rFonts w:cstheme="minorHAnsi"/>
          <w:vertAlign w:val="superscript"/>
        </w:rPr>
        <w:t>,</w:t>
      </w:r>
      <w:r w:rsidRPr="005029B4">
        <w:rPr>
          <w:rStyle w:val="FootnoteReference"/>
          <w:rFonts w:cstheme="minorHAnsi"/>
        </w:rPr>
        <w:footnoteReference w:id="32"/>
      </w:r>
    </w:p>
    <w:p w14:paraId="17DDDC43" w14:textId="77777777" w:rsidR="004206CA" w:rsidRDefault="004206CA" w:rsidP="004206CA">
      <w:pPr>
        <w:spacing w:after="0" w:line="240" w:lineRule="auto"/>
        <w:ind w:left="360"/>
        <w:rPr>
          <w:rFonts w:cstheme="minorHAnsi"/>
        </w:rPr>
      </w:pPr>
    </w:p>
    <w:p w14:paraId="41084A68" w14:textId="645C713E" w:rsidR="000725E0" w:rsidRPr="004206CA" w:rsidRDefault="004206CA" w:rsidP="004206CA">
      <w:pPr>
        <w:spacing w:after="0" w:line="240" w:lineRule="auto"/>
        <w:ind w:left="360"/>
        <w:rPr>
          <w:rFonts w:cstheme="minorHAnsi"/>
        </w:rPr>
      </w:pPr>
      <w:r w:rsidRPr="004206CA">
        <w:rPr>
          <w:rFonts w:cstheme="minorHAnsi"/>
        </w:rPr>
        <w:t>Our TEP summary report is publicly posted.</w:t>
      </w:r>
      <w:r w:rsidRPr="005029B4">
        <w:rPr>
          <w:rStyle w:val="FootnoteReference"/>
          <w:rFonts w:cstheme="minorHAnsi"/>
        </w:rPr>
        <w:footnoteReference w:id="33"/>
      </w:r>
      <w:r w:rsidRPr="004206CA">
        <w:rPr>
          <w:rFonts w:cstheme="minorHAnsi"/>
        </w:rPr>
        <w:t xml:space="preserve"> The TEP members unanimously agreed that discharge to community is an important measure concept, noting that it is frequently the ultimate goal of rehabilitation, and gathering and reporting this outcome could be a powerful motivator for staff and patients to work toward functional goals to achieve this outcome. We also received several public comments during our call for public comment</w:t>
      </w:r>
      <w:r>
        <w:rPr>
          <w:rStyle w:val="FootnoteReference"/>
        </w:rPr>
        <w:footnoteReference w:id="34"/>
      </w:r>
      <w:r w:rsidRPr="004206CA">
        <w:rPr>
          <w:rFonts w:cstheme="minorHAnsi"/>
        </w:rPr>
        <w:t xml:space="preserve"> and during the </w:t>
      </w:r>
      <w:r w:rsidR="00562F10">
        <w:rPr>
          <w:rFonts w:cstheme="minorHAnsi"/>
        </w:rPr>
        <w:t>CY</w:t>
      </w:r>
      <w:r w:rsidRPr="004206CA">
        <w:rPr>
          <w:rFonts w:cstheme="minorHAnsi"/>
        </w:rPr>
        <w:t xml:space="preserve"> 2017 </w:t>
      </w:r>
      <w:r w:rsidR="00562F10">
        <w:rPr>
          <w:rFonts w:cstheme="minorHAnsi"/>
        </w:rPr>
        <w:t>H</w:t>
      </w:r>
      <w:r w:rsidRPr="004206CA">
        <w:rPr>
          <w:rFonts w:cstheme="minorHAnsi"/>
        </w:rPr>
        <w:t xml:space="preserve">H </w:t>
      </w:r>
      <w:r w:rsidR="00562F10">
        <w:rPr>
          <w:rFonts w:cstheme="minorHAnsi"/>
        </w:rPr>
        <w:t>NPRM</w:t>
      </w:r>
      <w:r w:rsidRPr="004206CA">
        <w:rPr>
          <w:rFonts w:cstheme="minorHAnsi"/>
        </w:rPr>
        <w:t xml:space="preserve"> rulemaking process supporting the importance of the DTC-PAC </w:t>
      </w:r>
      <w:r w:rsidR="00562F10">
        <w:rPr>
          <w:rFonts w:cstheme="minorHAnsi"/>
        </w:rPr>
        <w:t>H</w:t>
      </w:r>
      <w:r w:rsidRPr="004206CA">
        <w:rPr>
          <w:rFonts w:cstheme="minorHAnsi"/>
        </w:rPr>
        <w:t xml:space="preserve">H QRP measure as a quality indicator in </w:t>
      </w:r>
      <w:r w:rsidR="00562F10">
        <w:rPr>
          <w:rFonts w:cstheme="minorHAnsi"/>
        </w:rPr>
        <w:t>H</w:t>
      </w:r>
      <w:r w:rsidRPr="004206CA">
        <w:rPr>
          <w:rFonts w:cstheme="minorHAnsi"/>
        </w:rPr>
        <w:t>H settings.</w:t>
      </w:r>
      <w:r>
        <w:rPr>
          <w:rStyle w:val="FootnoteReference"/>
        </w:rPr>
        <w:footnoteReference w:id="35"/>
      </w:r>
    </w:p>
    <w:p w14:paraId="325CDC4D" w14:textId="77777777" w:rsidR="004206CA" w:rsidRPr="004206CA" w:rsidRDefault="004206CA" w:rsidP="004206CA">
      <w:pPr>
        <w:pStyle w:val="ListParagraph"/>
        <w:autoSpaceDE w:val="0"/>
        <w:autoSpaceDN w:val="0"/>
        <w:adjustRightInd w:val="0"/>
        <w:spacing w:after="0" w:line="240" w:lineRule="auto"/>
        <w:rPr>
          <w:rFonts w:cstheme="minorHAnsi"/>
          <w:bCs/>
        </w:rPr>
      </w:pPr>
    </w:p>
    <w:p w14:paraId="65BB5352" w14:textId="77777777" w:rsidR="00DE693F" w:rsidRDefault="009C7513" w:rsidP="00EA78B0">
      <w:pPr>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p>
    <w:p w14:paraId="52EA0B92" w14:textId="77777777" w:rsidR="00DE693F" w:rsidRPr="00DE693F" w:rsidRDefault="00DE693F" w:rsidP="00DE693F">
      <w:pPr>
        <w:pStyle w:val="ListParagraph"/>
        <w:numPr>
          <w:ilvl w:val="0"/>
          <w:numId w:val="33"/>
        </w:numPr>
        <w:spacing w:after="0" w:line="240" w:lineRule="auto"/>
      </w:pPr>
      <w:r>
        <w:rPr>
          <w:b/>
        </w:rPr>
        <w:t>Critical Data Elements V</w:t>
      </w:r>
      <w:r w:rsidR="00EA78B0" w:rsidRPr="00DE693F">
        <w:rPr>
          <w:b/>
        </w:rPr>
        <w:t>alidity</w:t>
      </w:r>
      <w:r>
        <w:rPr>
          <w:b/>
        </w:rPr>
        <w:t xml:space="preserve"> Testing Results</w:t>
      </w:r>
    </w:p>
    <w:p w14:paraId="6CB2E4B8" w14:textId="3535EE9D" w:rsidR="00DE693F" w:rsidRDefault="00DE693F" w:rsidP="00DE693F">
      <w:pPr>
        <w:pStyle w:val="ListParagraph"/>
        <w:numPr>
          <w:ilvl w:val="0"/>
          <w:numId w:val="34"/>
        </w:numPr>
        <w:spacing w:after="0" w:line="240" w:lineRule="auto"/>
      </w:pPr>
      <w:r w:rsidRPr="005029B4">
        <w:rPr>
          <w:rFonts w:cstheme="minorHAnsi"/>
          <w:b/>
        </w:rPr>
        <w:t xml:space="preserve">Correctness of discharge to community setting based on </w:t>
      </w:r>
      <w:r>
        <w:rPr>
          <w:rFonts w:cstheme="minorHAnsi"/>
          <w:b/>
        </w:rPr>
        <w:t xml:space="preserve">the HH claim: </w:t>
      </w:r>
      <w:r w:rsidRPr="005029B4">
        <w:rPr>
          <w:rFonts w:cstheme="minorHAnsi"/>
        </w:rPr>
        <w:t xml:space="preserve">Our findings </w:t>
      </w:r>
      <w:r>
        <w:rPr>
          <w:rFonts w:cstheme="minorHAnsi"/>
        </w:rPr>
        <w:t>indicated</w:t>
      </w:r>
      <w:r w:rsidRPr="005029B4">
        <w:rPr>
          <w:rFonts w:cstheme="minorHAnsi"/>
        </w:rPr>
        <w:t xml:space="preserve"> </w:t>
      </w:r>
      <w:r>
        <w:rPr>
          <w:rFonts w:cstheme="minorHAnsi"/>
        </w:rPr>
        <w:t xml:space="preserve">excellent </w:t>
      </w:r>
      <w:r w:rsidRPr="005029B4">
        <w:rPr>
          <w:rFonts w:cstheme="minorHAnsi"/>
        </w:rPr>
        <w:t xml:space="preserve">accuracy of discharge to community based on the </w:t>
      </w:r>
      <w:r w:rsidR="00C55189">
        <w:rPr>
          <w:rFonts w:cstheme="minorHAnsi"/>
        </w:rPr>
        <w:t>HH</w:t>
      </w:r>
      <w:r w:rsidRPr="005029B4">
        <w:rPr>
          <w:rFonts w:cstheme="minorHAnsi"/>
        </w:rPr>
        <w:t xml:space="preserve"> claim, </w:t>
      </w:r>
      <w:r>
        <w:rPr>
          <w:rFonts w:cstheme="minorHAnsi"/>
        </w:rPr>
        <w:t>as compared with both authoritative sources</w:t>
      </w:r>
      <w:r w:rsidRPr="005029B4">
        <w:rPr>
          <w:rFonts w:cstheme="minorHAnsi"/>
        </w:rPr>
        <w:t xml:space="preserve">. Over 96% of patients identified as discharged to community based on the </w:t>
      </w:r>
      <w:r w:rsidR="00C55189">
        <w:rPr>
          <w:rFonts w:cstheme="minorHAnsi"/>
        </w:rPr>
        <w:t>OASIS-C1 assessment</w:t>
      </w:r>
      <w:r w:rsidRPr="005029B4">
        <w:rPr>
          <w:rFonts w:cstheme="minorHAnsi"/>
        </w:rPr>
        <w:t xml:space="preserve"> were also identified as discharged to community based on the </w:t>
      </w:r>
      <w:r w:rsidR="00C55189">
        <w:rPr>
          <w:rFonts w:cstheme="minorHAnsi"/>
        </w:rPr>
        <w:t>HH</w:t>
      </w:r>
      <w:r w:rsidRPr="005029B4">
        <w:rPr>
          <w:rFonts w:cstheme="minorHAnsi"/>
        </w:rPr>
        <w:t xml:space="preserve"> claim. Only </w:t>
      </w:r>
      <w:r w:rsidR="00C55189">
        <w:rPr>
          <w:rFonts w:cstheme="minorHAnsi"/>
        </w:rPr>
        <w:t>1</w:t>
      </w:r>
      <w:r w:rsidRPr="005029B4">
        <w:rPr>
          <w:rFonts w:cstheme="minorHAnsi"/>
        </w:rPr>
        <w:t>.</w:t>
      </w:r>
      <w:r w:rsidR="00C55189">
        <w:rPr>
          <w:rFonts w:cstheme="minorHAnsi"/>
        </w:rPr>
        <w:t>6</w:t>
      </w:r>
      <w:r w:rsidRPr="005029B4">
        <w:rPr>
          <w:rFonts w:cstheme="minorHAnsi"/>
        </w:rPr>
        <w:t xml:space="preserve">% of patients identified as discharged to community based on the </w:t>
      </w:r>
      <w:r w:rsidR="00C55189">
        <w:rPr>
          <w:rFonts w:cstheme="minorHAnsi"/>
        </w:rPr>
        <w:t>HH</w:t>
      </w:r>
      <w:r w:rsidRPr="005029B4">
        <w:rPr>
          <w:rFonts w:cstheme="minorHAnsi"/>
        </w:rPr>
        <w:t xml:space="preserve"> claim had an acute, IRF, SNF</w:t>
      </w:r>
      <w:r w:rsidR="00C55189">
        <w:rPr>
          <w:rFonts w:cstheme="minorHAnsi"/>
        </w:rPr>
        <w:t>,</w:t>
      </w:r>
      <w:r w:rsidRPr="005029B4">
        <w:rPr>
          <w:rFonts w:cstheme="minorHAnsi"/>
        </w:rPr>
        <w:t xml:space="preserve"> or LTCH claim on the day of or day after </w:t>
      </w:r>
      <w:r w:rsidR="00C55189">
        <w:rPr>
          <w:rFonts w:cstheme="minorHAnsi"/>
        </w:rPr>
        <w:t>HH</w:t>
      </w:r>
      <w:r w:rsidRPr="005029B4">
        <w:rPr>
          <w:rFonts w:cstheme="minorHAnsi"/>
        </w:rPr>
        <w:t xml:space="preserve"> discharge. The excellent agreement between </w:t>
      </w:r>
      <w:r w:rsidR="00C55189">
        <w:rPr>
          <w:rFonts w:cstheme="minorHAnsi"/>
        </w:rPr>
        <w:t>OASIS-C1 assessment</w:t>
      </w:r>
      <w:r w:rsidRPr="005029B4">
        <w:rPr>
          <w:rFonts w:cstheme="minorHAnsi"/>
        </w:rPr>
        <w:t xml:space="preserve"> and </w:t>
      </w:r>
      <w:r w:rsidR="00C55189">
        <w:rPr>
          <w:rFonts w:cstheme="minorHAnsi"/>
        </w:rPr>
        <w:t>HH</w:t>
      </w:r>
      <w:r w:rsidRPr="005029B4">
        <w:rPr>
          <w:rFonts w:cstheme="minorHAnsi"/>
        </w:rPr>
        <w:t xml:space="preserve"> claim discharge to community, along with the absence of institutional transfer claims in </w:t>
      </w:r>
      <w:r w:rsidR="00C55189">
        <w:rPr>
          <w:rFonts w:cstheme="minorHAnsi"/>
        </w:rPr>
        <w:t>98.4</w:t>
      </w:r>
      <w:r w:rsidRPr="005029B4">
        <w:rPr>
          <w:rFonts w:cstheme="minorHAnsi"/>
        </w:rPr>
        <w:t xml:space="preserve">% of patients discharged to community provide strong evidence for critical data element validity of the </w:t>
      </w:r>
      <w:r w:rsidR="00C55189">
        <w:rPr>
          <w:rFonts w:cstheme="minorHAnsi"/>
        </w:rPr>
        <w:t>HH</w:t>
      </w:r>
      <w:r w:rsidRPr="005029B4">
        <w:rPr>
          <w:rFonts w:cstheme="minorHAnsi"/>
        </w:rPr>
        <w:t xml:space="preserve"> claim d</w:t>
      </w:r>
      <w:r>
        <w:rPr>
          <w:rFonts w:cstheme="minorHAnsi"/>
        </w:rPr>
        <w:t>ischarge to community component based on the Patient Discharge Status code.</w:t>
      </w:r>
    </w:p>
    <w:p w14:paraId="60BDF887" w14:textId="748081BF" w:rsidR="00EA78B0" w:rsidRPr="006B3CAE" w:rsidRDefault="00C55189" w:rsidP="00DE693F">
      <w:pPr>
        <w:pStyle w:val="ListParagraph"/>
        <w:numPr>
          <w:ilvl w:val="0"/>
          <w:numId w:val="34"/>
        </w:numPr>
        <w:spacing w:after="0" w:line="240" w:lineRule="auto"/>
      </w:pPr>
      <w:r w:rsidRPr="00C55189">
        <w:rPr>
          <w:b/>
        </w:rPr>
        <w:t>Known-groups validity</w:t>
      </w:r>
      <w:r>
        <w:t xml:space="preserve">: </w:t>
      </w:r>
      <w:r w:rsidR="00EA78B0">
        <w:t xml:space="preserve">At the </w:t>
      </w:r>
      <w:r w:rsidR="00EA78B0" w:rsidRPr="008222EE">
        <w:t>patient</w:t>
      </w:r>
      <w:r w:rsidR="00EA78B0">
        <w:t xml:space="preserve"> stay</w:t>
      </w:r>
      <w:r>
        <w:t>-</w:t>
      </w:r>
      <w:r w:rsidR="00EA78B0" w:rsidRPr="008222EE">
        <w:t xml:space="preserve">level </w:t>
      </w:r>
      <w:r w:rsidR="00EA78B0">
        <w:t>the results presented above generally support the hypotheses that patients with higher functioning</w:t>
      </w:r>
      <w:r>
        <w:t xml:space="preserve"> abilities</w:t>
      </w:r>
      <w:r w:rsidR="00EA78B0">
        <w:t xml:space="preserve">, and patients </w:t>
      </w:r>
      <w:r w:rsidR="00326EFD">
        <w:t xml:space="preserve">not </w:t>
      </w:r>
      <w:r w:rsidR="000527BC">
        <w:t xml:space="preserve">seeking emergent care </w:t>
      </w:r>
      <w:r w:rsidR="00326EFD">
        <w:t>for</w:t>
      </w:r>
      <w:r w:rsidR="00EA78B0">
        <w:t xml:space="preserve"> falls are more likely to be successfully discharged to the community. Taken together, these findings </w:t>
      </w:r>
      <w:r w:rsidR="00EA78B0" w:rsidRPr="00CE5A2A">
        <w:t>demonstrat</w:t>
      </w:r>
      <w:r w:rsidR="00EA78B0">
        <w:t>e</w:t>
      </w:r>
      <w:r w:rsidR="00EA78B0" w:rsidRPr="00CE5A2A">
        <w:t xml:space="preserve"> that the </w:t>
      </w:r>
      <w:r w:rsidR="00EA78B0">
        <w:t xml:space="preserve">critical </w:t>
      </w:r>
      <w:r w:rsidR="00EA78B0" w:rsidRPr="00CE5A2A">
        <w:t xml:space="preserve">data elements </w:t>
      </w:r>
      <w:r w:rsidR="00EA78B0">
        <w:t xml:space="preserve">used to calculate the primary outcome for the Discharge to Community measure </w:t>
      </w:r>
      <w:r w:rsidR="00EA78B0" w:rsidRPr="00CE5A2A">
        <w:t>are</w:t>
      </w:r>
      <w:r w:rsidR="00EA78B0">
        <w:t xml:space="preserve"> correct and valid indicators of a patient’s actual discharge destination.</w:t>
      </w:r>
    </w:p>
    <w:p w14:paraId="1FBD7B52" w14:textId="7C1C335C" w:rsidR="007422FD" w:rsidRDefault="007422FD" w:rsidP="00DB3627">
      <w:pPr>
        <w:autoSpaceDE w:val="0"/>
        <w:autoSpaceDN w:val="0"/>
        <w:adjustRightInd w:val="0"/>
        <w:spacing w:after="0" w:line="240" w:lineRule="auto"/>
        <w:rPr>
          <w:rFonts w:cstheme="minorHAnsi"/>
          <w:bCs/>
        </w:rPr>
      </w:pPr>
    </w:p>
    <w:p w14:paraId="2FF8BCA9" w14:textId="5FF55D07" w:rsidR="00263227" w:rsidRPr="00C55189" w:rsidRDefault="00263227" w:rsidP="00C55189">
      <w:pPr>
        <w:pStyle w:val="ListParagraph"/>
        <w:numPr>
          <w:ilvl w:val="0"/>
          <w:numId w:val="33"/>
        </w:numPr>
        <w:autoSpaceDE w:val="0"/>
        <w:autoSpaceDN w:val="0"/>
        <w:adjustRightInd w:val="0"/>
        <w:spacing w:after="0" w:line="240" w:lineRule="auto"/>
        <w:rPr>
          <w:rFonts w:cstheme="minorHAnsi"/>
          <w:bCs/>
        </w:rPr>
      </w:pPr>
      <w:r w:rsidRPr="00C55189">
        <w:rPr>
          <w:rFonts w:cstheme="minorHAnsi"/>
          <w:b/>
          <w:bCs/>
        </w:rPr>
        <w:t>Performance Measure Score</w:t>
      </w:r>
      <w:r w:rsidR="00C55189" w:rsidRPr="00C55189">
        <w:rPr>
          <w:rFonts w:cstheme="minorHAnsi"/>
          <w:b/>
          <w:bCs/>
        </w:rPr>
        <w:t xml:space="preserve"> </w:t>
      </w:r>
      <w:r w:rsidR="00C55189" w:rsidRPr="005029B4">
        <w:rPr>
          <w:rFonts w:cstheme="minorHAnsi"/>
          <w:b/>
          <w:bCs/>
        </w:rPr>
        <w:t>Validity Testing</w:t>
      </w:r>
      <w:r w:rsidR="00C55189" w:rsidRPr="005029B4">
        <w:rPr>
          <w:rFonts w:cstheme="minorHAnsi"/>
        </w:rPr>
        <w:t xml:space="preserve"> </w:t>
      </w:r>
      <w:r w:rsidR="00C55189" w:rsidRPr="005029B4">
        <w:rPr>
          <w:rFonts w:cstheme="minorHAnsi"/>
          <w:b/>
        </w:rPr>
        <w:t>Results</w:t>
      </w:r>
      <w:r w:rsidR="00C55189" w:rsidRPr="005029B4">
        <w:rPr>
          <w:rFonts w:cstheme="minorHAnsi"/>
        </w:rPr>
        <w:t xml:space="preserve">: </w:t>
      </w:r>
      <w:r w:rsidR="00AB6C39" w:rsidRPr="00C55189">
        <w:rPr>
          <w:rFonts w:cstheme="minorHAnsi"/>
          <w:bCs/>
        </w:rPr>
        <w:t>We examined whether an HHA score and rank on the Discharge to Community was correlated with its score and rank on other quality measures in the same clinically related group. We found that the correlation between an HHA’s performance score and percentile ranks on these were generally in the hypothesized direction, small</w:t>
      </w:r>
      <w:r w:rsidR="00AB6C39" w:rsidRPr="00B26F2B">
        <w:t>, (</w:t>
      </w:r>
      <w:r w:rsidR="00AB6C39" w:rsidRPr="00C55189">
        <w:rPr>
          <w:i/>
          <w:iCs/>
        </w:rPr>
        <w:t>r</w:t>
      </w:r>
      <w:r w:rsidR="00AB6C39" w:rsidRPr="00B26F2B">
        <w:t xml:space="preserve"> = </w:t>
      </w:r>
      <w:r w:rsidR="00AB6C39">
        <w:t>-</w:t>
      </w:r>
      <w:r w:rsidR="00AB6C39" w:rsidRPr="00B26F2B">
        <w:t>0.</w:t>
      </w:r>
      <w:r w:rsidR="00AB6C39">
        <w:t>004 through -0.19), except for the PPR measure (</w:t>
      </w:r>
      <w:r w:rsidR="00AB6C39" w:rsidRPr="00C55189">
        <w:rPr>
          <w:i/>
          <w:iCs/>
        </w:rPr>
        <w:t>r</w:t>
      </w:r>
      <w:r w:rsidR="00AB6C39" w:rsidRPr="00B26F2B">
        <w:t xml:space="preserve"> = </w:t>
      </w:r>
      <w:r w:rsidR="00AB6C39">
        <w:t xml:space="preserve">-0.60) </w:t>
      </w:r>
      <w:r w:rsidR="00AB6C39" w:rsidRPr="00B26F2B">
        <w:t>and statistically significant (</w:t>
      </w:r>
      <w:r w:rsidR="00AB6C39" w:rsidRPr="00C55189">
        <w:rPr>
          <w:i/>
          <w:iCs/>
        </w:rPr>
        <w:t>p</w:t>
      </w:r>
      <w:r w:rsidR="00AB6C39" w:rsidRPr="00B26F2B">
        <w:t xml:space="preserve"> &lt; 0.001)</w:t>
      </w:r>
      <w:r w:rsidR="00AB6C39" w:rsidRPr="00C55189">
        <w:rPr>
          <w:rFonts w:cstheme="minorHAnsi"/>
          <w:bCs/>
        </w:rPr>
        <w:t xml:space="preserve">.  The relatively large magnitude of the correlation with the PPR measure was expected because the PPR measure captures post-discharge outcomes and requires </w:t>
      </w:r>
      <w:r w:rsidR="006F5E43" w:rsidRPr="00C55189">
        <w:rPr>
          <w:rFonts w:cstheme="minorHAnsi"/>
          <w:bCs/>
        </w:rPr>
        <w:t>a discharge</w:t>
      </w:r>
      <w:r w:rsidR="00AB6C39" w:rsidRPr="00C55189">
        <w:rPr>
          <w:rFonts w:cstheme="minorHAnsi"/>
          <w:bCs/>
        </w:rPr>
        <w:t xml:space="preserve"> to community</w:t>
      </w:r>
      <w:r w:rsidR="006F5E43" w:rsidRPr="00C55189">
        <w:rPr>
          <w:rFonts w:cstheme="minorHAnsi"/>
          <w:bCs/>
        </w:rPr>
        <w:t>/self-care status</w:t>
      </w:r>
      <w:r w:rsidR="00AB6C39" w:rsidRPr="00C55189">
        <w:rPr>
          <w:rFonts w:cstheme="minorHAnsi"/>
          <w:bCs/>
        </w:rPr>
        <w:t xml:space="preserve"> for inclusion in the measure denominator. </w:t>
      </w:r>
      <w:r w:rsidR="000956F9" w:rsidRPr="00C55189">
        <w:rPr>
          <w:rFonts w:cstheme="minorHAnsi"/>
          <w:bCs/>
        </w:rPr>
        <w:t xml:space="preserve">With the Acute Care Hospitalization measure we would expect a smaller overlap </w:t>
      </w:r>
      <w:r w:rsidR="00106361" w:rsidRPr="00C55189">
        <w:rPr>
          <w:rFonts w:cstheme="minorHAnsi"/>
          <w:bCs/>
        </w:rPr>
        <w:t xml:space="preserve">in HH stays </w:t>
      </w:r>
      <w:r w:rsidR="000956F9" w:rsidRPr="00C55189">
        <w:rPr>
          <w:rFonts w:cstheme="minorHAnsi"/>
          <w:bCs/>
        </w:rPr>
        <w:t xml:space="preserve">with the DTC measure, as it captures outcomes during the first 60 days of home health </w:t>
      </w:r>
      <w:r w:rsidR="002978D0" w:rsidRPr="00C55189">
        <w:rPr>
          <w:rFonts w:cstheme="minorHAnsi"/>
          <w:bCs/>
        </w:rPr>
        <w:t xml:space="preserve">(i.e., the observation window can capture outcomes that may </w:t>
      </w:r>
      <w:r w:rsidR="002978D0" w:rsidRPr="00C55189">
        <w:rPr>
          <w:rFonts w:cstheme="minorHAnsi"/>
          <w:bCs/>
        </w:rPr>
        <w:lastRenderedPageBreak/>
        <w:t xml:space="preserve">occur during the home health stay, a portion of the home health stay, or post-discharge) </w:t>
      </w:r>
      <w:r w:rsidR="000956F9" w:rsidRPr="00C55189">
        <w:rPr>
          <w:rFonts w:cstheme="minorHAnsi"/>
          <w:bCs/>
        </w:rPr>
        <w:t xml:space="preserve">rather than </w:t>
      </w:r>
      <w:r w:rsidR="002978D0" w:rsidRPr="00C55189">
        <w:rPr>
          <w:rFonts w:cstheme="minorHAnsi"/>
          <w:bCs/>
        </w:rPr>
        <w:t xml:space="preserve">solely </w:t>
      </w:r>
      <w:r w:rsidR="000956F9" w:rsidRPr="00C55189">
        <w:rPr>
          <w:rFonts w:cstheme="minorHAnsi"/>
          <w:bCs/>
        </w:rPr>
        <w:t xml:space="preserve">capturing post-discharge outcomes. </w:t>
      </w:r>
      <w:r w:rsidR="00106361" w:rsidRPr="00C55189">
        <w:rPr>
          <w:rFonts w:cstheme="minorHAnsi"/>
          <w:bCs/>
        </w:rPr>
        <w:t>However, s</w:t>
      </w:r>
      <w:r w:rsidR="000956F9" w:rsidRPr="00C55189">
        <w:rPr>
          <w:rFonts w:cstheme="minorHAnsi"/>
          <w:bCs/>
        </w:rPr>
        <w:t xml:space="preserve">ince both measures </w:t>
      </w:r>
      <w:r w:rsidR="00B06522" w:rsidRPr="00C55189">
        <w:rPr>
          <w:rFonts w:cstheme="minorHAnsi"/>
          <w:bCs/>
        </w:rPr>
        <w:t xml:space="preserve">can </w:t>
      </w:r>
      <w:r w:rsidR="000956F9" w:rsidRPr="00C55189">
        <w:rPr>
          <w:rFonts w:cstheme="minorHAnsi"/>
          <w:bCs/>
        </w:rPr>
        <w:t>capture</w:t>
      </w:r>
      <w:r w:rsidR="00B06522" w:rsidRPr="00C55189">
        <w:rPr>
          <w:rFonts w:cstheme="minorHAnsi"/>
          <w:bCs/>
        </w:rPr>
        <w:t xml:space="preserve"> post-discharge</w:t>
      </w:r>
      <w:r w:rsidR="000956F9" w:rsidRPr="00C55189">
        <w:rPr>
          <w:rFonts w:cstheme="minorHAnsi"/>
          <w:bCs/>
        </w:rPr>
        <w:t xml:space="preserve"> unplanned admissions, we </w:t>
      </w:r>
      <w:r w:rsidR="00106361" w:rsidRPr="00C55189">
        <w:rPr>
          <w:rFonts w:cstheme="minorHAnsi"/>
          <w:bCs/>
        </w:rPr>
        <w:t xml:space="preserve">would still expect to see a noticeable negative correlation between the two </w:t>
      </w:r>
      <w:r w:rsidR="00B06522" w:rsidRPr="00C55189">
        <w:rPr>
          <w:rFonts w:cstheme="minorHAnsi"/>
          <w:bCs/>
        </w:rPr>
        <w:t>rates</w:t>
      </w:r>
      <w:r w:rsidR="00106361" w:rsidRPr="00C55189">
        <w:rPr>
          <w:rFonts w:cstheme="minorHAnsi"/>
          <w:bCs/>
        </w:rPr>
        <w:t xml:space="preserve">. </w:t>
      </w:r>
    </w:p>
    <w:p w14:paraId="0122E184" w14:textId="77777777" w:rsidR="0012156A" w:rsidRDefault="0012156A" w:rsidP="00263227">
      <w:pPr>
        <w:autoSpaceDE w:val="0"/>
        <w:autoSpaceDN w:val="0"/>
        <w:adjustRightInd w:val="0"/>
        <w:spacing w:after="0" w:line="240" w:lineRule="auto"/>
        <w:rPr>
          <w:rFonts w:cstheme="minorHAnsi"/>
          <w:bCs/>
        </w:rPr>
      </w:pPr>
    </w:p>
    <w:p w14:paraId="62FEB992" w14:textId="3B0A88DE" w:rsidR="00C55189" w:rsidRPr="00C55189" w:rsidRDefault="00C55189" w:rsidP="00C55189">
      <w:pPr>
        <w:pStyle w:val="ListParagraph"/>
        <w:numPr>
          <w:ilvl w:val="0"/>
          <w:numId w:val="33"/>
        </w:numPr>
        <w:autoSpaceDE w:val="0"/>
        <w:autoSpaceDN w:val="0"/>
        <w:adjustRightInd w:val="0"/>
        <w:spacing w:after="0" w:line="240" w:lineRule="auto"/>
        <w:rPr>
          <w:rFonts w:cstheme="minorHAnsi"/>
          <w:bCs/>
        </w:rPr>
      </w:pPr>
      <w:r w:rsidRPr="005029B4">
        <w:rPr>
          <w:rFonts w:cstheme="minorHAnsi"/>
          <w:b/>
        </w:rPr>
        <w:t>Systematic Assessment of Face Validity:</w:t>
      </w:r>
      <w:r>
        <w:rPr>
          <w:rFonts w:cstheme="minorHAnsi"/>
          <w:b/>
        </w:rPr>
        <w:t xml:space="preserve"> </w:t>
      </w:r>
      <w:r w:rsidRPr="0062706D">
        <w:rPr>
          <w:rFonts w:cstheme="minorHAnsi"/>
        </w:rPr>
        <w:t xml:space="preserve">As stated in </w:t>
      </w:r>
      <w:r w:rsidRPr="00C71E22">
        <w:rPr>
          <w:rFonts w:cstheme="minorHAnsi"/>
          <w:b/>
        </w:rPr>
        <w:t>2b1.3</w:t>
      </w:r>
      <w:r w:rsidRPr="0062706D">
        <w:rPr>
          <w:rFonts w:cstheme="minorHAnsi"/>
        </w:rPr>
        <w:t>, we found extensive support for the face validity and importance of the discharge to community measure as an indicator of quality of care based on our environmental scan, TEP feedbac</w:t>
      </w:r>
      <w:r>
        <w:rPr>
          <w:rFonts w:cstheme="minorHAnsi"/>
        </w:rPr>
        <w:t>k, and public comment feedback.</w:t>
      </w:r>
    </w:p>
    <w:p w14:paraId="323241DF" w14:textId="77777777" w:rsidR="0012156A" w:rsidRPr="00514842" w:rsidRDefault="0012156A" w:rsidP="00263227">
      <w:pPr>
        <w:autoSpaceDE w:val="0"/>
        <w:autoSpaceDN w:val="0"/>
        <w:adjustRightInd w:val="0"/>
        <w:spacing w:after="0" w:line="240" w:lineRule="auto"/>
        <w:rPr>
          <w:rFonts w:cstheme="minorHAnsi"/>
          <w:bCs/>
        </w:rPr>
      </w:pPr>
    </w:p>
    <w:p w14:paraId="4330BBED"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3FA64359"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68727569" w14:textId="7777777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565946">
          <w:rPr>
            <w:rStyle w:val="Hyperlink"/>
            <w:rFonts w:cstheme="minorHAnsi"/>
            <w:b/>
            <w:bCs/>
            <w:i/>
            <w:highlight w:val="green"/>
          </w:rPr>
          <w:t>3</w:t>
        </w:r>
      </w:hyperlink>
    </w:p>
    <w:p w14:paraId="0A0F334F" w14:textId="77777777" w:rsidR="00001D73" w:rsidRDefault="00001D73" w:rsidP="00DB3627">
      <w:pPr>
        <w:autoSpaceDE w:val="0"/>
        <w:autoSpaceDN w:val="0"/>
        <w:adjustRightInd w:val="0"/>
        <w:spacing w:after="0" w:line="240" w:lineRule="auto"/>
        <w:rPr>
          <w:rFonts w:cstheme="minorHAnsi"/>
          <w:b/>
          <w:bCs/>
        </w:rPr>
      </w:pPr>
    </w:p>
    <w:p w14:paraId="04302256" w14:textId="77777777" w:rsidR="00833325" w:rsidRPr="00DA3D36" w:rsidRDefault="00092566" w:rsidP="00DB3627">
      <w:pPr>
        <w:autoSpaceDE w:val="0"/>
        <w:autoSpaceDN w:val="0"/>
        <w:adjustRightInd w:val="0"/>
        <w:spacing w:after="0" w:line="240" w:lineRule="auto"/>
        <w:rPr>
          <w:rFonts w:cstheme="minorHAnsi"/>
          <w:bCs/>
          <w:color w:val="C00000"/>
          <w:sz w:val="12"/>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385722A3" w14:textId="77777777" w:rsidR="00D90A25" w:rsidRPr="008C1912" w:rsidRDefault="00D90A25" w:rsidP="00D90A25">
      <w:pPr>
        <w:autoSpaceDE w:val="0"/>
        <w:autoSpaceDN w:val="0"/>
        <w:adjustRightInd w:val="0"/>
        <w:spacing w:after="0" w:line="240" w:lineRule="auto"/>
      </w:pPr>
      <w:r w:rsidRPr="005029B4">
        <w:rPr>
          <w:rFonts w:cstheme="minorHAnsi"/>
        </w:rPr>
        <w:t>Measure exclusion criteria and rationale for exclusion</w:t>
      </w:r>
      <w:r>
        <w:rPr>
          <w:rFonts w:cstheme="minorHAnsi"/>
        </w:rPr>
        <w:t>s</w:t>
      </w:r>
      <w:r w:rsidRPr="005029B4">
        <w:rPr>
          <w:rFonts w:cstheme="minorHAnsi"/>
        </w:rPr>
        <w:t xml:space="preserve"> are presented in </w:t>
      </w:r>
      <w:r w:rsidRPr="00C71E22">
        <w:rPr>
          <w:rFonts w:cstheme="minorHAnsi"/>
        </w:rPr>
        <w:t>section</w:t>
      </w:r>
      <w:r w:rsidRPr="005029B4">
        <w:rPr>
          <w:rFonts w:cstheme="minorHAnsi"/>
          <w:b/>
        </w:rPr>
        <w:t xml:space="preserve"> 2b2.3</w:t>
      </w:r>
      <w:r w:rsidRPr="005029B4">
        <w:rPr>
          <w:rFonts w:cstheme="minorHAnsi"/>
        </w:rPr>
        <w:t xml:space="preserve">. We calculated the </w:t>
      </w:r>
      <w:r>
        <w:rPr>
          <w:rFonts w:cstheme="minorHAnsi"/>
        </w:rPr>
        <w:t xml:space="preserve">stay-level </w:t>
      </w:r>
      <w:r w:rsidRPr="005029B4">
        <w:rPr>
          <w:rFonts w:cstheme="minorHAnsi"/>
        </w:rPr>
        <w:t>frequency of each exclusion</w:t>
      </w:r>
      <w:r>
        <w:rPr>
          <w:rFonts w:cstheme="minorHAnsi"/>
        </w:rPr>
        <w:t xml:space="preserve"> and the HHA-level distribution of exclusions</w:t>
      </w:r>
      <w:r w:rsidRPr="005029B4">
        <w:rPr>
          <w:rFonts w:cstheme="minorHAnsi"/>
        </w:rPr>
        <w:t>. Most exclusions were required to ensure availability of complete and valid</w:t>
      </w:r>
      <w:r>
        <w:rPr>
          <w:rFonts w:cstheme="minorHAnsi"/>
        </w:rPr>
        <w:t xml:space="preserve"> data for measure specification </w:t>
      </w:r>
      <w:r w:rsidRPr="005029B4">
        <w:rPr>
          <w:rFonts w:cstheme="minorHAnsi"/>
        </w:rPr>
        <w:t>(e.g., exclusion of patients without continuous FFS enrollment)</w:t>
      </w:r>
      <w:r>
        <w:rPr>
          <w:rFonts w:cstheme="minorHAnsi"/>
        </w:rPr>
        <w:t xml:space="preserve">, </w:t>
      </w:r>
      <w:r w:rsidRPr="005029B4">
        <w:rPr>
          <w:rFonts w:cstheme="minorHAnsi"/>
        </w:rPr>
        <w:t>had strong face validity (e.g., discharges against medical advice or to court/law enforcement), or were aligned with exclusi</w:t>
      </w:r>
      <w:r>
        <w:rPr>
          <w:rFonts w:cstheme="minorHAnsi"/>
        </w:rPr>
        <w:t xml:space="preserve">on criteria in similar measures; </w:t>
      </w:r>
      <w:r w:rsidRPr="005029B4">
        <w:rPr>
          <w:rFonts w:cstheme="minorHAnsi"/>
        </w:rPr>
        <w:t>thus, we did not examine the impact of these exclusions.</w:t>
      </w:r>
    </w:p>
    <w:p w14:paraId="2FE377EA" w14:textId="77777777" w:rsidR="00D607DA" w:rsidRPr="003A7B84" w:rsidRDefault="00D607DA" w:rsidP="00D607DA">
      <w:pPr>
        <w:pStyle w:val="ListParagraph"/>
        <w:autoSpaceDE w:val="0"/>
        <w:autoSpaceDN w:val="0"/>
        <w:adjustRightInd w:val="0"/>
        <w:spacing w:after="0" w:line="240" w:lineRule="auto"/>
        <w:rPr>
          <w:rFonts w:cstheme="minorHAnsi"/>
          <w:bCs/>
        </w:rPr>
      </w:pPr>
    </w:p>
    <w:p w14:paraId="447C1703" w14:textId="77777777" w:rsidR="007422FD" w:rsidRPr="00DA3D36" w:rsidRDefault="00092566" w:rsidP="00092566">
      <w:pPr>
        <w:autoSpaceDE w:val="0"/>
        <w:autoSpaceDN w:val="0"/>
        <w:adjustRightInd w:val="0"/>
        <w:spacing w:after="0" w:line="240" w:lineRule="auto"/>
        <w:rPr>
          <w:rFonts w:cstheme="minorHAnsi"/>
          <w:bCs/>
          <w:color w:val="C00000"/>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19A9B4B9" w14:textId="0EC38834" w:rsidR="00D90A25" w:rsidRDefault="00D90A25" w:rsidP="00D90A25">
      <w:pPr>
        <w:pStyle w:val="ListParagraph"/>
        <w:autoSpaceDE w:val="0"/>
        <w:autoSpaceDN w:val="0"/>
        <w:adjustRightInd w:val="0"/>
        <w:spacing w:after="0" w:line="240" w:lineRule="auto"/>
        <w:ind w:left="0"/>
        <w:rPr>
          <w:rFonts w:cstheme="minorHAnsi"/>
          <w:bCs/>
        </w:rPr>
      </w:pPr>
      <w:r w:rsidRPr="31DC5885">
        <w:rPr>
          <w:b/>
          <w:bCs/>
        </w:rPr>
        <w:t xml:space="preserve">Table </w:t>
      </w:r>
      <w:r>
        <w:rPr>
          <w:b/>
          <w:bCs/>
        </w:rPr>
        <w:t>10</w:t>
      </w:r>
      <w:r>
        <w:t xml:space="preserve"> displays the </w:t>
      </w:r>
      <w:r w:rsidRPr="005029B4">
        <w:rPr>
          <w:rFonts w:cstheme="minorHAnsi"/>
        </w:rPr>
        <w:t>overall number and percentage of patient stays excluded based on each criterion</w:t>
      </w:r>
      <w:r w:rsidRPr="31DC5885">
        <w:t xml:space="preserve">. </w:t>
      </w:r>
      <w:r w:rsidRPr="005029B4">
        <w:rPr>
          <w:rFonts w:cstheme="minorHAnsi"/>
        </w:rPr>
        <w:t xml:space="preserve">Because the exclusions are not applied </w:t>
      </w:r>
      <w:r>
        <w:rPr>
          <w:rFonts w:cstheme="minorHAnsi"/>
        </w:rPr>
        <w:t>sequentially</w:t>
      </w:r>
      <w:r w:rsidRPr="005029B4">
        <w:rPr>
          <w:rFonts w:cstheme="minorHAnsi"/>
        </w:rPr>
        <w:t>, one patient-stay could be excluded for multiple reasons</w:t>
      </w:r>
      <w:r>
        <w:rPr>
          <w:rFonts w:cstheme="minorHAnsi"/>
        </w:rPr>
        <w:t xml:space="preserve"> </w:t>
      </w:r>
      <w:r w:rsidRPr="00B54839">
        <w:rPr>
          <w:rFonts w:cstheme="minorHAnsi"/>
        </w:rPr>
        <w:t>and the sum of individual exclusion frequencies may exceed the to</w:t>
      </w:r>
      <w:r>
        <w:rPr>
          <w:rFonts w:cstheme="minorHAnsi"/>
        </w:rPr>
        <w:t>tal number of patient stays excluded</w:t>
      </w:r>
      <w:r w:rsidRPr="005029B4">
        <w:rPr>
          <w:rFonts w:cstheme="minorHAnsi"/>
        </w:rPr>
        <w:t xml:space="preserve">. </w:t>
      </w:r>
      <w:r>
        <w:rPr>
          <w:rFonts w:cstheme="minorHAnsi"/>
        </w:rPr>
        <w:t xml:space="preserve">Overall, 22.7% of stays were excluded because of one or more exclusion criteria. </w:t>
      </w:r>
      <w:r>
        <w:t xml:space="preserve">The exclusion criteria with the greatest frequency is </w:t>
      </w:r>
      <w:r>
        <w:rPr>
          <w:rFonts w:ascii="Calibri" w:hAnsi="Calibri"/>
          <w:color w:val="000000"/>
        </w:rPr>
        <w:t xml:space="preserve">for patients who are not continuously enrolled in Medicare Fee-For-Service Parts A and B (not C) from 12 months prior to the start of the stay through the 31 days after discharge (12.1% excluded). The next most frequent </w:t>
      </w:r>
      <w:r>
        <w:t xml:space="preserve">reasons for exclusion were stays </w:t>
      </w:r>
      <w:r w:rsidR="00152B7A">
        <w:t>for</w:t>
      </w:r>
      <w:r>
        <w:rPr>
          <w:rFonts w:ascii="Calibri" w:hAnsi="Calibri"/>
          <w:color w:val="000000"/>
        </w:rPr>
        <w:t xml:space="preserve"> patient</w:t>
      </w:r>
      <w:r w:rsidR="00152B7A">
        <w:rPr>
          <w:rFonts w:ascii="Calibri" w:hAnsi="Calibri"/>
          <w:color w:val="000000"/>
        </w:rPr>
        <w:t>s</w:t>
      </w:r>
      <w:r>
        <w:rPr>
          <w:rFonts w:ascii="Calibri" w:hAnsi="Calibri"/>
          <w:color w:val="000000"/>
        </w:rPr>
        <w:t xml:space="preserve"> enrolled in hospice during the post-discharge observation window (5.7%),</w:t>
      </w:r>
      <w:r w:rsidR="00152B7A">
        <w:rPr>
          <w:rFonts w:ascii="Calibri" w:hAnsi="Calibri"/>
          <w:color w:val="000000"/>
        </w:rPr>
        <w:t xml:space="preserve"> stays for patients</w:t>
      </w:r>
      <w:r>
        <w:rPr>
          <w:rFonts w:ascii="Calibri" w:hAnsi="Calibri"/>
          <w:color w:val="000000"/>
        </w:rPr>
        <w:t xml:space="preserve"> discharged to another home health agency (4.2%), and </w:t>
      </w:r>
      <w:r w:rsidR="00152B7A">
        <w:rPr>
          <w:rFonts w:ascii="Calibri" w:hAnsi="Calibri"/>
          <w:color w:val="000000"/>
        </w:rPr>
        <w:t xml:space="preserve">stays for </w:t>
      </w:r>
      <w:r>
        <w:rPr>
          <w:rFonts w:ascii="Calibri" w:hAnsi="Calibri"/>
          <w:color w:val="000000"/>
        </w:rPr>
        <w:t>patient</w:t>
      </w:r>
      <w:r w:rsidR="00152B7A">
        <w:rPr>
          <w:rFonts w:ascii="Calibri" w:hAnsi="Calibri"/>
          <w:color w:val="000000"/>
        </w:rPr>
        <w:t>s that have</w:t>
      </w:r>
      <w:r>
        <w:rPr>
          <w:rFonts w:ascii="Calibri" w:hAnsi="Calibri"/>
          <w:color w:val="000000"/>
        </w:rPr>
        <w:t xml:space="preserve"> a prior proximal stay with a principal diagnosis for medical, nonsurgical, treatment of cancer (2.0%).</w:t>
      </w:r>
    </w:p>
    <w:p w14:paraId="1E86DC00" w14:textId="77777777" w:rsidR="00D90A25" w:rsidRPr="00DA3D36" w:rsidRDefault="00D90A25" w:rsidP="00D90A25">
      <w:pPr>
        <w:pStyle w:val="ListParagraph"/>
        <w:autoSpaceDE w:val="0"/>
        <w:autoSpaceDN w:val="0"/>
        <w:adjustRightInd w:val="0"/>
        <w:spacing w:after="0" w:line="240" w:lineRule="auto"/>
        <w:rPr>
          <w:color w:val="C00000"/>
        </w:rPr>
      </w:pPr>
    </w:p>
    <w:p w14:paraId="36B2A7B8" w14:textId="77777777" w:rsidR="00D90A25" w:rsidRPr="00203E01" w:rsidRDefault="00D90A25" w:rsidP="00D90A25">
      <w:pPr>
        <w:autoSpaceDE w:val="0"/>
        <w:autoSpaceDN w:val="0"/>
        <w:adjustRightInd w:val="0"/>
        <w:spacing w:after="0" w:line="240" w:lineRule="auto"/>
      </w:pPr>
      <w:bookmarkStart w:id="14" w:name="_Hlk519071071"/>
      <w:r w:rsidRPr="00FE7344">
        <w:rPr>
          <w:b/>
        </w:rPr>
        <w:t xml:space="preserve">Table </w:t>
      </w:r>
      <w:r>
        <w:rPr>
          <w:b/>
        </w:rPr>
        <w:t>10</w:t>
      </w:r>
      <w:r w:rsidRPr="00FE7344">
        <w:rPr>
          <w:b/>
        </w:rPr>
        <w:t>.</w:t>
      </w:r>
      <w:r>
        <w:t xml:space="preserve"> </w:t>
      </w:r>
      <w:r w:rsidRPr="00A10016">
        <w:rPr>
          <w:rFonts w:cstheme="minorHAnsi"/>
          <w:b/>
        </w:rPr>
        <w:t>Stay-Level Frequencies of Exclusion Criteri</w:t>
      </w:r>
      <w:r>
        <w:rPr>
          <w:rFonts w:cstheme="minorHAnsi"/>
          <w:b/>
        </w:rPr>
        <w:t>a for the DTC-PAC HH</w:t>
      </w:r>
      <w:r w:rsidRPr="00A10016">
        <w:rPr>
          <w:rFonts w:cstheme="minorHAnsi"/>
          <w:b/>
        </w:rPr>
        <w:t xml:space="preserve"> Measure</w:t>
      </w:r>
      <w:bookmarkEnd w:id="14"/>
    </w:p>
    <w:tbl>
      <w:tblPr>
        <w:tblStyle w:val="CMSTable"/>
        <w:tblW w:w="5048" w:type="pct"/>
        <w:jc w:val="center"/>
        <w:tblLayout w:type="fixed"/>
        <w:tblLook w:val="04A0" w:firstRow="1" w:lastRow="0" w:firstColumn="1" w:lastColumn="0" w:noHBand="0" w:noVBand="1"/>
      </w:tblPr>
      <w:tblGrid>
        <w:gridCol w:w="8987"/>
        <w:gridCol w:w="1032"/>
        <w:gridCol w:w="826"/>
      </w:tblGrid>
      <w:tr w:rsidR="00D90A25" w:rsidRPr="00266B2C" w14:paraId="1BB201C3" w14:textId="77777777" w:rsidTr="005160F0">
        <w:trPr>
          <w:cnfStyle w:val="100000000000" w:firstRow="1" w:lastRow="0" w:firstColumn="0" w:lastColumn="0" w:oddVBand="0" w:evenVBand="0" w:oddHBand="0" w:evenHBand="0" w:firstRowFirstColumn="0" w:firstRowLastColumn="0" w:lastRowFirstColumn="0" w:lastRowLastColumn="0"/>
          <w:trHeight w:val="150"/>
          <w:jc w:val="center"/>
        </w:trPr>
        <w:tc>
          <w:tcPr>
            <w:tcW w:w="4143" w:type="pct"/>
            <w:shd w:val="clear" w:color="auto" w:fill="D9D9D9" w:themeFill="background1" w:themeFillShade="D9"/>
            <w:hideMark/>
          </w:tcPr>
          <w:p w14:paraId="7ED90EC3" w14:textId="77777777" w:rsidR="00D90A25" w:rsidRPr="00266B2C" w:rsidRDefault="00D90A25" w:rsidP="005160F0">
            <w:pPr>
              <w:rPr>
                <w:rFonts w:ascii="Calibri" w:hAnsi="Calibri" w:cs="Calibri"/>
                <w:b/>
                <w:bCs/>
                <w:color w:val="000000"/>
                <w:sz w:val="21"/>
                <w:szCs w:val="21"/>
              </w:rPr>
            </w:pPr>
            <w:r w:rsidRPr="00266B2C">
              <w:rPr>
                <w:rFonts w:ascii="Calibri" w:hAnsi="Calibri" w:cs="Calibri"/>
                <w:b/>
                <w:bCs/>
                <w:color w:val="000000"/>
                <w:sz w:val="21"/>
                <w:szCs w:val="21"/>
              </w:rPr>
              <w:t>Exclusion</w:t>
            </w:r>
          </w:p>
        </w:tc>
        <w:tc>
          <w:tcPr>
            <w:tcW w:w="476" w:type="pct"/>
            <w:shd w:val="clear" w:color="auto" w:fill="D9D9D9" w:themeFill="background1" w:themeFillShade="D9"/>
            <w:hideMark/>
          </w:tcPr>
          <w:p w14:paraId="681855A2" w14:textId="77777777" w:rsidR="00D90A25" w:rsidRPr="00266B2C" w:rsidRDefault="00D90A25" w:rsidP="005160F0">
            <w:pPr>
              <w:jc w:val="right"/>
              <w:rPr>
                <w:rFonts w:ascii="Calibri" w:hAnsi="Calibri" w:cs="Calibri"/>
                <w:b/>
                <w:bCs/>
                <w:color w:val="000000"/>
                <w:sz w:val="21"/>
                <w:szCs w:val="21"/>
              </w:rPr>
            </w:pPr>
            <w:r w:rsidRPr="00266B2C">
              <w:rPr>
                <w:rFonts w:ascii="Calibri" w:hAnsi="Calibri" w:cs="Calibri"/>
                <w:b/>
                <w:bCs/>
                <w:color w:val="000000"/>
                <w:sz w:val="21"/>
                <w:szCs w:val="21"/>
              </w:rPr>
              <w:t>N</w:t>
            </w:r>
            <w:r>
              <w:rPr>
                <w:rFonts w:ascii="Calibri" w:hAnsi="Calibri" w:cs="Calibri"/>
                <w:b/>
                <w:bCs/>
                <w:color w:val="000000"/>
                <w:sz w:val="21"/>
                <w:szCs w:val="21"/>
              </w:rPr>
              <w:t>*</w:t>
            </w:r>
          </w:p>
        </w:tc>
        <w:tc>
          <w:tcPr>
            <w:tcW w:w="381" w:type="pct"/>
            <w:shd w:val="clear" w:color="auto" w:fill="D9D9D9" w:themeFill="background1" w:themeFillShade="D9"/>
            <w:hideMark/>
          </w:tcPr>
          <w:p w14:paraId="089A1F5E" w14:textId="77777777" w:rsidR="00D90A25" w:rsidRPr="00266B2C" w:rsidRDefault="00D90A25" w:rsidP="005160F0">
            <w:pPr>
              <w:rPr>
                <w:rFonts w:ascii="Calibri" w:hAnsi="Calibri" w:cs="Calibri"/>
                <w:b/>
                <w:bCs/>
                <w:color w:val="000000"/>
                <w:sz w:val="21"/>
                <w:szCs w:val="21"/>
              </w:rPr>
            </w:pPr>
            <w:r w:rsidRPr="00266B2C">
              <w:rPr>
                <w:rFonts w:ascii="Calibri" w:hAnsi="Calibri" w:cs="Calibri"/>
                <w:b/>
                <w:bCs/>
                <w:color w:val="000000"/>
                <w:sz w:val="21"/>
                <w:szCs w:val="21"/>
              </w:rPr>
              <w:t>%</w:t>
            </w:r>
          </w:p>
        </w:tc>
      </w:tr>
      <w:tr w:rsidR="00D90A25" w:rsidRPr="00266B2C" w14:paraId="02AB00D3" w14:textId="77777777" w:rsidTr="005160F0">
        <w:trPr>
          <w:trHeight w:val="144"/>
          <w:jc w:val="center"/>
        </w:trPr>
        <w:tc>
          <w:tcPr>
            <w:tcW w:w="4143" w:type="pct"/>
            <w:noWrap/>
            <w:vAlign w:val="bottom"/>
          </w:tcPr>
          <w:p w14:paraId="16FA5A8D" w14:textId="77777777" w:rsidR="00D90A25" w:rsidRPr="00376F80" w:rsidRDefault="00D90A25" w:rsidP="005160F0">
            <w:pPr>
              <w:rPr>
                <w:rFonts w:ascii="Calibri" w:hAnsi="Calibri" w:cs="Calibri"/>
                <w:color w:val="000000"/>
                <w:sz w:val="21"/>
                <w:szCs w:val="21"/>
              </w:rPr>
            </w:pPr>
            <w:r>
              <w:rPr>
                <w:rFonts w:ascii="Calibri" w:hAnsi="Calibri"/>
                <w:color w:val="000000"/>
                <w:szCs w:val="22"/>
              </w:rPr>
              <w:t xml:space="preserve">The patient is younger than 18 years old at the start of the stay. </w:t>
            </w:r>
          </w:p>
        </w:tc>
        <w:tc>
          <w:tcPr>
            <w:tcW w:w="476" w:type="pct"/>
          </w:tcPr>
          <w:p w14:paraId="1D709C5B" w14:textId="77777777" w:rsidR="00D90A25" w:rsidRPr="00266B2C" w:rsidRDefault="00D90A25" w:rsidP="005160F0">
            <w:pPr>
              <w:jc w:val="right"/>
              <w:rPr>
                <w:rFonts w:ascii="Calibri" w:hAnsi="Calibri" w:cs="Calibri"/>
                <w:color w:val="000000"/>
                <w:sz w:val="21"/>
                <w:szCs w:val="21"/>
              </w:rPr>
            </w:pPr>
            <w:r>
              <w:rPr>
                <w:rFonts w:ascii="Calibri" w:hAnsi="Calibri"/>
                <w:color w:val="000000"/>
                <w:szCs w:val="22"/>
              </w:rPr>
              <w:t>87</w:t>
            </w:r>
          </w:p>
        </w:tc>
        <w:tc>
          <w:tcPr>
            <w:tcW w:w="381" w:type="pct"/>
          </w:tcPr>
          <w:p w14:paraId="042B0D54" w14:textId="77777777" w:rsidR="00D90A25" w:rsidRPr="001157BC" w:rsidRDefault="00D90A25" w:rsidP="005160F0">
            <w:pPr>
              <w:jc w:val="right"/>
              <w:rPr>
                <w:rFonts w:ascii="Calibri" w:hAnsi="Calibri" w:cs="Calibri"/>
                <w:color w:val="000000"/>
                <w:sz w:val="21"/>
                <w:szCs w:val="21"/>
              </w:rPr>
            </w:pPr>
            <w:r>
              <w:rPr>
                <w:rFonts w:ascii="Calibri" w:hAnsi="Calibri"/>
                <w:color w:val="000000"/>
                <w:szCs w:val="22"/>
              </w:rPr>
              <w:t>0.0%</w:t>
            </w:r>
          </w:p>
        </w:tc>
      </w:tr>
      <w:tr w:rsidR="00D90A25" w:rsidRPr="001157BC" w14:paraId="0E22E489" w14:textId="77777777" w:rsidTr="005160F0">
        <w:trPr>
          <w:trHeight w:val="144"/>
          <w:jc w:val="center"/>
        </w:trPr>
        <w:tc>
          <w:tcPr>
            <w:tcW w:w="4143" w:type="pct"/>
            <w:noWrap/>
            <w:vAlign w:val="bottom"/>
          </w:tcPr>
          <w:p w14:paraId="754B3FB1" w14:textId="77777777" w:rsidR="00D90A25" w:rsidRPr="00376F80" w:rsidRDefault="00D90A25" w:rsidP="005160F0">
            <w:pPr>
              <w:rPr>
                <w:rFonts w:ascii="Calibri" w:hAnsi="Calibri" w:cs="Calibri"/>
                <w:color w:val="000000"/>
                <w:sz w:val="21"/>
                <w:szCs w:val="21"/>
              </w:rPr>
            </w:pPr>
            <w:r>
              <w:rPr>
                <w:rFonts w:ascii="Calibri" w:hAnsi="Calibri"/>
                <w:color w:val="000000"/>
                <w:szCs w:val="22"/>
              </w:rPr>
              <w:t xml:space="preserve">The patient is not continuously enrolled in Medicare Fee-For-Service Parts A and B (not C) from 12 months prior to the start of the stay through the 31 days after discharge. This exclusion only applies to months in which the patient is alive. </w:t>
            </w:r>
          </w:p>
        </w:tc>
        <w:tc>
          <w:tcPr>
            <w:tcW w:w="476" w:type="pct"/>
          </w:tcPr>
          <w:p w14:paraId="62D76D7A" w14:textId="77777777" w:rsidR="00D90A25" w:rsidRPr="001157BC" w:rsidRDefault="00D90A25" w:rsidP="005160F0">
            <w:pPr>
              <w:jc w:val="right"/>
              <w:rPr>
                <w:rFonts w:ascii="Calibri" w:hAnsi="Calibri" w:cs="Calibri"/>
                <w:sz w:val="21"/>
                <w:szCs w:val="21"/>
              </w:rPr>
            </w:pPr>
            <w:r>
              <w:rPr>
                <w:rFonts w:ascii="Calibri" w:hAnsi="Calibri"/>
                <w:color w:val="000000"/>
                <w:szCs w:val="22"/>
              </w:rPr>
              <w:t>983,090</w:t>
            </w:r>
          </w:p>
        </w:tc>
        <w:tc>
          <w:tcPr>
            <w:tcW w:w="381" w:type="pct"/>
          </w:tcPr>
          <w:p w14:paraId="7D8FBBC1" w14:textId="77777777" w:rsidR="00D90A25" w:rsidRPr="001157BC" w:rsidRDefault="00D90A25" w:rsidP="005160F0">
            <w:pPr>
              <w:jc w:val="right"/>
              <w:rPr>
                <w:rFonts w:ascii="Calibri" w:hAnsi="Calibri" w:cs="Calibri"/>
                <w:sz w:val="21"/>
                <w:szCs w:val="21"/>
              </w:rPr>
            </w:pPr>
            <w:r>
              <w:rPr>
                <w:rFonts w:ascii="Calibri" w:hAnsi="Calibri"/>
                <w:color w:val="000000"/>
                <w:szCs w:val="22"/>
              </w:rPr>
              <w:t>12.1%</w:t>
            </w:r>
          </w:p>
        </w:tc>
      </w:tr>
      <w:tr w:rsidR="00D90A25" w:rsidRPr="004D1404" w14:paraId="118CCD5D" w14:textId="77777777" w:rsidTr="005160F0">
        <w:trPr>
          <w:trHeight w:val="74"/>
          <w:jc w:val="center"/>
        </w:trPr>
        <w:tc>
          <w:tcPr>
            <w:tcW w:w="4143" w:type="pct"/>
            <w:shd w:val="clear" w:color="auto" w:fill="auto"/>
            <w:noWrap/>
            <w:vAlign w:val="bottom"/>
          </w:tcPr>
          <w:p w14:paraId="6BA61457" w14:textId="77777777" w:rsidR="00D90A25" w:rsidRPr="004D1404" w:rsidRDefault="00D90A25" w:rsidP="005160F0">
            <w:pPr>
              <w:rPr>
                <w:rFonts w:ascii="Calibri" w:hAnsi="Calibri" w:cs="Calibri"/>
                <w:color w:val="000000"/>
                <w:sz w:val="21"/>
                <w:szCs w:val="21"/>
              </w:rPr>
            </w:pPr>
            <w:r w:rsidRPr="00DC352C">
              <w:rPr>
                <w:rFonts w:ascii="Calibri" w:hAnsi="Calibri"/>
                <w:szCs w:val="22"/>
              </w:rPr>
              <w:t xml:space="preserve">The stay </w:t>
            </w:r>
            <w:r w:rsidRPr="00DC352C">
              <w:rPr>
                <w:rStyle w:val="Style1"/>
                <w:rFonts w:eastAsia="Trebuchet MS" w:cstheme="minorHAnsi"/>
                <w:color w:val="auto"/>
              </w:rPr>
              <w:t>has problematic claims data (e.g. anomalous records for stays that overlap wholly or in part, or are otherwise erroneous or contradictory</w:t>
            </w:r>
            <w:r w:rsidRPr="00DC352C">
              <w:rPr>
                <w:rFonts w:ascii="Calibri" w:hAnsi="Calibri"/>
                <w:szCs w:val="22"/>
              </w:rPr>
              <w:t>).</w:t>
            </w:r>
          </w:p>
        </w:tc>
        <w:tc>
          <w:tcPr>
            <w:tcW w:w="476" w:type="pct"/>
            <w:shd w:val="clear" w:color="auto" w:fill="auto"/>
          </w:tcPr>
          <w:p w14:paraId="5D672CC3" w14:textId="334FA192" w:rsidR="00D90A25" w:rsidRPr="004D1404" w:rsidRDefault="00D90A25" w:rsidP="005160F0">
            <w:pPr>
              <w:jc w:val="right"/>
              <w:rPr>
                <w:rFonts w:ascii="Calibri" w:hAnsi="Calibri" w:cs="Calibri"/>
                <w:color w:val="000000"/>
                <w:sz w:val="21"/>
                <w:szCs w:val="21"/>
              </w:rPr>
            </w:pPr>
            <w:r>
              <w:rPr>
                <w:rFonts w:ascii="Calibri" w:hAnsi="Calibri"/>
                <w:color w:val="000000"/>
                <w:szCs w:val="22"/>
              </w:rPr>
              <w:t>18</w:t>
            </w:r>
            <w:r w:rsidR="00F24139">
              <w:rPr>
                <w:rFonts w:ascii="Calibri" w:hAnsi="Calibri"/>
                <w:color w:val="000000"/>
                <w:szCs w:val="22"/>
              </w:rPr>
              <w:t>,</w:t>
            </w:r>
            <w:r>
              <w:rPr>
                <w:rFonts w:ascii="Calibri" w:hAnsi="Calibri"/>
                <w:color w:val="000000"/>
                <w:szCs w:val="22"/>
              </w:rPr>
              <w:t>340</w:t>
            </w:r>
          </w:p>
        </w:tc>
        <w:tc>
          <w:tcPr>
            <w:tcW w:w="381" w:type="pct"/>
            <w:shd w:val="clear" w:color="auto" w:fill="auto"/>
          </w:tcPr>
          <w:p w14:paraId="5A2D290D" w14:textId="77777777" w:rsidR="00D90A25" w:rsidRPr="004D1404" w:rsidRDefault="00D90A25" w:rsidP="005160F0">
            <w:pPr>
              <w:jc w:val="right"/>
              <w:rPr>
                <w:rFonts w:ascii="Calibri" w:hAnsi="Calibri" w:cs="Calibri"/>
                <w:color w:val="000000"/>
                <w:sz w:val="21"/>
                <w:szCs w:val="21"/>
              </w:rPr>
            </w:pPr>
            <w:r>
              <w:rPr>
                <w:rFonts w:ascii="Calibri" w:hAnsi="Calibri"/>
                <w:color w:val="000000"/>
                <w:szCs w:val="22"/>
              </w:rPr>
              <w:t>0.2%</w:t>
            </w:r>
          </w:p>
        </w:tc>
      </w:tr>
      <w:tr w:rsidR="00D90A25" w:rsidRPr="004D1404" w14:paraId="24BA5329" w14:textId="77777777" w:rsidTr="005160F0">
        <w:trPr>
          <w:trHeight w:val="74"/>
          <w:jc w:val="center"/>
        </w:trPr>
        <w:tc>
          <w:tcPr>
            <w:tcW w:w="4143" w:type="pct"/>
            <w:shd w:val="clear" w:color="auto" w:fill="auto"/>
            <w:noWrap/>
            <w:vAlign w:val="center"/>
          </w:tcPr>
          <w:p w14:paraId="61AF2301" w14:textId="77777777" w:rsidR="00D90A25" w:rsidRPr="00376F80" w:rsidRDefault="00D90A25" w:rsidP="005160F0">
            <w:pPr>
              <w:rPr>
                <w:rFonts w:ascii="Calibri" w:hAnsi="Calibri" w:cs="Calibri"/>
                <w:color w:val="000000"/>
                <w:sz w:val="21"/>
                <w:szCs w:val="21"/>
              </w:rPr>
            </w:pPr>
            <w:r>
              <w:rPr>
                <w:rFonts w:ascii="Calibri" w:hAnsi="Calibri"/>
                <w:color w:val="000000"/>
                <w:szCs w:val="22"/>
              </w:rPr>
              <w:t>The patient has a prior proximal stay (a short-term acute care or psychiatric stay within 30 days prior to home health admission) with a principal diagnosis for medical (nonsurgical) treatment of cancer.</w:t>
            </w:r>
          </w:p>
        </w:tc>
        <w:tc>
          <w:tcPr>
            <w:tcW w:w="476" w:type="pct"/>
            <w:shd w:val="clear" w:color="auto" w:fill="auto"/>
          </w:tcPr>
          <w:p w14:paraId="16DEBC60" w14:textId="77777777" w:rsidR="00D90A25" w:rsidRPr="00266B2C" w:rsidRDefault="00D90A25" w:rsidP="005160F0">
            <w:pPr>
              <w:jc w:val="right"/>
              <w:rPr>
                <w:rFonts w:ascii="Calibri" w:hAnsi="Calibri" w:cs="Calibri"/>
                <w:color w:val="000000"/>
                <w:sz w:val="21"/>
                <w:szCs w:val="21"/>
              </w:rPr>
            </w:pPr>
            <w:r>
              <w:rPr>
                <w:rFonts w:ascii="Calibri" w:hAnsi="Calibri"/>
                <w:color w:val="000000"/>
                <w:szCs w:val="22"/>
              </w:rPr>
              <w:t>163,926</w:t>
            </w:r>
          </w:p>
        </w:tc>
        <w:tc>
          <w:tcPr>
            <w:tcW w:w="381" w:type="pct"/>
            <w:shd w:val="clear" w:color="auto" w:fill="auto"/>
          </w:tcPr>
          <w:p w14:paraId="79ED6EA3" w14:textId="77777777" w:rsidR="00D90A25" w:rsidRPr="00266B2C" w:rsidRDefault="00D90A25" w:rsidP="005160F0">
            <w:pPr>
              <w:jc w:val="right"/>
              <w:rPr>
                <w:rFonts w:ascii="Calibri" w:hAnsi="Calibri" w:cs="Calibri"/>
                <w:color w:val="000000"/>
                <w:sz w:val="21"/>
                <w:szCs w:val="21"/>
              </w:rPr>
            </w:pPr>
            <w:r>
              <w:rPr>
                <w:rFonts w:ascii="Calibri" w:hAnsi="Calibri"/>
                <w:color w:val="000000"/>
                <w:szCs w:val="22"/>
              </w:rPr>
              <w:t>2.0%</w:t>
            </w:r>
          </w:p>
        </w:tc>
      </w:tr>
      <w:tr w:rsidR="00D90A25" w:rsidRPr="004D1404" w14:paraId="2DA19763" w14:textId="77777777" w:rsidTr="005160F0">
        <w:trPr>
          <w:trHeight w:val="74"/>
          <w:jc w:val="center"/>
        </w:trPr>
        <w:tc>
          <w:tcPr>
            <w:tcW w:w="4143" w:type="pct"/>
            <w:shd w:val="clear" w:color="auto" w:fill="auto"/>
            <w:noWrap/>
            <w:vAlign w:val="bottom"/>
          </w:tcPr>
          <w:p w14:paraId="1B150DC2" w14:textId="77777777" w:rsidR="00D90A25" w:rsidRPr="00376F80" w:rsidRDefault="00D90A25" w:rsidP="005160F0">
            <w:pPr>
              <w:rPr>
                <w:rFonts w:ascii="Calibri" w:hAnsi="Calibri" w:cs="Calibri"/>
                <w:color w:val="000000"/>
                <w:sz w:val="21"/>
                <w:szCs w:val="21"/>
              </w:rPr>
            </w:pPr>
            <w:r>
              <w:rPr>
                <w:rFonts w:ascii="Calibri" w:hAnsi="Calibri"/>
                <w:color w:val="000000"/>
                <w:szCs w:val="22"/>
              </w:rPr>
              <w:t>The patient is discharged to a psychiatric hospital.</w:t>
            </w:r>
          </w:p>
        </w:tc>
        <w:tc>
          <w:tcPr>
            <w:tcW w:w="476" w:type="pct"/>
            <w:shd w:val="clear" w:color="auto" w:fill="auto"/>
          </w:tcPr>
          <w:p w14:paraId="11BD985B" w14:textId="77777777" w:rsidR="00D90A25" w:rsidRPr="00266B2C" w:rsidRDefault="00D90A25" w:rsidP="005160F0">
            <w:pPr>
              <w:jc w:val="right"/>
              <w:rPr>
                <w:rFonts w:ascii="Calibri" w:hAnsi="Calibri" w:cs="Calibri"/>
                <w:color w:val="000000"/>
                <w:sz w:val="21"/>
                <w:szCs w:val="21"/>
              </w:rPr>
            </w:pPr>
            <w:r>
              <w:rPr>
                <w:rFonts w:ascii="Calibri" w:hAnsi="Calibri"/>
                <w:color w:val="000000"/>
                <w:szCs w:val="22"/>
              </w:rPr>
              <w:t>0</w:t>
            </w:r>
          </w:p>
        </w:tc>
        <w:tc>
          <w:tcPr>
            <w:tcW w:w="381" w:type="pct"/>
            <w:shd w:val="clear" w:color="auto" w:fill="auto"/>
          </w:tcPr>
          <w:p w14:paraId="318A9C79" w14:textId="77777777" w:rsidR="00D90A25" w:rsidRPr="00266B2C" w:rsidRDefault="00D90A25" w:rsidP="005160F0">
            <w:pPr>
              <w:jc w:val="right"/>
              <w:rPr>
                <w:rFonts w:ascii="Calibri" w:hAnsi="Calibri" w:cs="Calibri"/>
                <w:color w:val="000000"/>
                <w:sz w:val="21"/>
                <w:szCs w:val="21"/>
              </w:rPr>
            </w:pPr>
            <w:r>
              <w:rPr>
                <w:rFonts w:ascii="Calibri" w:hAnsi="Calibri"/>
                <w:color w:val="000000"/>
                <w:szCs w:val="22"/>
              </w:rPr>
              <w:t>0.0%</w:t>
            </w:r>
          </w:p>
        </w:tc>
      </w:tr>
      <w:tr w:rsidR="00D90A25" w:rsidRPr="004D1404" w14:paraId="3FB9226F" w14:textId="77777777" w:rsidTr="005160F0">
        <w:trPr>
          <w:trHeight w:val="74"/>
          <w:jc w:val="center"/>
        </w:trPr>
        <w:tc>
          <w:tcPr>
            <w:tcW w:w="4143" w:type="pct"/>
            <w:shd w:val="clear" w:color="auto" w:fill="auto"/>
            <w:noWrap/>
            <w:vAlign w:val="bottom"/>
          </w:tcPr>
          <w:p w14:paraId="2B398B1B" w14:textId="77777777" w:rsidR="00D90A25" w:rsidRPr="00376F80" w:rsidRDefault="00D90A25" w:rsidP="005160F0">
            <w:pPr>
              <w:rPr>
                <w:rFonts w:ascii="Calibri" w:hAnsi="Calibri" w:cs="Calibri"/>
                <w:color w:val="000000"/>
                <w:sz w:val="21"/>
                <w:szCs w:val="21"/>
              </w:rPr>
            </w:pPr>
            <w:r>
              <w:rPr>
                <w:rFonts w:ascii="Calibri" w:hAnsi="Calibri"/>
                <w:color w:val="000000"/>
                <w:szCs w:val="22"/>
              </w:rPr>
              <w:t>The patient is discharged against medical advice.</w:t>
            </w:r>
          </w:p>
        </w:tc>
        <w:tc>
          <w:tcPr>
            <w:tcW w:w="476" w:type="pct"/>
            <w:shd w:val="clear" w:color="auto" w:fill="auto"/>
          </w:tcPr>
          <w:p w14:paraId="599A51FD" w14:textId="77777777" w:rsidR="00D90A25" w:rsidRPr="00266B2C" w:rsidRDefault="00D90A25" w:rsidP="005160F0">
            <w:pPr>
              <w:jc w:val="right"/>
              <w:rPr>
                <w:rFonts w:ascii="Calibri" w:hAnsi="Calibri" w:cs="Calibri"/>
                <w:color w:val="000000"/>
                <w:sz w:val="21"/>
                <w:szCs w:val="21"/>
              </w:rPr>
            </w:pPr>
            <w:r>
              <w:rPr>
                <w:rFonts w:ascii="Calibri" w:hAnsi="Calibri"/>
                <w:color w:val="000000"/>
                <w:szCs w:val="22"/>
              </w:rPr>
              <w:t>36,037</w:t>
            </w:r>
          </w:p>
        </w:tc>
        <w:tc>
          <w:tcPr>
            <w:tcW w:w="381" w:type="pct"/>
            <w:shd w:val="clear" w:color="auto" w:fill="auto"/>
          </w:tcPr>
          <w:p w14:paraId="1048462F" w14:textId="77777777" w:rsidR="00D90A25" w:rsidRPr="00266B2C" w:rsidRDefault="00D90A25" w:rsidP="005160F0">
            <w:pPr>
              <w:jc w:val="right"/>
              <w:rPr>
                <w:rFonts w:ascii="Calibri" w:hAnsi="Calibri" w:cs="Calibri"/>
                <w:color w:val="000000"/>
                <w:sz w:val="21"/>
                <w:szCs w:val="21"/>
              </w:rPr>
            </w:pPr>
            <w:r>
              <w:rPr>
                <w:rFonts w:ascii="Calibri" w:hAnsi="Calibri"/>
                <w:color w:val="000000"/>
                <w:szCs w:val="22"/>
              </w:rPr>
              <w:t>0.4%</w:t>
            </w:r>
          </w:p>
        </w:tc>
      </w:tr>
      <w:tr w:rsidR="00D90A25" w:rsidRPr="004D1404" w14:paraId="38BCD613" w14:textId="77777777" w:rsidTr="005160F0">
        <w:trPr>
          <w:trHeight w:val="74"/>
          <w:jc w:val="center"/>
        </w:trPr>
        <w:tc>
          <w:tcPr>
            <w:tcW w:w="4143" w:type="pct"/>
            <w:shd w:val="clear" w:color="auto" w:fill="auto"/>
            <w:noWrap/>
            <w:vAlign w:val="bottom"/>
          </w:tcPr>
          <w:p w14:paraId="3C6AE05B" w14:textId="77777777" w:rsidR="00D90A25" w:rsidRPr="00376F80" w:rsidRDefault="00D90A25" w:rsidP="005160F0">
            <w:pPr>
              <w:rPr>
                <w:rFonts w:ascii="Calibri" w:hAnsi="Calibri" w:cs="Calibri"/>
                <w:color w:val="000000"/>
                <w:sz w:val="21"/>
                <w:szCs w:val="21"/>
              </w:rPr>
            </w:pPr>
            <w:r>
              <w:rPr>
                <w:rFonts w:ascii="Calibri" w:hAnsi="Calibri"/>
                <w:color w:val="000000"/>
                <w:szCs w:val="22"/>
              </w:rPr>
              <w:t>The patient is discharged to a disaster alternative care site.</w:t>
            </w:r>
          </w:p>
        </w:tc>
        <w:tc>
          <w:tcPr>
            <w:tcW w:w="476" w:type="pct"/>
            <w:shd w:val="clear" w:color="auto" w:fill="auto"/>
          </w:tcPr>
          <w:p w14:paraId="6B2DC957" w14:textId="77777777" w:rsidR="00D90A25" w:rsidRPr="00266B2C" w:rsidRDefault="00D90A25" w:rsidP="005160F0">
            <w:pPr>
              <w:jc w:val="right"/>
              <w:rPr>
                <w:rFonts w:ascii="Calibri" w:hAnsi="Calibri" w:cs="Calibri"/>
                <w:color w:val="000000"/>
                <w:sz w:val="21"/>
                <w:szCs w:val="21"/>
              </w:rPr>
            </w:pPr>
            <w:r>
              <w:rPr>
                <w:rFonts w:ascii="Calibri" w:hAnsi="Calibri"/>
                <w:color w:val="000000"/>
                <w:szCs w:val="22"/>
              </w:rPr>
              <w:t>0</w:t>
            </w:r>
          </w:p>
        </w:tc>
        <w:tc>
          <w:tcPr>
            <w:tcW w:w="381" w:type="pct"/>
            <w:shd w:val="clear" w:color="auto" w:fill="auto"/>
          </w:tcPr>
          <w:p w14:paraId="5691F6FB" w14:textId="77777777" w:rsidR="00D90A25" w:rsidRPr="00266B2C" w:rsidRDefault="00D90A25" w:rsidP="005160F0">
            <w:pPr>
              <w:jc w:val="right"/>
              <w:rPr>
                <w:rFonts w:ascii="Calibri" w:hAnsi="Calibri" w:cs="Calibri"/>
                <w:color w:val="000000"/>
                <w:sz w:val="21"/>
                <w:szCs w:val="21"/>
              </w:rPr>
            </w:pPr>
            <w:r>
              <w:rPr>
                <w:rFonts w:ascii="Calibri" w:hAnsi="Calibri"/>
                <w:color w:val="000000"/>
                <w:szCs w:val="22"/>
              </w:rPr>
              <w:t>0.0%</w:t>
            </w:r>
          </w:p>
        </w:tc>
      </w:tr>
      <w:tr w:rsidR="00D90A25" w:rsidRPr="004D1404" w14:paraId="7CBF69C2" w14:textId="77777777" w:rsidTr="005160F0">
        <w:trPr>
          <w:trHeight w:val="74"/>
          <w:jc w:val="center"/>
        </w:trPr>
        <w:tc>
          <w:tcPr>
            <w:tcW w:w="4143" w:type="pct"/>
            <w:shd w:val="clear" w:color="auto" w:fill="auto"/>
            <w:noWrap/>
            <w:vAlign w:val="bottom"/>
          </w:tcPr>
          <w:p w14:paraId="3F6D570B" w14:textId="77777777" w:rsidR="00D90A25" w:rsidRPr="00376F80" w:rsidRDefault="00D90A25" w:rsidP="005160F0">
            <w:pPr>
              <w:rPr>
                <w:rFonts w:ascii="Calibri" w:hAnsi="Calibri" w:cs="Calibri"/>
                <w:color w:val="000000"/>
                <w:sz w:val="21"/>
                <w:szCs w:val="21"/>
              </w:rPr>
            </w:pPr>
            <w:r>
              <w:rPr>
                <w:rFonts w:ascii="Calibri" w:hAnsi="Calibri"/>
                <w:color w:val="000000"/>
                <w:szCs w:val="22"/>
              </w:rPr>
              <w:t>The patient is discharged to hospice care.</w:t>
            </w:r>
          </w:p>
        </w:tc>
        <w:tc>
          <w:tcPr>
            <w:tcW w:w="476" w:type="pct"/>
            <w:shd w:val="clear" w:color="auto" w:fill="auto"/>
          </w:tcPr>
          <w:p w14:paraId="60B1070D" w14:textId="77777777" w:rsidR="00D90A25" w:rsidRPr="00266B2C" w:rsidRDefault="00D90A25" w:rsidP="005160F0">
            <w:pPr>
              <w:jc w:val="right"/>
              <w:rPr>
                <w:rFonts w:ascii="Calibri" w:hAnsi="Calibri" w:cs="Calibri"/>
                <w:color w:val="000000"/>
                <w:sz w:val="21"/>
                <w:szCs w:val="21"/>
              </w:rPr>
            </w:pPr>
            <w:r>
              <w:rPr>
                <w:rFonts w:ascii="Calibri" w:hAnsi="Calibri"/>
                <w:color w:val="000000"/>
                <w:szCs w:val="22"/>
              </w:rPr>
              <w:t>151,578</w:t>
            </w:r>
          </w:p>
        </w:tc>
        <w:tc>
          <w:tcPr>
            <w:tcW w:w="381" w:type="pct"/>
            <w:shd w:val="clear" w:color="auto" w:fill="auto"/>
          </w:tcPr>
          <w:p w14:paraId="0268778F" w14:textId="77777777" w:rsidR="00D90A25" w:rsidRPr="00266B2C" w:rsidRDefault="00D90A25" w:rsidP="005160F0">
            <w:pPr>
              <w:jc w:val="right"/>
              <w:rPr>
                <w:rFonts w:ascii="Calibri" w:hAnsi="Calibri" w:cs="Calibri"/>
                <w:color w:val="000000"/>
                <w:sz w:val="21"/>
                <w:szCs w:val="21"/>
              </w:rPr>
            </w:pPr>
            <w:r>
              <w:rPr>
                <w:rFonts w:ascii="Calibri" w:hAnsi="Calibri"/>
                <w:color w:val="000000"/>
                <w:szCs w:val="22"/>
              </w:rPr>
              <w:t>1.9%</w:t>
            </w:r>
          </w:p>
        </w:tc>
      </w:tr>
      <w:tr w:rsidR="00D90A25" w:rsidRPr="00266B2C" w14:paraId="3B6BC4B1" w14:textId="77777777" w:rsidTr="005160F0">
        <w:trPr>
          <w:trHeight w:val="144"/>
          <w:jc w:val="center"/>
        </w:trPr>
        <w:tc>
          <w:tcPr>
            <w:tcW w:w="4143" w:type="pct"/>
            <w:noWrap/>
            <w:vAlign w:val="center"/>
            <w:hideMark/>
          </w:tcPr>
          <w:p w14:paraId="56493C40" w14:textId="77777777" w:rsidR="00D90A25" w:rsidRPr="00376F80" w:rsidRDefault="00D90A25" w:rsidP="005160F0">
            <w:pPr>
              <w:rPr>
                <w:rFonts w:ascii="Calibri" w:hAnsi="Calibri" w:cs="Calibri"/>
                <w:color w:val="000000"/>
                <w:sz w:val="21"/>
                <w:szCs w:val="21"/>
              </w:rPr>
            </w:pPr>
            <w:r>
              <w:rPr>
                <w:rFonts w:ascii="Calibri" w:hAnsi="Calibri"/>
                <w:color w:val="000000"/>
                <w:szCs w:val="22"/>
              </w:rPr>
              <w:t>The patient is discharged to another home health agency.</w:t>
            </w:r>
          </w:p>
        </w:tc>
        <w:tc>
          <w:tcPr>
            <w:tcW w:w="476" w:type="pct"/>
            <w:hideMark/>
          </w:tcPr>
          <w:p w14:paraId="52994F12" w14:textId="77777777" w:rsidR="00D90A25" w:rsidRPr="00266B2C" w:rsidRDefault="00D90A25" w:rsidP="005160F0">
            <w:pPr>
              <w:jc w:val="right"/>
              <w:rPr>
                <w:rFonts w:ascii="Calibri" w:hAnsi="Calibri" w:cs="Calibri"/>
                <w:color w:val="000000"/>
                <w:sz w:val="21"/>
                <w:szCs w:val="21"/>
              </w:rPr>
            </w:pPr>
            <w:r>
              <w:rPr>
                <w:rFonts w:ascii="Calibri" w:hAnsi="Calibri"/>
                <w:color w:val="000000"/>
                <w:szCs w:val="22"/>
              </w:rPr>
              <w:t>344,689</w:t>
            </w:r>
          </w:p>
        </w:tc>
        <w:tc>
          <w:tcPr>
            <w:tcW w:w="381" w:type="pct"/>
            <w:hideMark/>
          </w:tcPr>
          <w:p w14:paraId="5E7B4DFD" w14:textId="77777777" w:rsidR="00D90A25" w:rsidRPr="00266B2C" w:rsidRDefault="00D90A25" w:rsidP="005160F0">
            <w:pPr>
              <w:jc w:val="right"/>
              <w:rPr>
                <w:rFonts w:ascii="Calibri" w:hAnsi="Calibri" w:cs="Calibri"/>
                <w:color w:val="000000"/>
                <w:sz w:val="21"/>
                <w:szCs w:val="21"/>
              </w:rPr>
            </w:pPr>
            <w:r>
              <w:rPr>
                <w:rFonts w:ascii="Calibri" w:hAnsi="Calibri"/>
                <w:color w:val="000000"/>
                <w:szCs w:val="22"/>
              </w:rPr>
              <w:t>4.2%</w:t>
            </w:r>
          </w:p>
        </w:tc>
      </w:tr>
      <w:tr w:rsidR="00D90A25" w:rsidRPr="00266B2C" w14:paraId="32D3D490" w14:textId="77777777" w:rsidTr="005160F0">
        <w:trPr>
          <w:trHeight w:val="144"/>
          <w:jc w:val="center"/>
        </w:trPr>
        <w:tc>
          <w:tcPr>
            <w:tcW w:w="4143" w:type="pct"/>
            <w:noWrap/>
            <w:vAlign w:val="center"/>
          </w:tcPr>
          <w:p w14:paraId="306595B7" w14:textId="77777777" w:rsidR="00D90A25" w:rsidRDefault="00D90A25" w:rsidP="005160F0">
            <w:pPr>
              <w:rPr>
                <w:rFonts w:ascii="Calibri" w:hAnsi="Calibri" w:cs="Calibri"/>
                <w:color w:val="000000"/>
                <w:sz w:val="21"/>
                <w:szCs w:val="21"/>
              </w:rPr>
            </w:pPr>
            <w:r>
              <w:rPr>
                <w:rFonts w:ascii="Calibri" w:hAnsi="Calibri"/>
                <w:color w:val="000000"/>
                <w:szCs w:val="22"/>
              </w:rPr>
              <w:lastRenderedPageBreak/>
              <w:t>The patient was enrolled in hospice during the post-discharge observation window.</w:t>
            </w:r>
          </w:p>
        </w:tc>
        <w:tc>
          <w:tcPr>
            <w:tcW w:w="476" w:type="pct"/>
          </w:tcPr>
          <w:p w14:paraId="442D5809" w14:textId="77777777" w:rsidR="00D90A25" w:rsidRPr="00266B2C" w:rsidRDefault="00D90A25" w:rsidP="005160F0">
            <w:pPr>
              <w:jc w:val="right"/>
              <w:rPr>
                <w:rFonts w:ascii="Calibri" w:hAnsi="Calibri" w:cs="Calibri"/>
                <w:color w:val="000000"/>
                <w:sz w:val="21"/>
                <w:szCs w:val="21"/>
              </w:rPr>
            </w:pPr>
            <w:r>
              <w:rPr>
                <w:rFonts w:ascii="Calibri" w:hAnsi="Calibri"/>
                <w:color w:val="000000"/>
                <w:szCs w:val="22"/>
              </w:rPr>
              <w:t>459,808</w:t>
            </w:r>
          </w:p>
        </w:tc>
        <w:tc>
          <w:tcPr>
            <w:tcW w:w="381" w:type="pct"/>
          </w:tcPr>
          <w:p w14:paraId="1A9720D9" w14:textId="77777777" w:rsidR="00D90A25" w:rsidRPr="00266B2C" w:rsidRDefault="00D90A25" w:rsidP="005160F0">
            <w:pPr>
              <w:jc w:val="right"/>
              <w:rPr>
                <w:rFonts w:ascii="Calibri" w:hAnsi="Calibri" w:cs="Calibri"/>
                <w:color w:val="000000"/>
                <w:sz w:val="21"/>
                <w:szCs w:val="21"/>
              </w:rPr>
            </w:pPr>
            <w:r>
              <w:rPr>
                <w:rFonts w:ascii="Calibri" w:hAnsi="Calibri"/>
                <w:color w:val="000000"/>
                <w:szCs w:val="22"/>
              </w:rPr>
              <w:t>5.7%</w:t>
            </w:r>
          </w:p>
        </w:tc>
      </w:tr>
      <w:tr w:rsidR="00D90A25" w:rsidRPr="00266B2C" w14:paraId="29459FBF" w14:textId="77777777" w:rsidTr="005160F0">
        <w:trPr>
          <w:trHeight w:val="144"/>
          <w:jc w:val="center"/>
        </w:trPr>
        <w:tc>
          <w:tcPr>
            <w:tcW w:w="4143" w:type="pct"/>
            <w:noWrap/>
            <w:vAlign w:val="center"/>
          </w:tcPr>
          <w:p w14:paraId="038E66D7" w14:textId="77777777" w:rsidR="00D90A25" w:rsidRPr="00376F80" w:rsidRDefault="00D90A25" w:rsidP="005160F0">
            <w:pPr>
              <w:rPr>
                <w:rFonts w:ascii="Calibri" w:hAnsi="Calibri" w:cs="Calibri"/>
                <w:color w:val="000000"/>
                <w:sz w:val="21"/>
                <w:szCs w:val="21"/>
              </w:rPr>
            </w:pPr>
            <w:r>
              <w:rPr>
                <w:rFonts w:ascii="Calibri" w:hAnsi="Calibri"/>
                <w:color w:val="000000"/>
                <w:szCs w:val="22"/>
              </w:rPr>
              <w:t>The patient is discharged to a federal hospital.</w:t>
            </w:r>
          </w:p>
        </w:tc>
        <w:tc>
          <w:tcPr>
            <w:tcW w:w="476" w:type="pct"/>
          </w:tcPr>
          <w:p w14:paraId="090C075F" w14:textId="77777777" w:rsidR="00D90A25" w:rsidRPr="00266B2C" w:rsidRDefault="00D90A25" w:rsidP="005160F0">
            <w:pPr>
              <w:jc w:val="right"/>
              <w:rPr>
                <w:rFonts w:ascii="Calibri" w:hAnsi="Calibri" w:cs="Calibri"/>
                <w:color w:val="000000"/>
                <w:sz w:val="21"/>
                <w:szCs w:val="21"/>
              </w:rPr>
            </w:pPr>
            <w:r>
              <w:rPr>
                <w:rFonts w:ascii="Calibri" w:hAnsi="Calibri"/>
                <w:color w:val="000000"/>
                <w:szCs w:val="22"/>
              </w:rPr>
              <w:t>1,090</w:t>
            </w:r>
          </w:p>
        </w:tc>
        <w:tc>
          <w:tcPr>
            <w:tcW w:w="381" w:type="pct"/>
          </w:tcPr>
          <w:p w14:paraId="2D838302" w14:textId="77777777" w:rsidR="00D90A25" w:rsidRPr="00266B2C" w:rsidRDefault="00D90A25" w:rsidP="005160F0">
            <w:pPr>
              <w:jc w:val="right"/>
              <w:rPr>
                <w:rFonts w:ascii="Calibri" w:hAnsi="Calibri" w:cs="Calibri"/>
                <w:color w:val="000000"/>
                <w:sz w:val="21"/>
                <w:szCs w:val="21"/>
              </w:rPr>
            </w:pPr>
            <w:r>
              <w:rPr>
                <w:rFonts w:ascii="Calibri" w:hAnsi="Calibri"/>
                <w:color w:val="000000"/>
                <w:szCs w:val="22"/>
              </w:rPr>
              <w:t>0.0%</w:t>
            </w:r>
          </w:p>
        </w:tc>
      </w:tr>
      <w:tr w:rsidR="00D90A25" w:rsidRPr="00266B2C" w14:paraId="261D7417" w14:textId="77777777" w:rsidTr="005160F0">
        <w:trPr>
          <w:trHeight w:val="144"/>
          <w:jc w:val="center"/>
        </w:trPr>
        <w:tc>
          <w:tcPr>
            <w:tcW w:w="4143" w:type="pct"/>
            <w:noWrap/>
            <w:vAlign w:val="bottom"/>
            <w:hideMark/>
          </w:tcPr>
          <w:p w14:paraId="6F0E28D1" w14:textId="77777777" w:rsidR="00D90A25" w:rsidRPr="00376F80" w:rsidRDefault="00D90A25" w:rsidP="005160F0">
            <w:pPr>
              <w:rPr>
                <w:rFonts w:ascii="Calibri" w:hAnsi="Calibri" w:cs="Calibri"/>
                <w:color w:val="000000"/>
                <w:sz w:val="21"/>
                <w:szCs w:val="21"/>
              </w:rPr>
            </w:pPr>
            <w:r>
              <w:rPr>
                <w:rFonts w:ascii="Calibri" w:hAnsi="Calibri"/>
                <w:color w:val="000000"/>
                <w:szCs w:val="22"/>
              </w:rPr>
              <w:t>The patient is discharged to court/law enforcement.</w:t>
            </w:r>
          </w:p>
        </w:tc>
        <w:tc>
          <w:tcPr>
            <w:tcW w:w="476" w:type="pct"/>
            <w:hideMark/>
          </w:tcPr>
          <w:p w14:paraId="0D40D03E" w14:textId="77777777" w:rsidR="00D90A25" w:rsidRPr="00266B2C" w:rsidRDefault="00D90A25" w:rsidP="005160F0">
            <w:pPr>
              <w:jc w:val="right"/>
              <w:rPr>
                <w:rFonts w:ascii="Calibri" w:hAnsi="Calibri" w:cs="Calibri"/>
                <w:color w:val="000000"/>
                <w:sz w:val="21"/>
                <w:szCs w:val="21"/>
              </w:rPr>
            </w:pPr>
            <w:r>
              <w:rPr>
                <w:rFonts w:ascii="Calibri" w:hAnsi="Calibri"/>
                <w:color w:val="000000"/>
                <w:szCs w:val="22"/>
              </w:rPr>
              <w:t>0</w:t>
            </w:r>
          </w:p>
        </w:tc>
        <w:tc>
          <w:tcPr>
            <w:tcW w:w="381" w:type="pct"/>
            <w:hideMark/>
          </w:tcPr>
          <w:p w14:paraId="0A8186CF" w14:textId="77777777" w:rsidR="00D90A25" w:rsidRPr="00266B2C" w:rsidRDefault="00D90A25" w:rsidP="005160F0">
            <w:pPr>
              <w:jc w:val="right"/>
              <w:rPr>
                <w:rFonts w:ascii="Calibri" w:hAnsi="Calibri" w:cs="Calibri"/>
                <w:color w:val="000000"/>
                <w:sz w:val="21"/>
                <w:szCs w:val="21"/>
              </w:rPr>
            </w:pPr>
            <w:r>
              <w:rPr>
                <w:rFonts w:ascii="Calibri" w:hAnsi="Calibri"/>
                <w:color w:val="000000"/>
                <w:szCs w:val="22"/>
              </w:rPr>
              <w:t>0.0%</w:t>
            </w:r>
          </w:p>
        </w:tc>
      </w:tr>
      <w:tr w:rsidR="00D90A25" w:rsidRPr="00266B2C" w14:paraId="193B53FD" w14:textId="77777777" w:rsidTr="005160F0">
        <w:trPr>
          <w:trHeight w:val="144"/>
          <w:jc w:val="center"/>
        </w:trPr>
        <w:tc>
          <w:tcPr>
            <w:tcW w:w="4143" w:type="pct"/>
            <w:tcBorders>
              <w:bottom w:val="single" w:sz="4" w:space="0" w:color="auto"/>
            </w:tcBorders>
            <w:noWrap/>
            <w:vAlign w:val="bottom"/>
          </w:tcPr>
          <w:p w14:paraId="52FB555F" w14:textId="77777777" w:rsidR="00D90A25" w:rsidRPr="00CA2DD4" w:rsidRDefault="00D90A25" w:rsidP="005160F0">
            <w:pPr>
              <w:rPr>
                <w:rFonts w:ascii="Calibri" w:hAnsi="Calibri"/>
                <w:b/>
                <w:color w:val="000000"/>
              </w:rPr>
            </w:pPr>
            <w:r w:rsidRPr="00CA2DD4">
              <w:rPr>
                <w:rFonts w:ascii="Calibri" w:hAnsi="Calibri"/>
                <w:b/>
                <w:color w:val="000000"/>
              </w:rPr>
              <w:t xml:space="preserve">Total Number of Patient Stays Excluded </w:t>
            </w:r>
          </w:p>
        </w:tc>
        <w:tc>
          <w:tcPr>
            <w:tcW w:w="476" w:type="pct"/>
            <w:tcBorders>
              <w:bottom w:val="single" w:sz="4" w:space="0" w:color="auto"/>
            </w:tcBorders>
          </w:tcPr>
          <w:p w14:paraId="0F06EE23" w14:textId="77777777" w:rsidR="00D90A25" w:rsidRDefault="00D90A25" w:rsidP="005160F0">
            <w:pPr>
              <w:jc w:val="right"/>
              <w:rPr>
                <w:rFonts w:ascii="Calibri" w:hAnsi="Calibri"/>
                <w:color w:val="000000"/>
              </w:rPr>
            </w:pPr>
            <w:r>
              <w:rPr>
                <w:rFonts w:ascii="Calibri" w:hAnsi="Calibri"/>
                <w:color w:val="000000"/>
              </w:rPr>
              <w:t>1,846,362</w:t>
            </w:r>
          </w:p>
        </w:tc>
        <w:tc>
          <w:tcPr>
            <w:tcW w:w="381" w:type="pct"/>
            <w:tcBorders>
              <w:bottom w:val="single" w:sz="4" w:space="0" w:color="auto"/>
            </w:tcBorders>
          </w:tcPr>
          <w:p w14:paraId="17EA7947" w14:textId="2DD3E3F8" w:rsidR="00D90A25" w:rsidRDefault="00D90A25" w:rsidP="005160F0">
            <w:pPr>
              <w:jc w:val="right"/>
              <w:rPr>
                <w:rFonts w:ascii="Calibri" w:hAnsi="Calibri"/>
                <w:color w:val="000000"/>
              </w:rPr>
            </w:pPr>
            <w:r>
              <w:rPr>
                <w:rFonts w:ascii="Calibri" w:hAnsi="Calibri"/>
                <w:color w:val="000000"/>
              </w:rPr>
              <w:t>22.7</w:t>
            </w:r>
            <w:r w:rsidR="00152B7A">
              <w:rPr>
                <w:rFonts w:ascii="Calibri" w:hAnsi="Calibri"/>
                <w:color w:val="000000"/>
              </w:rPr>
              <w:t>%</w:t>
            </w:r>
          </w:p>
        </w:tc>
      </w:tr>
    </w:tbl>
    <w:p w14:paraId="1411D76C" w14:textId="77777777" w:rsidR="00D90A25" w:rsidRDefault="00D90A25" w:rsidP="00D90A25">
      <w:pPr>
        <w:autoSpaceDE w:val="0"/>
        <w:autoSpaceDN w:val="0"/>
        <w:adjustRightInd w:val="0"/>
        <w:spacing w:after="0" w:line="240" w:lineRule="auto"/>
        <w:rPr>
          <w:rFonts w:cstheme="minorHAnsi"/>
          <w:bCs/>
          <w:sz w:val="18"/>
        </w:rPr>
      </w:pPr>
      <w:r>
        <w:rPr>
          <w:rFonts w:cstheme="minorHAnsi"/>
          <w:bCs/>
          <w:sz w:val="18"/>
        </w:rPr>
        <w:t>*</w:t>
      </w:r>
      <w:r w:rsidRPr="00BB0ED2">
        <w:rPr>
          <w:rFonts w:cstheme="minorHAnsi"/>
          <w:sz w:val="18"/>
          <w:szCs w:val="18"/>
        </w:rPr>
        <w:t xml:space="preserve"> </w:t>
      </w:r>
      <w:r w:rsidRPr="005029B4">
        <w:rPr>
          <w:rFonts w:cstheme="minorHAnsi"/>
          <w:sz w:val="18"/>
          <w:szCs w:val="18"/>
        </w:rPr>
        <w:t>Exclusions are not mutually exclusive; one patient-stay could be excluded for multiple reasons.</w:t>
      </w:r>
      <w:r w:rsidRPr="00B54839">
        <w:t xml:space="preserve"> </w:t>
      </w:r>
      <w:r>
        <w:rPr>
          <w:rFonts w:cstheme="minorHAnsi"/>
          <w:sz w:val="18"/>
          <w:szCs w:val="18"/>
        </w:rPr>
        <w:t>T</w:t>
      </w:r>
      <w:r w:rsidRPr="00B54839">
        <w:rPr>
          <w:rFonts w:cstheme="minorHAnsi"/>
          <w:sz w:val="18"/>
          <w:szCs w:val="18"/>
        </w:rPr>
        <w:t>he sum of individual exclusion frequencies may exceed the total number of patients excluded.</w:t>
      </w:r>
    </w:p>
    <w:p w14:paraId="0B81FACB" w14:textId="77777777" w:rsidR="00D90A25" w:rsidRPr="00DB52B4" w:rsidRDefault="00D90A25" w:rsidP="00D90A25">
      <w:pPr>
        <w:autoSpaceDE w:val="0"/>
        <w:autoSpaceDN w:val="0"/>
        <w:adjustRightInd w:val="0"/>
        <w:spacing w:after="0" w:line="240" w:lineRule="auto"/>
        <w:rPr>
          <w:rFonts w:cstheme="minorHAnsi"/>
          <w:bCs/>
        </w:rPr>
      </w:pPr>
      <w:r>
        <w:rPr>
          <w:rFonts w:cstheme="minorHAnsi"/>
          <w:bCs/>
          <w:sz w:val="18"/>
        </w:rPr>
        <w:t xml:space="preserve">  Acumen</w:t>
      </w:r>
      <w:r w:rsidRPr="0090361B">
        <w:rPr>
          <w:rFonts w:cstheme="minorHAnsi"/>
          <w:bCs/>
          <w:sz w:val="18"/>
        </w:rPr>
        <w:t xml:space="preserve"> Analysis of Medicare Claims File for </w:t>
      </w:r>
      <w:r>
        <w:rPr>
          <w:rFonts w:cstheme="minorHAnsi"/>
          <w:bCs/>
          <w:sz w:val="18"/>
        </w:rPr>
        <w:t>HH</w:t>
      </w:r>
      <w:r w:rsidRPr="0090361B">
        <w:rPr>
          <w:rFonts w:cstheme="minorHAnsi"/>
          <w:bCs/>
          <w:sz w:val="18"/>
        </w:rPr>
        <w:t xml:space="preserve">, </w:t>
      </w:r>
      <w:r>
        <w:rPr>
          <w:rFonts w:cstheme="minorHAnsi"/>
          <w:bCs/>
          <w:sz w:val="18"/>
        </w:rPr>
        <w:t>CY</w:t>
      </w:r>
      <w:r w:rsidRPr="0090361B">
        <w:rPr>
          <w:rFonts w:cstheme="minorHAnsi"/>
          <w:bCs/>
          <w:sz w:val="18"/>
        </w:rPr>
        <w:t xml:space="preserve"> 201</w:t>
      </w:r>
      <w:r>
        <w:rPr>
          <w:rFonts w:cstheme="minorHAnsi"/>
          <w:bCs/>
          <w:sz w:val="18"/>
        </w:rPr>
        <w:t>5</w:t>
      </w:r>
      <w:r w:rsidRPr="0090361B">
        <w:rPr>
          <w:rFonts w:cstheme="minorHAnsi"/>
          <w:bCs/>
          <w:sz w:val="18"/>
        </w:rPr>
        <w:t>-201</w:t>
      </w:r>
      <w:r>
        <w:rPr>
          <w:rFonts w:cstheme="minorHAnsi"/>
          <w:bCs/>
          <w:sz w:val="18"/>
        </w:rPr>
        <w:t>6.</w:t>
      </w:r>
    </w:p>
    <w:p w14:paraId="147EE5D6" w14:textId="77777777" w:rsidR="00D90A25" w:rsidRDefault="00D90A25" w:rsidP="00D90A25">
      <w:pPr>
        <w:autoSpaceDE w:val="0"/>
        <w:autoSpaceDN w:val="0"/>
        <w:adjustRightInd w:val="0"/>
        <w:spacing w:after="0" w:line="240" w:lineRule="auto"/>
        <w:rPr>
          <w:rFonts w:cstheme="minorHAnsi"/>
          <w:b/>
          <w:bCs/>
        </w:rPr>
      </w:pPr>
    </w:p>
    <w:p w14:paraId="6343FD09" w14:textId="3B38B6E7" w:rsidR="00D90A25" w:rsidRDefault="00D90A25" w:rsidP="00D90A25">
      <w:pPr>
        <w:autoSpaceDE w:val="0"/>
        <w:autoSpaceDN w:val="0"/>
        <w:adjustRightInd w:val="0"/>
        <w:spacing w:after="0" w:line="240" w:lineRule="auto"/>
        <w:rPr>
          <w:rFonts w:cstheme="minorHAnsi"/>
        </w:rPr>
      </w:pPr>
      <w:r>
        <w:rPr>
          <w:rFonts w:cstheme="minorHAnsi"/>
          <w:b/>
          <w:bCs/>
        </w:rPr>
        <w:t xml:space="preserve">Table </w:t>
      </w:r>
      <w:r w:rsidR="004720A4">
        <w:rPr>
          <w:rFonts w:cstheme="minorHAnsi"/>
          <w:b/>
          <w:bCs/>
        </w:rPr>
        <w:t>11</w:t>
      </w:r>
      <w:r>
        <w:rPr>
          <w:rFonts w:cstheme="minorHAnsi"/>
          <w:bCs/>
        </w:rPr>
        <w:t xml:space="preserve"> shows </w:t>
      </w:r>
      <w:r w:rsidRPr="00F241C5">
        <w:rPr>
          <w:rFonts w:cstheme="minorHAnsi"/>
        </w:rPr>
        <w:t xml:space="preserve">the distribution of exclusions at the </w:t>
      </w:r>
      <w:r w:rsidR="00152B7A">
        <w:rPr>
          <w:rFonts w:cstheme="minorHAnsi"/>
        </w:rPr>
        <w:t>agency</w:t>
      </w:r>
      <w:r>
        <w:rPr>
          <w:rFonts w:cstheme="minorHAnsi"/>
        </w:rPr>
        <w:t>-level. On average, 16.6</w:t>
      </w:r>
      <w:r w:rsidRPr="00F241C5">
        <w:rPr>
          <w:rFonts w:cstheme="minorHAnsi"/>
        </w:rPr>
        <w:t>% of a</w:t>
      </w:r>
      <w:r w:rsidR="00152B7A">
        <w:rPr>
          <w:rFonts w:cstheme="minorHAnsi"/>
        </w:rPr>
        <w:t>n agency</w:t>
      </w:r>
      <w:r w:rsidRPr="00F241C5">
        <w:rPr>
          <w:rFonts w:cstheme="minorHAnsi"/>
        </w:rPr>
        <w:t xml:space="preserve">’s stays were excluded because of </w:t>
      </w:r>
      <w:r>
        <w:rPr>
          <w:rFonts w:ascii="Calibri" w:hAnsi="Calibri"/>
          <w:color w:val="000000"/>
        </w:rPr>
        <w:t>patients who are not continuously enrolled in Medicare Fee-For-Service Parts A and B (not C) from 12 months prior to the start of the stay through the 31 days after discharge</w:t>
      </w:r>
      <w:r w:rsidRPr="005029B4">
        <w:rPr>
          <w:rFonts w:cstheme="minorHAnsi"/>
        </w:rPr>
        <w:t xml:space="preserve">; </w:t>
      </w:r>
      <w:r>
        <w:rPr>
          <w:rFonts w:cstheme="minorHAnsi"/>
        </w:rPr>
        <w:t>4.9% because</w:t>
      </w:r>
      <w:r w:rsidRPr="005029B4">
        <w:rPr>
          <w:rFonts w:cstheme="minorHAnsi"/>
        </w:rPr>
        <w:t xml:space="preserve"> </w:t>
      </w:r>
      <w:r>
        <w:rPr>
          <w:rFonts w:ascii="Calibri" w:hAnsi="Calibri"/>
          <w:color w:val="000000"/>
        </w:rPr>
        <w:t>the patient</w:t>
      </w:r>
      <w:r w:rsidR="00152B7A">
        <w:rPr>
          <w:rFonts w:ascii="Calibri" w:hAnsi="Calibri"/>
          <w:color w:val="000000"/>
        </w:rPr>
        <w:t>s were</w:t>
      </w:r>
      <w:r>
        <w:rPr>
          <w:rFonts w:ascii="Calibri" w:hAnsi="Calibri"/>
          <w:color w:val="000000"/>
        </w:rPr>
        <w:t xml:space="preserve"> enrolled in hospice during the post-discharge observation window</w:t>
      </w:r>
      <w:r w:rsidRPr="00F241C5">
        <w:rPr>
          <w:rFonts w:cstheme="minorHAnsi"/>
        </w:rPr>
        <w:t xml:space="preserve">; </w:t>
      </w:r>
      <w:r>
        <w:rPr>
          <w:rFonts w:cstheme="minorHAnsi"/>
        </w:rPr>
        <w:t>4</w:t>
      </w:r>
      <w:r w:rsidRPr="00F241C5">
        <w:rPr>
          <w:rFonts w:cstheme="minorHAnsi"/>
        </w:rPr>
        <w:t xml:space="preserve">.9% because </w:t>
      </w:r>
      <w:r w:rsidR="00152B7A">
        <w:rPr>
          <w:rFonts w:cstheme="minorHAnsi"/>
        </w:rPr>
        <w:t>t</w:t>
      </w:r>
      <w:r w:rsidRPr="004F028E">
        <w:rPr>
          <w:rFonts w:ascii="Calibri" w:eastAsia="Times New Roman" w:hAnsi="Calibri" w:cs="Times New Roman"/>
          <w:color w:val="000000"/>
        </w:rPr>
        <w:t>he patient</w:t>
      </w:r>
      <w:r w:rsidR="00152B7A">
        <w:rPr>
          <w:rFonts w:ascii="Calibri" w:eastAsia="Times New Roman" w:hAnsi="Calibri" w:cs="Times New Roman"/>
          <w:color w:val="000000"/>
        </w:rPr>
        <w:t>s are</w:t>
      </w:r>
      <w:r w:rsidRPr="004F028E">
        <w:rPr>
          <w:rFonts w:ascii="Calibri" w:eastAsia="Times New Roman" w:hAnsi="Calibri" w:cs="Times New Roman"/>
          <w:color w:val="000000"/>
        </w:rPr>
        <w:t xml:space="preserve"> discharged to another home health agency</w:t>
      </w:r>
      <w:r w:rsidRPr="00F241C5">
        <w:rPr>
          <w:rFonts w:cstheme="minorHAnsi"/>
        </w:rPr>
        <w:t xml:space="preserve">, </w:t>
      </w:r>
      <w:r>
        <w:rPr>
          <w:rFonts w:cstheme="minorHAnsi"/>
        </w:rPr>
        <w:t>and 1.5</w:t>
      </w:r>
      <w:r w:rsidRPr="005029B4">
        <w:rPr>
          <w:rFonts w:cstheme="minorHAnsi"/>
        </w:rPr>
        <w:t xml:space="preserve">% because </w:t>
      </w:r>
      <w:r>
        <w:rPr>
          <w:rFonts w:ascii="Calibri" w:hAnsi="Calibri"/>
          <w:color w:val="000000"/>
        </w:rPr>
        <w:t>the patient</w:t>
      </w:r>
      <w:r w:rsidR="00152B7A">
        <w:rPr>
          <w:rFonts w:ascii="Calibri" w:hAnsi="Calibri"/>
          <w:color w:val="000000"/>
        </w:rPr>
        <w:t>s have</w:t>
      </w:r>
      <w:r>
        <w:rPr>
          <w:rFonts w:ascii="Calibri" w:hAnsi="Calibri"/>
          <w:color w:val="000000"/>
        </w:rPr>
        <w:t xml:space="preserve"> a prior proximal stay with a principal diagnosis for medical, nonsurgical, treatment of cancer</w:t>
      </w:r>
      <w:r>
        <w:rPr>
          <w:rFonts w:cstheme="minorHAnsi"/>
        </w:rPr>
        <w:t>.</w:t>
      </w:r>
    </w:p>
    <w:p w14:paraId="424F283F" w14:textId="77777777" w:rsidR="00D90A25" w:rsidRDefault="00D90A25" w:rsidP="00D90A25">
      <w:pPr>
        <w:autoSpaceDE w:val="0"/>
        <w:autoSpaceDN w:val="0"/>
        <w:adjustRightInd w:val="0"/>
        <w:spacing w:after="0" w:line="240" w:lineRule="auto"/>
        <w:rPr>
          <w:rFonts w:cstheme="minorHAnsi"/>
          <w:bCs/>
        </w:rPr>
      </w:pPr>
    </w:p>
    <w:p w14:paraId="71C7DAE4" w14:textId="5422111D" w:rsidR="00D90A25" w:rsidRDefault="00D90A25" w:rsidP="00D90A25">
      <w:pPr>
        <w:autoSpaceDE w:val="0"/>
        <w:autoSpaceDN w:val="0"/>
        <w:adjustRightInd w:val="0"/>
        <w:spacing w:after="0" w:line="240" w:lineRule="auto"/>
        <w:rPr>
          <w:rFonts w:cstheme="minorHAnsi"/>
          <w:bCs/>
        </w:rPr>
      </w:pPr>
      <w:r w:rsidRPr="00CA2DD4">
        <w:rPr>
          <w:rFonts w:cstheme="minorHAnsi"/>
          <w:b/>
          <w:bCs/>
        </w:rPr>
        <w:t xml:space="preserve">Table </w:t>
      </w:r>
      <w:r w:rsidR="00FC40CA">
        <w:rPr>
          <w:rFonts w:cstheme="minorHAnsi"/>
          <w:b/>
          <w:bCs/>
        </w:rPr>
        <w:t>11</w:t>
      </w:r>
      <w:r w:rsidRPr="00CA2DD4">
        <w:rPr>
          <w:rFonts w:cstheme="minorHAnsi"/>
          <w:b/>
          <w:bCs/>
        </w:rPr>
        <w:t xml:space="preserve">. </w:t>
      </w:r>
      <w:r w:rsidRPr="004F028E">
        <w:rPr>
          <w:rFonts w:cstheme="minorHAnsi"/>
          <w:b/>
        </w:rPr>
        <w:t>Facility</w:t>
      </w:r>
      <w:r w:rsidRPr="005029B4">
        <w:rPr>
          <w:rFonts w:cstheme="minorHAnsi"/>
          <w:b/>
        </w:rPr>
        <w:t xml:space="preserve">-Level </w:t>
      </w:r>
      <w:r>
        <w:rPr>
          <w:rFonts w:cstheme="minorHAnsi"/>
          <w:b/>
        </w:rPr>
        <w:t>Distribution</w:t>
      </w:r>
      <w:r w:rsidRPr="005029B4">
        <w:rPr>
          <w:rFonts w:cstheme="minorHAnsi"/>
          <w:b/>
        </w:rPr>
        <w:t xml:space="preserve"> of Exclusi</w:t>
      </w:r>
      <w:r>
        <w:rPr>
          <w:rFonts w:cstheme="minorHAnsi"/>
          <w:b/>
        </w:rPr>
        <w:t>on Criteria for the DTC-PAC HH</w:t>
      </w:r>
      <w:r w:rsidRPr="005029B4">
        <w:rPr>
          <w:rFonts w:cstheme="minorHAnsi"/>
          <w:b/>
        </w:rPr>
        <w:t xml:space="preserve"> Measure</w:t>
      </w:r>
    </w:p>
    <w:tbl>
      <w:tblPr>
        <w:tblW w:w="11780" w:type="dxa"/>
        <w:tblLook w:val="04A0" w:firstRow="1" w:lastRow="0" w:firstColumn="1" w:lastColumn="0" w:noHBand="0" w:noVBand="1"/>
      </w:tblPr>
      <w:tblGrid>
        <w:gridCol w:w="6971"/>
        <w:gridCol w:w="764"/>
        <w:gridCol w:w="760"/>
        <w:gridCol w:w="760"/>
        <w:gridCol w:w="886"/>
        <w:gridCol w:w="764"/>
        <w:gridCol w:w="875"/>
      </w:tblGrid>
      <w:tr w:rsidR="00D90A25" w:rsidRPr="004F028E" w14:paraId="390462F3" w14:textId="77777777" w:rsidTr="005160F0">
        <w:trPr>
          <w:trHeight w:val="330"/>
        </w:trPr>
        <w:tc>
          <w:tcPr>
            <w:tcW w:w="7320" w:type="dxa"/>
            <w:tcBorders>
              <w:top w:val="single" w:sz="12" w:space="0" w:color="auto"/>
              <w:left w:val="nil"/>
              <w:bottom w:val="single" w:sz="8" w:space="0" w:color="auto"/>
              <w:right w:val="nil"/>
            </w:tcBorders>
            <w:shd w:val="clear" w:color="000000" w:fill="D9D9D9"/>
            <w:vAlign w:val="center"/>
            <w:hideMark/>
          </w:tcPr>
          <w:p w14:paraId="1B254D26" w14:textId="77777777" w:rsidR="00D90A25" w:rsidRPr="004F028E" w:rsidRDefault="00D90A25" w:rsidP="005160F0">
            <w:pPr>
              <w:spacing w:after="0" w:line="240" w:lineRule="auto"/>
              <w:jc w:val="center"/>
              <w:rPr>
                <w:rFonts w:ascii="Calibri" w:eastAsia="Times New Roman" w:hAnsi="Calibri" w:cs="Times New Roman"/>
                <w:b/>
                <w:bCs/>
                <w:color w:val="000000"/>
                <w:sz w:val="21"/>
                <w:szCs w:val="21"/>
              </w:rPr>
            </w:pPr>
            <w:r w:rsidRPr="004F028E">
              <w:rPr>
                <w:rFonts w:ascii="Calibri" w:eastAsia="Times New Roman" w:hAnsi="Calibri" w:cs="Times New Roman"/>
                <w:b/>
                <w:bCs/>
                <w:color w:val="000000"/>
                <w:sz w:val="21"/>
                <w:szCs w:val="21"/>
              </w:rPr>
              <w:t>Exclusion</w:t>
            </w:r>
          </w:p>
        </w:tc>
        <w:tc>
          <w:tcPr>
            <w:tcW w:w="640" w:type="dxa"/>
            <w:tcBorders>
              <w:top w:val="single" w:sz="12" w:space="0" w:color="auto"/>
              <w:left w:val="nil"/>
              <w:bottom w:val="single" w:sz="8" w:space="0" w:color="auto"/>
              <w:right w:val="nil"/>
            </w:tcBorders>
            <w:shd w:val="clear" w:color="000000" w:fill="D9D9D9"/>
            <w:vAlign w:val="center"/>
            <w:hideMark/>
          </w:tcPr>
          <w:p w14:paraId="010D6913" w14:textId="77777777" w:rsidR="00D90A25" w:rsidRPr="004F028E" w:rsidRDefault="00D90A25" w:rsidP="005160F0">
            <w:pPr>
              <w:spacing w:after="0" w:line="240" w:lineRule="auto"/>
              <w:jc w:val="center"/>
              <w:rPr>
                <w:rFonts w:ascii="Calibri" w:eastAsia="Times New Roman" w:hAnsi="Calibri" w:cs="Times New Roman"/>
                <w:b/>
                <w:bCs/>
                <w:color w:val="000000"/>
                <w:sz w:val="21"/>
                <w:szCs w:val="21"/>
              </w:rPr>
            </w:pPr>
            <w:r w:rsidRPr="004F028E">
              <w:rPr>
                <w:rFonts w:ascii="Calibri" w:eastAsia="Times New Roman" w:hAnsi="Calibri" w:cs="Times New Roman"/>
                <w:b/>
                <w:bCs/>
                <w:color w:val="000000"/>
                <w:sz w:val="21"/>
                <w:szCs w:val="21"/>
              </w:rPr>
              <w:t>Mean</w:t>
            </w:r>
          </w:p>
        </w:tc>
        <w:tc>
          <w:tcPr>
            <w:tcW w:w="760" w:type="dxa"/>
            <w:tcBorders>
              <w:top w:val="single" w:sz="12" w:space="0" w:color="auto"/>
              <w:left w:val="nil"/>
              <w:bottom w:val="single" w:sz="8" w:space="0" w:color="auto"/>
              <w:right w:val="nil"/>
            </w:tcBorders>
            <w:shd w:val="clear" w:color="000000" w:fill="D9D9D9"/>
            <w:vAlign w:val="center"/>
            <w:hideMark/>
          </w:tcPr>
          <w:p w14:paraId="7A84AF34" w14:textId="77777777" w:rsidR="00D90A25" w:rsidRPr="004F028E" w:rsidRDefault="00D90A25" w:rsidP="005160F0">
            <w:pPr>
              <w:spacing w:after="0" w:line="240" w:lineRule="auto"/>
              <w:jc w:val="center"/>
              <w:rPr>
                <w:rFonts w:ascii="Calibri" w:eastAsia="Times New Roman" w:hAnsi="Calibri" w:cs="Times New Roman"/>
                <w:b/>
                <w:bCs/>
                <w:color w:val="000000"/>
                <w:sz w:val="21"/>
                <w:szCs w:val="21"/>
              </w:rPr>
            </w:pPr>
            <w:r w:rsidRPr="004F028E">
              <w:rPr>
                <w:rFonts w:ascii="Calibri" w:eastAsia="Times New Roman" w:hAnsi="Calibri" w:cs="Times New Roman"/>
                <w:b/>
                <w:bCs/>
                <w:color w:val="000000"/>
                <w:sz w:val="21"/>
                <w:szCs w:val="21"/>
              </w:rPr>
              <w:t>Min</w:t>
            </w:r>
          </w:p>
        </w:tc>
        <w:tc>
          <w:tcPr>
            <w:tcW w:w="760" w:type="dxa"/>
            <w:tcBorders>
              <w:top w:val="single" w:sz="12" w:space="0" w:color="auto"/>
              <w:left w:val="nil"/>
              <w:bottom w:val="single" w:sz="8" w:space="0" w:color="auto"/>
              <w:right w:val="nil"/>
            </w:tcBorders>
            <w:shd w:val="clear" w:color="000000" w:fill="D9D9D9"/>
            <w:vAlign w:val="center"/>
            <w:hideMark/>
          </w:tcPr>
          <w:p w14:paraId="4F424BA9" w14:textId="77777777" w:rsidR="00D90A25" w:rsidRPr="004F028E" w:rsidRDefault="00D90A25" w:rsidP="005160F0">
            <w:pPr>
              <w:spacing w:after="0" w:line="240" w:lineRule="auto"/>
              <w:jc w:val="center"/>
              <w:rPr>
                <w:rFonts w:ascii="Calibri" w:eastAsia="Times New Roman" w:hAnsi="Calibri" w:cs="Times New Roman"/>
                <w:b/>
                <w:bCs/>
                <w:color w:val="000000"/>
                <w:sz w:val="21"/>
                <w:szCs w:val="21"/>
              </w:rPr>
            </w:pPr>
            <w:r w:rsidRPr="004F028E">
              <w:rPr>
                <w:rFonts w:ascii="Calibri" w:eastAsia="Times New Roman" w:hAnsi="Calibri" w:cs="Times New Roman"/>
                <w:b/>
                <w:bCs/>
                <w:color w:val="000000"/>
                <w:sz w:val="21"/>
                <w:szCs w:val="21"/>
              </w:rPr>
              <w:t>25th</w:t>
            </w:r>
          </w:p>
        </w:tc>
        <w:tc>
          <w:tcPr>
            <w:tcW w:w="780" w:type="dxa"/>
            <w:tcBorders>
              <w:top w:val="single" w:sz="12" w:space="0" w:color="auto"/>
              <w:left w:val="nil"/>
              <w:bottom w:val="single" w:sz="8" w:space="0" w:color="auto"/>
              <w:right w:val="nil"/>
            </w:tcBorders>
            <w:shd w:val="clear" w:color="000000" w:fill="D9D9D9"/>
            <w:vAlign w:val="center"/>
            <w:hideMark/>
          </w:tcPr>
          <w:p w14:paraId="3D5D7BD2" w14:textId="77777777" w:rsidR="00D90A25" w:rsidRPr="004F028E" w:rsidRDefault="00D90A25" w:rsidP="005160F0">
            <w:pPr>
              <w:spacing w:after="0" w:line="240" w:lineRule="auto"/>
              <w:jc w:val="center"/>
              <w:rPr>
                <w:rFonts w:ascii="Calibri" w:eastAsia="Times New Roman" w:hAnsi="Calibri" w:cs="Times New Roman"/>
                <w:b/>
                <w:bCs/>
                <w:color w:val="000000"/>
                <w:sz w:val="21"/>
                <w:szCs w:val="21"/>
              </w:rPr>
            </w:pPr>
            <w:r w:rsidRPr="004F028E">
              <w:rPr>
                <w:rFonts w:ascii="Calibri" w:eastAsia="Times New Roman" w:hAnsi="Calibri" w:cs="Times New Roman"/>
                <w:b/>
                <w:bCs/>
                <w:color w:val="000000"/>
                <w:sz w:val="21"/>
                <w:szCs w:val="21"/>
              </w:rPr>
              <w:t>Median</w:t>
            </w:r>
          </w:p>
        </w:tc>
        <w:tc>
          <w:tcPr>
            <w:tcW w:w="760" w:type="dxa"/>
            <w:tcBorders>
              <w:top w:val="single" w:sz="12" w:space="0" w:color="auto"/>
              <w:left w:val="nil"/>
              <w:bottom w:val="single" w:sz="8" w:space="0" w:color="auto"/>
              <w:right w:val="nil"/>
            </w:tcBorders>
            <w:shd w:val="clear" w:color="000000" w:fill="D9D9D9"/>
            <w:vAlign w:val="center"/>
            <w:hideMark/>
          </w:tcPr>
          <w:p w14:paraId="4663F092" w14:textId="77777777" w:rsidR="00D90A25" w:rsidRPr="004F028E" w:rsidRDefault="00D90A25" w:rsidP="005160F0">
            <w:pPr>
              <w:spacing w:after="0" w:line="240" w:lineRule="auto"/>
              <w:jc w:val="center"/>
              <w:rPr>
                <w:rFonts w:ascii="Calibri" w:eastAsia="Times New Roman" w:hAnsi="Calibri" w:cs="Times New Roman"/>
                <w:b/>
                <w:bCs/>
                <w:color w:val="000000"/>
                <w:sz w:val="21"/>
                <w:szCs w:val="21"/>
              </w:rPr>
            </w:pPr>
            <w:r w:rsidRPr="004F028E">
              <w:rPr>
                <w:rFonts w:ascii="Calibri" w:eastAsia="Times New Roman" w:hAnsi="Calibri" w:cs="Times New Roman"/>
                <w:b/>
                <w:bCs/>
                <w:color w:val="000000"/>
                <w:sz w:val="21"/>
                <w:szCs w:val="21"/>
              </w:rPr>
              <w:t>75th</w:t>
            </w:r>
          </w:p>
        </w:tc>
        <w:tc>
          <w:tcPr>
            <w:tcW w:w="760" w:type="dxa"/>
            <w:tcBorders>
              <w:top w:val="single" w:sz="12" w:space="0" w:color="auto"/>
              <w:left w:val="nil"/>
              <w:bottom w:val="single" w:sz="8" w:space="0" w:color="auto"/>
              <w:right w:val="nil"/>
            </w:tcBorders>
            <w:shd w:val="clear" w:color="000000" w:fill="D9D9D9"/>
            <w:vAlign w:val="center"/>
            <w:hideMark/>
          </w:tcPr>
          <w:p w14:paraId="0310DD3F" w14:textId="77777777" w:rsidR="00D90A25" w:rsidRPr="004F028E" w:rsidRDefault="00D90A25" w:rsidP="005160F0">
            <w:pPr>
              <w:spacing w:after="0" w:line="240" w:lineRule="auto"/>
              <w:jc w:val="center"/>
              <w:rPr>
                <w:rFonts w:ascii="Calibri" w:eastAsia="Times New Roman" w:hAnsi="Calibri" w:cs="Times New Roman"/>
                <w:b/>
                <w:bCs/>
                <w:color w:val="000000"/>
                <w:sz w:val="21"/>
                <w:szCs w:val="21"/>
              </w:rPr>
            </w:pPr>
            <w:r w:rsidRPr="004F028E">
              <w:rPr>
                <w:rFonts w:ascii="Calibri" w:eastAsia="Times New Roman" w:hAnsi="Calibri" w:cs="Times New Roman"/>
                <w:b/>
                <w:bCs/>
                <w:color w:val="000000"/>
                <w:sz w:val="21"/>
                <w:szCs w:val="21"/>
              </w:rPr>
              <w:t>Max</w:t>
            </w:r>
          </w:p>
        </w:tc>
      </w:tr>
      <w:tr w:rsidR="00D90A25" w:rsidRPr="004F028E" w14:paraId="764CB014" w14:textId="77777777" w:rsidTr="005160F0">
        <w:trPr>
          <w:trHeight w:val="300"/>
        </w:trPr>
        <w:tc>
          <w:tcPr>
            <w:tcW w:w="7320" w:type="dxa"/>
            <w:tcBorders>
              <w:top w:val="nil"/>
              <w:left w:val="nil"/>
              <w:bottom w:val="nil"/>
              <w:right w:val="nil"/>
            </w:tcBorders>
            <w:shd w:val="clear" w:color="auto" w:fill="auto"/>
            <w:vAlign w:val="center"/>
            <w:hideMark/>
          </w:tcPr>
          <w:p w14:paraId="7854CC6F" w14:textId="77777777" w:rsidR="00D90A25" w:rsidRPr="004F028E" w:rsidRDefault="00D90A25" w:rsidP="005160F0">
            <w:pPr>
              <w:spacing w:after="0" w:line="240" w:lineRule="auto"/>
              <w:rPr>
                <w:rFonts w:ascii="Calibri" w:eastAsia="Times New Roman" w:hAnsi="Calibri" w:cs="Times New Roman"/>
                <w:color w:val="000000"/>
              </w:rPr>
            </w:pPr>
            <w:r w:rsidRPr="004F028E">
              <w:rPr>
                <w:rFonts w:ascii="Calibri" w:eastAsia="Times New Roman" w:hAnsi="Calibri" w:cs="Times New Roman"/>
                <w:color w:val="000000"/>
              </w:rPr>
              <w:t xml:space="preserve">The patient is younger than 18 years old at the start of the stay. </w:t>
            </w:r>
          </w:p>
        </w:tc>
        <w:tc>
          <w:tcPr>
            <w:tcW w:w="640" w:type="dxa"/>
            <w:tcBorders>
              <w:top w:val="nil"/>
              <w:left w:val="nil"/>
              <w:bottom w:val="nil"/>
              <w:right w:val="nil"/>
            </w:tcBorders>
            <w:shd w:val="clear" w:color="auto" w:fill="auto"/>
            <w:noWrap/>
            <w:vAlign w:val="bottom"/>
            <w:hideMark/>
          </w:tcPr>
          <w:p w14:paraId="6833AC18" w14:textId="77777777" w:rsidR="00D90A25" w:rsidRPr="004F028E" w:rsidRDefault="00D90A25" w:rsidP="005160F0">
            <w:pPr>
              <w:spacing w:after="0" w:line="240" w:lineRule="auto"/>
              <w:jc w:val="right"/>
              <w:rPr>
                <w:rFonts w:ascii="Calibri" w:eastAsia="Times New Roman" w:hAnsi="Calibri" w:cs="Times New Roman"/>
                <w:color w:val="000000"/>
              </w:rPr>
            </w:pPr>
            <w:r w:rsidRPr="004F028E">
              <w:rPr>
                <w:rFonts w:ascii="Calibri" w:eastAsia="Times New Roman" w:hAnsi="Calibri" w:cs="Times New Roman"/>
                <w:color w:val="000000"/>
              </w:rPr>
              <w:t>0.0%</w:t>
            </w:r>
          </w:p>
        </w:tc>
        <w:tc>
          <w:tcPr>
            <w:tcW w:w="760" w:type="dxa"/>
            <w:tcBorders>
              <w:top w:val="nil"/>
              <w:left w:val="nil"/>
              <w:bottom w:val="nil"/>
              <w:right w:val="nil"/>
            </w:tcBorders>
            <w:shd w:val="clear" w:color="auto" w:fill="auto"/>
            <w:noWrap/>
            <w:vAlign w:val="bottom"/>
            <w:hideMark/>
          </w:tcPr>
          <w:p w14:paraId="215DF29B" w14:textId="77777777" w:rsidR="00D90A25" w:rsidRPr="004F028E" w:rsidRDefault="00D90A25" w:rsidP="005160F0">
            <w:pPr>
              <w:spacing w:after="0" w:line="240" w:lineRule="auto"/>
              <w:jc w:val="right"/>
              <w:rPr>
                <w:rFonts w:ascii="Calibri" w:eastAsia="Times New Roman" w:hAnsi="Calibri" w:cs="Times New Roman"/>
                <w:color w:val="000000"/>
              </w:rPr>
            </w:pPr>
            <w:r w:rsidRPr="004F028E">
              <w:rPr>
                <w:rFonts w:ascii="Calibri" w:eastAsia="Times New Roman" w:hAnsi="Calibri" w:cs="Times New Roman"/>
                <w:color w:val="000000"/>
              </w:rPr>
              <w:t>0.0%</w:t>
            </w:r>
          </w:p>
        </w:tc>
        <w:tc>
          <w:tcPr>
            <w:tcW w:w="760" w:type="dxa"/>
            <w:tcBorders>
              <w:top w:val="nil"/>
              <w:left w:val="nil"/>
              <w:bottom w:val="nil"/>
              <w:right w:val="nil"/>
            </w:tcBorders>
            <w:shd w:val="clear" w:color="auto" w:fill="auto"/>
            <w:noWrap/>
            <w:vAlign w:val="bottom"/>
            <w:hideMark/>
          </w:tcPr>
          <w:p w14:paraId="2C30EEA4" w14:textId="77777777" w:rsidR="00D90A25" w:rsidRPr="004F028E" w:rsidRDefault="00D90A25" w:rsidP="005160F0">
            <w:pPr>
              <w:spacing w:after="0" w:line="240" w:lineRule="auto"/>
              <w:jc w:val="right"/>
              <w:rPr>
                <w:rFonts w:ascii="Calibri" w:eastAsia="Times New Roman" w:hAnsi="Calibri" w:cs="Times New Roman"/>
                <w:color w:val="000000"/>
              </w:rPr>
            </w:pPr>
            <w:r w:rsidRPr="004F028E">
              <w:rPr>
                <w:rFonts w:ascii="Calibri" w:eastAsia="Times New Roman" w:hAnsi="Calibri" w:cs="Times New Roman"/>
                <w:color w:val="000000"/>
              </w:rPr>
              <w:t>0.0%</w:t>
            </w:r>
          </w:p>
        </w:tc>
        <w:tc>
          <w:tcPr>
            <w:tcW w:w="780" w:type="dxa"/>
            <w:tcBorders>
              <w:top w:val="nil"/>
              <w:left w:val="nil"/>
              <w:bottom w:val="nil"/>
              <w:right w:val="nil"/>
            </w:tcBorders>
            <w:shd w:val="clear" w:color="auto" w:fill="auto"/>
            <w:noWrap/>
            <w:vAlign w:val="bottom"/>
            <w:hideMark/>
          </w:tcPr>
          <w:p w14:paraId="6C3FC43F" w14:textId="77777777" w:rsidR="00D90A25" w:rsidRPr="004F028E" w:rsidRDefault="00D90A25" w:rsidP="005160F0">
            <w:pPr>
              <w:spacing w:after="0" w:line="240" w:lineRule="auto"/>
              <w:jc w:val="right"/>
              <w:rPr>
                <w:rFonts w:ascii="Calibri" w:eastAsia="Times New Roman" w:hAnsi="Calibri" w:cs="Times New Roman"/>
                <w:color w:val="000000"/>
              </w:rPr>
            </w:pPr>
            <w:r w:rsidRPr="004F028E">
              <w:rPr>
                <w:rFonts w:ascii="Calibri" w:eastAsia="Times New Roman" w:hAnsi="Calibri" w:cs="Times New Roman"/>
                <w:color w:val="000000"/>
              </w:rPr>
              <w:t>0.0%</w:t>
            </w:r>
          </w:p>
        </w:tc>
        <w:tc>
          <w:tcPr>
            <w:tcW w:w="760" w:type="dxa"/>
            <w:tcBorders>
              <w:top w:val="nil"/>
              <w:left w:val="nil"/>
              <w:bottom w:val="nil"/>
              <w:right w:val="nil"/>
            </w:tcBorders>
            <w:shd w:val="clear" w:color="auto" w:fill="auto"/>
            <w:noWrap/>
            <w:vAlign w:val="bottom"/>
            <w:hideMark/>
          </w:tcPr>
          <w:p w14:paraId="65588757" w14:textId="77777777" w:rsidR="00D90A25" w:rsidRPr="004F028E" w:rsidRDefault="00D90A25" w:rsidP="005160F0">
            <w:pPr>
              <w:spacing w:after="0" w:line="240" w:lineRule="auto"/>
              <w:jc w:val="right"/>
              <w:rPr>
                <w:rFonts w:ascii="Calibri" w:eastAsia="Times New Roman" w:hAnsi="Calibri" w:cs="Times New Roman"/>
                <w:color w:val="000000"/>
              </w:rPr>
            </w:pPr>
            <w:r w:rsidRPr="004F028E">
              <w:rPr>
                <w:rFonts w:ascii="Calibri" w:eastAsia="Times New Roman" w:hAnsi="Calibri" w:cs="Times New Roman"/>
                <w:color w:val="000000"/>
              </w:rPr>
              <w:t>0.0%</w:t>
            </w:r>
          </w:p>
        </w:tc>
        <w:tc>
          <w:tcPr>
            <w:tcW w:w="760" w:type="dxa"/>
            <w:tcBorders>
              <w:top w:val="nil"/>
              <w:left w:val="nil"/>
              <w:bottom w:val="nil"/>
              <w:right w:val="nil"/>
            </w:tcBorders>
            <w:shd w:val="clear" w:color="auto" w:fill="auto"/>
            <w:noWrap/>
            <w:vAlign w:val="bottom"/>
            <w:hideMark/>
          </w:tcPr>
          <w:p w14:paraId="104D0886" w14:textId="77777777" w:rsidR="00D90A25" w:rsidRPr="004F028E" w:rsidRDefault="00D90A25" w:rsidP="005160F0">
            <w:pPr>
              <w:spacing w:after="0" w:line="240" w:lineRule="auto"/>
              <w:jc w:val="right"/>
              <w:rPr>
                <w:rFonts w:ascii="Calibri" w:eastAsia="Times New Roman" w:hAnsi="Calibri" w:cs="Times New Roman"/>
                <w:color w:val="000000"/>
              </w:rPr>
            </w:pPr>
            <w:r w:rsidRPr="004F028E">
              <w:rPr>
                <w:rFonts w:ascii="Calibri" w:eastAsia="Times New Roman" w:hAnsi="Calibri" w:cs="Times New Roman"/>
                <w:color w:val="000000"/>
              </w:rPr>
              <w:t>100.0%</w:t>
            </w:r>
          </w:p>
        </w:tc>
      </w:tr>
      <w:tr w:rsidR="00D90A25" w:rsidRPr="004F028E" w14:paraId="49ED6AEB" w14:textId="77777777" w:rsidTr="005160F0">
        <w:trPr>
          <w:trHeight w:val="900"/>
        </w:trPr>
        <w:tc>
          <w:tcPr>
            <w:tcW w:w="7320" w:type="dxa"/>
            <w:tcBorders>
              <w:top w:val="nil"/>
              <w:left w:val="nil"/>
              <w:bottom w:val="nil"/>
              <w:right w:val="nil"/>
            </w:tcBorders>
            <w:shd w:val="clear" w:color="auto" w:fill="auto"/>
            <w:vAlign w:val="center"/>
            <w:hideMark/>
          </w:tcPr>
          <w:p w14:paraId="770BE054" w14:textId="77777777" w:rsidR="00D90A25" w:rsidRPr="004F028E" w:rsidRDefault="00D90A25" w:rsidP="005160F0">
            <w:pPr>
              <w:spacing w:after="0" w:line="240" w:lineRule="auto"/>
              <w:rPr>
                <w:rFonts w:ascii="Calibri" w:eastAsia="Times New Roman" w:hAnsi="Calibri" w:cs="Times New Roman"/>
                <w:color w:val="000000"/>
              </w:rPr>
            </w:pPr>
            <w:r w:rsidRPr="004F028E">
              <w:rPr>
                <w:rFonts w:ascii="Calibri" w:eastAsia="Times New Roman" w:hAnsi="Calibri" w:cs="Times New Roman"/>
                <w:color w:val="000000"/>
              </w:rPr>
              <w:t xml:space="preserve">The patient is not continuously enrolled in Medicare Fee-For-Service Parts A and B (not C) from 12 months prior to the start of the stay through the 31 days after discharge. This exclusion only applies to months in which the patient is alive. </w:t>
            </w:r>
          </w:p>
        </w:tc>
        <w:tc>
          <w:tcPr>
            <w:tcW w:w="640" w:type="dxa"/>
            <w:tcBorders>
              <w:top w:val="nil"/>
              <w:left w:val="nil"/>
              <w:bottom w:val="nil"/>
              <w:right w:val="nil"/>
            </w:tcBorders>
            <w:shd w:val="clear" w:color="auto" w:fill="auto"/>
            <w:noWrap/>
            <w:vAlign w:val="bottom"/>
            <w:hideMark/>
          </w:tcPr>
          <w:p w14:paraId="1DA9FA77" w14:textId="77777777" w:rsidR="00D90A25" w:rsidRPr="004F028E" w:rsidRDefault="00D90A25" w:rsidP="005160F0">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16.6</w:t>
            </w:r>
            <w:r w:rsidRPr="004F028E">
              <w:rPr>
                <w:rFonts w:ascii="Calibri" w:eastAsia="Times New Roman" w:hAnsi="Calibri" w:cs="Times New Roman"/>
                <w:color w:val="000000"/>
              </w:rPr>
              <w:t>%</w:t>
            </w:r>
          </w:p>
        </w:tc>
        <w:tc>
          <w:tcPr>
            <w:tcW w:w="760" w:type="dxa"/>
            <w:tcBorders>
              <w:top w:val="nil"/>
              <w:left w:val="nil"/>
              <w:bottom w:val="nil"/>
              <w:right w:val="nil"/>
            </w:tcBorders>
            <w:shd w:val="clear" w:color="auto" w:fill="auto"/>
            <w:noWrap/>
            <w:vAlign w:val="bottom"/>
            <w:hideMark/>
          </w:tcPr>
          <w:p w14:paraId="1CFA7C20" w14:textId="77777777" w:rsidR="00D90A25" w:rsidRPr="004F028E" w:rsidRDefault="00D90A25" w:rsidP="005160F0">
            <w:pPr>
              <w:spacing w:after="0" w:line="240" w:lineRule="auto"/>
              <w:jc w:val="right"/>
              <w:rPr>
                <w:rFonts w:ascii="Calibri" w:eastAsia="Times New Roman" w:hAnsi="Calibri" w:cs="Times New Roman"/>
                <w:color w:val="000000"/>
              </w:rPr>
            </w:pPr>
            <w:r w:rsidRPr="004F028E">
              <w:rPr>
                <w:rFonts w:ascii="Calibri" w:eastAsia="Times New Roman" w:hAnsi="Calibri" w:cs="Times New Roman"/>
                <w:color w:val="000000"/>
              </w:rPr>
              <w:t>0.0%</w:t>
            </w:r>
          </w:p>
        </w:tc>
        <w:tc>
          <w:tcPr>
            <w:tcW w:w="760" w:type="dxa"/>
            <w:tcBorders>
              <w:top w:val="nil"/>
              <w:left w:val="nil"/>
              <w:bottom w:val="nil"/>
              <w:right w:val="nil"/>
            </w:tcBorders>
            <w:shd w:val="clear" w:color="auto" w:fill="auto"/>
            <w:noWrap/>
            <w:vAlign w:val="bottom"/>
            <w:hideMark/>
          </w:tcPr>
          <w:p w14:paraId="5078A9BF" w14:textId="77777777" w:rsidR="00D90A25" w:rsidRPr="004F028E" w:rsidRDefault="00D90A25" w:rsidP="005160F0">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7.6</w:t>
            </w:r>
            <w:r w:rsidRPr="004F028E">
              <w:rPr>
                <w:rFonts w:ascii="Calibri" w:eastAsia="Times New Roman" w:hAnsi="Calibri" w:cs="Times New Roman"/>
                <w:color w:val="000000"/>
              </w:rPr>
              <w:t>%</w:t>
            </w:r>
          </w:p>
        </w:tc>
        <w:tc>
          <w:tcPr>
            <w:tcW w:w="780" w:type="dxa"/>
            <w:tcBorders>
              <w:top w:val="nil"/>
              <w:left w:val="nil"/>
              <w:bottom w:val="nil"/>
              <w:right w:val="nil"/>
            </w:tcBorders>
            <w:shd w:val="clear" w:color="auto" w:fill="auto"/>
            <w:noWrap/>
            <w:vAlign w:val="bottom"/>
            <w:hideMark/>
          </w:tcPr>
          <w:p w14:paraId="4014E139" w14:textId="77777777" w:rsidR="00D90A25" w:rsidRPr="004F028E" w:rsidRDefault="00D90A25" w:rsidP="005160F0">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12.4</w:t>
            </w:r>
            <w:r w:rsidRPr="004F028E">
              <w:rPr>
                <w:rFonts w:ascii="Calibri" w:eastAsia="Times New Roman" w:hAnsi="Calibri" w:cs="Times New Roman"/>
                <w:color w:val="000000"/>
              </w:rPr>
              <w:t>%</w:t>
            </w:r>
          </w:p>
        </w:tc>
        <w:tc>
          <w:tcPr>
            <w:tcW w:w="760" w:type="dxa"/>
            <w:tcBorders>
              <w:top w:val="nil"/>
              <w:left w:val="nil"/>
              <w:bottom w:val="nil"/>
              <w:right w:val="nil"/>
            </w:tcBorders>
            <w:shd w:val="clear" w:color="auto" w:fill="auto"/>
            <w:noWrap/>
            <w:vAlign w:val="bottom"/>
            <w:hideMark/>
          </w:tcPr>
          <w:p w14:paraId="7C112391" w14:textId="77777777" w:rsidR="00D90A25" w:rsidRPr="004F028E" w:rsidRDefault="00D90A25" w:rsidP="005160F0">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22</w:t>
            </w:r>
            <w:r w:rsidRPr="004F028E">
              <w:rPr>
                <w:rFonts w:ascii="Calibri" w:eastAsia="Times New Roman" w:hAnsi="Calibri" w:cs="Times New Roman"/>
                <w:color w:val="000000"/>
              </w:rPr>
              <w:t>.</w:t>
            </w:r>
            <w:r>
              <w:rPr>
                <w:rFonts w:ascii="Calibri" w:eastAsia="Times New Roman" w:hAnsi="Calibri" w:cs="Times New Roman"/>
                <w:color w:val="000000"/>
              </w:rPr>
              <w:t>4</w:t>
            </w:r>
            <w:r w:rsidRPr="004F028E">
              <w:rPr>
                <w:rFonts w:ascii="Calibri" w:eastAsia="Times New Roman" w:hAnsi="Calibri" w:cs="Times New Roman"/>
                <w:color w:val="000000"/>
              </w:rPr>
              <w:t>%</w:t>
            </w:r>
          </w:p>
        </w:tc>
        <w:tc>
          <w:tcPr>
            <w:tcW w:w="760" w:type="dxa"/>
            <w:tcBorders>
              <w:top w:val="nil"/>
              <w:left w:val="nil"/>
              <w:bottom w:val="nil"/>
              <w:right w:val="nil"/>
            </w:tcBorders>
            <w:shd w:val="clear" w:color="auto" w:fill="auto"/>
            <w:noWrap/>
            <w:vAlign w:val="bottom"/>
            <w:hideMark/>
          </w:tcPr>
          <w:p w14:paraId="388E660A" w14:textId="77777777" w:rsidR="00D90A25" w:rsidRPr="004F028E" w:rsidRDefault="00D90A25" w:rsidP="005160F0">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100.0</w:t>
            </w:r>
            <w:r w:rsidRPr="004F028E">
              <w:rPr>
                <w:rFonts w:ascii="Calibri" w:eastAsia="Times New Roman" w:hAnsi="Calibri" w:cs="Times New Roman"/>
                <w:color w:val="000000"/>
              </w:rPr>
              <w:t>%</w:t>
            </w:r>
          </w:p>
        </w:tc>
      </w:tr>
      <w:tr w:rsidR="00D90A25" w:rsidRPr="004F028E" w14:paraId="3C693A39" w14:textId="77777777" w:rsidTr="005160F0">
        <w:trPr>
          <w:trHeight w:val="600"/>
        </w:trPr>
        <w:tc>
          <w:tcPr>
            <w:tcW w:w="7320" w:type="dxa"/>
            <w:tcBorders>
              <w:top w:val="nil"/>
              <w:left w:val="nil"/>
              <w:bottom w:val="nil"/>
              <w:right w:val="nil"/>
            </w:tcBorders>
            <w:shd w:val="clear" w:color="auto" w:fill="auto"/>
            <w:vAlign w:val="center"/>
            <w:hideMark/>
          </w:tcPr>
          <w:p w14:paraId="342B98AE" w14:textId="77777777" w:rsidR="00D90A25" w:rsidRPr="004F028E" w:rsidRDefault="00D90A25" w:rsidP="005160F0">
            <w:pPr>
              <w:spacing w:after="0" w:line="240" w:lineRule="auto"/>
              <w:rPr>
                <w:rFonts w:ascii="Calibri" w:eastAsia="Times New Roman" w:hAnsi="Calibri" w:cs="Times New Roman"/>
              </w:rPr>
            </w:pPr>
            <w:r w:rsidRPr="004F028E">
              <w:rPr>
                <w:rFonts w:ascii="Calibri" w:eastAsia="Times New Roman" w:hAnsi="Calibri" w:cs="Times New Roman"/>
              </w:rPr>
              <w:t>The stay has problematic claims data (e.g. anomalous records for stays that overlap wholly or in part, or are otherwise erroneous or contradictory).</w:t>
            </w:r>
          </w:p>
        </w:tc>
        <w:tc>
          <w:tcPr>
            <w:tcW w:w="640" w:type="dxa"/>
            <w:tcBorders>
              <w:top w:val="nil"/>
              <w:left w:val="nil"/>
              <w:bottom w:val="nil"/>
              <w:right w:val="nil"/>
            </w:tcBorders>
            <w:shd w:val="clear" w:color="auto" w:fill="auto"/>
            <w:noWrap/>
            <w:vAlign w:val="bottom"/>
            <w:hideMark/>
          </w:tcPr>
          <w:p w14:paraId="078D26DA" w14:textId="77777777" w:rsidR="00D90A25" w:rsidRPr="004F028E" w:rsidRDefault="00D90A25" w:rsidP="005160F0">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0.1</w:t>
            </w:r>
            <w:r w:rsidRPr="004F028E">
              <w:rPr>
                <w:rFonts w:ascii="Calibri" w:eastAsia="Times New Roman" w:hAnsi="Calibri" w:cs="Times New Roman"/>
                <w:color w:val="000000"/>
              </w:rPr>
              <w:t>%</w:t>
            </w:r>
          </w:p>
        </w:tc>
        <w:tc>
          <w:tcPr>
            <w:tcW w:w="760" w:type="dxa"/>
            <w:tcBorders>
              <w:top w:val="nil"/>
              <w:left w:val="nil"/>
              <w:bottom w:val="nil"/>
              <w:right w:val="nil"/>
            </w:tcBorders>
            <w:shd w:val="clear" w:color="auto" w:fill="auto"/>
            <w:noWrap/>
            <w:vAlign w:val="bottom"/>
            <w:hideMark/>
          </w:tcPr>
          <w:p w14:paraId="4D18324A" w14:textId="77777777" w:rsidR="00D90A25" w:rsidRPr="004F028E" w:rsidRDefault="00D90A25" w:rsidP="005160F0">
            <w:pPr>
              <w:spacing w:after="0" w:line="240" w:lineRule="auto"/>
              <w:jc w:val="right"/>
              <w:rPr>
                <w:rFonts w:ascii="Calibri" w:eastAsia="Times New Roman" w:hAnsi="Calibri" w:cs="Times New Roman"/>
                <w:color w:val="000000"/>
              </w:rPr>
            </w:pPr>
            <w:r w:rsidRPr="004F028E">
              <w:rPr>
                <w:rFonts w:ascii="Calibri" w:eastAsia="Times New Roman" w:hAnsi="Calibri" w:cs="Times New Roman"/>
                <w:color w:val="000000"/>
              </w:rPr>
              <w:t>0.0%</w:t>
            </w:r>
          </w:p>
        </w:tc>
        <w:tc>
          <w:tcPr>
            <w:tcW w:w="760" w:type="dxa"/>
            <w:tcBorders>
              <w:top w:val="nil"/>
              <w:left w:val="nil"/>
              <w:bottom w:val="nil"/>
              <w:right w:val="nil"/>
            </w:tcBorders>
            <w:shd w:val="clear" w:color="auto" w:fill="auto"/>
            <w:noWrap/>
            <w:vAlign w:val="bottom"/>
            <w:hideMark/>
          </w:tcPr>
          <w:p w14:paraId="344E2A75" w14:textId="77777777" w:rsidR="00D90A25" w:rsidRPr="004F028E" w:rsidRDefault="00D90A25" w:rsidP="005160F0">
            <w:pPr>
              <w:spacing w:after="0" w:line="240" w:lineRule="auto"/>
              <w:jc w:val="right"/>
              <w:rPr>
                <w:rFonts w:ascii="Calibri" w:eastAsia="Times New Roman" w:hAnsi="Calibri" w:cs="Times New Roman"/>
                <w:color w:val="000000"/>
              </w:rPr>
            </w:pPr>
            <w:r w:rsidRPr="004F028E">
              <w:rPr>
                <w:rFonts w:ascii="Calibri" w:eastAsia="Times New Roman" w:hAnsi="Calibri" w:cs="Times New Roman"/>
                <w:color w:val="000000"/>
              </w:rPr>
              <w:t>0.0%</w:t>
            </w:r>
          </w:p>
        </w:tc>
        <w:tc>
          <w:tcPr>
            <w:tcW w:w="780" w:type="dxa"/>
            <w:tcBorders>
              <w:top w:val="nil"/>
              <w:left w:val="nil"/>
              <w:bottom w:val="nil"/>
              <w:right w:val="nil"/>
            </w:tcBorders>
            <w:shd w:val="clear" w:color="auto" w:fill="auto"/>
            <w:noWrap/>
            <w:vAlign w:val="bottom"/>
            <w:hideMark/>
          </w:tcPr>
          <w:p w14:paraId="35BFA1B9" w14:textId="77777777" w:rsidR="00D90A25" w:rsidRPr="004F028E" w:rsidRDefault="00D90A25" w:rsidP="005160F0">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0</w:t>
            </w:r>
            <w:r w:rsidRPr="004F028E">
              <w:rPr>
                <w:rFonts w:ascii="Calibri" w:eastAsia="Times New Roman" w:hAnsi="Calibri" w:cs="Times New Roman"/>
                <w:color w:val="000000"/>
              </w:rPr>
              <w:t>.0%</w:t>
            </w:r>
          </w:p>
        </w:tc>
        <w:tc>
          <w:tcPr>
            <w:tcW w:w="760" w:type="dxa"/>
            <w:tcBorders>
              <w:top w:val="nil"/>
              <w:left w:val="nil"/>
              <w:bottom w:val="nil"/>
              <w:right w:val="nil"/>
            </w:tcBorders>
            <w:shd w:val="clear" w:color="auto" w:fill="auto"/>
            <w:noWrap/>
            <w:vAlign w:val="bottom"/>
            <w:hideMark/>
          </w:tcPr>
          <w:p w14:paraId="13ABFA2C" w14:textId="77777777" w:rsidR="00D90A25" w:rsidRPr="004F028E" w:rsidRDefault="00D90A25" w:rsidP="005160F0">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0</w:t>
            </w:r>
            <w:r w:rsidRPr="004F028E">
              <w:rPr>
                <w:rFonts w:ascii="Calibri" w:eastAsia="Times New Roman" w:hAnsi="Calibri" w:cs="Times New Roman"/>
                <w:color w:val="000000"/>
              </w:rPr>
              <w:t>.0%</w:t>
            </w:r>
          </w:p>
        </w:tc>
        <w:tc>
          <w:tcPr>
            <w:tcW w:w="760" w:type="dxa"/>
            <w:tcBorders>
              <w:top w:val="nil"/>
              <w:left w:val="nil"/>
              <w:bottom w:val="nil"/>
              <w:right w:val="nil"/>
            </w:tcBorders>
            <w:shd w:val="clear" w:color="auto" w:fill="auto"/>
            <w:noWrap/>
            <w:vAlign w:val="bottom"/>
            <w:hideMark/>
          </w:tcPr>
          <w:p w14:paraId="47A913CB" w14:textId="77777777" w:rsidR="00D90A25" w:rsidRPr="004F028E" w:rsidRDefault="00D90A25" w:rsidP="005160F0">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86.4</w:t>
            </w:r>
            <w:r w:rsidRPr="004F028E">
              <w:rPr>
                <w:rFonts w:ascii="Calibri" w:eastAsia="Times New Roman" w:hAnsi="Calibri" w:cs="Times New Roman"/>
                <w:color w:val="000000"/>
              </w:rPr>
              <w:t>%</w:t>
            </w:r>
          </w:p>
        </w:tc>
      </w:tr>
      <w:tr w:rsidR="00D90A25" w:rsidRPr="004F028E" w14:paraId="1A83EC38" w14:textId="77777777" w:rsidTr="005160F0">
        <w:trPr>
          <w:trHeight w:val="900"/>
        </w:trPr>
        <w:tc>
          <w:tcPr>
            <w:tcW w:w="7320" w:type="dxa"/>
            <w:tcBorders>
              <w:top w:val="nil"/>
              <w:left w:val="nil"/>
              <w:bottom w:val="nil"/>
              <w:right w:val="nil"/>
            </w:tcBorders>
            <w:shd w:val="clear" w:color="auto" w:fill="auto"/>
            <w:vAlign w:val="center"/>
            <w:hideMark/>
          </w:tcPr>
          <w:p w14:paraId="2BEB70A1" w14:textId="77777777" w:rsidR="00D90A25" w:rsidRPr="004F028E" w:rsidRDefault="00D90A25" w:rsidP="005160F0">
            <w:pPr>
              <w:spacing w:after="0" w:line="240" w:lineRule="auto"/>
              <w:rPr>
                <w:rFonts w:ascii="Calibri" w:eastAsia="Times New Roman" w:hAnsi="Calibri" w:cs="Times New Roman"/>
                <w:color w:val="000000"/>
              </w:rPr>
            </w:pPr>
            <w:r w:rsidRPr="004F028E">
              <w:rPr>
                <w:rFonts w:ascii="Calibri" w:eastAsia="Times New Roman" w:hAnsi="Calibri" w:cs="Times New Roman"/>
                <w:color w:val="000000"/>
              </w:rPr>
              <w:t>The patient has a prior proximal stay (a short-term acute care or psychiatric stay within 30 days prior to home health admission) with a principal diagnosis for medical (nonsurgical) treatment of cancer.</w:t>
            </w:r>
          </w:p>
        </w:tc>
        <w:tc>
          <w:tcPr>
            <w:tcW w:w="640" w:type="dxa"/>
            <w:tcBorders>
              <w:top w:val="nil"/>
              <w:left w:val="nil"/>
              <w:bottom w:val="nil"/>
              <w:right w:val="nil"/>
            </w:tcBorders>
            <w:shd w:val="clear" w:color="auto" w:fill="auto"/>
            <w:noWrap/>
            <w:vAlign w:val="bottom"/>
            <w:hideMark/>
          </w:tcPr>
          <w:p w14:paraId="024C94C1" w14:textId="77777777" w:rsidR="00D90A25" w:rsidRPr="004F028E" w:rsidRDefault="00D90A25" w:rsidP="005160F0">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1.5</w:t>
            </w:r>
            <w:r w:rsidRPr="004F028E">
              <w:rPr>
                <w:rFonts w:ascii="Calibri" w:eastAsia="Times New Roman" w:hAnsi="Calibri" w:cs="Times New Roman"/>
                <w:color w:val="000000"/>
              </w:rPr>
              <w:t>%</w:t>
            </w:r>
          </w:p>
        </w:tc>
        <w:tc>
          <w:tcPr>
            <w:tcW w:w="760" w:type="dxa"/>
            <w:tcBorders>
              <w:top w:val="nil"/>
              <w:left w:val="nil"/>
              <w:bottom w:val="nil"/>
              <w:right w:val="nil"/>
            </w:tcBorders>
            <w:shd w:val="clear" w:color="auto" w:fill="auto"/>
            <w:noWrap/>
            <w:vAlign w:val="bottom"/>
            <w:hideMark/>
          </w:tcPr>
          <w:p w14:paraId="4EF34F6F" w14:textId="77777777" w:rsidR="00D90A25" w:rsidRPr="004F028E" w:rsidRDefault="00D90A25" w:rsidP="005160F0">
            <w:pPr>
              <w:spacing w:after="0" w:line="240" w:lineRule="auto"/>
              <w:jc w:val="right"/>
              <w:rPr>
                <w:rFonts w:ascii="Calibri" w:eastAsia="Times New Roman" w:hAnsi="Calibri" w:cs="Times New Roman"/>
                <w:color w:val="000000"/>
              </w:rPr>
            </w:pPr>
            <w:r w:rsidRPr="004F028E">
              <w:rPr>
                <w:rFonts w:ascii="Calibri" w:eastAsia="Times New Roman" w:hAnsi="Calibri" w:cs="Times New Roman"/>
                <w:color w:val="000000"/>
              </w:rPr>
              <w:t>0.0%</w:t>
            </w:r>
          </w:p>
        </w:tc>
        <w:tc>
          <w:tcPr>
            <w:tcW w:w="760" w:type="dxa"/>
            <w:tcBorders>
              <w:top w:val="nil"/>
              <w:left w:val="nil"/>
              <w:bottom w:val="nil"/>
              <w:right w:val="nil"/>
            </w:tcBorders>
            <w:shd w:val="clear" w:color="auto" w:fill="auto"/>
            <w:noWrap/>
            <w:vAlign w:val="bottom"/>
            <w:hideMark/>
          </w:tcPr>
          <w:p w14:paraId="673B2C51" w14:textId="77777777" w:rsidR="00D90A25" w:rsidRPr="004F028E" w:rsidRDefault="00D90A25" w:rsidP="005160F0">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0.0</w:t>
            </w:r>
            <w:r w:rsidRPr="004F028E">
              <w:rPr>
                <w:rFonts w:ascii="Calibri" w:eastAsia="Times New Roman" w:hAnsi="Calibri" w:cs="Times New Roman"/>
                <w:color w:val="000000"/>
              </w:rPr>
              <w:t>%</w:t>
            </w:r>
          </w:p>
        </w:tc>
        <w:tc>
          <w:tcPr>
            <w:tcW w:w="780" w:type="dxa"/>
            <w:tcBorders>
              <w:top w:val="nil"/>
              <w:left w:val="nil"/>
              <w:bottom w:val="nil"/>
              <w:right w:val="nil"/>
            </w:tcBorders>
            <w:shd w:val="clear" w:color="auto" w:fill="auto"/>
            <w:noWrap/>
            <w:vAlign w:val="bottom"/>
            <w:hideMark/>
          </w:tcPr>
          <w:p w14:paraId="64200BD8" w14:textId="77777777" w:rsidR="00D90A25" w:rsidRPr="004F028E" w:rsidRDefault="00D90A25" w:rsidP="005160F0">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1.0</w:t>
            </w:r>
            <w:r w:rsidRPr="004F028E">
              <w:rPr>
                <w:rFonts w:ascii="Calibri" w:eastAsia="Times New Roman" w:hAnsi="Calibri" w:cs="Times New Roman"/>
                <w:color w:val="000000"/>
              </w:rPr>
              <w:t>%</w:t>
            </w:r>
          </w:p>
        </w:tc>
        <w:tc>
          <w:tcPr>
            <w:tcW w:w="760" w:type="dxa"/>
            <w:tcBorders>
              <w:top w:val="nil"/>
              <w:left w:val="nil"/>
              <w:bottom w:val="nil"/>
              <w:right w:val="nil"/>
            </w:tcBorders>
            <w:shd w:val="clear" w:color="auto" w:fill="auto"/>
            <w:noWrap/>
            <w:vAlign w:val="bottom"/>
            <w:hideMark/>
          </w:tcPr>
          <w:p w14:paraId="3C73574D" w14:textId="77777777" w:rsidR="00D90A25" w:rsidRPr="004F028E" w:rsidRDefault="00D90A25" w:rsidP="005160F0">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2.0</w:t>
            </w:r>
            <w:r w:rsidRPr="004F028E">
              <w:rPr>
                <w:rFonts w:ascii="Calibri" w:eastAsia="Times New Roman" w:hAnsi="Calibri" w:cs="Times New Roman"/>
                <w:color w:val="000000"/>
              </w:rPr>
              <w:t>%</w:t>
            </w:r>
          </w:p>
        </w:tc>
        <w:tc>
          <w:tcPr>
            <w:tcW w:w="760" w:type="dxa"/>
            <w:tcBorders>
              <w:top w:val="nil"/>
              <w:left w:val="nil"/>
              <w:bottom w:val="nil"/>
              <w:right w:val="nil"/>
            </w:tcBorders>
            <w:shd w:val="clear" w:color="auto" w:fill="auto"/>
            <w:noWrap/>
            <w:vAlign w:val="bottom"/>
            <w:hideMark/>
          </w:tcPr>
          <w:p w14:paraId="2FE90C26" w14:textId="77777777" w:rsidR="00D90A25" w:rsidRPr="004F028E" w:rsidRDefault="00D90A25" w:rsidP="005160F0">
            <w:pPr>
              <w:spacing w:after="0" w:line="240" w:lineRule="auto"/>
              <w:jc w:val="right"/>
              <w:rPr>
                <w:rFonts w:ascii="Calibri" w:eastAsia="Times New Roman" w:hAnsi="Calibri" w:cs="Times New Roman"/>
                <w:color w:val="000000"/>
              </w:rPr>
            </w:pPr>
            <w:r w:rsidRPr="004F028E">
              <w:rPr>
                <w:rFonts w:ascii="Calibri" w:eastAsia="Times New Roman" w:hAnsi="Calibri" w:cs="Times New Roman"/>
                <w:color w:val="000000"/>
              </w:rPr>
              <w:t>100.0%</w:t>
            </w:r>
          </w:p>
        </w:tc>
      </w:tr>
      <w:tr w:rsidR="00D90A25" w:rsidRPr="004F028E" w14:paraId="37F26CDD" w14:textId="77777777" w:rsidTr="005160F0">
        <w:trPr>
          <w:trHeight w:val="300"/>
        </w:trPr>
        <w:tc>
          <w:tcPr>
            <w:tcW w:w="7320" w:type="dxa"/>
            <w:tcBorders>
              <w:top w:val="nil"/>
              <w:left w:val="nil"/>
              <w:bottom w:val="nil"/>
              <w:right w:val="nil"/>
            </w:tcBorders>
            <w:shd w:val="clear" w:color="auto" w:fill="auto"/>
            <w:vAlign w:val="center"/>
            <w:hideMark/>
          </w:tcPr>
          <w:p w14:paraId="5209CEB9" w14:textId="77777777" w:rsidR="00D90A25" w:rsidRPr="004F028E" w:rsidRDefault="00D90A25" w:rsidP="005160F0">
            <w:pPr>
              <w:spacing w:after="0" w:line="240" w:lineRule="auto"/>
              <w:rPr>
                <w:rFonts w:ascii="Calibri" w:eastAsia="Times New Roman" w:hAnsi="Calibri" w:cs="Times New Roman"/>
                <w:color w:val="000000"/>
              </w:rPr>
            </w:pPr>
            <w:r w:rsidRPr="004F028E">
              <w:rPr>
                <w:rFonts w:ascii="Calibri" w:eastAsia="Times New Roman" w:hAnsi="Calibri" w:cs="Times New Roman"/>
                <w:color w:val="000000"/>
              </w:rPr>
              <w:t>The patient is discharged to a psychiatric hospital.</w:t>
            </w:r>
          </w:p>
        </w:tc>
        <w:tc>
          <w:tcPr>
            <w:tcW w:w="640" w:type="dxa"/>
            <w:tcBorders>
              <w:top w:val="nil"/>
              <w:left w:val="nil"/>
              <w:bottom w:val="nil"/>
              <w:right w:val="nil"/>
            </w:tcBorders>
            <w:shd w:val="clear" w:color="auto" w:fill="auto"/>
            <w:noWrap/>
            <w:vAlign w:val="bottom"/>
            <w:hideMark/>
          </w:tcPr>
          <w:p w14:paraId="5D4C79C1" w14:textId="77777777" w:rsidR="00D90A25" w:rsidRPr="004F028E" w:rsidRDefault="00D90A25" w:rsidP="005160F0">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0.0</w:t>
            </w:r>
            <w:r w:rsidRPr="004F028E">
              <w:rPr>
                <w:rFonts w:ascii="Calibri" w:eastAsia="Times New Roman" w:hAnsi="Calibri" w:cs="Times New Roman"/>
                <w:color w:val="000000"/>
              </w:rPr>
              <w:t>%</w:t>
            </w:r>
          </w:p>
        </w:tc>
        <w:tc>
          <w:tcPr>
            <w:tcW w:w="760" w:type="dxa"/>
            <w:tcBorders>
              <w:top w:val="nil"/>
              <w:left w:val="nil"/>
              <w:bottom w:val="nil"/>
              <w:right w:val="nil"/>
            </w:tcBorders>
            <w:shd w:val="clear" w:color="auto" w:fill="auto"/>
            <w:noWrap/>
            <w:vAlign w:val="bottom"/>
            <w:hideMark/>
          </w:tcPr>
          <w:p w14:paraId="59E7C631" w14:textId="77777777" w:rsidR="00D90A25" w:rsidRPr="004F028E" w:rsidRDefault="00D90A25" w:rsidP="005160F0">
            <w:pPr>
              <w:spacing w:after="0" w:line="240" w:lineRule="auto"/>
              <w:jc w:val="right"/>
              <w:rPr>
                <w:rFonts w:ascii="Calibri" w:eastAsia="Times New Roman" w:hAnsi="Calibri" w:cs="Times New Roman"/>
                <w:color w:val="000000"/>
              </w:rPr>
            </w:pPr>
            <w:r w:rsidRPr="004F028E">
              <w:rPr>
                <w:rFonts w:ascii="Calibri" w:eastAsia="Times New Roman" w:hAnsi="Calibri" w:cs="Times New Roman"/>
                <w:color w:val="000000"/>
              </w:rPr>
              <w:t>0.0%</w:t>
            </w:r>
          </w:p>
        </w:tc>
        <w:tc>
          <w:tcPr>
            <w:tcW w:w="760" w:type="dxa"/>
            <w:tcBorders>
              <w:top w:val="nil"/>
              <w:left w:val="nil"/>
              <w:bottom w:val="nil"/>
              <w:right w:val="nil"/>
            </w:tcBorders>
            <w:shd w:val="clear" w:color="auto" w:fill="auto"/>
            <w:noWrap/>
            <w:vAlign w:val="bottom"/>
            <w:hideMark/>
          </w:tcPr>
          <w:p w14:paraId="2BAB20EA" w14:textId="77777777" w:rsidR="00D90A25" w:rsidRPr="004F028E" w:rsidRDefault="00D90A25" w:rsidP="005160F0">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0.0</w:t>
            </w:r>
            <w:r w:rsidRPr="004F028E">
              <w:rPr>
                <w:rFonts w:ascii="Calibri" w:eastAsia="Times New Roman" w:hAnsi="Calibri" w:cs="Times New Roman"/>
                <w:color w:val="000000"/>
              </w:rPr>
              <w:t>%</w:t>
            </w:r>
          </w:p>
        </w:tc>
        <w:tc>
          <w:tcPr>
            <w:tcW w:w="780" w:type="dxa"/>
            <w:tcBorders>
              <w:top w:val="nil"/>
              <w:left w:val="nil"/>
              <w:bottom w:val="nil"/>
              <w:right w:val="nil"/>
            </w:tcBorders>
            <w:shd w:val="clear" w:color="auto" w:fill="auto"/>
            <w:noWrap/>
            <w:vAlign w:val="bottom"/>
            <w:hideMark/>
          </w:tcPr>
          <w:p w14:paraId="5F1A860D" w14:textId="77777777" w:rsidR="00D90A25" w:rsidRPr="004F028E" w:rsidRDefault="00D90A25" w:rsidP="005160F0">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0.0</w:t>
            </w:r>
            <w:r w:rsidRPr="004F028E">
              <w:rPr>
                <w:rFonts w:ascii="Calibri" w:eastAsia="Times New Roman" w:hAnsi="Calibri" w:cs="Times New Roman"/>
                <w:color w:val="000000"/>
              </w:rPr>
              <w:t>%</w:t>
            </w:r>
          </w:p>
        </w:tc>
        <w:tc>
          <w:tcPr>
            <w:tcW w:w="760" w:type="dxa"/>
            <w:tcBorders>
              <w:top w:val="nil"/>
              <w:left w:val="nil"/>
              <w:bottom w:val="nil"/>
              <w:right w:val="nil"/>
            </w:tcBorders>
            <w:shd w:val="clear" w:color="auto" w:fill="auto"/>
            <w:noWrap/>
            <w:vAlign w:val="bottom"/>
            <w:hideMark/>
          </w:tcPr>
          <w:p w14:paraId="179580C9" w14:textId="77777777" w:rsidR="00D90A25" w:rsidRPr="004F028E" w:rsidRDefault="00D90A25" w:rsidP="005160F0">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0.0</w:t>
            </w:r>
            <w:r w:rsidRPr="004F028E">
              <w:rPr>
                <w:rFonts w:ascii="Calibri" w:eastAsia="Times New Roman" w:hAnsi="Calibri" w:cs="Times New Roman"/>
                <w:color w:val="000000"/>
              </w:rPr>
              <w:t>%</w:t>
            </w:r>
          </w:p>
        </w:tc>
        <w:tc>
          <w:tcPr>
            <w:tcW w:w="760" w:type="dxa"/>
            <w:tcBorders>
              <w:top w:val="nil"/>
              <w:left w:val="nil"/>
              <w:bottom w:val="nil"/>
              <w:right w:val="nil"/>
            </w:tcBorders>
            <w:shd w:val="clear" w:color="auto" w:fill="auto"/>
            <w:noWrap/>
            <w:vAlign w:val="bottom"/>
            <w:hideMark/>
          </w:tcPr>
          <w:p w14:paraId="5D7A4D40" w14:textId="77777777" w:rsidR="00D90A25" w:rsidRPr="004F028E" w:rsidRDefault="00D90A25" w:rsidP="005160F0">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0</w:t>
            </w:r>
            <w:r w:rsidRPr="004F028E">
              <w:rPr>
                <w:rFonts w:ascii="Calibri" w:eastAsia="Times New Roman" w:hAnsi="Calibri" w:cs="Times New Roman"/>
                <w:color w:val="000000"/>
              </w:rPr>
              <w:t>.0%</w:t>
            </w:r>
          </w:p>
        </w:tc>
      </w:tr>
      <w:tr w:rsidR="00D90A25" w:rsidRPr="004F028E" w14:paraId="576F1B68" w14:textId="77777777" w:rsidTr="005160F0">
        <w:trPr>
          <w:trHeight w:val="300"/>
        </w:trPr>
        <w:tc>
          <w:tcPr>
            <w:tcW w:w="7320" w:type="dxa"/>
            <w:tcBorders>
              <w:top w:val="nil"/>
              <w:left w:val="nil"/>
              <w:bottom w:val="nil"/>
              <w:right w:val="nil"/>
            </w:tcBorders>
            <w:shd w:val="clear" w:color="auto" w:fill="auto"/>
            <w:vAlign w:val="center"/>
            <w:hideMark/>
          </w:tcPr>
          <w:p w14:paraId="6A47213D" w14:textId="77777777" w:rsidR="00D90A25" w:rsidRPr="004F028E" w:rsidRDefault="00D90A25" w:rsidP="005160F0">
            <w:pPr>
              <w:spacing w:after="0" w:line="240" w:lineRule="auto"/>
              <w:rPr>
                <w:rFonts w:ascii="Calibri" w:eastAsia="Times New Roman" w:hAnsi="Calibri" w:cs="Times New Roman"/>
                <w:color w:val="000000"/>
              </w:rPr>
            </w:pPr>
            <w:r w:rsidRPr="004F028E">
              <w:rPr>
                <w:rFonts w:ascii="Calibri" w:eastAsia="Times New Roman" w:hAnsi="Calibri" w:cs="Times New Roman"/>
                <w:color w:val="000000"/>
              </w:rPr>
              <w:t>The patient is discharged against medical advice.</w:t>
            </w:r>
          </w:p>
        </w:tc>
        <w:tc>
          <w:tcPr>
            <w:tcW w:w="640" w:type="dxa"/>
            <w:tcBorders>
              <w:top w:val="nil"/>
              <w:left w:val="nil"/>
              <w:bottom w:val="nil"/>
              <w:right w:val="nil"/>
            </w:tcBorders>
            <w:shd w:val="clear" w:color="auto" w:fill="auto"/>
            <w:noWrap/>
            <w:vAlign w:val="bottom"/>
            <w:hideMark/>
          </w:tcPr>
          <w:p w14:paraId="45D321E3" w14:textId="77777777" w:rsidR="00D90A25" w:rsidRPr="004F028E" w:rsidRDefault="00D90A25" w:rsidP="005160F0">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0.5</w:t>
            </w:r>
            <w:r w:rsidRPr="004F028E">
              <w:rPr>
                <w:rFonts w:ascii="Calibri" w:eastAsia="Times New Roman" w:hAnsi="Calibri" w:cs="Times New Roman"/>
                <w:color w:val="000000"/>
              </w:rPr>
              <w:t>%</w:t>
            </w:r>
          </w:p>
        </w:tc>
        <w:tc>
          <w:tcPr>
            <w:tcW w:w="760" w:type="dxa"/>
            <w:tcBorders>
              <w:top w:val="nil"/>
              <w:left w:val="nil"/>
              <w:bottom w:val="nil"/>
              <w:right w:val="nil"/>
            </w:tcBorders>
            <w:shd w:val="clear" w:color="auto" w:fill="auto"/>
            <w:noWrap/>
            <w:vAlign w:val="bottom"/>
            <w:hideMark/>
          </w:tcPr>
          <w:p w14:paraId="4FC7DD8D" w14:textId="77777777" w:rsidR="00D90A25" w:rsidRPr="004F028E" w:rsidRDefault="00D90A25" w:rsidP="005160F0">
            <w:pPr>
              <w:spacing w:after="0" w:line="240" w:lineRule="auto"/>
              <w:jc w:val="right"/>
              <w:rPr>
                <w:rFonts w:ascii="Calibri" w:eastAsia="Times New Roman" w:hAnsi="Calibri" w:cs="Times New Roman"/>
                <w:color w:val="000000"/>
              </w:rPr>
            </w:pPr>
            <w:r w:rsidRPr="004F028E">
              <w:rPr>
                <w:rFonts w:ascii="Calibri" w:eastAsia="Times New Roman" w:hAnsi="Calibri" w:cs="Times New Roman"/>
                <w:color w:val="000000"/>
              </w:rPr>
              <w:t>0.0%</w:t>
            </w:r>
          </w:p>
        </w:tc>
        <w:tc>
          <w:tcPr>
            <w:tcW w:w="760" w:type="dxa"/>
            <w:tcBorders>
              <w:top w:val="nil"/>
              <w:left w:val="nil"/>
              <w:bottom w:val="nil"/>
              <w:right w:val="nil"/>
            </w:tcBorders>
            <w:shd w:val="clear" w:color="auto" w:fill="auto"/>
            <w:noWrap/>
            <w:vAlign w:val="bottom"/>
            <w:hideMark/>
          </w:tcPr>
          <w:p w14:paraId="418B4D21" w14:textId="77777777" w:rsidR="00D90A25" w:rsidRPr="004F028E" w:rsidRDefault="00D90A25" w:rsidP="005160F0">
            <w:pPr>
              <w:spacing w:after="0" w:line="240" w:lineRule="auto"/>
              <w:jc w:val="right"/>
              <w:rPr>
                <w:rFonts w:ascii="Calibri" w:eastAsia="Times New Roman" w:hAnsi="Calibri" w:cs="Times New Roman"/>
                <w:color w:val="000000"/>
              </w:rPr>
            </w:pPr>
            <w:r w:rsidRPr="004F028E">
              <w:rPr>
                <w:rFonts w:ascii="Calibri" w:eastAsia="Times New Roman" w:hAnsi="Calibri" w:cs="Times New Roman"/>
                <w:color w:val="000000"/>
              </w:rPr>
              <w:t>0.0%</w:t>
            </w:r>
          </w:p>
        </w:tc>
        <w:tc>
          <w:tcPr>
            <w:tcW w:w="780" w:type="dxa"/>
            <w:tcBorders>
              <w:top w:val="nil"/>
              <w:left w:val="nil"/>
              <w:bottom w:val="nil"/>
              <w:right w:val="nil"/>
            </w:tcBorders>
            <w:shd w:val="clear" w:color="auto" w:fill="auto"/>
            <w:noWrap/>
            <w:vAlign w:val="bottom"/>
            <w:hideMark/>
          </w:tcPr>
          <w:p w14:paraId="181ABBD7" w14:textId="77777777" w:rsidR="00D90A25" w:rsidRPr="004F028E" w:rsidRDefault="00D90A25" w:rsidP="005160F0">
            <w:pPr>
              <w:spacing w:after="0" w:line="240" w:lineRule="auto"/>
              <w:jc w:val="right"/>
              <w:rPr>
                <w:rFonts w:ascii="Calibri" w:eastAsia="Times New Roman" w:hAnsi="Calibri" w:cs="Times New Roman"/>
                <w:color w:val="000000"/>
              </w:rPr>
            </w:pPr>
            <w:r w:rsidRPr="004F028E">
              <w:rPr>
                <w:rFonts w:ascii="Calibri" w:eastAsia="Times New Roman" w:hAnsi="Calibri" w:cs="Times New Roman"/>
                <w:color w:val="000000"/>
              </w:rPr>
              <w:t>0.0%</w:t>
            </w:r>
          </w:p>
        </w:tc>
        <w:tc>
          <w:tcPr>
            <w:tcW w:w="760" w:type="dxa"/>
            <w:tcBorders>
              <w:top w:val="nil"/>
              <w:left w:val="nil"/>
              <w:bottom w:val="nil"/>
              <w:right w:val="nil"/>
            </w:tcBorders>
            <w:shd w:val="clear" w:color="auto" w:fill="auto"/>
            <w:noWrap/>
            <w:vAlign w:val="bottom"/>
            <w:hideMark/>
          </w:tcPr>
          <w:p w14:paraId="54A4DA35" w14:textId="77777777" w:rsidR="00D90A25" w:rsidRPr="004F028E" w:rsidRDefault="00D90A25" w:rsidP="005160F0">
            <w:pPr>
              <w:spacing w:after="0" w:line="240" w:lineRule="auto"/>
              <w:jc w:val="right"/>
              <w:rPr>
                <w:rFonts w:ascii="Calibri" w:eastAsia="Times New Roman" w:hAnsi="Calibri" w:cs="Times New Roman"/>
                <w:color w:val="000000"/>
              </w:rPr>
            </w:pPr>
            <w:r w:rsidRPr="004F028E">
              <w:rPr>
                <w:rFonts w:ascii="Calibri" w:eastAsia="Times New Roman" w:hAnsi="Calibri" w:cs="Times New Roman"/>
                <w:color w:val="000000"/>
              </w:rPr>
              <w:t>0.0%</w:t>
            </w:r>
          </w:p>
        </w:tc>
        <w:tc>
          <w:tcPr>
            <w:tcW w:w="760" w:type="dxa"/>
            <w:tcBorders>
              <w:top w:val="nil"/>
              <w:left w:val="nil"/>
              <w:bottom w:val="nil"/>
              <w:right w:val="nil"/>
            </w:tcBorders>
            <w:shd w:val="clear" w:color="auto" w:fill="auto"/>
            <w:noWrap/>
            <w:vAlign w:val="bottom"/>
            <w:hideMark/>
          </w:tcPr>
          <w:p w14:paraId="5353F872" w14:textId="77777777" w:rsidR="00D90A25" w:rsidRPr="004F028E" w:rsidRDefault="00D90A25" w:rsidP="005160F0">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100.0</w:t>
            </w:r>
            <w:r w:rsidRPr="004F028E">
              <w:rPr>
                <w:rFonts w:ascii="Calibri" w:eastAsia="Times New Roman" w:hAnsi="Calibri" w:cs="Times New Roman"/>
                <w:color w:val="000000"/>
              </w:rPr>
              <w:t>%</w:t>
            </w:r>
          </w:p>
        </w:tc>
      </w:tr>
      <w:tr w:rsidR="00D90A25" w:rsidRPr="004F028E" w14:paraId="0BB7D22C" w14:textId="77777777" w:rsidTr="005160F0">
        <w:trPr>
          <w:trHeight w:val="300"/>
        </w:trPr>
        <w:tc>
          <w:tcPr>
            <w:tcW w:w="7320" w:type="dxa"/>
            <w:tcBorders>
              <w:top w:val="nil"/>
              <w:left w:val="nil"/>
              <w:bottom w:val="nil"/>
              <w:right w:val="nil"/>
            </w:tcBorders>
            <w:shd w:val="clear" w:color="auto" w:fill="auto"/>
            <w:vAlign w:val="center"/>
            <w:hideMark/>
          </w:tcPr>
          <w:p w14:paraId="5C7B577F" w14:textId="77777777" w:rsidR="00D90A25" w:rsidRPr="004F028E" w:rsidRDefault="00D90A25" w:rsidP="005160F0">
            <w:pPr>
              <w:spacing w:after="0" w:line="240" w:lineRule="auto"/>
              <w:rPr>
                <w:rFonts w:ascii="Calibri" w:eastAsia="Times New Roman" w:hAnsi="Calibri" w:cs="Times New Roman"/>
                <w:color w:val="000000"/>
              </w:rPr>
            </w:pPr>
            <w:r w:rsidRPr="004F028E">
              <w:rPr>
                <w:rFonts w:ascii="Calibri" w:eastAsia="Times New Roman" w:hAnsi="Calibri" w:cs="Times New Roman"/>
                <w:color w:val="000000"/>
              </w:rPr>
              <w:t>The patient is discharged to a disaster alternative care site.</w:t>
            </w:r>
          </w:p>
        </w:tc>
        <w:tc>
          <w:tcPr>
            <w:tcW w:w="640" w:type="dxa"/>
            <w:tcBorders>
              <w:top w:val="nil"/>
              <w:left w:val="nil"/>
              <w:bottom w:val="nil"/>
              <w:right w:val="nil"/>
            </w:tcBorders>
            <w:shd w:val="clear" w:color="auto" w:fill="auto"/>
            <w:noWrap/>
            <w:vAlign w:val="bottom"/>
            <w:hideMark/>
          </w:tcPr>
          <w:p w14:paraId="02D88080" w14:textId="77777777" w:rsidR="00D90A25" w:rsidRPr="004F028E" w:rsidRDefault="00D90A25" w:rsidP="005160F0">
            <w:pPr>
              <w:spacing w:after="0" w:line="240" w:lineRule="auto"/>
              <w:jc w:val="right"/>
              <w:rPr>
                <w:rFonts w:ascii="Calibri" w:eastAsia="Times New Roman" w:hAnsi="Calibri" w:cs="Times New Roman"/>
                <w:color w:val="000000"/>
              </w:rPr>
            </w:pPr>
            <w:r w:rsidRPr="004F028E">
              <w:rPr>
                <w:rFonts w:ascii="Calibri" w:eastAsia="Times New Roman" w:hAnsi="Calibri" w:cs="Times New Roman"/>
                <w:color w:val="000000"/>
              </w:rPr>
              <w:t>0.0%</w:t>
            </w:r>
          </w:p>
        </w:tc>
        <w:tc>
          <w:tcPr>
            <w:tcW w:w="760" w:type="dxa"/>
            <w:tcBorders>
              <w:top w:val="nil"/>
              <w:left w:val="nil"/>
              <w:bottom w:val="nil"/>
              <w:right w:val="nil"/>
            </w:tcBorders>
            <w:shd w:val="clear" w:color="auto" w:fill="auto"/>
            <w:noWrap/>
            <w:vAlign w:val="bottom"/>
            <w:hideMark/>
          </w:tcPr>
          <w:p w14:paraId="46C66E6A" w14:textId="77777777" w:rsidR="00D90A25" w:rsidRPr="004F028E" w:rsidRDefault="00D90A25" w:rsidP="005160F0">
            <w:pPr>
              <w:spacing w:after="0" w:line="240" w:lineRule="auto"/>
              <w:jc w:val="right"/>
              <w:rPr>
                <w:rFonts w:ascii="Calibri" w:eastAsia="Times New Roman" w:hAnsi="Calibri" w:cs="Times New Roman"/>
                <w:color w:val="000000"/>
              </w:rPr>
            </w:pPr>
            <w:r w:rsidRPr="004F028E">
              <w:rPr>
                <w:rFonts w:ascii="Calibri" w:eastAsia="Times New Roman" w:hAnsi="Calibri" w:cs="Times New Roman"/>
                <w:color w:val="000000"/>
              </w:rPr>
              <w:t>0.0%</w:t>
            </w:r>
          </w:p>
        </w:tc>
        <w:tc>
          <w:tcPr>
            <w:tcW w:w="760" w:type="dxa"/>
            <w:tcBorders>
              <w:top w:val="nil"/>
              <w:left w:val="nil"/>
              <w:bottom w:val="nil"/>
              <w:right w:val="nil"/>
            </w:tcBorders>
            <w:shd w:val="clear" w:color="auto" w:fill="auto"/>
            <w:noWrap/>
            <w:vAlign w:val="bottom"/>
            <w:hideMark/>
          </w:tcPr>
          <w:p w14:paraId="4586B007" w14:textId="77777777" w:rsidR="00D90A25" w:rsidRPr="004F028E" w:rsidRDefault="00D90A25" w:rsidP="005160F0">
            <w:pPr>
              <w:spacing w:after="0" w:line="240" w:lineRule="auto"/>
              <w:jc w:val="right"/>
              <w:rPr>
                <w:rFonts w:ascii="Calibri" w:eastAsia="Times New Roman" w:hAnsi="Calibri" w:cs="Times New Roman"/>
                <w:color w:val="000000"/>
              </w:rPr>
            </w:pPr>
            <w:r w:rsidRPr="004F028E">
              <w:rPr>
                <w:rFonts w:ascii="Calibri" w:eastAsia="Times New Roman" w:hAnsi="Calibri" w:cs="Times New Roman"/>
                <w:color w:val="000000"/>
              </w:rPr>
              <w:t>0.0%</w:t>
            </w:r>
          </w:p>
        </w:tc>
        <w:tc>
          <w:tcPr>
            <w:tcW w:w="780" w:type="dxa"/>
            <w:tcBorders>
              <w:top w:val="nil"/>
              <w:left w:val="nil"/>
              <w:bottom w:val="nil"/>
              <w:right w:val="nil"/>
            </w:tcBorders>
            <w:shd w:val="clear" w:color="auto" w:fill="auto"/>
            <w:noWrap/>
            <w:vAlign w:val="bottom"/>
            <w:hideMark/>
          </w:tcPr>
          <w:p w14:paraId="5B1BCD04" w14:textId="77777777" w:rsidR="00D90A25" w:rsidRPr="004F028E" w:rsidRDefault="00D90A25" w:rsidP="005160F0">
            <w:pPr>
              <w:spacing w:after="0" w:line="240" w:lineRule="auto"/>
              <w:jc w:val="right"/>
              <w:rPr>
                <w:rFonts w:ascii="Calibri" w:eastAsia="Times New Roman" w:hAnsi="Calibri" w:cs="Times New Roman"/>
                <w:color w:val="000000"/>
              </w:rPr>
            </w:pPr>
            <w:r w:rsidRPr="004F028E">
              <w:rPr>
                <w:rFonts w:ascii="Calibri" w:eastAsia="Times New Roman" w:hAnsi="Calibri" w:cs="Times New Roman"/>
                <w:color w:val="000000"/>
              </w:rPr>
              <w:t>0.0%</w:t>
            </w:r>
          </w:p>
        </w:tc>
        <w:tc>
          <w:tcPr>
            <w:tcW w:w="760" w:type="dxa"/>
            <w:tcBorders>
              <w:top w:val="nil"/>
              <w:left w:val="nil"/>
              <w:bottom w:val="nil"/>
              <w:right w:val="nil"/>
            </w:tcBorders>
            <w:shd w:val="clear" w:color="auto" w:fill="auto"/>
            <w:noWrap/>
            <w:vAlign w:val="bottom"/>
            <w:hideMark/>
          </w:tcPr>
          <w:p w14:paraId="5494EF70" w14:textId="77777777" w:rsidR="00D90A25" w:rsidRPr="004F028E" w:rsidRDefault="00D90A25" w:rsidP="005160F0">
            <w:pPr>
              <w:spacing w:after="0" w:line="240" w:lineRule="auto"/>
              <w:jc w:val="right"/>
              <w:rPr>
                <w:rFonts w:ascii="Calibri" w:eastAsia="Times New Roman" w:hAnsi="Calibri" w:cs="Times New Roman"/>
                <w:color w:val="000000"/>
              </w:rPr>
            </w:pPr>
            <w:r w:rsidRPr="004F028E">
              <w:rPr>
                <w:rFonts w:ascii="Calibri" w:eastAsia="Times New Roman" w:hAnsi="Calibri" w:cs="Times New Roman"/>
                <w:color w:val="000000"/>
              </w:rPr>
              <w:t>0.0%</w:t>
            </w:r>
          </w:p>
        </w:tc>
        <w:tc>
          <w:tcPr>
            <w:tcW w:w="760" w:type="dxa"/>
            <w:tcBorders>
              <w:top w:val="nil"/>
              <w:left w:val="nil"/>
              <w:bottom w:val="nil"/>
              <w:right w:val="nil"/>
            </w:tcBorders>
            <w:shd w:val="clear" w:color="auto" w:fill="auto"/>
            <w:noWrap/>
            <w:vAlign w:val="bottom"/>
            <w:hideMark/>
          </w:tcPr>
          <w:p w14:paraId="70B2857C" w14:textId="77777777" w:rsidR="00D90A25" w:rsidRPr="004F028E" w:rsidRDefault="00D90A25" w:rsidP="005160F0">
            <w:pPr>
              <w:spacing w:after="0" w:line="240" w:lineRule="auto"/>
              <w:jc w:val="right"/>
              <w:rPr>
                <w:rFonts w:ascii="Calibri" w:eastAsia="Times New Roman" w:hAnsi="Calibri" w:cs="Times New Roman"/>
                <w:color w:val="000000"/>
              </w:rPr>
            </w:pPr>
            <w:r w:rsidRPr="004F028E">
              <w:rPr>
                <w:rFonts w:ascii="Calibri" w:eastAsia="Times New Roman" w:hAnsi="Calibri" w:cs="Times New Roman"/>
                <w:color w:val="000000"/>
              </w:rPr>
              <w:t>0.0%</w:t>
            </w:r>
          </w:p>
        </w:tc>
      </w:tr>
      <w:tr w:rsidR="00D90A25" w:rsidRPr="004F028E" w14:paraId="0D07ADC8" w14:textId="77777777" w:rsidTr="005160F0">
        <w:trPr>
          <w:trHeight w:val="300"/>
        </w:trPr>
        <w:tc>
          <w:tcPr>
            <w:tcW w:w="7320" w:type="dxa"/>
            <w:tcBorders>
              <w:top w:val="nil"/>
              <w:left w:val="nil"/>
              <w:bottom w:val="nil"/>
              <w:right w:val="nil"/>
            </w:tcBorders>
            <w:shd w:val="clear" w:color="auto" w:fill="auto"/>
            <w:vAlign w:val="center"/>
            <w:hideMark/>
          </w:tcPr>
          <w:p w14:paraId="260699A8" w14:textId="77777777" w:rsidR="00D90A25" w:rsidRPr="004F028E" w:rsidRDefault="00D90A25" w:rsidP="005160F0">
            <w:pPr>
              <w:spacing w:after="0" w:line="240" w:lineRule="auto"/>
              <w:rPr>
                <w:rFonts w:ascii="Calibri" w:eastAsia="Times New Roman" w:hAnsi="Calibri" w:cs="Times New Roman"/>
                <w:color w:val="000000"/>
              </w:rPr>
            </w:pPr>
            <w:r w:rsidRPr="004F028E">
              <w:rPr>
                <w:rFonts w:ascii="Calibri" w:eastAsia="Times New Roman" w:hAnsi="Calibri" w:cs="Times New Roman"/>
                <w:color w:val="000000"/>
              </w:rPr>
              <w:t>The patient is discharged to hospice care.</w:t>
            </w:r>
          </w:p>
        </w:tc>
        <w:tc>
          <w:tcPr>
            <w:tcW w:w="640" w:type="dxa"/>
            <w:tcBorders>
              <w:top w:val="nil"/>
              <w:left w:val="nil"/>
              <w:bottom w:val="nil"/>
              <w:right w:val="nil"/>
            </w:tcBorders>
            <w:shd w:val="clear" w:color="auto" w:fill="auto"/>
            <w:noWrap/>
            <w:vAlign w:val="bottom"/>
            <w:hideMark/>
          </w:tcPr>
          <w:p w14:paraId="66419A4B" w14:textId="77777777" w:rsidR="00D90A25" w:rsidRPr="004F028E" w:rsidRDefault="00D90A25" w:rsidP="005160F0">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1.4</w:t>
            </w:r>
            <w:r w:rsidRPr="004F028E">
              <w:rPr>
                <w:rFonts w:ascii="Calibri" w:eastAsia="Times New Roman" w:hAnsi="Calibri" w:cs="Times New Roman"/>
                <w:color w:val="000000"/>
              </w:rPr>
              <w:t>%</w:t>
            </w:r>
          </w:p>
        </w:tc>
        <w:tc>
          <w:tcPr>
            <w:tcW w:w="760" w:type="dxa"/>
            <w:tcBorders>
              <w:top w:val="nil"/>
              <w:left w:val="nil"/>
              <w:bottom w:val="nil"/>
              <w:right w:val="nil"/>
            </w:tcBorders>
            <w:shd w:val="clear" w:color="auto" w:fill="auto"/>
            <w:noWrap/>
            <w:vAlign w:val="bottom"/>
            <w:hideMark/>
          </w:tcPr>
          <w:p w14:paraId="7DC92E65" w14:textId="77777777" w:rsidR="00D90A25" w:rsidRPr="004F028E" w:rsidRDefault="00D90A25" w:rsidP="005160F0">
            <w:pPr>
              <w:spacing w:after="0" w:line="240" w:lineRule="auto"/>
              <w:jc w:val="right"/>
              <w:rPr>
                <w:rFonts w:ascii="Calibri" w:eastAsia="Times New Roman" w:hAnsi="Calibri" w:cs="Times New Roman"/>
                <w:color w:val="000000"/>
              </w:rPr>
            </w:pPr>
            <w:r w:rsidRPr="004F028E">
              <w:rPr>
                <w:rFonts w:ascii="Calibri" w:eastAsia="Times New Roman" w:hAnsi="Calibri" w:cs="Times New Roman"/>
                <w:color w:val="000000"/>
              </w:rPr>
              <w:t>0.0%</w:t>
            </w:r>
          </w:p>
        </w:tc>
        <w:tc>
          <w:tcPr>
            <w:tcW w:w="760" w:type="dxa"/>
            <w:tcBorders>
              <w:top w:val="nil"/>
              <w:left w:val="nil"/>
              <w:bottom w:val="nil"/>
              <w:right w:val="nil"/>
            </w:tcBorders>
            <w:shd w:val="clear" w:color="auto" w:fill="auto"/>
            <w:noWrap/>
            <w:vAlign w:val="bottom"/>
            <w:hideMark/>
          </w:tcPr>
          <w:p w14:paraId="2A05E243" w14:textId="77777777" w:rsidR="00D90A25" w:rsidRPr="004F028E" w:rsidRDefault="00D90A25" w:rsidP="005160F0">
            <w:pPr>
              <w:spacing w:after="0" w:line="240" w:lineRule="auto"/>
              <w:jc w:val="right"/>
              <w:rPr>
                <w:rFonts w:ascii="Calibri" w:eastAsia="Times New Roman" w:hAnsi="Calibri" w:cs="Times New Roman"/>
                <w:color w:val="000000"/>
              </w:rPr>
            </w:pPr>
            <w:r w:rsidRPr="004F028E">
              <w:rPr>
                <w:rFonts w:ascii="Calibri" w:eastAsia="Times New Roman" w:hAnsi="Calibri" w:cs="Times New Roman"/>
                <w:color w:val="000000"/>
              </w:rPr>
              <w:t>0.0%</w:t>
            </w:r>
          </w:p>
        </w:tc>
        <w:tc>
          <w:tcPr>
            <w:tcW w:w="780" w:type="dxa"/>
            <w:tcBorders>
              <w:top w:val="nil"/>
              <w:left w:val="nil"/>
              <w:bottom w:val="nil"/>
              <w:right w:val="nil"/>
            </w:tcBorders>
            <w:shd w:val="clear" w:color="auto" w:fill="auto"/>
            <w:noWrap/>
            <w:vAlign w:val="bottom"/>
            <w:hideMark/>
          </w:tcPr>
          <w:p w14:paraId="3EC5EAB3" w14:textId="77777777" w:rsidR="00D90A25" w:rsidRPr="004F028E" w:rsidRDefault="00D90A25" w:rsidP="005160F0">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0.3</w:t>
            </w:r>
            <w:r w:rsidRPr="004F028E">
              <w:rPr>
                <w:rFonts w:ascii="Calibri" w:eastAsia="Times New Roman" w:hAnsi="Calibri" w:cs="Times New Roman"/>
                <w:color w:val="000000"/>
              </w:rPr>
              <w:t>%</w:t>
            </w:r>
          </w:p>
        </w:tc>
        <w:tc>
          <w:tcPr>
            <w:tcW w:w="760" w:type="dxa"/>
            <w:tcBorders>
              <w:top w:val="nil"/>
              <w:left w:val="nil"/>
              <w:bottom w:val="nil"/>
              <w:right w:val="nil"/>
            </w:tcBorders>
            <w:shd w:val="clear" w:color="auto" w:fill="auto"/>
            <w:noWrap/>
            <w:vAlign w:val="bottom"/>
            <w:hideMark/>
          </w:tcPr>
          <w:p w14:paraId="49C99E02" w14:textId="77777777" w:rsidR="00D90A25" w:rsidRPr="004F028E" w:rsidRDefault="00D90A25" w:rsidP="005160F0">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2.2</w:t>
            </w:r>
            <w:r w:rsidRPr="004F028E">
              <w:rPr>
                <w:rFonts w:ascii="Calibri" w:eastAsia="Times New Roman" w:hAnsi="Calibri" w:cs="Times New Roman"/>
                <w:color w:val="000000"/>
              </w:rPr>
              <w:t>%</w:t>
            </w:r>
          </w:p>
        </w:tc>
        <w:tc>
          <w:tcPr>
            <w:tcW w:w="760" w:type="dxa"/>
            <w:tcBorders>
              <w:top w:val="nil"/>
              <w:left w:val="nil"/>
              <w:bottom w:val="nil"/>
              <w:right w:val="nil"/>
            </w:tcBorders>
            <w:shd w:val="clear" w:color="auto" w:fill="auto"/>
            <w:noWrap/>
            <w:vAlign w:val="bottom"/>
            <w:hideMark/>
          </w:tcPr>
          <w:p w14:paraId="56BF896B" w14:textId="77777777" w:rsidR="00D90A25" w:rsidRPr="004F028E" w:rsidRDefault="00D90A25" w:rsidP="005160F0">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50.0</w:t>
            </w:r>
            <w:r w:rsidRPr="004F028E">
              <w:rPr>
                <w:rFonts w:ascii="Calibri" w:eastAsia="Times New Roman" w:hAnsi="Calibri" w:cs="Times New Roman"/>
                <w:color w:val="000000"/>
              </w:rPr>
              <w:t>%</w:t>
            </w:r>
          </w:p>
        </w:tc>
      </w:tr>
      <w:tr w:rsidR="00D90A25" w:rsidRPr="004F028E" w14:paraId="33D40953" w14:textId="77777777" w:rsidTr="005160F0">
        <w:trPr>
          <w:trHeight w:val="300"/>
        </w:trPr>
        <w:tc>
          <w:tcPr>
            <w:tcW w:w="7320" w:type="dxa"/>
            <w:tcBorders>
              <w:top w:val="nil"/>
              <w:left w:val="nil"/>
              <w:bottom w:val="nil"/>
              <w:right w:val="nil"/>
            </w:tcBorders>
            <w:shd w:val="clear" w:color="auto" w:fill="auto"/>
            <w:vAlign w:val="center"/>
            <w:hideMark/>
          </w:tcPr>
          <w:p w14:paraId="7AA2984F" w14:textId="77777777" w:rsidR="00D90A25" w:rsidRPr="004F028E" w:rsidRDefault="00D90A25" w:rsidP="005160F0">
            <w:pPr>
              <w:spacing w:after="0" w:line="240" w:lineRule="auto"/>
              <w:rPr>
                <w:rFonts w:ascii="Calibri" w:eastAsia="Times New Roman" w:hAnsi="Calibri" w:cs="Times New Roman"/>
                <w:color w:val="000000"/>
              </w:rPr>
            </w:pPr>
            <w:r w:rsidRPr="004F028E">
              <w:rPr>
                <w:rFonts w:ascii="Calibri" w:eastAsia="Times New Roman" w:hAnsi="Calibri" w:cs="Times New Roman"/>
                <w:color w:val="000000"/>
              </w:rPr>
              <w:t>The patient is discharged to another home health agency.</w:t>
            </w:r>
          </w:p>
        </w:tc>
        <w:tc>
          <w:tcPr>
            <w:tcW w:w="640" w:type="dxa"/>
            <w:tcBorders>
              <w:top w:val="nil"/>
              <w:left w:val="nil"/>
              <w:bottom w:val="nil"/>
              <w:right w:val="nil"/>
            </w:tcBorders>
            <w:shd w:val="clear" w:color="auto" w:fill="auto"/>
            <w:noWrap/>
            <w:vAlign w:val="bottom"/>
            <w:hideMark/>
          </w:tcPr>
          <w:p w14:paraId="4ABA19EA" w14:textId="77777777" w:rsidR="00D90A25" w:rsidRPr="004F028E" w:rsidRDefault="00D90A25" w:rsidP="005160F0">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4.9</w:t>
            </w:r>
            <w:r w:rsidRPr="004F028E">
              <w:rPr>
                <w:rFonts w:ascii="Calibri" w:eastAsia="Times New Roman" w:hAnsi="Calibri" w:cs="Times New Roman"/>
                <w:color w:val="000000"/>
              </w:rPr>
              <w:t>%</w:t>
            </w:r>
          </w:p>
        </w:tc>
        <w:tc>
          <w:tcPr>
            <w:tcW w:w="760" w:type="dxa"/>
            <w:tcBorders>
              <w:top w:val="nil"/>
              <w:left w:val="nil"/>
              <w:bottom w:val="nil"/>
              <w:right w:val="nil"/>
            </w:tcBorders>
            <w:shd w:val="clear" w:color="auto" w:fill="auto"/>
            <w:noWrap/>
            <w:vAlign w:val="bottom"/>
            <w:hideMark/>
          </w:tcPr>
          <w:p w14:paraId="608112BA" w14:textId="77777777" w:rsidR="00D90A25" w:rsidRPr="004F028E" w:rsidRDefault="00D90A25" w:rsidP="005160F0">
            <w:pPr>
              <w:spacing w:after="0" w:line="240" w:lineRule="auto"/>
              <w:jc w:val="right"/>
              <w:rPr>
                <w:rFonts w:ascii="Calibri" w:eastAsia="Times New Roman" w:hAnsi="Calibri" w:cs="Times New Roman"/>
                <w:color w:val="000000"/>
              </w:rPr>
            </w:pPr>
            <w:r w:rsidRPr="004F028E">
              <w:rPr>
                <w:rFonts w:ascii="Calibri" w:eastAsia="Times New Roman" w:hAnsi="Calibri" w:cs="Times New Roman"/>
                <w:color w:val="000000"/>
              </w:rPr>
              <w:t>0.0%</w:t>
            </w:r>
          </w:p>
        </w:tc>
        <w:tc>
          <w:tcPr>
            <w:tcW w:w="760" w:type="dxa"/>
            <w:tcBorders>
              <w:top w:val="nil"/>
              <w:left w:val="nil"/>
              <w:bottom w:val="nil"/>
              <w:right w:val="nil"/>
            </w:tcBorders>
            <w:shd w:val="clear" w:color="auto" w:fill="auto"/>
            <w:noWrap/>
            <w:vAlign w:val="bottom"/>
            <w:hideMark/>
          </w:tcPr>
          <w:p w14:paraId="52B858EA" w14:textId="77777777" w:rsidR="00D90A25" w:rsidRPr="004F028E" w:rsidRDefault="00D90A25" w:rsidP="005160F0">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2.3</w:t>
            </w:r>
            <w:r w:rsidRPr="004F028E">
              <w:rPr>
                <w:rFonts w:ascii="Calibri" w:eastAsia="Times New Roman" w:hAnsi="Calibri" w:cs="Times New Roman"/>
                <w:color w:val="000000"/>
              </w:rPr>
              <w:t>%</w:t>
            </w:r>
          </w:p>
        </w:tc>
        <w:tc>
          <w:tcPr>
            <w:tcW w:w="780" w:type="dxa"/>
            <w:tcBorders>
              <w:top w:val="nil"/>
              <w:left w:val="nil"/>
              <w:bottom w:val="nil"/>
              <w:right w:val="nil"/>
            </w:tcBorders>
            <w:shd w:val="clear" w:color="auto" w:fill="auto"/>
            <w:noWrap/>
            <w:vAlign w:val="bottom"/>
            <w:hideMark/>
          </w:tcPr>
          <w:p w14:paraId="0537DFB4" w14:textId="77777777" w:rsidR="00D90A25" w:rsidRPr="004F028E" w:rsidRDefault="00D90A25" w:rsidP="005160F0">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3.8</w:t>
            </w:r>
            <w:r w:rsidRPr="004F028E">
              <w:rPr>
                <w:rFonts w:ascii="Calibri" w:eastAsia="Times New Roman" w:hAnsi="Calibri" w:cs="Times New Roman"/>
                <w:color w:val="000000"/>
              </w:rPr>
              <w:t>%</w:t>
            </w:r>
          </w:p>
        </w:tc>
        <w:tc>
          <w:tcPr>
            <w:tcW w:w="760" w:type="dxa"/>
            <w:tcBorders>
              <w:top w:val="nil"/>
              <w:left w:val="nil"/>
              <w:bottom w:val="nil"/>
              <w:right w:val="nil"/>
            </w:tcBorders>
            <w:shd w:val="clear" w:color="auto" w:fill="auto"/>
            <w:noWrap/>
            <w:vAlign w:val="bottom"/>
            <w:hideMark/>
          </w:tcPr>
          <w:p w14:paraId="4B8DB5EF" w14:textId="77777777" w:rsidR="00D90A25" w:rsidRPr="004F028E" w:rsidRDefault="00D90A25" w:rsidP="005160F0">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5.8</w:t>
            </w:r>
            <w:r w:rsidRPr="004F028E">
              <w:rPr>
                <w:rFonts w:ascii="Calibri" w:eastAsia="Times New Roman" w:hAnsi="Calibri" w:cs="Times New Roman"/>
                <w:color w:val="000000"/>
              </w:rPr>
              <w:t>%</w:t>
            </w:r>
          </w:p>
        </w:tc>
        <w:tc>
          <w:tcPr>
            <w:tcW w:w="760" w:type="dxa"/>
            <w:tcBorders>
              <w:top w:val="nil"/>
              <w:left w:val="nil"/>
              <w:bottom w:val="nil"/>
              <w:right w:val="nil"/>
            </w:tcBorders>
            <w:shd w:val="clear" w:color="auto" w:fill="auto"/>
            <w:noWrap/>
            <w:vAlign w:val="bottom"/>
            <w:hideMark/>
          </w:tcPr>
          <w:p w14:paraId="16897ED9" w14:textId="77777777" w:rsidR="00D90A25" w:rsidRPr="004F028E" w:rsidRDefault="00D90A25" w:rsidP="005160F0">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10</w:t>
            </w:r>
            <w:r w:rsidRPr="004F028E">
              <w:rPr>
                <w:rFonts w:ascii="Calibri" w:eastAsia="Times New Roman" w:hAnsi="Calibri" w:cs="Times New Roman"/>
                <w:color w:val="000000"/>
              </w:rPr>
              <w:t>0</w:t>
            </w:r>
            <w:r>
              <w:rPr>
                <w:rFonts w:ascii="Calibri" w:eastAsia="Times New Roman" w:hAnsi="Calibri" w:cs="Times New Roman"/>
                <w:color w:val="000000"/>
              </w:rPr>
              <w:t>.0</w:t>
            </w:r>
            <w:r w:rsidRPr="004F028E">
              <w:rPr>
                <w:rFonts w:ascii="Calibri" w:eastAsia="Times New Roman" w:hAnsi="Calibri" w:cs="Times New Roman"/>
                <w:color w:val="000000"/>
              </w:rPr>
              <w:t>%</w:t>
            </w:r>
          </w:p>
        </w:tc>
      </w:tr>
      <w:tr w:rsidR="00D90A25" w:rsidRPr="004F028E" w14:paraId="5CBF6764" w14:textId="77777777" w:rsidTr="005160F0">
        <w:trPr>
          <w:trHeight w:val="300"/>
        </w:trPr>
        <w:tc>
          <w:tcPr>
            <w:tcW w:w="7320" w:type="dxa"/>
            <w:tcBorders>
              <w:top w:val="nil"/>
              <w:left w:val="nil"/>
              <w:bottom w:val="nil"/>
              <w:right w:val="nil"/>
            </w:tcBorders>
            <w:shd w:val="clear" w:color="auto" w:fill="auto"/>
            <w:vAlign w:val="center"/>
            <w:hideMark/>
          </w:tcPr>
          <w:p w14:paraId="68767B5C" w14:textId="77777777" w:rsidR="00D90A25" w:rsidRPr="004F028E" w:rsidRDefault="00D90A25" w:rsidP="005160F0">
            <w:pPr>
              <w:spacing w:after="0" w:line="240" w:lineRule="auto"/>
              <w:rPr>
                <w:rFonts w:ascii="Calibri" w:eastAsia="Times New Roman" w:hAnsi="Calibri" w:cs="Times New Roman"/>
                <w:color w:val="000000"/>
              </w:rPr>
            </w:pPr>
            <w:r w:rsidRPr="004F028E">
              <w:rPr>
                <w:rFonts w:ascii="Calibri" w:eastAsia="Times New Roman" w:hAnsi="Calibri" w:cs="Times New Roman"/>
                <w:color w:val="000000"/>
              </w:rPr>
              <w:t>The patient was enrolled in hospice during the post-discharge observation window.</w:t>
            </w:r>
          </w:p>
        </w:tc>
        <w:tc>
          <w:tcPr>
            <w:tcW w:w="640" w:type="dxa"/>
            <w:tcBorders>
              <w:top w:val="nil"/>
              <w:left w:val="nil"/>
              <w:bottom w:val="nil"/>
              <w:right w:val="nil"/>
            </w:tcBorders>
            <w:shd w:val="clear" w:color="auto" w:fill="auto"/>
            <w:noWrap/>
            <w:vAlign w:val="bottom"/>
            <w:hideMark/>
          </w:tcPr>
          <w:p w14:paraId="246759D5" w14:textId="77777777" w:rsidR="00D90A25" w:rsidRPr="004F028E" w:rsidRDefault="00D90A25" w:rsidP="005160F0">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4.9</w:t>
            </w:r>
            <w:r w:rsidRPr="004F028E">
              <w:rPr>
                <w:rFonts w:ascii="Calibri" w:eastAsia="Times New Roman" w:hAnsi="Calibri" w:cs="Times New Roman"/>
                <w:color w:val="000000"/>
              </w:rPr>
              <w:t>%</w:t>
            </w:r>
          </w:p>
        </w:tc>
        <w:tc>
          <w:tcPr>
            <w:tcW w:w="760" w:type="dxa"/>
            <w:tcBorders>
              <w:top w:val="nil"/>
              <w:left w:val="nil"/>
              <w:bottom w:val="nil"/>
              <w:right w:val="nil"/>
            </w:tcBorders>
            <w:shd w:val="clear" w:color="auto" w:fill="auto"/>
            <w:noWrap/>
            <w:vAlign w:val="bottom"/>
            <w:hideMark/>
          </w:tcPr>
          <w:p w14:paraId="2BEDF8F4" w14:textId="77777777" w:rsidR="00D90A25" w:rsidRPr="004F028E" w:rsidRDefault="00D90A25" w:rsidP="005160F0">
            <w:pPr>
              <w:spacing w:after="0" w:line="240" w:lineRule="auto"/>
              <w:jc w:val="right"/>
              <w:rPr>
                <w:rFonts w:ascii="Calibri" w:eastAsia="Times New Roman" w:hAnsi="Calibri" w:cs="Times New Roman"/>
                <w:color w:val="000000"/>
              </w:rPr>
            </w:pPr>
            <w:r w:rsidRPr="004F028E">
              <w:rPr>
                <w:rFonts w:ascii="Calibri" w:eastAsia="Times New Roman" w:hAnsi="Calibri" w:cs="Times New Roman"/>
                <w:color w:val="000000"/>
              </w:rPr>
              <w:t>0.0%</w:t>
            </w:r>
          </w:p>
        </w:tc>
        <w:tc>
          <w:tcPr>
            <w:tcW w:w="760" w:type="dxa"/>
            <w:tcBorders>
              <w:top w:val="nil"/>
              <w:left w:val="nil"/>
              <w:bottom w:val="nil"/>
              <w:right w:val="nil"/>
            </w:tcBorders>
            <w:shd w:val="clear" w:color="auto" w:fill="auto"/>
            <w:noWrap/>
            <w:vAlign w:val="bottom"/>
            <w:hideMark/>
          </w:tcPr>
          <w:p w14:paraId="6374616F" w14:textId="77777777" w:rsidR="00D90A25" w:rsidRPr="004F028E" w:rsidRDefault="00D90A25" w:rsidP="005160F0">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2.1</w:t>
            </w:r>
            <w:r w:rsidRPr="004F028E">
              <w:rPr>
                <w:rFonts w:ascii="Calibri" w:eastAsia="Times New Roman" w:hAnsi="Calibri" w:cs="Times New Roman"/>
                <w:color w:val="000000"/>
              </w:rPr>
              <w:t>%</w:t>
            </w:r>
          </w:p>
        </w:tc>
        <w:tc>
          <w:tcPr>
            <w:tcW w:w="780" w:type="dxa"/>
            <w:tcBorders>
              <w:top w:val="nil"/>
              <w:left w:val="nil"/>
              <w:bottom w:val="nil"/>
              <w:right w:val="nil"/>
            </w:tcBorders>
            <w:shd w:val="clear" w:color="auto" w:fill="auto"/>
            <w:noWrap/>
            <w:vAlign w:val="bottom"/>
            <w:hideMark/>
          </w:tcPr>
          <w:p w14:paraId="02CAD364" w14:textId="77777777" w:rsidR="00D90A25" w:rsidRPr="004F028E" w:rsidRDefault="00D90A25" w:rsidP="005160F0">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4.6</w:t>
            </w:r>
            <w:r w:rsidRPr="004F028E">
              <w:rPr>
                <w:rFonts w:ascii="Calibri" w:eastAsia="Times New Roman" w:hAnsi="Calibri" w:cs="Times New Roman"/>
                <w:color w:val="000000"/>
              </w:rPr>
              <w:t>%</w:t>
            </w:r>
          </w:p>
        </w:tc>
        <w:tc>
          <w:tcPr>
            <w:tcW w:w="760" w:type="dxa"/>
            <w:tcBorders>
              <w:top w:val="nil"/>
              <w:left w:val="nil"/>
              <w:bottom w:val="nil"/>
              <w:right w:val="nil"/>
            </w:tcBorders>
            <w:shd w:val="clear" w:color="auto" w:fill="auto"/>
            <w:noWrap/>
            <w:vAlign w:val="bottom"/>
            <w:hideMark/>
          </w:tcPr>
          <w:p w14:paraId="3A1C64AB" w14:textId="77777777" w:rsidR="00D90A25" w:rsidRPr="004F028E" w:rsidRDefault="00D90A25" w:rsidP="005160F0">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6.8</w:t>
            </w:r>
            <w:r w:rsidRPr="004F028E">
              <w:rPr>
                <w:rFonts w:ascii="Calibri" w:eastAsia="Times New Roman" w:hAnsi="Calibri" w:cs="Times New Roman"/>
                <w:color w:val="000000"/>
              </w:rPr>
              <w:t>%</w:t>
            </w:r>
          </w:p>
        </w:tc>
        <w:tc>
          <w:tcPr>
            <w:tcW w:w="760" w:type="dxa"/>
            <w:tcBorders>
              <w:top w:val="nil"/>
              <w:left w:val="nil"/>
              <w:bottom w:val="nil"/>
              <w:right w:val="nil"/>
            </w:tcBorders>
            <w:shd w:val="clear" w:color="auto" w:fill="auto"/>
            <w:noWrap/>
            <w:vAlign w:val="bottom"/>
            <w:hideMark/>
          </w:tcPr>
          <w:p w14:paraId="6E4EB695" w14:textId="77777777" w:rsidR="00D90A25" w:rsidRPr="004F028E" w:rsidRDefault="00D90A25" w:rsidP="005160F0">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100.0</w:t>
            </w:r>
            <w:r w:rsidRPr="004F028E">
              <w:rPr>
                <w:rFonts w:ascii="Calibri" w:eastAsia="Times New Roman" w:hAnsi="Calibri" w:cs="Times New Roman"/>
                <w:color w:val="000000"/>
              </w:rPr>
              <w:t>%</w:t>
            </w:r>
          </w:p>
        </w:tc>
      </w:tr>
      <w:tr w:rsidR="00D90A25" w:rsidRPr="004F028E" w14:paraId="4223A2BB" w14:textId="77777777" w:rsidTr="005160F0">
        <w:trPr>
          <w:trHeight w:val="300"/>
        </w:trPr>
        <w:tc>
          <w:tcPr>
            <w:tcW w:w="7320" w:type="dxa"/>
            <w:tcBorders>
              <w:top w:val="nil"/>
              <w:left w:val="nil"/>
              <w:bottom w:val="nil"/>
              <w:right w:val="nil"/>
            </w:tcBorders>
            <w:shd w:val="clear" w:color="auto" w:fill="auto"/>
            <w:vAlign w:val="center"/>
            <w:hideMark/>
          </w:tcPr>
          <w:p w14:paraId="35EE4B82" w14:textId="77777777" w:rsidR="00D90A25" w:rsidRPr="004F028E" w:rsidRDefault="00D90A25" w:rsidP="005160F0">
            <w:pPr>
              <w:spacing w:after="0" w:line="240" w:lineRule="auto"/>
              <w:rPr>
                <w:rFonts w:ascii="Calibri" w:eastAsia="Times New Roman" w:hAnsi="Calibri" w:cs="Times New Roman"/>
                <w:color w:val="000000"/>
              </w:rPr>
            </w:pPr>
            <w:r w:rsidRPr="004F028E">
              <w:rPr>
                <w:rFonts w:ascii="Calibri" w:eastAsia="Times New Roman" w:hAnsi="Calibri" w:cs="Times New Roman"/>
                <w:color w:val="000000"/>
              </w:rPr>
              <w:t>The patient is discharged to a federal hospital.</w:t>
            </w:r>
          </w:p>
        </w:tc>
        <w:tc>
          <w:tcPr>
            <w:tcW w:w="640" w:type="dxa"/>
            <w:tcBorders>
              <w:top w:val="nil"/>
              <w:left w:val="nil"/>
              <w:bottom w:val="nil"/>
              <w:right w:val="nil"/>
            </w:tcBorders>
            <w:shd w:val="clear" w:color="auto" w:fill="auto"/>
            <w:noWrap/>
            <w:vAlign w:val="bottom"/>
            <w:hideMark/>
          </w:tcPr>
          <w:p w14:paraId="11D38E73" w14:textId="77777777" w:rsidR="00D90A25" w:rsidRPr="004F028E" w:rsidRDefault="00D90A25" w:rsidP="005160F0">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0</w:t>
            </w:r>
            <w:r w:rsidRPr="004F028E">
              <w:rPr>
                <w:rFonts w:ascii="Calibri" w:eastAsia="Times New Roman" w:hAnsi="Calibri" w:cs="Times New Roman"/>
                <w:color w:val="000000"/>
              </w:rPr>
              <w:t>.0%</w:t>
            </w:r>
          </w:p>
        </w:tc>
        <w:tc>
          <w:tcPr>
            <w:tcW w:w="760" w:type="dxa"/>
            <w:tcBorders>
              <w:top w:val="nil"/>
              <w:left w:val="nil"/>
              <w:bottom w:val="nil"/>
              <w:right w:val="nil"/>
            </w:tcBorders>
            <w:shd w:val="clear" w:color="auto" w:fill="auto"/>
            <w:noWrap/>
            <w:vAlign w:val="bottom"/>
            <w:hideMark/>
          </w:tcPr>
          <w:p w14:paraId="7C0C8B8B" w14:textId="77777777" w:rsidR="00D90A25" w:rsidRPr="004F028E" w:rsidRDefault="00D90A25" w:rsidP="005160F0">
            <w:pPr>
              <w:spacing w:after="0" w:line="240" w:lineRule="auto"/>
              <w:jc w:val="right"/>
              <w:rPr>
                <w:rFonts w:ascii="Calibri" w:eastAsia="Times New Roman" w:hAnsi="Calibri" w:cs="Times New Roman"/>
                <w:color w:val="000000"/>
              </w:rPr>
            </w:pPr>
            <w:r w:rsidRPr="004F028E">
              <w:rPr>
                <w:rFonts w:ascii="Calibri" w:eastAsia="Times New Roman" w:hAnsi="Calibri" w:cs="Times New Roman"/>
                <w:color w:val="000000"/>
              </w:rPr>
              <w:t>0.0%</w:t>
            </w:r>
          </w:p>
        </w:tc>
        <w:tc>
          <w:tcPr>
            <w:tcW w:w="760" w:type="dxa"/>
            <w:tcBorders>
              <w:top w:val="nil"/>
              <w:left w:val="nil"/>
              <w:bottom w:val="nil"/>
              <w:right w:val="nil"/>
            </w:tcBorders>
            <w:shd w:val="clear" w:color="auto" w:fill="auto"/>
            <w:noWrap/>
            <w:vAlign w:val="bottom"/>
            <w:hideMark/>
          </w:tcPr>
          <w:p w14:paraId="0852556D" w14:textId="77777777" w:rsidR="00D90A25" w:rsidRPr="004F028E" w:rsidRDefault="00D90A25" w:rsidP="005160F0">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0.0</w:t>
            </w:r>
            <w:r w:rsidRPr="004F028E">
              <w:rPr>
                <w:rFonts w:ascii="Calibri" w:eastAsia="Times New Roman" w:hAnsi="Calibri" w:cs="Times New Roman"/>
                <w:color w:val="000000"/>
              </w:rPr>
              <w:t>%</w:t>
            </w:r>
          </w:p>
        </w:tc>
        <w:tc>
          <w:tcPr>
            <w:tcW w:w="780" w:type="dxa"/>
            <w:tcBorders>
              <w:top w:val="nil"/>
              <w:left w:val="nil"/>
              <w:bottom w:val="nil"/>
              <w:right w:val="nil"/>
            </w:tcBorders>
            <w:shd w:val="clear" w:color="auto" w:fill="auto"/>
            <w:noWrap/>
            <w:vAlign w:val="bottom"/>
            <w:hideMark/>
          </w:tcPr>
          <w:p w14:paraId="59A3E8E0" w14:textId="77777777" w:rsidR="00D90A25" w:rsidRPr="004F028E" w:rsidRDefault="00D90A25" w:rsidP="005160F0">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0</w:t>
            </w:r>
            <w:r w:rsidRPr="004F028E">
              <w:rPr>
                <w:rFonts w:ascii="Calibri" w:eastAsia="Times New Roman" w:hAnsi="Calibri" w:cs="Times New Roman"/>
                <w:color w:val="000000"/>
              </w:rPr>
              <w:t>.0%</w:t>
            </w:r>
          </w:p>
        </w:tc>
        <w:tc>
          <w:tcPr>
            <w:tcW w:w="760" w:type="dxa"/>
            <w:tcBorders>
              <w:top w:val="nil"/>
              <w:left w:val="nil"/>
              <w:bottom w:val="nil"/>
              <w:right w:val="nil"/>
            </w:tcBorders>
            <w:shd w:val="clear" w:color="auto" w:fill="auto"/>
            <w:noWrap/>
            <w:vAlign w:val="bottom"/>
            <w:hideMark/>
          </w:tcPr>
          <w:p w14:paraId="0029AEA6" w14:textId="77777777" w:rsidR="00D90A25" w:rsidRPr="004F028E" w:rsidRDefault="00D90A25" w:rsidP="005160F0">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0.0</w:t>
            </w:r>
            <w:r w:rsidRPr="004F028E">
              <w:rPr>
                <w:rFonts w:ascii="Calibri" w:eastAsia="Times New Roman" w:hAnsi="Calibri" w:cs="Times New Roman"/>
                <w:color w:val="000000"/>
              </w:rPr>
              <w:t>%</w:t>
            </w:r>
          </w:p>
        </w:tc>
        <w:tc>
          <w:tcPr>
            <w:tcW w:w="760" w:type="dxa"/>
            <w:tcBorders>
              <w:top w:val="nil"/>
              <w:left w:val="nil"/>
              <w:bottom w:val="nil"/>
              <w:right w:val="nil"/>
            </w:tcBorders>
            <w:shd w:val="clear" w:color="auto" w:fill="auto"/>
            <w:noWrap/>
            <w:vAlign w:val="bottom"/>
            <w:hideMark/>
          </w:tcPr>
          <w:p w14:paraId="5A1DBE8A" w14:textId="77777777" w:rsidR="00D90A25" w:rsidRPr="004F028E" w:rsidRDefault="00D90A25" w:rsidP="005160F0">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8.6</w:t>
            </w:r>
            <w:r w:rsidRPr="004F028E">
              <w:rPr>
                <w:rFonts w:ascii="Calibri" w:eastAsia="Times New Roman" w:hAnsi="Calibri" w:cs="Times New Roman"/>
                <w:color w:val="000000"/>
              </w:rPr>
              <w:t>%</w:t>
            </w:r>
          </w:p>
        </w:tc>
      </w:tr>
      <w:tr w:rsidR="00D90A25" w:rsidRPr="004F028E" w14:paraId="41D50312" w14:textId="77777777" w:rsidTr="005160F0">
        <w:trPr>
          <w:trHeight w:val="300"/>
        </w:trPr>
        <w:tc>
          <w:tcPr>
            <w:tcW w:w="7320" w:type="dxa"/>
            <w:tcBorders>
              <w:top w:val="nil"/>
              <w:left w:val="nil"/>
              <w:bottom w:val="single" w:sz="4" w:space="0" w:color="auto"/>
              <w:right w:val="nil"/>
            </w:tcBorders>
            <w:shd w:val="clear" w:color="auto" w:fill="auto"/>
            <w:vAlign w:val="center"/>
            <w:hideMark/>
          </w:tcPr>
          <w:p w14:paraId="6C26A5B1" w14:textId="77777777" w:rsidR="00D90A25" w:rsidRPr="004F028E" w:rsidRDefault="00D90A25" w:rsidP="005160F0">
            <w:pPr>
              <w:spacing w:after="0" w:line="240" w:lineRule="auto"/>
              <w:rPr>
                <w:rFonts w:ascii="Calibri" w:eastAsia="Times New Roman" w:hAnsi="Calibri" w:cs="Times New Roman"/>
                <w:color w:val="000000"/>
              </w:rPr>
            </w:pPr>
            <w:r w:rsidRPr="004F028E">
              <w:rPr>
                <w:rFonts w:ascii="Calibri" w:eastAsia="Times New Roman" w:hAnsi="Calibri" w:cs="Times New Roman"/>
                <w:color w:val="000000"/>
              </w:rPr>
              <w:t>The patient is discharged to court/law enforcement.</w:t>
            </w:r>
          </w:p>
        </w:tc>
        <w:tc>
          <w:tcPr>
            <w:tcW w:w="640" w:type="dxa"/>
            <w:tcBorders>
              <w:top w:val="nil"/>
              <w:left w:val="nil"/>
              <w:bottom w:val="single" w:sz="4" w:space="0" w:color="auto"/>
              <w:right w:val="nil"/>
            </w:tcBorders>
            <w:shd w:val="clear" w:color="auto" w:fill="auto"/>
            <w:noWrap/>
            <w:vAlign w:val="bottom"/>
            <w:hideMark/>
          </w:tcPr>
          <w:p w14:paraId="21AF5543" w14:textId="77777777" w:rsidR="00D90A25" w:rsidRPr="004F028E" w:rsidRDefault="00D90A25" w:rsidP="005160F0">
            <w:pPr>
              <w:spacing w:after="0" w:line="240" w:lineRule="auto"/>
              <w:jc w:val="right"/>
              <w:rPr>
                <w:rFonts w:ascii="Calibri" w:eastAsia="Times New Roman" w:hAnsi="Calibri" w:cs="Times New Roman"/>
                <w:color w:val="000000"/>
              </w:rPr>
            </w:pPr>
            <w:r w:rsidRPr="004F028E">
              <w:rPr>
                <w:rFonts w:ascii="Calibri" w:eastAsia="Times New Roman" w:hAnsi="Calibri" w:cs="Times New Roman"/>
                <w:color w:val="000000"/>
              </w:rPr>
              <w:t>0.0%</w:t>
            </w:r>
          </w:p>
        </w:tc>
        <w:tc>
          <w:tcPr>
            <w:tcW w:w="760" w:type="dxa"/>
            <w:tcBorders>
              <w:top w:val="nil"/>
              <w:left w:val="nil"/>
              <w:bottom w:val="single" w:sz="4" w:space="0" w:color="auto"/>
              <w:right w:val="nil"/>
            </w:tcBorders>
            <w:shd w:val="clear" w:color="auto" w:fill="auto"/>
            <w:noWrap/>
            <w:vAlign w:val="bottom"/>
            <w:hideMark/>
          </w:tcPr>
          <w:p w14:paraId="5E66BCC9" w14:textId="77777777" w:rsidR="00D90A25" w:rsidRPr="004F028E" w:rsidRDefault="00D90A25" w:rsidP="005160F0">
            <w:pPr>
              <w:spacing w:after="0" w:line="240" w:lineRule="auto"/>
              <w:jc w:val="right"/>
              <w:rPr>
                <w:rFonts w:ascii="Calibri" w:eastAsia="Times New Roman" w:hAnsi="Calibri" w:cs="Times New Roman"/>
                <w:color w:val="000000"/>
              </w:rPr>
            </w:pPr>
            <w:r w:rsidRPr="004F028E">
              <w:rPr>
                <w:rFonts w:ascii="Calibri" w:eastAsia="Times New Roman" w:hAnsi="Calibri" w:cs="Times New Roman"/>
                <w:color w:val="000000"/>
              </w:rPr>
              <w:t>0.0%</w:t>
            </w:r>
          </w:p>
        </w:tc>
        <w:tc>
          <w:tcPr>
            <w:tcW w:w="760" w:type="dxa"/>
            <w:tcBorders>
              <w:top w:val="nil"/>
              <w:left w:val="nil"/>
              <w:bottom w:val="single" w:sz="4" w:space="0" w:color="auto"/>
              <w:right w:val="nil"/>
            </w:tcBorders>
            <w:shd w:val="clear" w:color="auto" w:fill="auto"/>
            <w:noWrap/>
            <w:vAlign w:val="bottom"/>
            <w:hideMark/>
          </w:tcPr>
          <w:p w14:paraId="266555DF" w14:textId="77777777" w:rsidR="00D90A25" w:rsidRPr="004F028E" w:rsidRDefault="00D90A25" w:rsidP="005160F0">
            <w:pPr>
              <w:spacing w:after="0" w:line="240" w:lineRule="auto"/>
              <w:jc w:val="right"/>
              <w:rPr>
                <w:rFonts w:ascii="Calibri" w:eastAsia="Times New Roman" w:hAnsi="Calibri" w:cs="Times New Roman"/>
                <w:color w:val="000000"/>
              </w:rPr>
            </w:pPr>
            <w:r w:rsidRPr="004F028E">
              <w:rPr>
                <w:rFonts w:ascii="Calibri" w:eastAsia="Times New Roman" w:hAnsi="Calibri" w:cs="Times New Roman"/>
                <w:color w:val="000000"/>
              </w:rPr>
              <w:t>0.0%</w:t>
            </w:r>
          </w:p>
        </w:tc>
        <w:tc>
          <w:tcPr>
            <w:tcW w:w="780" w:type="dxa"/>
            <w:tcBorders>
              <w:top w:val="nil"/>
              <w:left w:val="nil"/>
              <w:bottom w:val="single" w:sz="4" w:space="0" w:color="auto"/>
              <w:right w:val="nil"/>
            </w:tcBorders>
            <w:shd w:val="clear" w:color="auto" w:fill="auto"/>
            <w:noWrap/>
            <w:vAlign w:val="bottom"/>
            <w:hideMark/>
          </w:tcPr>
          <w:p w14:paraId="189C003D" w14:textId="77777777" w:rsidR="00D90A25" w:rsidRPr="004F028E" w:rsidRDefault="00D90A25" w:rsidP="005160F0">
            <w:pPr>
              <w:spacing w:after="0" w:line="240" w:lineRule="auto"/>
              <w:jc w:val="right"/>
              <w:rPr>
                <w:rFonts w:ascii="Calibri" w:eastAsia="Times New Roman" w:hAnsi="Calibri" w:cs="Times New Roman"/>
                <w:color w:val="000000"/>
              </w:rPr>
            </w:pPr>
            <w:r w:rsidRPr="004F028E">
              <w:rPr>
                <w:rFonts w:ascii="Calibri" w:eastAsia="Times New Roman" w:hAnsi="Calibri" w:cs="Times New Roman"/>
                <w:color w:val="000000"/>
              </w:rPr>
              <w:t>0.0%</w:t>
            </w:r>
          </w:p>
        </w:tc>
        <w:tc>
          <w:tcPr>
            <w:tcW w:w="760" w:type="dxa"/>
            <w:tcBorders>
              <w:top w:val="nil"/>
              <w:left w:val="nil"/>
              <w:bottom w:val="single" w:sz="4" w:space="0" w:color="auto"/>
              <w:right w:val="nil"/>
            </w:tcBorders>
            <w:shd w:val="clear" w:color="auto" w:fill="auto"/>
            <w:noWrap/>
            <w:vAlign w:val="bottom"/>
            <w:hideMark/>
          </w:tcPr>
          <w:p w14:paraId="33C1EECA" w14:textId="77777777" w:rsidR="00D90A25" w:rsidRPr="004F028E" w:rsidRDefault="00D90A25" w:rsidP="005160F0">
            <w:pPr>
              <w:spacing w:after="0" w:line="240" w:lineRule="auto"/>
              <w:jc w:val="right"/>
              <w:rPr>
                <w:rFonts w:ascii="Calibri" w:eastAsia="Times New Roman" w:hAnsi="Calibri" w:cs="Times New Roman"/>
                <w:color w:val="000000"/>
              </w:rPr>
            </w:pPr>
            <w:r w:rsidRPr="004F028E">
              <w:rPr>
                <w:rFonts w:ascii="Calibri" w:eastAsia="Times New Roman" w:hAnsi="Calibri" w:cs="Times New Roman"/>
                <w:color w:val="000000"/>
              </w:rPr>
              <w:t>0.0%</w:t>
            </w:r>
          </w:p>
        </w:tc>
        <w:tc>
          <w:tcPr>
            <w:tcW w:w="760" w:type="dxa"/>
            <w:tcBorders>
              <w:top w:val="nil"/>
              <w:left w:val="nil"/>
              <w:bottom w:val="single" w:sz="4" w:space="0" w:color="auto"/>
              <w:right w:val="nil"/>
            </w:tcBorders>
            <w:shd w:val="clear" w:color="auto" w:fill="auto"/>
            <w:noWrap/>
            <w:vAlign w:val="bottom"/>
            <w:hideMark/>
          </w:tcPr>
          <w:p w14:paraId="31F291ED" w14:textId="77777777" w:rsidR="00D90A25" w:rsidRPr="004F028E" w:rsidRDefault="00D90A25" w:rsidP="005160F0">
            <w:pPr>
              <w:spacing w:after="0" w:line="240" w:lineRule="auto"/>
              <w:jc w:val="right"/>
              <w:rPr>
                <w:rFonts w:ascii="Calibri" w:eastAsia="Times New Roman" w:hAnsi="Calibri" w:cs="Times New Roman"/>
                <w:color w:val="000000"/>
              </w:rPr>
            </w:pPr>
            <w:r w:rsidRPr="004F028E">
              <w:rPr>
                <w:rFonts w:ascii="Calibri" w:eastAsia="Times New Roman" w:hAnsi="Calibri" w:cs="Times New Roman"/>
                <w:color w:val="000000"/>
              </w:rPr>
              <w:t>0.0%</w:t>
            </w:r>
          </w:p>
        </w:tc>
      </w:tr>
    </w:tbl>
    <w:p w14:paraId="09674C29" w14:textId="1E6B690C" w:rsidR="00F41690" w:rsidRPr="00DB52B4" w:rsidRDefault="00F41690" w:rsidP="00F41690">
      <w:pPr>
        <w:autoSpaceDE w:val="0"/>
        <w:autoSpaceDN w:val="0"/>
        <w:adjustRightInd w:val="0"/>
        <w:spacing w:after="0" w:line="240" w:lineRule="auto"/>
        <w:rPr>
          <w:rFonts w:cstheme="minorHAnsi"/>
          <w:bCs/>
        </w:rPr>
      </w:pPr>
    </w:p>
    <w:p w14:paraId="26DFA327" w14:textId="77777777" w:rsidR="00F41690" w:rsidRDefault="00F41690" w:rsidP="00DB3627">
      <w:pPr>
        <w:autoSpaceDE w:val="0"/>
        <w:autoSpaceDN w:val="0"/>
        <w:adjustRightInd w:val="0"/>
        <w:spacing w:after="0" w:line="240" w:lineRule="auto"/>
        <w:rPr>
          <w:rFonts w:cstheme="minorHAnsi"/>
          <w:b/>
          <w:bCs/>
        </w:rPr>
      </w:pPr>
    </w:p>
    <w:p w14:paraId="1E1FC5BE" w14:textId="77777777" w:rsidR="007422FD" w:rsidRDefault="00092566" w:rsidP="00DB3627">
      <w:pPr>
        <w:autoSpaceDE w:val="0"/>
        <w:autoSpaceDN w:val="0"/>
        <w:adjustRightInd w:val="0"/>
        <w:spacing w:after="0" w:line="240" w:lineRule="auto"/>
        <w:rPr>
          <w:rFonts w:cstheme="minorHAnsi"/>
          <w:bCs/>
          <w:color w:val="C00000"/>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61EE889A" w14:textId="009A8098" w:rsidR="00427C04" w:rsidRDefault="00D90A25" w:rsidP="00DB3627">
      <w:pPr>
        <w:autoSpaceDE w:val="0"/>
        <w:autoSpaceDN w:val="0"/>
        <w:adjustRightInd w:val="0"/>
        <w:spacing w:after="0" w:line="240" w:lineRule="auto"/>
        <w:rPr>
          <w:rFonts w:cstheme="minorHAnsi"/>
          <w:color w:val="0000FF"/>
        </w:rPr>
      </w:pPr>
      <w:r w:rsidRPr="005029B4">
        <w:rPr>
          <w:rFonts w:cstheme="minorHAnsi"/>
        </w:rPr>
        <w:t xml:space="preserve">Exclusions for the discharge to community measure are listed </w:t>
      </w:r>
      <w:r>
        <w:rPr>
          <w:rFonts w:cstheme="minorHAnsi"/>
        </w:rPr>
        <w:t xml:space="preserve">in </w:t>
      </w:r>
      <w:r w:rsidRPr="00C704D1">
        <w:rPr>
          <w:rFonts w:cstheme="minorHAnsi"/>
          <w:b/>
        </w:rPr>
        <w:t xml:space="preserve">Table </w:t>
      </w:r>
      <w:r w:rsidR="00FC40CA">
        <w:rPr>
          <w:rFonts w:cstheme="minorHAnsi"/>
          <w:b/>
        </w:rPr>
        <w:t>12</w:t>
      </w:r>
      <w:r w:rsidRPr="005029B4">
        <w:rPr>
          <w:rFonts w:cstheme="minorHAnsi"/>
        </w:rPr>
        <w:t>, along with the rationale for each exclusion.</w:t>
      </w:r>
      <w:r>
        <w:rPr>
          <w:rFonts w:cstheme="minorHAnsi"/>
        </w:rPr>
        <w:t xml:space="preserve"> </w:t>
      </w:r>
      <w:r w:rsidRPr="00DC352C">
        <w:rPr>
          <w:rFonts w:cstheme="minorHAnsi"/>
          <w:bCs/>
        </w:rPr>
        <w:t xml:space="preserve">About 12.1% of stays are excluded due to no </w:t>
      </w:r>
      <w:r w:rsidRPr="00DC352C">
        <w:rPr>
          <w:rFonts w:ascii="Calibri" w:hAnsi="Calibri"/>
        </w:rPr>
        <w:t xml:space="preserve">continuous enrollment in Medicare </w:t>
      </w:r>
      <w:r>
        <w:rPr>
          <w:rFonts w:ascii="Calibri" w:hAnsi="Calibri"/>
          <w:color w:val="000000"/>
        </w:rPr>
        <w:t xml:space="preserve">Fee-For-Service Parts A and B (not C) from 12 months prior to the start of the stay through the 31 days after discharge. These patients are excluded because </w:t>
      </w:r>
      <w:r>
        <w:t xml:space="preserve">those without continuous Part A and B coverage, or those who are ever enrolled in a Part C Medicare Advantage plan during the pre- or post-PAC periods will not have complete Medicare FFS claims in the system thus incomplete </w:t>
      </w:r>
      <w:r>
        <w:lastRenderedPageBreak/>
        <w:t xml:space="preserve">information for determining outcome and risk adjustment. </w:t>
      </w:r>
      <w:r w:rsidRPr="007B46B2">
        <w:t xml:space="preserve"> </w:t>
      </w:r>
      <w:r>
        <w:t xml:space="preserve">The second highest frequency of exclusion </w:t>
      </w:r>
      <w:r w:rsidR="00DD0B20">
        <w:t>is for</w:t>
      </w:r>
      <w:r>
        <w:t xml:space="preserve"> stays </w:t>
      </w:r>
      <w:r w:rsidR="00DD0B20">
        <w:t>where the</w:t>
      </w:r>
      <w:r>
        <w:rPr>
          <w:rFonts w:ascii="Calibri" w:hAnsi="Calibri"/>
          <w:color w:val="000000"/>
        </w:rPr>
        <w:t xml:space="preserve"> patient was enrolled in hospice during the post-discharge observation window (5.7%).</w:t>
      </w:r>
      <w:r w:rsidR="00DD0B20">
        <w:rPr>
          <w:rFonts w:ascii="Calibri" w:hAnsi="Calibri"/>
          <w:color w:val="000000"/>
        </w:rPr>
        <w:t xml:space="preserve"> </w:t>
      </w:r>
      <w:r w:rsidR="00DD0B20" w:rsidRPr="005029B4">
        <w:rPr>
          <w:rFonts w:eastAsia="Calibri" w:cstheme="minorHAnsi"/>
          <w:color w:val="000000" w:themeColor="text1"/>
        </w:rPr>
        <w:t>Patients discharged to hospice care and those with a hospice benefit in the post-discharge observation window are terminally ill and have very different goals of care compared with non-hospice patients. For non-hospice patients, the primary goal of post-acute care is to return to baseline, independent living in the community; death is an undesirable outcome in the non-hospice population. For hospice patients, the goal is to provide them the opportunity to die comfortably, at home or in a facility. A large proportion of hospice patients die in the 31-day window following discharge from the post-acute setting. The hospice agency, not the post-acute care setting, makes the final decision of discharge to hospice-home or hospice-facility.</w:t>
      </w:r>
    </w:p>
    <w:p w14:paraId="7F08399A" w14:textId="77777777" w:rsidR="00B56734" w:rsidRDefault="00B56734" w:rsidP="00DB3627">
      <w:pPr>
        <w:autoSpaceDE w:val="0"/>
        <w:autoSpaceDN w:val="0"/>
        <w:adjustRightInd w:val="0"/>
        <w:spacing w:after="0" w:line="240" w:lineRule="auto"/>
        <w:rPr>
          <w:rFonts w:cstheme="minorHAnsi"/>
          <w:color w:val="0000FF"/>
        </w:rPr>
      </w:pPr>
    </w:p>
    <w:p w14:paraId="127CBB88" w14:textId="77777777" w:rsidR="00B56734" w:rsidRDefault="00B56734" w:rsidP="00DB3627">
      <w:pPr>
        <w:autoSpaceDE w:val="0"/>
        <w:autoSpaceDN w:val="0"/>
        <w:adjustRightInd w:val="0"/>
        <w:spacing w:after="0" w:line="240" w:lineRule="auto"/>
        <w:rPr>
          <w:rFonts w:cstheme="minorHAnsi"/>
          <w:color w:val="0000FF"/>
        </w:rPr>
      </w:pPr>
    </w:p>
    <w:p w14:paraId="00874B7D" w14:textId="416F8EC8" w:rsidR="00B56734" w:rsidRPr="00844405" w:rsidRDefault="00B56734" w:rsidP="00B56734">
      <w:pPr>
        <w:spacing w:after="0" w:line="240" w:lineRule="auto"/>
        <w:rPr>
          <w:rFonts w:cstheme="minorHAnsi"/>
          <w:b/>
        </w:rPr>
      </w:pPr>
      <w:r w:rsidRPr="005029B4">
        <w:rPr>
          <w:rFonts w:cstheme="minorHAnsi"/>
          <w:b/>
        </w:rPr>
        <w:t xml:space="preserve">Table </w:t>
      </w:r>
      <w:r w:rsidR="00FC40CA">
        <w:rPr>
          <w:rFonts w:cstheme="minorHAnsi"/>
          <w:b/>
        </w:rPr>
        <w:t>12</w:t>
      </w:r>
      <w:r w:rsidR="00B743D6">
        <w:rPr>
          <w:rFonts w:cstheme="minorHAnsi"/>
          <w:b/>
        </w:rPr>
        <w:t>.</w:t>
      </w:r>
      <w:r w:rsidRPr="005029B4">
        <w:rPr>
          <w:rFonts w:cstheme="minorHAnsi"/>
          <w:b/>
        </w:rPr>
        <w:t xml:space="preserve"> </w:t>
      </w:r>
      <w:r w:rsidRPr="00844405">
        <w:rPr>
          <w:rFonts w:cstheme="minorHAnsi"/>
          <w:b/>
        </w:rPr>
        <w:t xml:space="preserve">Exclusion Criteria and Rationale for the DTC-PAC </w:t>
      </w:r>
      <w:r>
        <w:rPr>
          <w:rFonts w:cstheme="minorHAnsi"/>
          <w:b/>
        </w:rPr>
        <w:t>HHA</w:t>
      </w:r>
      <w:r w:rsidRPr="00844405">
        <w:rPr>
          <w:rFonts w:cstheme="minorHAnsi"/>
          <w:b/>
        </w:rPr>
        <w:t xml:space="preserve"> Measure </w:t>
      </w:r>
    </w:p>
    <w:p w14:paraId="6167BA3F" w14:textId="77777777" w:rsidR="00B56734" w:rsidRPr="005029B4" w:rsidRDefault="00B56734" w:rsidP="00B56734">
      <w:pPr>
        <w:spacing w:after="0" w:line="240" w:lineRule="auto"/>
        <w:rPr>
          <w:rFonts w:cstheme="minorHAnsi"/>
        </w:rPr>
      </w:pPr>
    </w:p>
    <w:tbl>
      <w:tblPr>
        <w:tblW w:w="10600" w:type="dxa"/>
        <w:jc w:val="center"/>
        <w:tblLook w:val="04A0" w:firstRow="1" w:lastRow="0" w:firstColumn="1" w:lastColumn="0" w:noHBand="0" w:noVBand="1"/>
      </w:tblPr>
      <w:tblGrid>
        <w:gridCol w:w="2440"/>
        <w:gridCol w:w="8160"/>
      </w:tblGrid>
      <w:tr w:rsidR="00B36FA9" w:rsidRPr="00B36FA9" w14:paraId="21365BEF" w14:textId="77777777" w:rsidTr="00B36FA9">
        <w:trPr>
          <w:trHeight w:val="300"/>
          <w:jc w:val="center"/>
        </w:trPr>
        <w:tc>
          <w:tcPr>
            <w:tcW w:w="2440" w:type="dxa"/>
            <w:tcBorders>
              <w:top w:val="single" w:sz="4" w:space="0" w:color="auto"/>
              <w:left w:val="nil"/>
              <w:bottom w:val="single" w:sz="4" w:space="0" w:color="auto"/>
              <w:right w:val="nil"/>
            </w:tcBorders>
            <w:shd w:val="clear" w:color="000000" w:fill="BFBFBF"/>
            <w:vAlign w:val="center"/>
            <w:hideMark/>
          </w:tcPr>
          <w:p w14:paraId="4A5C26E0" w14:textId="77777777" w:rsidR="00B36FA9" w:rsidRPr="00B36FA9" w:rsidRDefault="00B36FA9" w:rsidP="00B36FA9">
            <w:pPr>
              <w:spacing w:after="0" w:line="240" w:lineRule="auto"/>
              <w:jc w:val="center"/>
              <w:rPr>
                <w:rFonts w:ascii="Calibri" w:eastAsia="Times New Roman" w:hAnsi="Calibri" w:cs="Times New Roman"/>
                <w:b/>
                <w:bCs/>
                <w:color w:val="000000"/>
                <w:sz w:val="20"/>
                <w:szCs w:val="20"/>
              </w:rPr>
            </w:pPr>
            <w:r w:rsidRPr="00B36FA9">
              <w:rPr>
                <w:rFonts w:ascii="Calibri" w:eastAsia="Times New Roman" w:hAnsi="Calibri" w:cs="Times New Roman"/>
                <w:b/>
                <w:bCs/>
                <w:color w:val="000000"/>
                <w:sz w:val="20"/>
                <w:szCs w:val="20"/>
              </w:rPr>
              <w:t>Exclusion</w:t>
            </w:r>
          </w:p>
        </w:tc>
        <w:tc>
          <w:tcPr>
            <w:tcW w:w="8160" w:type="dxa"/>
            <w:tcBorders>
              <w:top w:val="single" w:sz="4" w:space="0" w:color="auto"/>
              <w:left w:val="nil"/>
              <w:bottom w:val="single" w:sz="4" w:space="0" w:color="auto"/>
              <w:right w:val="nil"/>
            </w:tcBorders>
            <w:shd w:val="clear" w:color="000000" w:fill="BFBFBF"/>
            <w:vAlign w:val="center"/>
            <w:hideMark/>
          </w:tcPr>
          <w:p w14:paraId="4C4C2BBA" w14:textId="77777777" w:rsidR="00B36FA9" w:rsidRPr="00B36FA9" w:rsidRDefault="00B36FA9" w:rsidP="00B36FA9">
            <w:pPr>
              <w:spacing w:after="0" w:line="240" w:lineRule="auto"/>
              <w:jc w:val="center"/>
              <w:rPr>
                <w:rFonts w:ascii="Calibri" w:eastAsia="Times New Roman" w:hAnsi="Calibri" w:cs="Times New Roman"/>
                <w:b/>
                <w:bCs/>
                <w:color w:val="000000"/>
                <w:sz w:val="20"/>
                <w:szCs w:val="20"/>
              </w:rPr>
            </w:pPr>
            <w:r w:rsidRPr="00B36FA9">
              <w:rPr>
                <w:rFonts w:ascii="Calibri" w:eastAsia="Times New Roman" w:hAnsi="Calibri" w:cs="Times New Roman"/>
                <w:b/>
                <w:bCs/>
                <w:color w:val="000000"/>
                <w:sz w:val="20"/>
                <w:szCs w:val="20"/>
              </w:rPr>
              <w:t>Rationale</w:t>
            </w:r>
          </w:p>
        </w:tc>
      </w:tr>
      <w:tr w:rsidR="00B36FA9" w:rsidRPr="00B36FA9" w14:paraId="56DCB72E" w14:textId="77777777" w:rsidTr="00B36FA9">
        <w:trPr>
          <w:trHeight w:val="1275"/>
          <w:jc w:val="center"/>
        </w:trPr>
        <w:tc>
          <w:tcPr>
            <w:tcW w:w="2440" w:type="dxa"/>
            <w:tcBorders>
              <w:top w:val="nil"/>
              <w:left w:val="nil"/>
              <w:bottom w:val="nil"/>
              <w:right w:val="nil"/>
            </w:tcBorders>
            <w:shd w:val="clear" w:color="000000" w:fill="FFFFFF"/>
            <w:vAlign w:val="center"/>
            <w:hideMark/>
          </w:tcPr>
          <w:p w14:paraId="3D719FBD" w14:textId="77777777" w:rsidR="00B36FA9" w:rsidRPr="00B36FA9" w:rsidRDefault="00B36FA9" w:rsidP="00B36FA9">
            <w:pPr>
              <w:spacing w:after="0" w:line="240" w:lineRule="auto"/>
              <w:rPr>
                <w:rFonts w:ascii="Calibri" w:eastAsia="Times New Roman" w:hAnsi="Calibri" w:cs="Times New Roman"/>
                <w:color w:val="000000"/>
                <w:sz w:val="20"/>
                <w:szCs w:val="20"/>
              </w:rPr>
            </w:pPr>
            <w:r w:rsidRPr="00B36FA9">
              <w:rPr>
                <w:rFonts w:ascii="Calibri" w:eastAsia="Times New Roman" w:hAnsi="Calibri" w:cs="Times New Roman"/>
                <w:color w:val="000000"/>
                <w:sz w:val="20"/>
                <w:szCs w:val="20"/>
              </w:rPr>
              <w:t>Age under 18 years</w:t>
            </w:r>
          </w:p>
        </w:tc>
        <w:tc>
          <w:tcPr>
            <w:tcW w:w="8160" w:type="dxa"/>
            <w:tcBorders>
              <w:top w:val="nil"/>
              <w:left w:val="nil"/>
              <w:bottom w:val="nil"/>
              <w:right w:val="nil"/>
            </w:tcBorders>
            <w:shd w:val="clear" w:color="000000" w:fill="FFFFFF"/>
            <w:vAlign w:val="center"/>
            <w:hideMark/>
          </w:tcPr>
          <w:p w14:paraId="4B09ED2D" w14:textId="77777777" w:rsidR="00B36FA9" w:rsidRPr="00B36FA9" w:rsidRDefault="00B36FA9" w:rsidP="00B36FA9">
            <w:pPr>
              <w:spacing w:after="0" w:line="240" w:lineRule="auto"/>
              <w:rPr>
                <w:rFonts w:ascii="Calibri" w:eastAsia="Times New Roman" w:hAnsi="Calibri" w:cs="Times New Roman"/>
                <w:color w:val="000000"/>
                <w:sz w:val="20"/>
                <w:szCs w:val="20"/>
              </w:rPr>
            </w:pPr>
            <w:r w:rsidRPr="00B36FA9">
              <w:rPr>
                <w:rFonts w:ascii="Calibri" w:eastAsia="Times New Roman" w:hAnsi="Calibri" w:cs="Times New Roman"/>
                <w:color w:val="000000"/>
                <w:sz w:val="20"/>
                <w:szCs w:val="20"/>
              </w:rPr>
              <w:t>There is limited literature on discharge destination outcomes in this age group. Patients in this age group represent a different cohort, likely living with their parents, and may be expected to have higher discharge to community rates compared with the rest of the Medicare population. Patients in this age group represent a small proportion of the post-acute Medicare FFS population.</w:t>
            </w:r>
          </w:p>
        </w:tc>
      </w:tr>
      <w:tr w:rsidR="00B36FA9" w:rsidRPr="00B36FA9" w14:paraId="455341D5" w14:textId="77777777" w:rsidTr="00B36FA9">
        <w:trPr>
          <w:trHeight w:val="765"/>
          <w:jc w:val="center"/>
        </w:trPr>
        <w:tc>
          <w:tcPr>
            <w:tcW w:w="2440" w:type="dxa"/>
            <w:tcBorders>
              <w:top w:val="nil"/>
              <w:left w:val="nil"/>
              <w:bottom w:val="nil"/>
              <w:right w:val="nil"/>
            </w:tcBorders>
            <w:shd w:val="clear" w:color="000000" w:fill="D9D9D9"/>
            <w:vAlign w:val="center"/>
            <w:hideMark/>
          </w:tcPr>
          <w:p w14:paraId="6C6C45C3" w14:textId="77777777" w:rsidR="00B36FA9" w:rsidRPr="00B36FA9" w:rsidRDefault="00B36FA9" w:rsidP="00B36FA9">
            <w:pPr>
              <w:spacing w:after="0" w:line="240" w:lineRule="auto"/>
              <w:rPr>
                <w:rFonts w:ascii="Calibri" w:eastAsia="Times New Roman" w:hAnsi="Calibri" w:cs="Times New Roman"/>
                <w:color w:val="000000"/>
                <w:sz w:val="20"/>
                <w:szCs w:val="20"/>
              </w:rPr>
            </w:pPr>
            <w:r w:rsidRPr="00B36FA9">
              <w:rPr>
                <w:rFonts w:ascii="Calibri" w:eastAsia="Times New Roman" w:hAnsi="Calibri" w:cs="Times New Roman"/>
                <w:color w:val="000000"/>
                <w:sz w:val="20"/>
                <w:szCs w:val="20"/>
              </w:rPr>
              <w:t>Discharges to psychiatric hospital</w:t>
            </w:r>
          </w:p>
        </w:tc>
        <w:tc>
          <w:tcPr>
            <w:tcW w:w="8160" w:type="dxa"/>
            <w:tcBorders>
              <w:top w:val="nil"/>
              <w:left w:val="nil"/>
              <w:bottom w:val="nil"/>
              <w:right w:val="nil"/>
            </w:tcBorders>
            <w:shd w:val="clear" w:color="000000" w:fill="D9D9D9"/>
            <w:vAlign w:val="center"/>
            <w:hideMark/>
          </w:tcPr>
          <w:p w14:paraId="10BD32D1" w14:textId="77777777" w:rsidR="00B36FA9" w:rsidRPr="00B36FA9" w:rsidRDefault="00B36FA9" w:rsidP="00B36FA9">
            <w:pPr>
              <w:spacing w:after="0" w:line="240" w:lineRule="auto"/>
              <w:rPr>
                <w:rFonts w:ascii="Calibri" w:eastAsia="Times New Roman" w:hAnsi="Calibri" w:cs="Times New Roman"/>
                <w:color w:val="000000"/>
                <w:sz w:val="20"/>
                <w:szCs w:val="20"/>
              </w:rPr>
            </w:pPr>
            <w:r w:rsidRPr="00B36FA9">
              <w:rPr>
                <w:rFonts w:ascii="Calibri" w:eastAsia="Times New Roman" w:hAnsi="Calibri" w:cs="Times New Roman"/>
                <w:color w:val="000000"/>
                <w:sz w:val="20"/>
                <w:szCs w:val="20"/>
              </w:rPr>
              <w:t>Patients discharged to psychiatric hospital are excluded from the measure because community living at the time of discharge may be potentially inappropriate or unsafe for them due to their mental health or psychiatric condition.</w:t>
            </w:r>
          </w:p>
        </w:tc>
      </w:tr>
      <w:tr w:rsidR="00B36FA9" w:rsidRPr="00B36FA9" w14:paraId="3F0FB27E" w14:textId="77777777" w:rsidTr="00B36FA9">
        <w:trPr>
          <w:trHeight w:val="1530"/>
          <w:jc w:val="center"/>
        </w:trPr>
        <w:tc>
          <w:tcPr>
            <w:tcW w:w="2440" w:type="dxa"/>
            <w:tcBorders>
              <w:top w:val="nil"/>
              <w:left w:val="nil"/>
              <w:bottom w:val="nil"/>
              <w:right w:val="nil"/>
            </w:tcBorders>
            <w:shd w:val="clear" w:color="000000" w:fill="FFFFFF"/>
            <w:vAlign w:val="center"/>
            <w:hideMark/>
          </w:tcPr>
          <w:p w14:paraId="26117447" w14:textId="77777777" w:rsidR="00B36FA9" w:rsidRPr="00B36FA9" w:rsidRDefault="00B36FA9" w:rsidP="00B36FA9">
            <w:pPr>
              <w:spacing w:after="0" w:line="240" w:lineRule="auto"/>
              <w:rPr>
                <w:rFonts w:ascii="Calibri" w:eastAsia="Times New Roman" w:hAnsi="Calibri" w:cs="Times New Roman"/>
                <w:color w:val="000000"/>
                <w:sz w:val="20"/>
                <w:szCs w:val="20"/>
              </w:rPr>
            </w:pPr>
            <w:r w:rsidRPr="00B36FA9">
              <w:rPr>
                <w:rFonts w:ascii="Calibri" w:eastAsia="Times New Roman" w:hAnsi="Calibri" w:cs="Times New Roman"/>
                <w:color w:val="000000"/>
                <w:sz w:val="20"/>
                <w:szCs w:val="20"/>
              </w:rPr>
              <w:t>Discharges against medical advice</w:t>
            </w:r>
          </w:p>
        </w:tc>
        <w:tc>
          <w:tcPr>
            <w:tcW w:w="8160" w:type="dxa"/>
            <w:tcBorders>
              <w:top w:val="nil"/>
              <w:left w:val="nil"/>
              <w:bottom w:val="nil"/>
              <w:right w:val="nil"/>
            </w:tcBorders>
            <w:shd w:val="clear" w:color="000000" w:fill="FFFFFF"/>
            <w:vAlign w:val="center"/>
            <w:hideMark/>
          </w:tcPr>
          <w:p w14:paraId="06A690DA" w14:textId="77777777" w:rsidR="00B36FA9" w:rsidRPr="00B36FA9" w:rsidRDefault="00B36FA9" w:rsidP="00B36FA9">
            <w:pPr>
              <w:spacing w:after="0" w:line="240" w:lineRule="auto"/>
              <w:rPr>
                <w:rFonts w:ascii="Calibri" w:eastAsia="Times New Roman" w:hAnsi="Calibri" w:cs="Times New Roman"/>
                <w:color w:val="000000"/>
                <w:sz w:val="20"/>
                <w:szCs w:val="20"/>
              </w:rPr>
            </w:pPr>
            <w:r w:rsidRPr="00B36FA9">
              <w:rPr>
                <w:rFonts w:ascii="Calibri" w:eastAsia="Times New Roman" w:hAnsi="Calibri" w:cs="Times New Roman"/>
                <w:color w:val="000000"/>
                <w:sz w:val="20"/>
                <w:szCs w:val="20"/>
              </w:rPr>
              <w:t>Stays ending in discharge against medical advice are excluded because the HH care plan may not have been fully implemented, and the discharge destination may not reflect the HHA’s discharge recommendation. Additionally, patients discharged against medical advice may potentially be at higher risk of post-discharge admissions or death, depending on their medical condition, or due to potential non-adherence or non-compliance with care recommendations.</w:t>
            </w:r>
          </w:p>
        </w:tc>
      </w:tr>
      <w:tr w:rsidR="00B36FA9" w:rsidRPr="00B36FA9" w14:paraId="01E9FF4E" w14:textId="77777777" w:rsidTr="00B36FA9">
        <w:trPr>
          <w:trHeight w:val="1275"/>
          <w:jc w:val="center"/>
        </w:trPr>
        <w:tc>
          <w:tcPr>
            <w:tcW w:w="2440" w:type="dxa"/>
            <w:tcBorders>
              <w:top w:val="nil"/>
              <w:left w:val="nil"/>
              <w:bottom w:val="nil"/>
              <w:right w:val="nil"/>
            </w:tcBorders>
            <w:shd w:val="clear" w:color="000000" w:fill="D9D9D9"/>
            <w:vAlign w:val="center"/>
            <w:hideMark/>
          </w:tcPr>
          <w:p w14:paraId="583F678F" w14:textId="77777777" w:rsidR="00B36FA9" w:rsidRPr="00B36FA9" w:rsidRDefault="00B36FA9" w:rsidP="00B36FA9">
            <w:pPr>
              <w:spacing w:after="0" w:line="240" w:lineRule="auto"/>
              <w:rPr>
                <w:rFonts w:ascii="Calibri" w:eastAsia="Times New Roman" w:hAnsi="Calibri" w:cs="Times New Roman"/>
                <w:color w:val="000000"/>
                <w:sz w:val="20"/>
                <w:szCs w:val="20"/>
              </w:rPr>
            </w:pPr>
            <w:r w:rsidRPr="00B36FA9">
              <w:rPr>
                <w:rFonts w:ascii="Calibri" w:eastAsia="Times New Roman" w:hAnsi="Calibri" w:cs="Times New Roman"/>
                <w:color w:val="000000"/>
                <w:sz w:val="20"/>
                <w:szCs w:val="20"/>
              </w:rPr>
              <w:t>Discharges to disaster alternative care sites or  federal hospitals</w:t>
            </w:r>
          </w:p>
        </w:tc>
        <w:tc>
          <w:tcPr>
            <w:tcW w:w="8160" w:type="dxa"/>
            <w:tcBorders>
              <w:top w:val="nil"/>
              <w:left w:val="nil"/>
              <w:bottom w:val="nil"/>
              <w:right w:val="nil"/>
            </w:tcBorders>
            <w:shd w:val="clear" w:color="000000" w:fill="D9D9D9"/>
            <w:vAlign w:val="center"/>
            <w:hideMark/>
          </w:tcPr>
          <w:p w14:paraId="1374C659" w14:textId="77777777" w:rsidR="00B36FA9" w:rsidRPr="00B36FA9" w:rsidRDefault="00B36FA9" w:rsidP="00B36FA9">
            <w:pPr>
              <w:spacing w:after="0" w:line="240" w:lineRule="auto"/>
              <w:rPr>
                <w:rFonts w:ascii="Calibri" w:eastAsia="Times New Roman" w:hAnsi="Calibri" w:cs="Times New Roman"/>
                <w:color w:val="000000"/>
                <w:sz w:val="20"/>
                <w:szCs w:val="20"/>
              </w:rPr>
            </w:pPr>
            <w:r w:rsidRPr="00B36FA9">
              <w:rPr>
                <w:rFonts w:ascii="Calibri" w:eastAsia="Times New Roman" w:hAnsi="Calibri" w:cs="Times New Roman"/>
                <w:color w:val="000000"/>
                <w:sz w:val="20"/>
                <w:szCs w:val="20"/>
              </w:rPr>
              <w:t>Stays ending in discharge to disaster alternative care sites are excluded because these discharges are likely influenced by external emergency conditions and may not represent discretionary discharges by the HH provider. Discharges to federal hospitals are excluded because we will not have inpatient claims to determine whether the hospitalization was planned or unplanned.</w:t>
            </w:r>
          </w:p>
        </w:tc>
      </w:tr>
      <w:tr w:rsidR="00B36FA9" w:rsidRPr="00B36FA9" w14:paraId="66C535E9" w14:textId="77777777" w:rsidTr="00B36FA9">
        <w:trPr>
          <w:trHeight w:val="510"/>
          <w:jc w:val="center"/>
        </w:trPr>
        <w:tc>
          <w:tcPr>
            <w:tcW w:w="2440" w:type="dxa"/>
            <w:tcBorders>
              <w:top w:val="nil"/>
              <w:left w:val="nil"/>
              <w:bottom w:val="nil"/>
              <w:right w:val="nil"/>
            </w:tcBorders>
            <w:shd w:val="clear" w:color="000000" w:fill="FFFFFF"/>
            <w:vAlign w:val="center"/>
            <w:hideMark/>
          </w:tcPr>
          <w:p w14:paraId="08F404F1" w14:textId="77777777" w:rsidR="00B36FA9" w:rsidRPr="00B36FA9" w:rsidRDefault="00B36FA9" w:rsidP="00B36FA9">
            <w:pPr>
              <w:spacing w:after="0" w:line="240" w:lineRule="auto"/>
              <w:rPr>
                <w:rFonts w:ascii="Calibri" w:eastAsia="Times New Roman" w:hAnsi="Calibri" w:cs="Times New Roman"/>
                <w:color w:val="000000"/>
                <w:sz w:val="20"/>
                <w:szCs w:val="20"/>
              </w:rPr>
            </w:pPr>
            <w:r w:rsidRPr="00B36FA9">
              <w:rPr>
                <w:rFonts w:ascii="Calibri" w:eastAsia="Times New Roman" w:hAnsi="Calibri" w:cs="Times New Roman"/>
                <w:color w:val="000000"/>
                <w:sz w:val="20"/>
                <w:szCs w:val="20"/>
              </w:rPr>
              <w:t>Discharges to court/law enforcement</w:t>
            </w:r>
          </w:p>
        </w:tc>
        <w:tc>
          <w:tcPr>
            <w:tcW w:w="8160" w:type="dxa"/>
            <w:tcBorders>
              <w:top w:val="nil"/>
              <w:left w:val="nil"/>
              <w:bottom w:val="nil"/>
              <w:right w:val="nil"/>
            </w:tcBorders>
            <w:shd w:val="clear" w:color="000000" w:fill="FFFFFF"/>
            <w:vAlign w:val="center"/>
            <w:hideMark/>
          </w:tcPr>
          <w:p w14:paraId="146E4E79" w14:textId="77777777" w:rsidR="00B36FA9" w:rsidRPr="00B36FA9" w:rsidRDefault="00B36FA9" w:rsidP="00B36FA9">
            <w:pPr>
              <w:spacing w:after="0" w:line="240" w:lineRule="auto"/>
              <w:rPr>
                <w:rFonts w:ascii="Calibri" w:eastAsia="Times New Roman" w:hAnsi="Calibri" w:cs="Times New Roman"/>
                <w:color w:val="000000"/>
                <w:sz w:val="20"/>
                <w:szCs w:val="20"/>
              </w:rPr>
            </w:pPr>
            <w:r w:rsidRPr="00B36FA9">
              <w:rPr>
                <w:rFonts w:ascii="Calibri" w:eastAsia="Times New Roman" w:hAnsi="Calibri" w:cs="Times New Roman"/>
                <w:color w:val="000000"/>
                <w:sz w:val="20"/>
                <w:szCs w:val="20"/>
              </w:rPr>
              <w:t>Patients who are discharged to court or law enforcement are likely ineligible for discharge to the community due to legal restrictions.</w:t>
            </w:r>
          </w:p>
        </w:tc>
      </w:tr>
      <w:tr w:rsidR="00B36FA9" w:rsidRPr="00B36FA9" w14:paraId="6D8F5C4D" w14:textId="77777777" w:rsidTr="00B36FA9">
        <w:trPr>
          <w:trHeight w:val="2295"/>
          <w:jc w:val="center"/>
        </w:trPr>
        <w:tc>
          <w:tcPr>
            <w:tcW w:w="2440" w:type="dxa"/>
            <w:tcBorders>
              <w:top w:val="nil"/>
              <w:left w:val="nil"/>
              <w:bottom w:val="nil"/>
              <w:right w:val="nil"/>
            </w:tcBorders>
            <w:shd w:val="clear" w:color="000000" w:fill="D9D9D9"/>
            <w:vAlign w:val="center"/>
            <w:hideMark/>
          </w:tcPr>
          <w:p w14:paraId="36B224EB" w14:textId="77777777" w:rsidR="00B36FA9" w:rsidRPr="00B36FA9" w:rsidRDefault="00B36FA9" w:rsidP="00B36FA9">
            <w:pPr>
              <w:spacing w:after="0" w:line="240" w:lineRule="auto"/>
              <w:rPr>
                <w:rFonts w:ascii="Calibri" w:eastAsia="Times New Roman" w:hAnsi="Calibri" w:cs="Times New Roman"/>
                <w:color w:val="000000"/>
                <w:sz w:val="20"/>
                <w:szCs w:val="20"/>
              </w:rPr>
            </w:pPr>
            <w:r w:rsidRPr="00B36FA9">
              <w:rPr>
                <w:rFonts w:ascii="Calibri" w:eastAsia="Times New Roman" w:hAnsi="Calibri" w:cs="Times New Roman"/>
                <w:color w:val="000000"/>
                <w:sz w:val="20"/>
                <w:szCs w:val="20"/>
              </w:rPr>
              <w:t>Patients discharged to hospice and those with a hospice benefit in the post-discharge observation window</w:t>
            </w:r>
          </w:p>
        </w:tc>
        <w:tc>
          <w:tcPr>
            <w:tcW w:w="8160" w:type="dxa"/>
            <w:tcBorders>
              <w:top w:val="nil"/>
              <w:left w:val="nil"/>
              <w:bottom w:val="nil"/>
              <w:right w:val="nil"/>
            </w:tcBorders>
            <w:shd w:val="clear" w:color="000000" w:fill="D9D9D9"/>
            <w:vAlign w:val="center"/>
            <w:hideMark/>
          </w:tcPr>
          <w:p w14:paraId="6B3F1180" w14:textId="77777777" w:rsidR="00B36FA9" w:rsidRPr="00B36FA9" w:rsidRDefault="00B36FA9" w:rsidP="00B36FA9">
            <w:pPr>
              <w:spacing w:after="0" w:line="240" w:lineRule="auto"/>
              <w:rPr>
                <w:rFonts w:ascii="Calibri" w:eastAsia="Times New Roman" w:hAnsi="Calibri" w:cs="Times New Roman"/>
                <w:color w:val="000000"/>
                <w:sz w:val="20"/>
                <w:szCs w:val="20"/>
              </w:rPr>
            </w:pPr>
            <w:bookmarkStart w:id="15" w:name="RANGE!E18"/>
            <w:r w:rsidRPr="00B36FA9">
              <w:rPr>
                <w:rFonts w:ascii="Calibri" w:eastAsia="Times New Roman" w:hAnsi="Calibri" w:cs="Times New Roman"/>
                <w:color w:val="000000"/>
                <w:sz w:val="20"/>
                <w:szCs w:val="20"/>
              </w:rPr>
              <w:t>Patients discharged to hospice care and those with a hospice benefit in the post-discharge observation window are terminally ill and have very different goals of care compared with non-hospice patients. For non-hospice patients, the primary goal of post-acute care is to return to baseline, independent living in the community; death is an undesirable outcome in the non-hospice population. For hospice patients, the goal is to provide them the opportunity to die comfortably, at home or in a facility. A large proportion of hospice patients die in the 31-day window following discharge from the post-acute setting. The hospice agency, not the post-acute care provider, makes the final decision of discharge to hospice-home or hospice-facility.</w:t>
            </w:r>
            <w:bookmarkEnd w:id="15"/>
          </w:p>
        </w:tc>
      </w:tr>
      <w:tr w:rsidR="00B36FA9" w:rsidRPr="00B36FA9" w14:paraId="07A67181" w14:textId="77777777" w:rsidTr="00B36FA9">
        <w:trPr>
          <w:trHeight w:val="2295"/>
          <w:jc w:val="center"/>
        </w:trPr>
        <w:tc>
          <w:tcPr>
            <w:tcW w:w="2440" w:type="dxa"/>
            <w:tcBorders>
              <w:top w:val="nil"/>
              <w:left w:val="nil"/>
              <w:bottom w:val="nil"/>
              <w:right w:val="nil"/>
            </w:tcBorders>
            <w:shd w:val="clear" w:color="000000" w:fill="FFFFFF"/>
            <w:vAlign w:val="center"/>
            <w:hideMark/>
          </w:tcPr>
          <w:p w14:paraId="2FD4D91B" w14:textId="77777777" w:rsidR="00B36FA9" w:rsidRPr="00B36FA9" w:rsidRDefault="00B36FA9" w:rsidP="00B36FA9">
            <w:pPr>
              <w:spacing w:after="0" w:line="240" w:lineRule="auto"/>
              <w:rPr>
                <w:rFonts w:ascii="Calibri" w:eastAsia="Times New Roman" w:hAnsi="Calibri" w:cs="Times New Roman"/>
                <w:color w:val="000000"/>
                <w:sz w:val="20"/>
                <w:szCs w:val="20"/>
              </w:rPr>
            </w:pPr>
            <w:r w:rsidRPr="00B36FA9">
              <w:rPr>
                <w:rFonts w:ascii="Calibri" w:eastAsia="Times New Roman" w:hAnsi="Calibri" w:cs="Times New Roman"/>
                <w:color w:val="000000"/>
                <w:sz w:val="20"/>
                <w:szCs w:val="20"/>
              </w:rPr>
              <w:lastRenderedPageBreak/>
              <w:t>Patients not continuously enrolled in Parts A and B FFS Medicare (or those enrolled in Part C Medicare Advantage) for the 12 months prior to the post-acute admission date, and at least 31 days after post-acute discharge date</w:t>
            </w:r>
          </w:p>
        </w:tc>
        <w:tc>
          <w:tcPr>
            <w:tcW w:w="8160" w:type="dxa"/>
            <w:tcBorders>
              <w:top w:val="nil"/>
              <w:left w:val="nil"/>
              <w:bottom w:val="nil"/>
              <w:right w:val="nil"/>
            </w:tcBorders>
            <w:shd w:val="clear" w:color="000000" w:fill="FFFFFF"/>
            <w:vAlign w:val="center"/>
            <w:hideMark/>
          </w:tcPr>
          <w:p w14:paraId="1399A047" w14:textId="77777777" w:rsidR="00B36FA9" w:rsidRPr="00B36FA9" w:rsidRDefault="00B36FA9" w:rsidP="00B36FA9">
            <w:pPr>
              <w:spacing w:after="0" w:line="240" w:lineRule="auto"/>
              <w:rPr>
                <w:rFonts w:ascii="Calibri" w:eastAsia="Times New Roman" w:hAnsi="Calibri" w:cs="Times New Roman"/>
                <w:color w:val="000000"/>
                <w:sz w:val="20"/>
                <w:szCs w:val="20"/>
              </w:rPr>
            </w:pPr>
            <w:r w:rsidRPr="00B36FA9">
              <w:rPr>
                <w:rFonts w:ascii="Calibri" w:eastAsia="Times New Roman" w:hAnsi="Calibri" w:cs="Times New Roman"/>
                <w:color w:val="000000"/>
                <w:sz w:val="20"/>
                <w:szCs w:val="20"/>
              </w:rPr>
              <w:t>Patients not continuously enrolled in Parts A and B FFS Medicare for the 12 months prior to the PAC admission date are excluded because risk adjustment for certain comorbidities requires information on acute inpatient bills for one year prior to post-acute admission. Patients not continuously enrolled in Part A FFS Medicare for at least 31 days after post-acute discharge are excluded because admissions and death must be observable in the 31-day post-discharge period. Patients without Part A and B coverage or those who are enrolled in Part C Medicare Advantage plans will not have complete inpatient claims in the system.</w:t>
            </w:r>
          </w:p>
        </w:tc>
      </w:tr>
      <w:tr w:rsidR="00B36FA9" w:rsidRPr="00B36FA9" w14:paraId="15865856" w14:textId="77777777" w:rsidTr="00B36FA9">
        <w:trPr>
          <w:trHeight w:val="1020"/>
          <w:jc w:val="center"/>
        </w:trPr>
        <w:tc>
          <w:tcPr>
            <w:tcW w:w="2440" w:type="dxa"/>
            <w:tcBorders>
              <w:top w:val="nil"/>
              <w:left w:val="nil"/>
              <w:bottom w:val="nil"/>
              <w:right w:val="nil"/>
            </w:tcBorders>
            <w:shd w:val="clear" w:color="000000" w:fill="D9D9D9"/>
            <w:vAlign w:val="center"/>
            <w:hideMark/>
          </w:tcPr>
          <w:p w14:paraId="175D0DB3" w14:textId="77777777" w:rsidR="00B36FA9" w:rsidRPr="00B36FA9" w:rsidRDefault="00B36FA9" w:rsidP="00B36FA9">
            <w:pPr>
              <w:spacing w:after="0" w:line="240" w:lineRule="auto"/>
              <w:rPr>
                <w:rFonts w:ascii="Calibri" w:eastAsia="Times New Roman" w:hAnsi="Calibri" w:cs="Times New Roman"/>
                <w:color w:val="000000"/>
                <w:sz w:val="20"/>
                <w:szCs w:val="20"/>
              </w:rPr>
            </w:pPr>
            <w:r w:rsidRPr="00B36FA9">
              <w:rPr>
                <w:rFonts w:ascii="Calibri" w:eastAsia="Times New Roman" w:hAnsi="Calibri" w:cs="Times New Roman"/>
                <w:color w:val="000000"/>
                <w:sz w:val="20"/>
                <w:szCs w:val="20"/>
              </w:rPr>
              <w:t>Patients whose prior short-term acute care stay was for non-surgical treatment of cancer</w:t>
            </w:r>
          </w:p>
        </w:tc>
        <w:tc>
          <w:tcPr>
            <w:tcW w:w="8160" w:type="dxa"/>
            <w:tcBorders>
              <w:top w:val="nil"/>
              <w:left w:val="nil"/>
              <w:bottom w:val="nil"/>
              <w:right w:val="nil"/>
            </w:tcBorders>
            <w:shd w:val="clear" w:color="000000" w:fill="D9D9D9"/>
            <w:vAlign w:val="center"/>
            <w:hideMark/>
          </w:tcPr>
          <w:p w14:paraId="67E34977" w14:textId="47D0EDE0" w:rsidR="00B36FA9" w:rsidRPr="00B36FA9" w:rsidRDefault="00B36FA9" w:rsidP="00B36FA9">
            <w:pPr>
              <w:spacing w:after="0" w:line="240" w:lineRule="auto"/>
              <w:rPr>
                <w:rFonts w:ascii="Calibri" w:eastAsia="Times New Roman" w:hAnsi="Calibri" w:cs="Times New Roman"/>
                <w:color w:val="000000"/>
                <w:sz w:val="20"/>
                <w:szCs w:val="20"/>
              </w:rPr>
            </w:pPr>
            <w:r w:rsidRPr="00B36FA9">
              <w:rPr>
                <w:rFonts w:ascii="Calibri" w:eastAsia="Times New Roman" w:hAnsi="Calibri" w:cs="Times New Roman"/>
                <w:color w:val="000000"/>
                <w:sz w:val="20"/>
                <w:szCs w:val="20"/>
              </w:rPr>
              <w:t>Patients whose prior short-term acute care stay was for non-surgical treatment of cancer are excluded because they have a different trajectory for recovery after discharge, with a high mortality rate. Exclusion of these patients is consistent with the hospital-</w:t>
            </w:r>
            <w:r w:rsidR="005435A8" w:rsidRPr="00B36FA9">
              <w:rPr>
                <w:rFonts w:ascii="Calibri" w:eastAsia="Times New Roman" w:hAnsi="Calibri" w:cs="Times New Roman"/>
                <w:color w:val="000000"/>
                <w:sz w:val="20"/>
                <w:szCs w:val="20"/>
              </w:rPr>
              <w:t>wide and</w:t>
            </w:r>
            <w:r w:rsidRPr="00B36FA9">
              <w:rPr>
                <w:rFonts w:ascii="Calibri" w:eastAsia="Times New Roman" w:hAnsi="Calibri" w:cs="Times New Roman"/>
                <w:color w:val="000000"/>
                <w:sz w:val="20"/>
                <w:szCs w:val="20"/>
              </w:rPr>
              <w:t xml:space="preserve"> post-acute readmission measures. </w:t>
            </w:r>
          </w:p>
        </w:tc>
      </w:tr>
      <w:tr w:rsidR="00B36FA9" w:rsidRPr="00B36FA9" w14:paraId="1997F218" w14:textId="77777777" w:rsidTr="00B36FA9">
        <w:trPr>
          <w:trHeight w:val="765"/>
          <w:jc w:val="center"/>
        </w:trPr>
        <w:tc>
          <w:tcPr>
            <w:tcW w:w="2440" w:type="dxa"/>
            <w:tcBorders>
              <w:top w:val="nil"/>
              <w:left w:val="nil"/>
              <w:bottom w:val="nil"/>
              <w:right w:val="nil"/>
            </w:tcBorders>
            <w:shd w:val="clear" w:color="000000" w:fill="FFFFFF"/>
            <w:vAlign w:val="center"/>
            <w:hideMark/>
          </w:tcPr>
          <w:p w14:paraId="5DF7A99E" w14:textId="77777777" w:rsidR="00B36FA9" w:rsidRPr="00B36FA9" w:rsidRDefault="00B36FA9" w:rsidP="00B36FA9">
            <w:pPr>
              <w:spacing w:after="0" w:line="240" w:lineRule="auto"/>
              <w:rPr>
                <w:rFonts w:ascii="Calibri" w:eastAsia="Times New Roman" w:hAnsi="Calibri" w:cs="Times New Roman"/>
                <w:color w:val="000000"/>
                <w:sz w:val="20"/>
                <w:szCs w:val="20"/>
              </w:rPr>
            </w:pPr>
            <w:r w:rsidRPr="00B36FA9">
              <w:rPr>
                <w:rFonts w:ascii="Calibri" w:eastAsia="Times New Roman" w:hAnsi="Calibri" w:cs="Times New Roman"/>
                <w:color w:val="000000"/>
                <w:sz w:val="20"/>
                <w:szCs w:val="20"/>
              </w:rPr>
              <w:t>Post-acute stays that end in transfer to the same level of care</w:t>
            </w:r>
          </w:p>
        </w:tc>
        <w:tc>
          <w:tcPr>
            <w:tcW w:w="8160" w:type="dxa"/>
            <w:tcBorders>
              <w:top w:val="nil"/>
              <w:left w:val="nil"/>
              <w:bottom w:val="nil"/>
              <w:right w:val="nil"/>
            </w:tcBorders>
            <w:shd w:val="clear" w:color="000000" w:fill="FFFFFF"/>
            <w:vAlign w:val="center"/>
            <w:hideMark/>
          </w:tcPr>
          <w:p w14:paraId="0132EC17" w14:textId="77777777" w:rsidR="00B36FA9" w:rsidRPr="00B36FA9" w:rsidRDefault="00B36FA9" w:rsidP="00B36FA9">
            <w:pPr>
              <w:spacing w:after="0" w:line="240" w:lineRule="auto"/>
              <w:rPr>
                <w:rFonts w:ascii="Calibri" w:eastAsia="Times New Roman" w:hAnsi="Calibri" w:cs="Times New Roman"/>
                <w:color w:val="000000"/>
                <w:sz w:val="20"/>
                <w:szCs w:val="20"/>
              </w:rPr>
            </w:pPr>
            <w:r w:rsidRPr="00B36FA9">
              <w:rPr>
                <w:rFonts w:ascii="Calibri" w:eastAsia="Times New Roman" w:hAnsi="Calibri" w:cs="Times New Roman"/>
                <w:color w:val="000000"/>
                <w:sz w:val="20"/>
                <w:szCs w:val="20"/>
              </w:rPr>
              <w:t xml:space="preserve">HHA stays that end in transfer to another HHA are excluded from the measure because the HHA episode has not ended. For a HHA episode that involves transfer to another HHA, only the final HHA provider is included in the measure. </w:t>
            </w:r>
          </w:p>
        </w:tc>
      </w:tr>
      <w:tr w:rsidR="00B36FA9" w:rsidRPr="00B36FA9" w14:paraId="6A8B44F2" w14:textId="77777777" w:rsidTr="00F8739C">
        <w:trPr>
          <w:trHeight w:val="2550"/>
          <w:jc w:val="center"/>
        </w:trPr>
        <w:tc>
          <w:tcPr>
            <w:tcW w:w="2440" w:type="dxa"/>
            <w:tcBorders>
              <w:top w:val="nil"/>
              <w:left w:val="nil"/>
              <w:bottom w:val="nil"/>
              <w:right w:val="nil"/>
            </w:tcBorders>
            <w:shd w:val="clear" w:color="000000" w:fill="D9D9D9"/>
            <w:vAlign w:val="center"/>
            <w:hideMark/>
          </w:tcPr>
          <w:p w14:paraId="752F3DFC" w14:textId="77777777" w:rsidR="00B36FA9" w:rsidRPr="00B36FA9" w:rsidRDefault="00B36FA9" w:rsidP="00B36FA9">
            <w:pPr>
              <w:spacing w:after="0" w:line="240" w:lineRule="auto"/>
              <w:rPr>
                <w:rFonts w:ascii="Calibri" w:eastAsia="Times New Roman" w:hAnsi="Calibri" w:cs="Times New Roman"/>
                <w:color w:val="000000"/>
                <w:sz w:val="20"/>
                <w:szCs w:val="20"/>
              </w:rPr>
            </w:pPr>
            <w:r w:rsidRPr="00B36FA9">
              <w:rPr>
                <w:rFonts w:ascii="Calibri" w:eastAsia="Times New Roman" w:hAnsi="Calibri" w:cs="Times New Roman"/>
                <w:color w:val="000000"/>
                <w:sz w:val="20"/>
                <w:szCs w:val="20"/>
              </w:rPr>
              <w:t>Post-acute stays with claims data that are problematic (e.g., anomalous records for stays that overlap wholly or in part or are otherwise erroneous or contradictory, stays not matched to the denominator or EDB files, claims not paid)</w:t>
            </w:r>
          </w:p>
        </w:tc>
        <w:tc>
          <w:tcPr>
            <w:tcW w:w="8160" w:type="dxa"/>
            <w:tcBorders>
              <w:top w:val="nil"/>
              <w:left w:val="nil"/>
              <w:bottom w:val="nil"/>
              <w:right w:val="nil"/>
            </w:tcBorders>
            <w:shd w:val="clear" w:color="000000" w:fill="D9D9D9"/>
            <w:vAlign w:val="center"/>
            <w:hideMark/>
          </w:tcPr>
          <w:p w14:paraId="3069EBE4" w14:textId="77777777" w:rsidR="00B36FA9" w:rsidRPr="00B36FA9" w:rsidRDefault="00B36FA9" w:rsidP="00B36FA9">
            <w:pPr>
              <w:spacing w:after="0" w:line="240" w:lineRule="auto"/>
              <w:rPr>
                <w:rFonts w:ascii="Calibri" w:eastAsia="Times New Roman" w:hAnsi="Calibri" w:cs="Times New Roman"/>
                <w:color w:val="000000"/>
                <w:sz w:val="20"/>
                <w:szCs w:val="20"/>
              </w:rPr>
            </w:pPr>
            <w:r w:rsidRPr="00B36FA9">
              <w:rPr>
                <w:rFonts w:ascii="Calibri" w:eastAsia="Times New Roman" w:hAnsi="Calibri" w:cs="Times New Roman"/>
                <w:color w:val="000000"/>
                <w:sz w:val="20"/>
                <w:szCs w:val="20"/>
              </w:rPr>
              <w:t>This measure requires accurate information from the post-acute stay and prior short-term acute care stay in the elements used for risk adjustment. No-pay post-acute stays involving exhaustion of Part A benefits are also excluded.</w:t>
            </w:r>
          </w:p>
        </w:tc>
      </w:tr>
      <w:tr w:rsidR="00F8739C" w:rsidRPr="00B36FA9" w14:paraId="24B696A0" w14:textId="77777777" w:rsidTr="00F8739C">
        <w:trPr>
          <w:trHeight w:val="1067"/>
          <w:jc w:val="center"/>
        </w:trPr>
        <w:tc>
          <w:tcPr>
            <w:tcW w:w="2440" w:type="dxa"/>
            <w:tcBorders>
              <w:top w:val="nil"/>
              <w:left w:val="nil"/>
              <w:bottom w:val="single" w:sz="4" w:space="0" w:color="auto"/>
              <w:right w:val="nil"/>
            </w:tcBorders>
            <w:shd w:val="clear" w:color="auto" w:fill="auto"/>
            <w:vAlign w:val="center"/>
          </w:tcPr>
          <w:p w14:paraId="15C640E4" w14:textId="3E2185AB" w:rsidR="00F8739C" w:rsidRPr="00B36FA9" w:rsidRDefault="00F8739C" w:rsidP="00B36FA9">
            <w:pPr>
              <w:spacing w:after="0" w:line="240" w:lineRule="auto"/>
              <w:rPr>
                <w:rFonts w:ascii="Calibri" w:eastAsia="Times New Roman" w:hAnsi="Calibri" w:cs="Times New Roman"/>
                <w:color w:val="000000"/>
                <w:sz w:val="20"/>
                <w:szCs w:val="20"/>
              </w:rPr>
            </w:pPr>
            <w:r w:rsidRPr="00F8739C">
              <w:rPr>
                <w:rFonts w:ascii="Calibri" w:eastAsia="Times New Roman" w:hAnsi="Calibri" w:cs="Times New Roman"/>
                <w:color w:val="000000"/>
                <w:sz w:val="20"/>
                <w:szCs w:val="20"/>
              </w:rPr>
              <w:t>Medicare Part A benefits exhausted</w:t>
            </w:r>
          </w:p>
        </w:tc>
        <w:tc>
          <w:tcPr>
            <w:tcW w:w="8160" w:type="dxa"/>
            <w:tcBorders>
              <w:top w:val="nil"/>
              <w:left w:val="nil"/>
              <w:bottom w:val="single" w:sz="4" w:space="0" w:color="auto"/>
              <w:right w:val="nil"/>
            </w:tcBorders>
            <w:shd w:val="clear" w:color="auto" w:fill="auto"/>
            <w:vAlign w:val="center"/>
          </w:tcPr>
          <w:p w14:paraId="71B415D6" w14:textId="0AA94A69" w:rsidR="00F8739C" w:rsidRPr="00B36FA9" w:rsidRDefault="00F8739C" w:rsidP="00B36FA9">
            <w:pPr>
              <w:spacing w:after="0" w:line="240" w:lineRule="auto"/>
              <w:rPr>
                <w:rFonts w:ascii="Calibri" w:eastAsia="Times New Roman" w:hAnsi="Calibri" w:cs="Times New Roman"/>
                <w:color w:val="000000"/>
                <w:sz w:val="20"/>
                <w:szCs w:val="20"/>
              </w:rPr>
            </w:pPr>
            <w:r w:rsidRPr="00F8739C">
              <w:rPr>
                <w:rFonts w:ascii="Calibri" w:eastAsia="Times New Roman" w:hAnsi="Calibri" w:cs="Times New Roman"/>
                <w:color w:val="000000"/>
                <w:sz w:val="20"/>
                <w:szCs w:val="20"/>
              </w:rPr>
              <w:t>Patients who have exhausted their Medicare Part A coverage during the PAC stay are excluded because the discharge destination decision may be related to exhaustion of benefits.</w:t>
            </w:r>
          </w:p>
        </w:tc>
      </w:tr>
    </w:tbl>
    <w:p w14:paraId="563313B1" w14:textId="77777777" w:rsidR="00B56734" w:rsidRDefault="00B56734" w:rsidP="00DB3627">
      <w:pPr>
        <w:autoSpaceDE w:val="0"/>
        <w:autoSpaceDN w:val="0"/>
        <w:adjustRightInd w:val="0"/>
        <w:spacing w:after="0" w:line="240" w:lineRule="auto"/>
        <w:rPr>
          <w:rFonts w:cstheme="minorHAnsi"/>
          <w:color w:val="0000FF"/>
        </w:rPr>
      </w:pPr>
    </w:p>
    <w:p w14:paraId="7996C759" w14:textId="77777777" w:rsidR="00B56734" w:rsidRPr="00DA3D36" w:rsidRDefault="00B56734" w:rsidP="00DB3627">
      <w:pPr>
        <w:autoSpaceDE w:val="0"/>
        <w:autoSpaceDN w:val="0"/>
        <w:adjustRightInd w:val="0"/>
        <w:spacing w:after="0" w:line="240" w:lineRule="auto"/>
        <w:rPr>
          <w:rFonts w:cstheme="minorHAnsi"/>
          <w:bCs/>
          <w:color w:val="C00000"/>
        </w:rPr>
      </w:pPr>
    </w:p>
    <w:p w14:paraId="2C0B28A8"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43237DF0" w14:textId="77777777" w:rsidR="00AC1D8E" w:rsidRPr="0086464B" w:rsidRDefault="00092566" w:rsidP="00AC1D8E">
      <w:pPr>
        <w:autoSpaceDE w:val="0"/>
        <w:autoSpaceDN w:val="0"/>
        <w:adjustRightInd w:val="0"/>
        <w:spacing w:after="0" w:line="240" w:lineRule="auto"/>
        <w:rPr>
          <w:rFonts w:cstheme="minorHAnsi"/>
          <w:b/>
          <w:bCs/>
          <w:i/>
        </w:rPr>
      </w:pPr>
      <w:bookmarkStart w:id="16" w:name="section2b4"/>
      <w:bookmarkEnd w:id="16"/>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w:t>
        </w:r>
        <w:r w:rsidR="00565946">
          <w:rPr>
            <w:rStyle w:val="Hyperlink"/>
            <w:rFonts w:cstheme="minorHAnsi"/>
            <w:b/>
            <w:bCs/>
            <w:i/>
            <w:highlight w:val="green"/>
          </w:rPr>
          <w:t>4</w:t>
        </w:r>
      </w:hyperlink>
      <w:r w:rsidR="00BE592D" w:rsidRPr="00BE592D">
        <w:rPr>
          <w:rFonts w:cstheme="minorHAnsi"/>
          <w:b/>
          <w:bCs/>
          <w:i/>
          <w:highlight w:val="green"/>
        </w:rPr>
        <w:t>.</w:t>
      </w:r>
    </w:p>
    <w:p w14:paraId="43A32FE9" w14:textId="77777777" w:rsidR="008871A9" w:rsidRDefault="008871A9" w:rsidP="00092566">
      <w:pPr>
        <w:autoSpaceDE w:val="0"/>
        <w:autoSpaceDN w:val="0"/>
        <w:adjustRightInd w:val="0"/>
        <w:spacing w:after="0" w:line="240" w:lineRule="auto"/>
        <w:rPr>
          <w:rFonts w:cstheme="minorHAnsi"/>
          <w:b/>
          <w:bCs/>
        </w:rPr>
      </w:pPr>
    </w:p>
    <w:p w14:paraId="6671E1AC"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39EB7022" w14:textId="77777777" w:rsidR="00033038" w:rsidRPr="005232D6" w:rsidRDefault="0038706E"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18398A5E" w14:textId="2AF0A04D" w:rsidR="00743E46" w:rsidRPr="005232D6" w:rsidRDefault="0038706E"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Content>
          <w:r w:rsidR="006729CB">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text/>
        </w:sdtPr>
        <w:sdtEndPr>
          <w:rPr>
            <w:rStyle w:val="DefaultParagraphFont"/>
            <w:rFonts w:asciiTheme="minorHAnsi" w:hAnsiTheme="minorHAnsi" w:cstheme="minorHAnsi"/>
            <w:b w:val="0"/>
            <w:bCs/>
            <w:color w:val="auto"/>
          </w:rPr>
        </w:sdtEndPr>
        <w:sdtContent>
          <w:r w:rsidR="00732C5A">
            <w:rPr>
              <w:rStyle w:val="Style4"/>
              <w:u w:val="none"/>
            </w:rPr>
            <w:t>309</w:t>
          </w:r>
        </w:sdtContent>
      </w:sdt>
      <w:r w:rsidR="00E562C0" w:rsidRPr="006F22A5">
        <w:rPr>
          <w:rStyle w:val="Style4"/>
          <w:u w:val="none"/>
        </w:rPr>
        <w:t xml:space="preserve"> </w:t>
      </w:r>
      <w:r w:rsidR="00743E46" w:rsidRPr="005232D6">
        <w:rPr>
          <w:rFonts w:cstheme="minorHAnsi"/>
          <w:b/>
          <w:bCs/>
        </w:rPr>
        <w:t>risk factors</w:t>
      </w:r>
    </w:p>
    <w:p w14:paraId="727DEC98" w14:textId="77777777" w:rsidR="00743E46" w:rsidRPr="005232D6" w:rsidRDefault="0038706E"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63EA891D" w14:textId="77777777" w:rsidR="00743E46" w:rsidRPr="005232D6" w:rsidRDefault="0038706E"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379B0E27" w14:textId="77777777" w:rsidR="00743E46" w:rsidRDefault="00743E46" w:rsidP="00092566">
      <w:pPr>
        <w:autoSpaceDE w:val="0"/>
        <w:autoSpaceDN w:val="0"/>
        <w:adjustRightInd w:val="0"/>
        <w:spacing w:after="0" w:line="240" w:lineRule="auto"/>
        <w:rPr>
          <w:rFonts w:cstheme="minorHAnsi"/>
          <w:b/>
          <w:bCs/>
        </w:rPr>
      </w:pPr>
    </w:p>
    <w:p w14:paraId="527AC83B" w14:textId="77777777" w:rsidR="00092566" w:rsidRDefault="000B7D57" w:rsidP="00F34FAB">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4B606603" w14:textId="77777777" w:rsidR="00DA3D36" w:rsidRDefault="00DA3D36" w:rsidP="00DA3D36">
      <w:pPr>
        <w:pStyle w:val="ListParagraph"/>
        <w:rPr>
          <w:rFonts w:cs="Calibri"/>
          <w:bCs/>
          <w:color w:val="C00000"/>
        </w:rPr>
      </w:pPr>
    </w:p>
    <w:p w14:paraId="2914ED11" w14:textId="77777777" w:rsidR="004F2DCA" w:rsidRPr="002318A2" w:rsidRDefault="004F2DCA" w:rsidP="004F2DCA">
      <w:pPr>
        <w:widowControl w:val="0"/>
        <w:tabs>
          <w:tab w:val="left" w:pos="2146"/>
        </w:tabs>
        <w:autoSpaceDE w:val="0"/>
        <w:autoSpaceDN w:val="0"/>
        <w:spacing w:before="120"/>
        <w:rPr>
          <w:rFonts w:cstheme="minorHAnsi"/>
          <w:b/>
        </w:rPr>
      </w:pPr>
      <w:r w:rsidRPr="002318A2">
        <w:rPr>
          <w:rFonts w:cstheme="minorHAnsi"/>
          <w:b/>
        </w:rPr>
        <w:t>Risk adjustment methodology</w:t>
      </w:r>
    </w:p>
    <w:p w14:paraId="22D75DC0" w14:textId="77777777" w:rsidR="004F2DCA" w:rsidRPr="00DC352C" w:rsidRDefault="004F2DCA" w:rsidP="004F2DCA">
      <w:pPr>
        <w:rPr>
          <w:rFonts w:cstheme="minorHAnsi"/>
        </w:rPr>
      </w:pPr>
      <w:bookmarkStart w:id="17" w:name="_bookmark56"/>
      <w:bookmarkStart w:id="18" w:name="_bookmark57"/>
      <w:bookmarkEnd w:id="17"/>
      <w:bookmarkEnd w:id="18"/>
      <w:r w:rsidRPr="00DC352C">
        <w:rPr>
          <w:rFonts w:cstheme="minorHAnsi"/>
        </w:rPr>
        <w:t xml:space="preserve">We used a hierarchical logistic regression model to predict the probability of discharge to community.  Patient characteristics related to discharge and a marker for the specific discharging HHA are included in the equation. The </w:t>
      </w:r>
      <w:r w:rsidRPr="00DC352C">
        <w:rPr>
          <w:rFonts w:cstheme="minorHAnsi"/>
        </w:rPr>
        <w:lastRenderedPageBreak/>
        <w:t xml:space="preserve">equation is hierarchical in that both individual patient characteristics are accounted for, as well as the clustering of patient characteristics by HHA. The statistical model estimates both the average predictive effect of the patient characteristics across all facilities, and the degree to which each facility has an effect on discharge to community that differs from that of the average facility. The facility effects are assumed to be randomly distributed around the average (according to a normal distribution). </w:t>
      </w:r>
    </w:p>
    <w:p w14:paraId="3B34478C" w14:textId="77777777" w:rsidR="004F2DCA" w:rsidRPr="00DC352C" w:rsidRDefault="004F2DCA" w:rsidP="004F2DCA">
      <w:pPr>
        <w:rPr>
          <w:rFonts w:cstheme="minorHAnsi"/>
          <w:b/>
          <w:bCs/>
          <w:i/>
          <w:iCs/>
        </w:rPr>
      </w:pPr>
      <w:r w:rsidRPr="00DC352C">
        <w:rPr>
          <w:rFonts w:cstheme="minorHAnsi"/>
        </w:rPr>
        <w:t>When computing the HHA effect, hierarchical modeling accounts for the known predictors of discharge to community, on average, such as patient characteristics, the observed facility rate, and the number of HHA stays eligible for inclusion in the measure. The estimated HHA effect is determined mostly by the HHA’s own data if the number of patient discharges is relatively large (as the estimate would be relatively precise) but is adjusted toward the average if the number of patient discharges is small (as that would yield a less precise estimate).</w:t>
      </w:r>
    </w:p>
    <w:p w14:paraId="5FA9938F" w14:textId="77777777" w:rsidR="004F2DCA" w:rsidRPr="00DC352C" w:rsidRDefault="004F2DCA" w:rsidP="004F2DCA">
      <w:pPr>
        <w:rPr>
          <w:rFonts w:cstheme="minorHAnsi"/>
        </w:rPr>
      </w:pPr>
      <w:r w:rsidRPr="00DC352C">
        <w:rPr>
          <w:rFonts w:cstheme="minorHAnsi"/>
        </w:rPr>
        <w:t xml:space="preserve">We used the following model:  </w:t>
      </w:r>
    </w:p>
    <w:p w14:paraId="078EBCA7" w14:textId="77777777" w:rsidR="004F2DCA" w:rsidRPr="00DC352C" w:rsidRDefault="004F2DCA" w:rsidP="004F2DCA">
      <w:pPr>
        <w:rPr>
          <w:rFonts w:cstheme="minorHAnsi"/>
        </w:rPr>
      </w:pPr>
      <w:r>
        <w:rPr>
          <w:rFonts w:cstheme="minorHAnsi"/>
        </w:rPr>
        <w:t xml:space="preserve">Let </w:t>
      </w:r>
      <w:r w:rsidRPr="005029B4">
        <w:rPr>
          <w:rFonts w:cstheme="minorHAnsi"/>
        </w:rPr>
        <w:t>Y</w:t>
      </w:r>
      <w:r w:rsidRPr="00A10016">
        <w:rPr>
          <w:rFonts w:cstheme="minorHAnsi"/>
          <w:vertAlign w:val="subscript"/>
        </w:rPr>
        <w:t>ij</w:t>
      </w:r>
      <w:r w:rsidRPr="00DC352C">
        <w:rPr>
          <w:rFonts w:cstheme="minorHAnsi"/>
        </w:rPr>
        <w:t>, denote the outcome (equal to 1 if patient i is discharged to community, 0 otherwise) fo</w:t>
      </w:r>
      <w:r>
        <w:rPr>
          <w:rFonts w:cstheme="minorHAnsi"/>
        </w:rPr>
        <w:t xml:space="preserve">r a patient i at facility j; </w:t>
      </w:r>
      <w:r w:rsidRPr="005029B4">
        <w:rPr>
          <w:rFonts w:cstheme="minorHAnsi"/>
        </w:rPr>
        <w:t>Z</w:t>
      </w:r>
      <w:r w:rsidRPr="00A10016">
        <w:rPr>
          <w:rFonts w:cstheme="minorHAnsi"/>
          <w:vertAlign w:val="subscript"/>
        </w:rPr>
        <w:t>ij</w:t>
      </w:r>
      <w:r w:rsidRPr="00DC352C">
        <w:rPr>
          <w:rFonts w:cstheme="minorHAnsi"/>
        </w:rPr>
        <w:t xml:space="preserve"> denotes a set of risk adjustment variables. We assume the outcome is related to the risk adjusters via a </w:t>
      </w:r>
      <w:r>
        <w:rPr>
          <w:rFonts w:cstheme="minorHAnsi"/>
        </w:rPr>
        <w:t>logit function with dispersion:</w:t>
      </w:r>
    </w:p>
    <w:p w14:paraId="09E81522" w14:textId="77777777" w:rsidR="004F2DCA" w:rsidRPr="00957F6A" w:rsidRDefault="004F2DCA" w:rsidP="004F2DCA">
      <w:pPr>
        <w:spacing w:after="0" w:line="240" w:lineRule="auto"/>
        <w:rPr>
          <w:rFonts w:cstheme="minorHAnsi"/>
        </w:rPr>
      </w:pPr>
      <w:r w:rsidRPr="005029B4">
        <w:rPr>
          <w:rFonts w:cstheme="minorHAnsi"/>
        </w:rPr>
        <w:t xml:space="preserve">                                                 </w:t>
      </w:r>
      <w:r w:rsidRPr="00957F6A">
        <w:rPr>
          <w:rFonts w:cstheme="minorHAnsi"/>
        </w:rPr>
        <w:t>logit(Prob(Y</w:t>
      </w:r>
      <w:r w:rsidRPr="000F233B">
        <w:rPr>
          <w:rFonts w:cstheme="minorHAnsi"/>
          <w:vertAlign w:val="subscript"/>
        </w:rPr>
        <w:t>ij</w:t>
      </w:r>
      <w:r w:rsidRPr="00957F6A">
        <w:rPr>
          <w:rFonts w:cstheme="minorHAnsi"/>
        </w:rPr>
        <w:t xml:space="preserve"> =1)) = </w:t>
      </w:r>
      <w:r>
        <w:rPr>
          <w:sz w:val="23"/>
          <w:szCs w:val="23"/>
        </w:rPr>
        <w:t>α</w:t>
      </w:r>
      <w:r w:rsidRPr="005435A5">
        <w:rPr>
          <w:rFonts w:cstheme="minorHAnsi"/>
          <w:vertAlign w:val="subscript"/>
        </w:rPr>
        <w:t>j</w:t>
      </w:r>
      <w:r w:rsidRPr="00957F6A">
        <w:rPr>
          <w:rFonts w:cstheme="minorHAnsi"/>
        </w:rPr>
        <w:t xml:space="preserve">  + </w:t>
      </w:r>
      <w:r>
        <w:rPr>
          <w:sz w:val="23"/>
          <w:szCs w:val="23"/>
        </w:rPr>
        <w:t>β</w:t>
      </w:r>
      <w:r w:rsidRPr="00957F6A">
        <w:rPr>
          <w:rFonts w:cstheme="minorHAnsi"/>
        </w:rPr>
        <w:t>*Z</w:t>
      </w:r>
      <w:r w:rsidRPr="005435A5">
        <w:rPr>
          <w:rFonts w:cstheme="minorHAnsi"/>
          <w:vertAlign w:val="subscript"/>
        </w:rPr>
        <w:t>ij</w:t>
      </w:r>
      <w:r w:rsidRPr="00957F6A">
        <w:rPr>
          <w:rFonts w:cstheme="minorHAnsi"/>
        </w:rPr>
        <w:t xml:space="preserve">  +  </w:t>
      </w:r>
      <w:r>
        <w:rPr>
          <w:sz w:val="23"/>
          <w:szCs w:val="23"/>
        </w:rPr>
        <w:t>ε</w:t>
      </w:r>
      <w:r w:rsidRPr="005435A5">
        <w:rPr>
          <w:rFonts w:cstheme="minorHAnsi"/>
          <w:vertAlign w:val="subscript"/>
        </w:rPr>
        <w:t xml:space="preserve">ij  </w:t>
      </w:r>
      <w:r w:rsidRPr="00957F6A">
        <w:rPr>
          <w:rFonts w:cstheme="minorHAnsi"/>
        </w:rPr>
        <w:t xml:space="preserve">                                          (1)</w:t>
      </w:r>
      <w:r w:rsidRPr="00957F6A">
        <w:rPr>
          <w:rFonts w:cstheme="minorHAnsi"/>
        </w:rPr>
        <w:br/>
        <w:t xml:space="preserve">                                                           </w:t>
      </w:r>
      <w:r>
        <w:rPr>
          <w:sz w:val="23"/>
          <w:szCs w:val="23"/>
        </w:rPr>
        <w:t>α</w:t>
      </w:r>
      <w:r w:rsidRPr="005435A5">
        <w:rPr>
          <w:rFonts w:cstheme="minorHAnsi"/>
          <w:vertAlign w:val="subscript"/>
        </w:rPr>
        <w:t>j</w:t>
      </w:r>
      <w:r w:rsidRPr="00957F6A">
        <w:rPr>
          <w:rFonts w:cstheme="minorHAnsi"/>
        </w:rPr>
        <w:t xml:space="preserve"> = </w:t>
      </w:r>
      <w:r>
        <w:rPr>
          <w:sz w:val="23"/>
          <w:szCs w:val="23"/>
        </w:rPr>
        <w:t>μ</w:t>
      </w:r>
      <w:r w:rsidRPr="00957F6A">
        <w:rPr>
          <w:rFonts w:cstheme="minorHAnsi"/>
        </w:rPr>
        <w:t xml:space="preserve"> + </w:t>
      </w:r>
      <w:r>
        <w:rPr>
          <w:sz w:val="23"/>
          <w:szCs w:val="23"/>
        </w:rPr>
        <w:t>ω</w:t>
      </w:r>
      <w:r w:rsidRPr="005435A5">
        <w:rPr>
          <w:rFonts w:cstheme="minorHAnsi"/>
          <w:vertAlign w:val="subscript"/>
        </w:rPr>
        <w:t xml:space="preserve">j </w:t>
      </w:r>
      <w:r w:rsidRPr="00957F6A">
        <w:rPr>
          <w:rFonts w:cstheme="minorHAnsi"/>
        </w:rPr>
        <w:t xml:space="preserve">;  </w:t>
      </w:r>
      <w:r>
        <w:rPr>
          <w:sz w:val="23"/>
          <w:szCs w:val="23"/>
        </w:rPr>
        <w:t>ω</w:t>
      </w:r>
      <w:r w:rsidRPr="005435A5">
        <w:rPr>
          <w:rFonts w:cstheme="minorHAnsi"/>
          <w:vertAlign w:val="subscript"/>
        </w:rPr>
        <w:t>j</w:t>
      </w:r>
      <w:r w:rsidRPr="00957F6A">
        <w:rPr>
          <w:rFonts w:cstheme="minorHAnsi"/>
        </w:rPr>
        <w:t xml:space="preserve"> ~ N(0, </w:t>
      </w:r>
      <w:r>
        <w:rPr>
          <w:sz w:val="23"/>
          <w:szCs w:val="23"/>
        </w:rPr>
        <w:t>τ</w:t>
      </w:r>
      <w:r w:rsidRPr="000F233B">
        <w:rPr>
          <w:rFonts w:cstheme="minorHAnsi"/>
          <w:vertAlign w:val="superscript"/>
        </w:rPr>
        <w:t>2</w:t>
      </w:r>
      <w:r w:rsidRPr="00957F6A">
        <w:rPr>
          <w:rFonts w:cstheme="minorHAnsi"/>
        </w:rPr>
        <w:t>)</w:t>
      </w:r>
    </w:p>
    <w:p w14:paraId="277F7140" w14:textId="2195047D" w:rsidR="004F2DCA" w:rsidRPr="00DC352C" w:rsidRDefault="004F2DCA" w:rsidP="004F2DCA">
      <w:pPr>
        <w:rPr>
          <w:rFonts w:cstheme="minorHAnsi"/>
        </w:rPr>
      </w:pPr>
      <w:r w:rsidRPr="00DC352C">
        <w:rPr>
          <w:rFonts w:cstheme="minorHAnsi"/>
        </w:rPr>
        <w:t xml:space="preserve">where </w:t>
      </w:r>
      <w:r w:rsidRPr="00957F6A">
        <w:rPr>
          <w:rFonts w:cstheme="minorHAnsi"/>
        </w:rPr>
        <w:t xml:space="preserve">Z </w:t>
      </w:r>
      <w:r w:rsidRPr="000F233B">
        <w:rPr>
          <w:rFonts w:cstheme="minorHAnsi"/>
          <w:vertAlign w:val="subscript"/>
        </w:rPr>
        <w:t>ij</w:t>
      </w:r>
      <w:r w:rsidRPr="00957F6A">
        <w:rPr>
          <w:rFonts w:cstheme="minorHAnsi"/>
        </w:rPr>
        <w:t xml:space="preserve"> = (Z</w:t>
      </w:r>
      <w:r w:rsidRPr="00A10016">
        <w:rPr>
          <w:rFonts w:cstheme="minorHAnsi"/>
          <w:vertAlign w:val="subscript"/>
        </w:rPr>
        <w:t>1</w:t>
      </w:r>
      <w:r w:rsidRPr="000F233B">
        <w:rPr>
          <w:rFonts w:cstheme="minorHAnsi"/>
          <w:vertAlign w:val="subscript"/>
        </w:rPr>
        <w:t>j</w:t>
      </w:r>
      <w:r w:rsidRPr="00957F6A">
        <w:rPr>
          <w:rFonts w:cstheme="minorHAnsi"/>
        </w:rPr>
        <w:t>, Z</w:t>
      </w:r>
      <w:r w:rsidRPr="00A10016">
        <w:rPr>
          <w:rFonts w:cstheme="minorHAnsi"/>
          <w:vertAlign w:val="subscript"/>
        </w:rPr>
        <w:t>2</w:t>
      </w:r>
      <w:r w:rsidRPr="005435A5">
        <w:rPr>
          <w:rFonts w:cstheme="minorHAnsi"/>
          <w:vertAlign w:val="subscript"/>
        </w:rPr>
        <w:t>j</w:t>
      </w:r>
      <w:r w:rsidRPr="00957F6A">
        <w:rPr>
          <w:rFonts w:cstheme="minorHAnsi"/>
        </w:rPr>
        <w:t>, ... Z</w:t>
      </w:r>
      <w:r w:rsidRPr="005435A5">
        <w:rPr>
          <w:rFonts w:cstheme="minorHAnsi"/>
          <w:vertAlign w:val="subscript"/>
        </w:rPr>
        <w:t>kj</w:t>
      </w:r>
      <w:r w:rsidRPr="00957F6A">
        <w:rPr>
          <w:rFonts w:cstheme="minorHAnsi"/>
        </w:rPr>
        <w:t xml:space="preserve">) </w:t>
      </w:r>
      <w:r w:rsidRPr="00DC352C">
        <w:rPr>
          <w:rFonts w:cstheme="minorHAnsi"/>
        </w:rPr>
        <w:t xml:space="preserve">is a set of k patient-level risk adjustment variables; </w:t>
      </w:r>
      <w:r>
        <w:rPr>
          <w:sz w:val="23"/>
          <w:szCs w:val="23"/>
        </w:rPr>
        <w:t>α</w:t>
      </w:r>
      <w:r w:rsidRPr="005435A5">
        <w:rPr>
          <w:rFonts w:cstheme="minorHAnsi"/>
          <w:vertAlign w:val="subscript"/>
        </w:rPr>
        <w:t>j</w:t>
      </w:r>
      <w:r w:rsidRPr="00957F6A">
        <w:rPr>
          <w:rFonts w:cstheme="minorHAnsi"/>
        </w:rPr>
        <w:t xml:space="preserve"> </w:t>
      </w:r>
      <w:r w:rsidRPr="00DC352C">
        <w:rPr>
          <w:rFonts w:cstheme="minorHAnsi"/>
        </w:rPr>
        <w:t>represents the facility-specific interce</w:t>
      </w:r>
      <w:r>
        <w:rPr>
          <w:rFonts w:cstheme="minorHAnsi"/>
        </w:rPr>
        <w:t xml:space="preserve">pt; </w:t>
      </w:r>
      <w:r>
        <w:rPr>
          <w:sz w:val="23"/>
          <w:szCs w:val="23"/>
        </w:rPr>
        <w:t>μ</w:t>
      </w:r>
      <w:r w:rsidRPr="00DC352C">
        <w:rPr>
          <w:rFonts w:cstheme="minorHAnsi"/>
        </w:rPr>
        <w:t xml:space="preserve"> is the adjusted average </w:t>
      </w:r>
      <w:r>
        <w:rPr>
          <w:rFonts w:cstheme="minorHAnsi"/>
        </w:rPr>
        <w:t xml:space="preserve">outcome across all facilities; </w:t>
      </w:r>
      <w:r>
        <w:rPr>
          <w:sz w:val="23"/>
          <w:szCs w:val="23"/>
        </w:rPr>
        <w:t>τ</w:t>
      </w:r>
      <w:r w:rsidRPr="000F233B">
        <w:rPr>
          <w:rFonts w:cstheme="minorHAnsi"/>
          <w:vertAlign w:val="superscript"/>
        </w:rPr>
        <w:t>2</w:t>
      </w:r>
      <w:r w:rsidRPr="00DC352C">
        <w:rPr>
          <w:rFonts w:cstheme="minorHAnsi"/>
        </w:rPr>
        <w:t xml:space="preserve"> is the between-facility variance component; and </w:t>
      </w:r>
      <w:r>
        <w:rPr>
          <w:sz w:val="23"/>
          <w:szCs w:val="23"/>
        </w:rPr>
        <w:t>ε</w:t>
      </w:r>
      <w:r w:rsidRPr="00957F6A">
        <w:rPr>
          <w:rFonts w:cstheme="minorHAnsi"/>
        </w:rPr>
        <w:t>~N(0,</w:t>
      </w:r>
      <w:r w:rsidRPr="00CE63B9">
        <w:rPr>
          <w:sz w:val="23"/>
          <w:szCs w:val="23"/>
        </w:rPr>
        <w:t xml:space="preserve"> </w:t>
      </w:r>
      <w:r>
        <w:rPr>
          <w:sz w:val="23"/>
          <w:szCs w:val="23"/>
        </w:rPr>
        <w:t>σ</w:t>
      </w:r>
      <w:r w:rsidRPr="000F233B">
        <w:rPr>
          <w:rFonts w:cstheme="minorHAnsi"/>
          <w:vertAlign w:val="superscript"/>
        </w:rPr>
        <w:t>2</w:t>
      </w:r>
      <w:r w:rsidRPr="00957F6A">
        <w:rPr>
          <w:rFonts w:cstheme="minorHAnsi"/>
        </w:rPr>
        <w:t xml:space="preserve">) </w:t>
      </w:r>
      <w:r w:rsidRPr="00DC352C">
        <w:rPr>
          <w:rFonts w:cstheme="minorHAnsi"/>
        </w:rPr>
        <w:t xml:space="preserve">is the error term. </w:t>
      </w:r>
    </w:p>
    <w:p w14:paraId="5F286B0E" w14:textId="77777777" w:rsidR="004F2DCA" w:rsidRDefault="004F2DCA" w:rsidP="004F2DCA">
      <w:pPr>
        <w:rPr>
          <w:rFonts w:cstheme="minorHAnsi"/>
        </w:rPr>
      </w:pPr>
      <w:r w:rsidRPr="00DC352C">
        <w:rPr>
          <w:rFonts w:cstheme="minorHAnsi"/>
        </w:rPr>
        <w:t xml:space="preserve">The hierarchical logistic regression model is estimated using SAS software (PROC GLIMMIX: SAS/STAT User’s Guide, SAS Institute Inc.). </w:t>
      </w:r>
    </w:p>
    <w:p w14:paraId="2C9FEAE1" w14:textId="77777777" w:rsidR="004F2DCA" w:rsidRPr="00131E36" w:rsidRDefault="004F2DCA" w:rsidP="004F2DCA">
      <w:pPr>
        <w:rPr>
          <w:rFonts w:cstheme="minorHAnsi"/>
        </w:rPr>
      </w:pPr>
      <w:r w:rsidRPr="00131E36">
        <w:rPr>
          <w:rFonts w:cstheme="minorHAnsi"/>
        </w:rPr>
        <w:t xml:space="preserve">The estimated equation is used twice in the measure. The sum of the probabilities of discharge to community of all patients in the facility measure, including both the effects of patient characteristics and the facility, is the “predicted number” of discharges to community after adjusting for the facility’s case mix. The same equation is used without the facility effect to compute the “expected number” of discharges to community for the same patients at the average facility. </w:t>
      </w:r>
    </w:p>
    <w:p w14:paraId="0E0277B5" w14:textId="77777777" w:rsidR="004F2DCA" w:rsidRPr="00131E36" w:rsidRDefault="004F2DCA" w:rsidP="004F2DCA">
      <w:pPr>
        <w:rPr>
          <w:rFonts w:cstheme="minorHAnsi"/>
        </w:rPr>
      </w:pPr>
      <w:r w:rsidRPr="00131E36">
        <w:rPr>
          <w:rFonts w:cstheme="minorHAnsi"/>
        </w:rPr>
        <w:t xml:space="preserve">The ratio of the predicted-to-expected number of discharges to community is a measure of the degree to which discharges to community are higher or lower than what would otherwise be expected. This standardized risk ratio is then multiplied by the mean discharge to community rate for all HHA stays for the measure, yielding the risk-standardized discharge to community rate for each HHA. </w:t>
      </w:r>
    </w:p>
    <w:p w14:paraId="0FB7168D" w14:textId="77777777" w:rsidR="004F2DCA" w:rsidRPr="00131E36" w:rsidRDefault="004F2DCA" w:rsidP="004F2DCA">
      <w:pPr>
        <w:rPr>
          <w:rFonts w:cstheme="minorHAnsi"/>
        </w:rPr>
      </w:pPr>
      <w:r>
        <w:rPr>
          <w:rFonts w:cstheme="minorHAnsi"/>
        </w:rPr>
        <w:t>T</w:t>
      </w:r>
      <w:r w:rsidRPr="00131E36">
        <w:rPr>
          <w:rFonts w:cstheme="minorHAnsi"/>
        </w:rPr>
        <w:t xml:space="preserve">he estimation procedure is recalculated for each measurement period. Re-estimating the models for each measurement period allows the estimated effects of the patient characteristics to vary over time as patient case-mix and medical treatment patterns change. </w:t>
      </w:r>
    </w:p>
    <w:p w14:paraId="7DE8D0BF" w14:textId="77777777" w:rsidR="004F2DCA" w:rsidRDefault="004F2DCA" w:rsidP="004F2DCA">
      <w:r w:rsidRPr="005029B4">
        <w:rPr>
          <w:rFonts w:cstheme="minorHAnsi"/>
          <w:b/>
        </w:rPr>
        <w:t>Risk Adjustment Variables</w:t>
      </w:r>
    </w:p>
    <w:p w14:paraId="679D320F" w14:textId="5613FDE3" w:rsidR="004F2DCA" w:rsidRPr="00DC352C" w:rsidRDefault="004F2DCA" w:rsidP="004F2DCA">
      <w:pPr>
        <w:pStyle w:val="BodyText"/>
        <w:spacing w:before="203" w:line="300" w:lineRule="auto"/>
        <w:ind w:right="259"/>
        <w:rPr>
          <w:rFonts w:ascii="Calibri" w:hAnsi="Calibri"/>
          <w:sz w:val="22"/>
          <w:szCs w:val="22"/>
        </w:rPr>
      </w:pPr>
      <w:r w:rsidRPr="00DC352C">
        <w:rPr>
          <w:rFonts w:ascii="Calibri" w:hAnsi="Calibri"/>
          <w:sz w:val="22"/>
          <w:szCs w:val="22"/>
        </w:rPr>
        <w:t>The risk model employs the following sets of</w:t>
      </w:r>
      <w:r w:rsidRPr="00DC352C">
        <w:rPr>
          <w:rFonts w:ascii="Calibri" w:hAnsi="Calibri"/>
          <w:spacing w:val="-1"/>
          <w:sz w:val="22"/>
          <w:szCs w:val="22"/>
        </w:rPr>
        <w:t xml:space="preserve"> </w:t>
      </w:r>
      <w:r w:rsidRPr="00DC352C">
        <w:rPr>
          <w:rFonts w:ascii="Calibri" w:hAnsi="Calibri"/>
          <w:sz w:val="22"/>
          <w:szCs w:val="22"/>
        </w:rPr>
        <w:t xml:space="preserve">covariates (See </w:t>
      </w:r>
      <w:r w:rsidR="00816728" w:rsidRPr="00816728">
        <w:rPr>
          <w:rFonts w:asciiTheme="minorHAnsi" w:hAnsiTheme="minorHAnsi" w:cstheme="minorHAnsi"/>
          <w:b/>
          <w:sz w:val="22"/>
          <w:szCs w:val="22"/>
        </w:rPr>
        <w:t xml:space="preserve">attached excel document </w:t>
      </w:r>
      <w:r w:rsidRPr="00816728">
        <w:rPr>
          <w:rFonts w:asciiTheme="minorHAnsi" w:hAnsiTheme="minorHAnsi"/>
          <w:sz w:val="22"/>
          <w:szCs w:val="22"/>
        </w:rPr>
        <w:t>for the full</w:t>
      </w:r>
      <w:r w:rsidRPr="00DC352C">
        <w:rPr>
          <w:rFonts w:ascii="Calibri" w:hAnsi="Calibri"/>
          <w:sz w:val="22"/>
          <w:szCs w:val="22"/>
        </w:rPr>
        <w:t xml:space="preserve"> list of variables in the risk adjustment model):</w:t>
      </w:r>
    </w:p>
    <w:p w14:paraId="14966143" w14:textId="77777777" w:rsidR="004F2DCA" w:rsidRPr="00DC352C" w:rsidRDefault="004F2DCA" w:rsidP="004F2DCA">
      <w:pPr>
        <w:pStyle w:val="ListParagraph"/>
        <w:widowControl w:val="0"/>
        <w:numPr>
          <w:ilvl w:val="0"/>
          <w:numId w:val="25"/>
        </w:numPr>
        <w:tabs>
          <w:tab w:val="left" w:pos="1727"/>
        </w:tabs>
        <w:autoSpaceDE w:val="0"/>
        <w:autoSpaceDN w:val="0"/>
        <w:spacing w:before="120" w:after="0" w:line="240" w:lineRule="auto"/>
        <w:ind w:hanging="346"/>
        <w:contextualSpacing w:val="0"/>
        <w:rPr>
          <w:rFonts w:ascii="Calibri" w:hAnsi="Calibri"/>
        </w:rPr>
      </w:pPr>
      <w:r w:rsidRPr="00DC352C">
        <w:rPr>
          <w:rFonts w:ascii="Calibri" w:hAnsi="Calibri"/>
        </w:rPr>
        <w:lastRenderedPageBreak/>
        <w:t>Demographics</w:t>
      </w:r>
    </w:p>
    <w:p w14:paraId="681E0BD2" w14:textId="77777777" w:rsidR="004F2DCA" w:rsidRPr="00DC352C" w:rsidRDefault="004F2DCA" w:rsidP="004F2DCA">
      <w:pPr>
        <w:pStyle w:val="ListParagraph"/>
        <w:widowControl w:val="0"/>
        <w:numPr>
          <w:ilvl w:val="1"/>
          <w:numId w:val="25"/>
        </w:numPr>
        <w:tabs>
          <w:tab w:val="left" w:pos="2146"/>
        </w:tabs>
        <w:autoSpaceDE w:val="0"/>
        <w:autoSpaceDN w:val="0"/>
        <w:spacing w:before="120" w:after="0" w:line="240" w:lineRule="auto"/>
        <w:ind w:hanging="333"/>
        <w:contextualSpacing w:val="0"/>
        <w:rPr>
          <w:rFonts w:ascii="Calibri" w:hAnsi="Calibri"/>
        </w:rPr>
      </w:pPr>
      <w:r w:rsidRPr="00DC352C">
        <w:rPr>
          <w:rFonts w:ascii="Calibri" w:hAnsi="Calibri"/>
        </w:rPr>
        <w:t>Age and</w:t>
      </w:r>
      <w:r w:rsidRPr="00DC352C">
        <w:rPr>
          <w:rFonts w:ascii="Calibri" w:hAnsi="Calibri"/>
          <w:spacing w:val="-1"/>
        </w:rPr>
        <w:t xml:space="preserve"> </w:t>
      </w:r>
      <w:r w:rsidRPr="00DC352C">
        <w:rPr>
          <w:rFonts w:ascii="Calibri" w:hAnsi="Calibri"/>
        </w:rPr>
        <w:t>sex</w:t>
      </w:r>
    </w:p>
    <w:p w14:paraId="63B8783D" w14:textId="77777777" w:rsidR="004F2DCA" w:rsidRPr="00DC352C" w:rsidRDefault="004F2DCA" w:rsidP="004F2DCA">
      <w:pPr>
        <w:pStyle w:val="ListParagraph"/>
        <w:widowControl w:val="0"/>
        <w:numPr>
          <w:ilvl w:val="1"/>
          <w:numId w:val="25"/>
        </w:numPr>
        <w:tabs>
          <w:tab w:val="left" w:pos="2159"/>
        </w:tabs>
        <w:autoSpaceDE w:val="0"/>
        <w:autoSpaceDN w:val="0"/>
        <w:spacing w:before="120" w:after="0" w:line="240" w:lineRule="auto"/>
        <w:ind w:left="2158" w:hanging="346"/>
        <w:contextualSpacing w:val="0"/>
        <w:rPr>
          <w:rFonts w:ascii="Calibri" w:hAnsi="Calibri"/>
        </w:rPr>
      </w:pPr>
      <w:r w:rsidRPr="00DC352C">
        <w:rPr>
          <w:rFonts w:ascii="Calibri" w:hAnsi="Calibri"/>
        </w:rPr>
        <w:t>Enrollment</w:t>
      </w:r>
      <w:r w:rsidRPr="00DC352C">
        <w:rPr>
          <w:rFonts w:ascii="Calibri" w:hAnsi="Calibri"/>
          <w:spacing w:val="-1"/>
        </w:rPr>
        <w:t xml:space="preserve"> </w:t>
      </w:r>
      <w:r w:rsidRPr="00DC352C">
        <w:rPr>
          <w:rFonts w:ascii="Calibri" w:hAnsi="Calibri"/>
        </w:rPr>
        <w:t>status</w:t>
      </w:r>
    </w:p>
    <w:p w14:paraId="36E9AD27" w14:textId="77777777" w:rsidR="004F2DCA" w:rsidRPr="00DC352C" w:rsidRDefault="004F2DCA" w:rsidP="004F2DCA">
      <w:pPr>
        <w:pStyle w:val="ListParagraph"/>
        <w:widowControl w:val="0"/>
        <w:numPr>
          <w:ilvl w:val="1"/>
          <w:numId w:val="25"/>
        </w:numPr>
        <w:tabs>
          <w:tab w:val="left" w:pos="2146"/>
        </w:tabs>
        <w:autoSpaceDE w:val="0"/>
        <w:autoSpaceDN w:val="0"/>
        <w:spacing w:before="120" w:after="0" w:line="240" w:lineRule="auto"/>
        <w:ind w:hanging="333"/>
        <w:contextualSpacing w:val="0"/>
        <w:rPr>
          <w:rFonts w:ascii="Calibri" w:hAnsi="Calibri"/>
        </w:rPr>
      </w:pPr>
      <w:r w:rsidRPr="00DC352C">
        <w:rPr>
          <w:rFonts w:ascii="Calibri" w:hAnsi="Calibri"/>
        </w:rPr>
        <w:t>Activities of daily living</w:t>
      </w:r>
      <w:r w:rsidRPr="00DC352C">
        <w:rPr>
          <w:rFonts w:ascii="Calibri" w:hAnsi="Calibri"/>
          <w:spacing w:val="-1"/>
        </w:rPr>
        <w:t xml:space="preserve"> </w:t>
      </w:r>
      <w:r w:rsidRPr="00DC352C">
        <w:rPr>
          <w:rFonts w:ascii="Calibri" w:hAnsi="Calibri"/>
        </w:rPr>
        <w:t>scores</w:t>
      </w:r>
    </w:p>
    <w:p w14:paraId="3DA487B6" w14:textId="77777777" w:rsidR="004F2DCA" w:rsidRPr="00DC352C" w:rsidRDefault="004F2DCA" w:rsidP="004F2DCA">
      <w:pPr>
        <w:pStyle w:val="ListParagraph"/>
        <w:widowControl w:val="0"/>
        <w:numPr>
          <w:ilvl w:val="0"/>
          <w:numId w:val="25"/>
        </w:numPr>
        <w:tabs>
          <w:tab w:val="left" w:pos="1727"/>
        </w:tabs>
        <w:autoSpaceDE w:val="0"/>
        <w:autoSpaceDN w:val="0"/>
        <w:spacing w:before="120" w:after="0" w:line="240" w:lineRule="auto"/>
        <w:ind w:hanging="346"/>
        <w:contextualSpacing w:val="0"/>
        <w:rPr>
          <w:rFonts w:ascii="Calibri" w:hAnsi="Calibri"/>
        </w:rPr>
      </w:pPr>
      <w:r w:rsidRPr="00DC352C">
        <w:rPr>
          <w:rFonts w:ascii="Calibri" w:hAnsi="Calibri"/>
        </w:rPr>
        <w:t>Care received during the prior proximal hospitalization (if</w:t>
      </w:r>
      <w:r w:rsidRPr="00DC352C">
        <w:rPr>
          <w:rFonts w:ascii="Calibri" w:hAnsi="Calibri"/>
          <w:spacing w:val="-1"/>
        </w:rPr>
        <w:t xml:space="preserve"> </w:t>
      </w:r>
      <w:r w:rsidRPr="00DC352C">
        <w:rPr>
          <w:rFonts w:ascii="Calibri" w:hAnsi="Calibri"/>
        </w:rPr>
        <w:t>relevant)</w:t>
      </w:r>
    </w:p>
    <w:p w14:paraId="6BF72316" w14:textId="77777777" w:rsidR="004F2DCA" w:rsidRPr="00DC352C" w:rsidRDefault="004F2DCA" w:rsidP="004F2DCA">
      <w:pPr>
        <w:pStyle w:val="ListParagraph"/>
        <w:widowControl w:val="0"/>
        <w:numPr>
          <w:ilvl w:val="1"/>
          <w:numId w:val="25"/>
        </w:numPr>
        <w:tabs>
          <w:tab w:val="left" w:pos="2146"/>
        </w:tabs>
        <w:autoSpaceDE w:val="0"/>
        <w:autoSpaceDN w:val="0"/>
        <w:spacing w:before="120" w:after="0" w:line="240" w:lineRule="auto"/>
        <w:ind w:left="2243" w:hanging="431"/>
        <w:contextualSpacing w:val="0"/>
        <w:rPr>
          <w:rFonts w:ascii="Calibri" w:hAnsi="Calibri"/>
        </w:rPr>
      </w:pPr>
      <w:r w:rsidRPr="00DC352C">
        <w:rPr>
          <w:rFonts w:ascii="Calibri" w:hAnsi="Calibri"/>
        </w:rPr>
        <w:t>Length of prior proximal</w:t>
      </w:r>
      <w:r w:rsidRPr="00DC352C">
        <w:rPr>
          <w:rFonts w:ascii="Calibri" w:hAnsi="Calibri"/>
          <w:spacing w:val="-1"/>
        </w:rPr>
        <w:t xml:space="preserve"> </w:t>
      </w:r>
      <w:r w:rsidRPr="00DC352C">
        <w:rPr>
          <w:rFonts w:ascii="Calibri" w:hAnsi="Calibri"/>
        </w:rPr>
        <w:t>hospitalization</w:t>
      </w:r>
    </w:p>
    <w:p w14:paraId="0309F842" w14:textId="77777777" w:rsidR="004F2DCA" w:rsidRPr="00DC352C" w:rsidRDefault="004F2DCA" w:rsidP="004F2DCA">
      <w:pPr>
        <w:pStyle w:val="ListParagraph"/>
        <w:widowControl w:val="0"/>
        <w:numPr>
          <w:ilvl w:val="1"/>
          <w:numId w:val="25"/>
        </w:numPr>
        <w:tabs>
          <w:tab w:val="left" w:pos="2159"/>
        </w:tabs>
        <w:autoSpaceDE w:val="0"/>
        <w:autoSpaceDN w:val="0"/>
        <w:spacing w:before="120" w:after="0" w:line="240" w:lineRule="auto"/>
        <w:ind w:left="2243" w:right="820" w:hanging="431"/>
        <w:contextualSpacing w:val="0"/>
        <w:rPr>
          <w:rFonts w:ascii="Calibri" w:hAnsi="Calibri"/>
        </w:rPr>
      </w:pPr>
      <w:r w:rsidRPr="00DC352C">
        <w:rPr>
          <w:rFonts w:ascii="Calibri" w:hAnsi="Calibri"/>
        </w:rPr>
        <w:t>Clinical classification software (CCS) diagnosis and procedure categories during prior proximal</w:t>
      </w:r>
      <w:r w:rsidRPr="00DC352C">
        <w:rPr>
          <w:rFonts w:ascii="Calibri" w:hAnsi="Calibri"/>
          <w:spacing w:val="-1"/>
        </w:rPr>
        <w:t xml:space="preserve"> </w:t>
      </w:r>
      <w:r w:rsidRPr="00DC352C">
        <w:rPr>
          <w:rFonts w:ascii="Calibri" w:hAnsi="Calibri"/>
        </w:rPr>
        <w:t>hospitalization</w:t>
      </w:r>
    </w:p>
    <w:p w14:paraId="3085B9CB" w14:textId="77777777" w:rsidR="004F2DCA" w:rsidRPr="00DC352C" w:rsidRDefault="004F2DCA" w:rsidP="004F2DCA">
      <w:pPr>
        <w:pStyle w:val="ListParagraph"/>
        <w:widowControl w:val="0"/>
        <w:numPr>
          <w:ilvl w:val="0"/>
          <w:numId w:val="25"/>
        </w:numPr>
        <w:tabs>
          <w:tab w:val="left" w:pos="1727"/>
        </w:tabs>
        <w:autoSpaceDE w:val="0"/>
        <w:autoSpaceDN w:val="0"/>
        <w:spacing w:before="120" w:after="0" w:line="240" w:lineRule="auto"/>
        <w:ind w:hanging="346"/>
        <w:contextualSpacing w:val="0"/>
        <w:rPr>
          <w:rFonts w:ascii="Calibri" w:hAnsi="Calibri"/>
        </w:rPr>
      </w:pPr>
      <w:r w:rsidRPr="00DC352C">
        <w:rPr>
          <w:rFonts w:ascii="Calibri" w:hAnsi="Calibri"/>
        </w:rPr>
        <w:t>Other care received within one year of the HH</w:t>
      </w:r>
      <w:r w:rsidRPr="00DC352C">
        <w:rPr>
          <w:rFonts w:ascii="Calibri" w:hAnsi="Calibri"/>
          <w:spacing w:val="-1"/>
        </w:rPr>
        <w:t xml:space="preserve"> </w:t>
      </w:r>
      <w:r w:rsidRPr="00DC352C">
        <w:rPr>
          <w:rFonts w:ascii="Calibri" w:hAnsi="Calibri"/>
        </w:rPr>
        <w:t>stay</w:t>
      </w:r>
    </w:p>
    <w:p w14:paraId="153574F9" w14:textId="77777777" w:rsidR="004F2DCA" w:rsidRPr="00DC352C" w:rsidRDefault="004F2DCA" w:rsidP="004F2DCA">
      <w:pPr>
        <w:pStyle w:val="ListParagraph"/>
        <w:widowControl w:val="0"/>
        <w:numPr>
          <w:ilvl w:val="1"/>
          <w:numId w:val="25"/>
        </w:numPr>
        <w:tabs>
          <w:tab w:val="left" w:pos="2146"/>
        </w:tabs>
        <w:autoSpaceDE w:val="0"/>
        <w:autoSpaceDN w:val="0"/>
        <w:spacing w:before="120" w:after="0" w:line="240" w:lineRule="auto"/>
        <w:ind w:hanging="333"/>
        <w:contextualSpacing w:val="0"/>
        <w:rPr>
          <w:rFonts w:ascii="Calibri" w:hAnsi="Calibri"/>
        </w:rPr>
      </w:pPr>
      <w:r w:rsidRPr="00DC352C">
        <w:rPr>
          <w:rFonts w:ascii="Calibri" w:hAnsi="Calibri"/>
        </w:rPr>
        <w:t>Number of prior acute</w:t>
      </w:r>
      <w:r w:rsidRPr="00DC352C">
        <w:rPr>
          <w:rFonts w:ascii="Calibri" w:hAnsi="Calibri"/>
          <w:spacing w:val="-1"/>
        </w:rPr>
        <w:t xml:space="preserve"> </w:t>
      </w:r>
      <w:r w:rsidRPr="00DC352C">
        <w:rPr>
          <w:rFonts w:ascii="Calibri" w:hAnsi="Calibri"/>
        </w:rPr>
        <w:t>discharges</w:t>
      </w:r>
    </w:p>
    <w:p w14:paraId="3ED51EDE" w14:textId="77777777" w:rsidR="004F2DCA" w:rsidRPr="00DC352C" w:rsidRDefault="004F2DCA" w:rsidP="004F2DCA">
      <w:pPr>
        <w:pStyle w:val="ListParagraph"/>
        <w:widowControl w:val="0"/>
        <w:numPr>
          <w:ilvl w:val="1"/>
          <w:numId w:val="25"/>
        </w:numPr>
        <w:tabs>
          <w:tab w:val="left" w:pos="2159"/>
        </w:tabs>
        <w:autoSpaceDE w:val="0"/>
        <w:autoSpaceDN w:val="0"/>
        <w:spacing w:before="120" w:after="0" w:line="240" w:lineRule="auto"/>
        <w:ind w:left="2158" w:hanging="346"/>
        <w:contextualSpacing w:val="0"/>
        <w:rPr>
          <w:rFonts w:ascii="Calibri" w:hAnsi="Calibri"/>
        </w:rPr>
      </w:pPr>
      <w:r w:rsidRPr="00DC352C">
        <w:rPr>
          <w:rFonts w:ascii="Calibri" w:hAnsi="Calibri"/>
        </w:rPr>
        <w:t>Number of outpatient emergency department</w:t>
      </w:r>
      <w:r w:rsidRPr="00DC352C">
        <w:rPr>
          <w:rFonts w:ascii="Calibri" w:hAnsi="Calibri"/>
          <w:spacing w:val="-1"/>
        </w:rPr>
        <w:t xml:space="preserve"> </w:t>
      </w:r>
      <w:r w:rsidRPr="00DC352C">
        <w:rPr>
          <w:rFonts w:ascii="Calibri" w:hAnsi="Calibri"/>
        </w:rPr>
        <w:t>visits</w:t>
      </w:r>
    </w:p>
    <w:p w14:paraId="110DFD26" w14:textId="77777777" w:rsidR="004F2DCA" w:rsidRPr="00DC352C" w:rsidRDefault="004F2DCA" w:rsidP="004F2DCA">
      <w:pPr>
        <w:pStyle w:val="ListParagraph"/>
        <w:widowControl w:val="0"/>
        <w:numPr>
          <w:ilvl w:val="1"/>
          <w:numId w:val="25"/>
        </w:numPr>
        <w:tabs>
          <w:tab w:val="left" w:pos="2146"/>
        </w:tabs>
        <w:autoSpaceDE w:val="0"/>
        <w:autoSpaceDN w:val="0"/>
        <w:spacing w:before="117" w:after="0" w:line="240" w:lineRule="auto"/>
        <w:ind w:hanging="333"/>
        <w:contextualSpacing w:val="0"/>
        <w:rPr>
          <w:rFonts w:ascii="Calibri" w:hAnsi="Calibri"/>
        </w:rPr>
      </w:pPr>
      <w:r w:rsidRPr="00DC352C">
        <w:rPr>
          <w:rFonts w:ascii="Calibri" w:hAnsi="Calibri"/>
        </w:rPr>
        <w:t>Number of skilled nursing facility</w:t>
      </w:r>
      <w:r w:rsidRPr="00DC352C">
        <w:rPr>
          <w:rFonts w:ascii="Calibri" w:hAnsi="Calibri"/>
          <w:spacing w:val="-1"/>
        </w:rPr>
        <w:t xml:space="preserve"> </w:t>
      </w:r>
      <w:r w:rsidRPr="00DC352C">
        <w:rPr>
          <w:rFonts w:ascii="Calibri" w:hAnsi="Calibri"/>
        </w:rPr>
        <w:t>visits</w:t>
      </w:r>
    </w:p>
    <w:p w14:paraId="60B54DC1" w14:textId="77777777" w:rsidR="004F2DCA" w:rsidRPr="00DC352C" w:rsidRDefault="004F2DCA" w:rsidP="004F2DCA">
      <w:pPr>
        <w:pStyle w:val="ListParagraph"/>
        <w:widowControl w:val="0"/>
        <w:numPr>
          <w:ilvl w:val="1"/>
          <w:numId w:val="25"/>
        </w:numPr>
        <w:tabs>
          <w:tab w:val="left" w:pos="2159"/>
        </w:tabs>
        <w:autoSpaceDE w:val="0"/>
        <w:autoSpaceDN w:val="0"/>
        <w:spacing w:before="120" w:after="0" w:line="240" w:lineRule="auto"/>
        <w:ind w:left="2158" w:hanging="346"/>
        <w:contextualSpacing w:val="0"/>
        <w:rPr>
          <w:rFonts w:ascii="Calibri" w:hAnsi="Calibri"/>
        </w:rPr>
      </w:pPr>
      <w:r w:rsidRPr="00DC352C">
        <w:rPr>
          <w:rFonts w:ascii="Calibri" w:hAnsi="Calibri"/>
        </w:rPr>
        <w:t>Number of long-term care hospital</w:t>
      </w:r>
      <w:r w:rsidRPr="00DC352C">
        <w:rPr>
          <w:rFonts w:ascii="Calibri" w:hAnsi="Calibri"/>
          <w:spacing w:val="-1"/>
        </w:rPr>
        <w:t xml:space="preserve"> </w:t>
      </w:r>
      <w:r w:rsidRPr="00DC352C">
        <w:rPr>
          <w:rFonts w:ascii="Calibri" w:hAnsi="Calibri"/>
        </w:rPr>
        <w:t>visits</w:t>
      </w:r>
    </w:p>
    <w:p w14:paraId="2674D2BC" w14:textId="77777777" w:rsidR="004F2DCA" w:rsidRPr="00DC352C" w:rsidRDefault="004F2DCA" w:rsidP="004F2DCA">
      <w:pPr>
        <w:pStyle w:val="ListParagraph"/>
        <w:widowControl w:val="0"/>
        <w:numPr>
          <w:ilvl w:val="1"/>
          <w:numId w:val="25"/>
        </w:numPr>
        <w:tabs>
          <w:tab w:val="left" w:pos="2159"/>
        </w:tabs>
        <w:autoSpaceDE w:val="0"/>
        <w:autoSpaceDN w:val="0"/>
        <w:spacing w:before="120" w:after="0" w:line="240" w:lineRule="auto"/>
        <w:ind w:left="2158" w:hanging="346"/>
        <w:contextualSpacing w:val="0"/>
        <w:rPr>
          <w:rFonts w:ascii="Calibri" w:hAnsi="Calibri"/>
        </w:rPr>
      </w:pPr>
      <w:r w:rsidRPr="00DC352C">
        <w:rPr>
          <w:rFonts w:ascii="Calibri" w:hAnsi="Calibri"/>
        </w:rPr>
        <w:t>Number of inpatient dialysis sessions</w:t>
      </w:r>
    </w:p>
    <w:p w14:paraId="6AC5462B" w14:textId="77777777" w:rsidR="004F2DCA" w:rsidRDefault="004F2DCA" w:rsidP="004F2DCA">
      <w:pPr>
        <w:pStyle w:val="ListParagraph"/>
        <w:widowControl w:val="0"/>
        <w:numPr>
          <w:ilvl w:val="1"/>
          <w:numId w:val="25"/>
        </w:numPr>
        <w:tabs>
          <w:tab w:val="left" w:pos="2146"/>
        </w:tabs>
        <w:autoSpaceDE w:val="0"/>
        <w:autoSpaceDN w:val="0"/>
        <w:spacing w:before="120" w:after="0" w:line="240" w:lineRule="auto"/>
        <w:ind w:hanging="333"/>
        <w:contextualSpacing w:val="0"/>
        <w:rPr>
          <w:rFonts w:ascii="Calibri" w:hAnsi="Calibri"/>
        </w:rPr>
      </w:pPr>
      <w:r w:rsidRPr="00DC352C">
        <w:rPr>
          <w:rFonts w:ascii="Calibri" w:hAnsi="Calibri"/>
        </w:rPr>
        <w:t>Hierarchical condition categories (HCC)</w:t>
      </w:r>
      <w:r w:rsidRPr="00DC352C">
        <w:rPr>
          <w:rFonts w:ascii="Calibri" w:hAnsi="Calibri"/>
          <w:spacing w:val="-1"/>
        </w:rPr>
        <w:t xml:space="preserve"> </w:t>
      </w:r>
      <w:r w:rsidRPr="00DC352C">
        <w:rPr>
          <w:rFonts w:ascii="Calibri" w:hAnsi="Calibri"/>
        </w:rPr>
        <w:t>comorbidities</w:t>
      </w:r>
    </w:p>
    <w:p w14:paraId="2D21D197" w14:textId="77777777" w:rsidR="004F2DCA" w:rsidRPr="00131E36" w:rsidRDefault="004F2DCA" w:rsidP="004F2DCA">
      <w:pPr>
        <w:widowControl w:val="0"/>
        <w:tabs>
          <w:tab w:val="left" w:pos="2146"/>
        </w:tabs>
        <w:autoSpaceDE w:val="0"/>
        <w:autoSpaceDN w:val="0"/>
        <w:spacing w:before="120" w:after="0" w:line="240" w:lineRule="auto"/>
        <w:rPr>
          <w:rFonts w:ascii="Calibri" w:hAnsi="Calibri"/>
        </w:rPr>
      </w:pPr>
    </w:p>
    <w:p w14:paraId="05724BFA" w14:textId="77777777" w:rsidR="004F2DCA" w:rsidRPr="00F71AE9" w:rsidRDefault="004F2DCA" w:rsidP="004F2DCA">
      <w:pPr>
        <w:spacing w:after="0" w:line="240" w:lineRule="auto"/>
        <w:rPr>
          <w:rFonts w:eastAsia="Calibri" w:cstheme="minorHAnsi"/>
          <w:b/>
          <w:i/>
        </w:rPr>
      </w:pPr>
      <w:r w:rsidRPr="00C71E22">
        <w:rPr>
          <w:rFonts w:eastAsia="Calibri" w:cstheme="minorHAnsi"/>
          <w:b/>
          <w:bCs/>
          <w:iCs/>
        </w:rPr>
        <w:t>Measure Calculation Algorithm</w:t>
      </w:r>
    </w:p>
    <w:p w14:paraId="0CD95931" w14:textId="77777777" w:rsidR="004F2DCA" w:rsidRDefault="004F2DCA" w:rsidP="004F2DCA">
      <w:pPr>
        <w:pStyle w:val="BodyText"/>
        <w:spacing w:line="276" w:lineRule="auto"/>
        <w:rPr>
          <w:rFonts w:asciiTheme="minorHAnsi" w:eastAsia="Trebuchet MS" w:hAnsiTheme="minorHAnsi" w:cstheme="minorHAnsi"/>
          <w:sz w:val="22"/>
          <w:szCs w:val="22"/>
        </w:rPr>
      </w:pPr>
    </w:p>
    <w:p w14:paraId="093F5617" w14:textId="77777777" w:rsidR="004F2DCA" w:rsidRPr="00131E36" w:rsidRDefault="004F2DCA" w:rsidP="004F2DCA">
      <w:pPr>
        <w:pStyle w:val="BodyText"/>
        <w:spacing w:line="276" w:lineRule="auto"/>
        <w:rPr>
          <w:rFonts w:asciiTheme="minorHAnsi" w:eastAsia="Trebuchet MS" w:hAnsiTheme="minorHAnsi" w:cstheme="minorHAnsi"/>
          <w:sz w:val="22"/>
          <w:szCs w:val="22"/>
        </w:rPr>
      </w:pPr>
      <w:r w:rsidRPr="00131E36">
        <w:rPr>
          <w:rFonts w:asciiTheme="minorHAnsi" w:eastAsia="Trebuchet MS" w:hAnsiTheme="minorHAnsi" w:cstheme="minorHAnsi"/>
          <w:sz w:val="22"/>
          <w:szCs w:val="22"/>
        </w:rPr>
        <w:t xml:space="preserve">The following steps describe the calculation algorithm/measure logic for the DTC-PAC HHA measure: </w:t>
      </w:r>
    </w:p>
    <w:p w14:paraId="5DD6670D" w14:textId="77777777" w:rsidR="004F2DCA" w:rsidRPr="00131E36" w:rsidRDefault="004F2DCA" w:rsidP="004F2DCA">
      <w:pPr>
        <w:pStyle w:val="Steps"/>
        <w:spacing w:line="276" w:lineRule="auto"/>
        <w:rPr>
          <w:rFonts w:asciiTheme="minorHAnsi" w:eastAsia="Trebuchet MS" w:hAnsiTheme="minorHAnsi" w:cstheme="minorHAnsi"/>
          <w:sz w:val="22"/>
          <w:szCs w:val="22"/>
        </w:rPr>
      </w:pPr>
      <w:r w:rsidRPr="00906079">
        <w:rPr>
          <w:rFonts w:asciiTheme="minorHAnsi" w:eastAsia="Trebuchet MS" w:hAnsiTheme="minorHAnsi" w:cstheme="minorHAnsi"/>
          <w:b/>
          <w:i/>
          <w:iCs/>
          <w:sz w:val="22"/>
          <w:szCs w:val="22"/>
        </w:rPr>
        <w:t>Step 1:</w:t>
      </w:r>
      <w:r w:rsidRPr="00131E36">
        <w:rPr>
          <w:rFonts w:asciiTheme="minorHAnsi" w:eastAsia="Trebuchet MS" w:hAnsiTheme="minorHAnsi" w:cstheme="minorHAnsi"/>
          <w:i/>
          <w:iCs/>
          <w:sz w:val="22"/>
          <w:szCs w:val="22"/>
        </w:rPr>
        <w:t xml:space="preserve"> </w:t>
      </w:r>
      <w:r w:rsidRPr="00131E36">
        <w:rPr>
          <w:rFonts w:asciiTheme="minorHAnsi" w:hAnsiTheme="minorHAnsi" w:cstheme="minorHAnsi"/>
          <w:i/>
          <w:iCs/>
          <w:sz w:val="22"/>
          <w:szCs w:val="22"/>
        </w:rPr>
        <w:tab/>
      </w:r>
      <w:r w:rsidRPr="00131E36">
        <w:rPr>
          <w:rFonts w:asciiTheme="minorHAnsi" w:eastAsia="Trebuchet MS" w:hAnsiTheme="minorHAnsi" w:cstheme="minorHAnsi"/>
          <w:sz w:val="22"/>
          <w:szCs w:val="22"/>
        </w:rPr>
        <w:t xml:space="preserve">Identify patients meeting the criteria for the target population, after applying measure exclusions. </w:t>
      </w:r>
    </w:p>
    <w:p w14:paraId="053C4E7E" w14:textId="77777777" w:rsidR="004F2DCA" w:rsidRPr="00131E36" w:rsidRDefault="004F2DCA" w:rsidP="004F2DCA">
      <w:pPr>
        <w:pStyle w:val="Steps"/>
        <w:spacing w:line="276" w:lineRule="auto"/>
        <w:rPr>
          <w:rFonts w:asciiTheme="minorHAnsi" w:eastAsia="Trebuchet MS" w:hAnsiTheme="minorHAnsi" w:cstheme="minorHAnsi"/>
          <w:sz w:val="22"/>
          <w:szCs w:val="22"/>
        </w:rPr>
      </w:pPr>
      <w:r w:rsidRPr="00906079">
        <w:rPr>
          <w:rFonts w:asciiTheme="minorHAnsi" w:eastAsia="Trebuchet MS" w:hAnsiTheme="minorHAnsi" w:cstheme="minorHAnsi"/>
          <w:b/>
          <w:i/>
          <w:iCs/>
          <w:sz w:val="22"/>
          <w:szCs w:val="22"/>
        </w:rPr>
        <w:t>Step 2:</w:t>
      </w:r>
      <w:r w:rsidRPr="00131E36">
        <w:rPr>
          <w:rFonts w:asciiTheme="minorHAnsi" w:eastAsia="Trebuchet MS" w:hAnsiTheme="minorHAnsi" w:cstheme="minorHAnsi"/>
          <w:i/>
          <w:iCs/>
          <w:sz w:val="22"/>
          <w:szCs w:val="22"/>
        </w:rPr>
        <w:t xml:space="preserve"> </w:t>
      </w:r>
      <w:r w:rsidRPr="00131E36">
        <w:rPr>
          <w:rFonts w:asciiTheme="minorHAnsi" w:hAnsiTheme="minorHAnsi" w:cstheme="minorHAnsi"/>
          <w:i/>
          <w:iCs/>
          <w:sz w:val="22"/>
          <w:szCs w:val="22"/>
        </w:rPr>
        <w:tab/>
      </w:r>
      <w:r w:rsidRPr="00131E36">
        <w:rPr>
          <w:rFonts w:asciiTheme="minorHAnsi" w:eastAsia="Trebuchet MS" w:hAnsiTheme="minorHAnsi" w:cstheme="minorHAnsi"/>
          <w:sz w:val="22"/>
          <w:szCs w:val="22"/>
        </w:rPr>
        <w:t>Identify patients meeting the discharge to community criteria, i.e., discharge to community, no unplanned admissions on the day of home health discharge or in the 31 days following home health discharge, and no death on the day of home health discharge or in the 31 days following home health discharge.</w:t>
      </w:r>
    </w:p>
    <w:p w14:paraId="759BF968" w14:textId="77777777" w:rsidR="004F2DCA" w:rsidRPr="00131E36" w:rsidRDefault="004F2DCA" w:rsidP="004F2DCA">
      <w:pPr>
        <w:pStyle w:val="Steps"/>
        <w:spacing w:line="276" w:lineRule="auto"/>
        <w:rPr>
          <w:rFonts w:asciiTheme="minorHAnsi" w:eastAsia="Trebuchet MS" w:hAnsiTheme="minorHAnsi" w:cstheme="minorHAnsi"/>
          <w:sz w:val="22"/>
          <w:szCs w:val="22"/>
        </w:rPr>
      </w:pPr>
      <w:r w:rsidRPr="00906079">
        <w:rPr>
          <w:rFonts w:asciiTheme="minorHAnsi" w:eastAsia="Trebuchet MS" w:hAnsiTheme="minorHAnsi" w:cstheme="minorHAnsi"/>
          <w:b/>
          <w:i/>
          <w:iCs/>
          <w:sz w:val="22"/>
          <w:szCs w:val="22"/>
        </w:rPr>
        <w:t>Step 3:</w:t>
      </w:r>
      <w:r w:rsidRPr="00131E36">
        <w:rPr>
          <w:rFonts w:asciiTheme="minorHAnsi" w:hAnsiTheme="minorHAnsi" w:cstheme="minorHAnsi"/>
          <w:i/>
          <w:iCs/>
          <w:sz w:val="22"/>
          <w:szCs w:val="22"/>
        </w:rPr>
        <w:tab/>
      </w:r>
      <w:r w:rsidRPr="00131E36">
        <w:rPr>
          <w:rFonts w:asciiTheme="minorHAnsi" w:eastAsia="Trebuchet MS" w:hAnsiTheme="minorHAnsi" w:cstheme="minorHAnsi"/>
          <w:sz w:val="22"/>
          <w:szCs w:val="22"/>
        </w:rPr>
        <w:t>Identify presence or absence of risk adjustment variables for each patient.</w:t>
      </w:r>
    </w:p>
    <w:p w14:paraId="7BBC0F7A" w14:textId="77777777" w:rsidR="004F2DCA" w:rsidRPr="00131E36" w:rsidRDefault="004F2DCA" w:rsidP="004F2DCA">
      <w:pPr>
        <w:pStyle w:val="Steps"/>
        <w:spacing w:line="276" w:lineRule="auto"/>
        <w:rPr>
          <w:rFonts w:asciiTheme="minorHAnsi" w:eastAsia="Trebuchet MS" w:hAnsiTheme="minorHAnsi" w:cstheme="minorHAnsi"/>
          <w:sz w:val="22"/>
          <w:szCs w:val="22"/>
        </w:rPr>
      </w:pPr>
      <w:r w:rsidRPr="00906079">
        <w:rPr>
          <w:rFonts w:asciiTheme="minorHAnsi" w:eastAsia="Trebuchet MS" w:hAnsiTheme="minorHAnsi" w:cstheme="minorHAnsi"/>
          <w:b/>
          <w:i/>
          <w:iCs/>
          <w:sz w:val="22"/>
          <w:szCs w:val="22"/>
        </w:rPr>
        <w:t>Step 4:</w:t>
      </w:r>
      <w:r w:rsidRPr="00131E36">
        <w:rPr>
          <w:rFonts w:asciiTheme="minorHAnsi" w:eastAsia="Trebuchet MS" w:hAnsiTheme="minorHAnsi" w:cstheme="minorHAnsi"/>
          <w:i/>
          <w:iCs/>
          <w:sz w:val="22"/>
          <w:szCs w:val="22"/>
        </w:rPr>
        <w:t xml:space="preserve"> </w:t>
      </w:r>
      <w:r w:rsidRPr="00131E36">
        <w:rPr>
          <w:rFonts w:asciiTheme="minorHAnsi" w:hAnsiTheme="minorHAnsi" w:cstheme="minorHAnsi"/>
          <w:i/>
          <w:iCs/>
          <w:sz w:val="22"/>
          <w:szCs w:val="22"/>
        </w:rPr>
        <w:tab/>
      </w:r>
      <w:r w:rsidRPr="00131E36">
        <w:rPr>
          <w:rFonts w:asciiTheme="minorHAnsi" w:eastAsia="Trebuchet MS" w:hAnsiTheme="minorHAnsi" w:cstheme="minorHAnsi"/>
          <w:sz w:val="22"/>
          <w:szCs w:val="22"/>
        </w:rPr>
        <w:t>Calculate the predicted and expected number of discharges to community for each HHA using the hierarchical logistic regression model.</w:t>
      </w:r>
    </w:p>
    <w:p w14:paraId="78AAAF88" w14:textId="77777777" w:rsidR="004F2DCA" w:rsidRPr="00131E36" w:rsidRDefault="004F2DCA" w:rsidP="004F2DCA">
      <w:pPr>
        <w:pStyle w:val="StepsIndent"/>
        <w:spacing w:line="276" w:lineRule="auto"/>
        <w:rPr>
          <w:rFonts w:asciiTheme="minorHAnsi" w:eastAsia="Trebuchet MS" w:hAnsiTheme="minorHAnsi" w:cstheme="minorHAnsi"/>
          <w:sz w:val="22"/>
          <w:szCs w:val="22"/>
        </w:rPr>
      </w:pPr>
      <w:r w:rsidRPr="00131E36">
        <w:rPr>
          <w:rFonts w:asciiTheme="minorHAnsi" w:eastAsia="Trebuchet MS" w:hAnsiTheme="minorHAnsi" w:cstheme="minorHAnsi"/>
          <w:sz w:val="22"/>
          <w:szCs w:val="22"/>
        </w:rPr>
        <w:t xml:space="preserve">The predicted number of discharges to community for each HHA (i.e., numerator) is calculated as the sum of the predicted probability of discharge to community for each patient discharged from the HHA and included in the measure, including the HH-specific effect.  </w:t>
      </w:r>
    </w:p>
    <w:p w14:paraId="471CEA1E" w14:textId="77777777" w:rsidR="004F2DCA" w:rsidRPr="00131E36" w:rsidRDefault="004F2DCA" w:rsidP="004F2DCA">
      <w:pPr>
        <w:pStyle w:val="StepsIndent"/>
        <w:spacing w:after="0" w:line="276" w:lineRule="auto"/>
        <w:rPr>
          <w:rFonts w:asciiTheme="minorHAnsi" w:hAnsiTheme="minorHAnsi" w:cstheme="minorHAnsi"/>
          <w:sz w:val="22"/>
          <w:szCs w:val="22"/>
        </w:rPr>
      </w:pPr>
      <w:r w:rsidRPr="00131E36">
        <w:rPr>
          <w:rFonts w:asciiTheme="minorHAnsi" w:hAnsiTheme="minorHAnsi" w:cstheme="minorHAnsi"/>
          <w:sz w:val="22"/>
          <w:szCs w:val="22"/>
        </w:rPr>
        <w:t>To calculate the predicted number of discharges to community, pred</w:t>
      </w:r>
      <w:r w:rsidRPr="00131E36">
        <w:rPr>
          <w:rFonts w:asciiTheme="minorHAnsi" w:hAnsiTheme="minorHAnsi" w:cstheme="minorHAnsi"/>
          <w:sz w:val="22"/>
          <w:szCs w:val="22"/>
          <w:vertAlign w:val="subscript"/>
        </w:rPr>
        <w:t>j</w:t>
      </w:r>
      <w:r w:rsidRPr="00131E36">
        <w:rPr>
          <w:rFonts w:asciiTheme="minorHAnsi" w:hAnsiTheme="minorHAnsi" w:cstheme="minorHAnsi"/>
          <w:sz w:val="22"/>
          <w:szCs w:val="22"/>
        </w:rPr>
        <w:t>, for index HH stays at HHA</w:t>
      </w:r>
      <w:r w:rsidRPr="00131E36">
        <w:rPr>
          <w:rFonts w:asciiTheme="minorHAnsi" w:hAnsiTheme="minorHAnsi" w:cstheme="minorHAnsi"/>
          <w:sz w:val="22"/>
          <w:szCs w:val="22"/>
          <w:vertAlign w:val="subscript"/>
        </w:rPr>
        <w:t>j</w:t>
      </w:r>
      <w:r w:rsidRPr="00131E36">
        <w:rPr>
          <w:rFonts w:asciiTheme="minorHAnsi" w:hAnsiTheme="minorHAnsi" w:cstheme="minorHAnsi"/>
          <w:sz w:val="22"/>
          <w:szCs w:val="22"/>
        </w:rPr>
        <w:t>, we used the following equation:</w:t>
      </w:r>
    </w:p>
    <w:p w14:paraId="3B4E6886" w14:textId="77777777" w:rsidR="004F2DCA" w:rsidRPr="00131E36" w:rsidRDefault="004F2DCA" w:rsidP="004F2DCA">
      <w:pPr>
        <w:pStyle w:val="equation"/>
        <w:spacing w:line="276" w:lineRule="auto"/>
        <w:rPr>
          <w:rFonts w:asciiTheme="minorHAnsi" w:hAnsiTheme="minorHAnsi" w:cstheme="minorHAnsi"/>
          <w:sz w:val="22"/>
          <w:szCs w:val="22"/>
        </w:rPr>
      </w:pPr>
      <w:r w:rsidRPr="00131E36">
        <w:rPr>
          <w:rFonts w:asciiTheme="minorHAnsi" w:hAnsiTheme="minorHAnsi" w:cstheme="minorHAnsi"/>
          <w:sz w:val="22"/>
          <w:szCs w:val="22"/>
        </w:rPr>
        <w:tab/>
        <w:t>pred</w:t>
      </w:r>
      <w:r w:rsidRPr="00131E36">
        <w:rPr>
          <w:rFonts w:asciiTheme="minorHAnsi" w:hAnsiTheme="minorHAnsi" w:cstheme="minorHAnsi"/>
          <w:sz w:val="22"/>
          <w:szCs w:val="22"/>
          <w:vertAlign w:val="subscript"/>
        </w:rPr>
        <w:t>j</w:t>
      </w:r>
      <w:r w:rsidRPr="00131E36">
        <w:rPr>
          <w:rFonts w:asciiTheme="minorHAnsi" w:hAnsiTheme="minorHAnsi" w:cstheme="minorHAnsi"/>
          <w:sz w:val="22"/>
          <w:szCs w:val="22"/>
        </w:rPr>
        <w:t xml:space="preserve"> = Σlogit</w:t>
      </w:r>
      <w:r w:rsidRPr="00131E36">
        <w:rPr>
          <w:rFonts w:asciiTheme="minorHAnsi" w:hAnsiTheme="minorHAnsi" w:cstheme="minorHAnsi"/>
          <w:sz w:val="22"/>
          <w:szCs w:val="22"/>
          <w:vertAlign w:val="superscript"/>
        </w:rPr>
        <w:t>-1</w:t>
      </w:r>
      <w:r w:rsidRPr="00131E36">
        <w:rPr>
          <w:rFonts w:asciiTheme="minorHAnsi" w:hAnsiTheme="minorHAnsi" w:cstheme="minorHAnsi"/>
          <w:sz w:val="22"/>
          <w:szCs w:val="22"/>
        </w:rPr>
        <w:t>(</w:t>
      </w:r>
      <w:r w:rsidRPr="00131E36">
        <w:rPr>
          <w:rFonts w:asciiTheme="minorHAnsi" w:hAnsiTheme="minorHAnsi" w:cstheme="minorHAnsi"/>
          <w:spacing w:val="4"/>
          <w:sz w:val="22"/>
          <w:szCs w:val="22"/>
        </w:rPr>
        <w:sym w:font="Symbol" w:char="F06D"/>
      </w:r>
      <w:r w:rsidRPr="00131E36">
        <w:rPr>
          <w:rFonts w:asciiTheme="minorHAnsi" w:hAnsiTheme="minorHAnsi" w:cstheme="minorHAnsi"/>
          <w:spacing w:val="4"/>
          <w:sz w:val="22"/>
          <w:szCs w:val="22"/>
        </w:rPr>
        <w:t xml:space="preserve"> + </w:t>
      </w:r>
      <w:r w:rsidRPr="00131E36">
        <w:rPr>
          <w:rFonts w:asciiTheme="minorHAnsi" w:hAnsiTheme="minorHAnsi" w:cstheme="minorHAnsi"/>
          <w:spacing w:val="4"/>
          <w:sz w:val="22"/>
          <w:szCs w:val="22"/>
        </w:rPr>
        <w:sym w:font="Symbol" w:char="F077"/>
      </w:r>
      <w:r w:rsidRPr="00131E36">
        <w:rPr>
          <w:rFonts w:asciiTheme="minorHAnsi" w:hAnsiTheme="minorHAnsi" w:cstheme="minorHAnsi"/>
          <w:spacing w:val="4"/>
          <w:sz w:val="22"/>
          <w:szCs w:val="22"/>
          <w:vertAlign w:val="subscript"/>
        </w:rPr>
        <w:t>i</w:t>
      </w:r>
      <w:r w:rsidRPr="00131E36">
        <w:rPr>
          <w:rFonts w:asciiTheme="minorHAnsi" w:hAnsiTheme="minorHAnsi" w:cstheme="minorHAnsi"/>
          <w:sz w:val="22"/>
          <w:szCs w:val="22"/>
        </w:rPr>
        <w:t xml:space="preserve">  + </w:t>
      </w:r>
      <w:r w:rsidRPr="00131E36">
        <w:rPr>
          <w:rFonts w:asciiTheme="minorHAnsi" w:hAnsiTheme="minorHAnsi" w:cstheme="minorHAnsi"/>
          <w:spacing w:val="-1"/>
          <w:sz w:val="22"/>
          <w:szCs w:val="22"/>
        </w:rPr>
        <w:sym w:font="Symbol" w:char="F062"/>
      </w:r>
      <w:r w:rsidRPr="00131E36">
        <w:rPr>
          <w:rFonts w:asciiTheme="minorHAnsi" w:hAnsiTheme="minorHAnsi" w:cstheme="minorHAnsi"/>
          <w:spacing w:val="-1"/>
          <w:sz w:val="22"/>
          <w:szCs w:val="22"/>
        </w:rPr>
        <w:t>*Z</w:t>
      </w:r>
      <w:r w:rsidRPr="00131E36">
        <w:rPr>
          <w:rFonts w:asciiTheme="minorHAnsi" w:hAnsiTheme="minorHAnsi" w:cstheme="minorHAnsi"/>
          <w:spacing w:val="-1"/>
          <w:sz w:val="22"/>
          <w:szCs w:val="22"/>
          <w:vertAlign w:val="subscript"/>
        </w:rPr>
        <w:t>ij</w:t>
      </w:r>
      <w:r w:rsidRPr="00131E36">
        <w:rPr>
          <w:rFonts w:asciiTheme="minorHAnsi" w:hAnsiTheme="minorHAnsi" w:cstheme="minorHAnsi"/>
          <w:sz w:val="22"/>
          <w:szCs w:val="22"/>
        </w:rPr>
        <w:t xml:space="preserve">) </w:t>
      </w:r>
      <w:r w:rsidRPr="00131E36">
        <w:rPr>
          <w:rFonts w:asciiTheme="minorHAnsi" w:hAnsiTheme="minorHAnsi" w:cstheme="minorHAnsi"/>
          <w:spacing w:val="-9"/>
          <w:sz w:val="22"/>
          <w:szCs w:val="22"/>
        </w:rPr>
        <w:tab/>
      </w:r>
      <w:r w:rsidRPr="00131E36">
        <w:rPr>
          <w:rFonts w:asciiTheme="minorHAnsi" w:hAnsiTheme="minorHAnsi" w:cstheme="minorHAnsi"/>
          <w:sz w:val="22"/>
          <w:szCs w:val="22"/>
        </w:rPr>
        <w:t>(</w:t>
      </w:r>
      <w:r w:rsidRPr="00131E36">
        <w:rPr>
          <w:rFonts w:asciiTheme="minorHAnsi" w:hAnsiTheme="minorHAnsi" w:cstheme="minorHAnsi"/>
          <w:sz w:val="22"/>
          <w:szCs w:val="22"/>
        </w:rPr>
        <w:fldChar w:fldCharType="begin"/>
      </w:r>
      <w:r w:rsidRPr="00131E36">
        <w:rPr>
          <w:rFonts w:asciiTheme="minorHAnsi" w:hAnsiTheme="minorHAnsi" w:cstheme="minorHAnsi"/>
          <w:sz w:val="22"/>
          <w:szCs w:val="22"/>
        </w:rPr>
        <w:instrText xml:space="preserve"> SEQ Equation \* ARABIC </w:instrText>
      </w:r>
      <w:r w:rsidRPr="00131E36">
        <w:rPr>
          <w:rFonts w:asciiTheme="minorHAnsi" w:hAnsiTheme="minorHAnsi" w:cstheme="minorHAnsi"/>
          <w:sz w:val="22"/>
          <w:szCs w:val="22"/>
        </w:rPr>
        <w:fldChar w:fldCharType="separate"/>
      </w:r>
      <w:r w:rsidRPr="00131E36">
        <w:rPr>
          <w:rFonts w:asciiTheme="minorHAnsi" w:hAnsiTheme="minorHAnsi" w:cstheme="minorHAnsi"/>
          <w:noProof/>
          <w:sz w:val="22"/>
          <w:szCs w:val="22"/>
        </w:rPr>
        <w:t>2</w:t>
      </w:r>
      <w:r w:rsidRPr="00131E36">
        <w:rPr>
          <w:rFonts w:asciiTheme="minorHAnsi" w:hAnsiTheme="minorHAnsi" w:cstheme="minorHAnsi"/>
          <w:sz w:val="22"/>
          <w:szCs w:val="22"/>
        </w:rPr>
        <w:fldChar w:fldCharType="end"/>
      </w:r>
      <w:r w:rsidRPr="00131E36">
        <w:rPr>
          <w:rFonts w:asciiTheme="minorHAnsi" w:hAnsiTheme="minorHAnsi" w:cstheme="minorHAnsi"/>
          <w:sz w:val="22"/>
          <w:szCs w:val="22"/>
        </w:rPr>
        <w:t xml:space="preserve">) </w:t>
      </w:r>
    </w:p>
    <w:p w14:paraId="4A0CBE89" w14:textId="77777777" w:rsidR="004F2DCA" w:rsidRPr="00131E36" w:rsidRDefault="004F2DCA" w:rsidP="004F2DCA">
      <w:pPr>
        <w:pStyle w:val="StepsIndent"/>
        <w:spacing w:after="0" w:line="276" w:lineRule="auto"/>
        <w:rPr>
          <w:rFonts w:asciiTheme="minorHAnsi" w:hAnsiTheme="minorHAnsi" w:cstheme="minorHAnsi"/>
          <w:sz w:val="22"/>
          <w:szCs w:val="22"/>
        </w:rPr>
      </w:pPr>
      <w:r w:rsidRPr="00131E36">
        <w:rPr>
          <w:rFonts w:asciiTheme="minorHAnsi" w:hAnsiTheme="minorHAnsi" w:cstheme="minorHAnsi"/>
          <w:sz w:val="22"/>
          <w:szCs w:val="22"/>
        </w:rPr>
        <w:t>where the sum is over all stays in HHA</w:t>
      </w:r>
      <w:r w:rsidRPr="00131E36">
        <w:rPr>
          <w:rFonts w:asciiTheme="minorHAnsi" w:hAnsiTheme="minorHAnsi" w:cstheme="minorHAnsi"/>
          <w:sz w:val="22"/>
          <w:szCs w:val="22"/>
          <w:vertAlign w:val="subscript"/>
        </w:rPr>
        <w:t>j</w:t>
      </w:r>
      <w:r w:rsidRPr="00131E36">
        <w:rPr>
          <w:rFonts w:asciiTheme="minorHAnsi" w:hAnsiTheme="minorHAnsi" w:cstheme="minorHAnsi"/>
          <w:sz w:val="22"/>
          <w:szCs w:val="22"/>
        </w:rPr>
        <w:t xml:space="preserve">, and </w:t>
      </w:r>
      <w:r w:rsidRPr="00131E36">
        <w:rPr>
          <w:rFonts w:asciiTheme="minorHAnsi" w:hAnsiTheme="minorHAnsi" w:cstheme="minorHAnsi"/>
          <w:sz w:val="22"/>
          <w:szCs w:val="22"/>
        </w:rPr>
        <w:sym w:font="Symbol" w:char="F077"/>
      </w:r>
      <w:r w:rsidRPr="00131E36">
        <w:rPr>
          <w:rFonts w:asciiTheme="minorHAnsi" w:hAnsiTheme="minorHAnsi" w:cstheme="minorHAnsi"/>
          <w:sz w:val="22"/>
          <w:szCs w:val="22"/>
          <w:vertAlign w:val="subscript"/>
        </w:rPr>
        <w:t>i</w:t>
      </w:r>
      <w:r w:rsidRPr="00131E36">
        <w:rPr>
          <w:rFonts w:asciiTheme="minorHAnsi" w:hAnsiTheme="minorHAnsi" w:cstheme="minorHAnsi"/>
          <w:sz w:val="22"/>
          <w:szCs w:val="22"/>
        </w:rPr>
        <w:t xml:space="preserve"> is the random intercept. </w:t>
      </w:r>
    </w:p>
    <w:p w14:paraId="65F67026" w14:textId="77777777" w:rsidR="004F2DCA" w:rsidRPr="00131E36" w:rsidRDefault="004F2DCA" w:rsidP="004F2DCA">
      <w:pPr>
        <w:pStyle w:val="StepsIndent"/>
        <w:spacing w:after="0" w:line="276" w:lineRule="auto"/>
        <w:ind w:left="0"/>
        <w:rPr>
          <w:rFonts w:asciiTheme="minorHAnsi" w:hAnsiTheme="minorHAnsi" w:cstheme="minorHAnsi"/>
          <w:sz w:val="22"/>
          <w:szCs w:val="22"/>
        </w:rPr>
      </w:pPr>
    </w:p>
    <w:p w14:paraId="3A394E9A" w14:textId="77777777" w:rsidR="004F2DCA" w:rsidRPr="00131E36" w:rsidRDefault="004F2DCA" w:rsidP="004F2DCA">
      <w:pPr>
        <w:pStyle w:val="StepsIndent"/>
        <w:spacing w:after="0" w:line="276" w:lineRule="auto"/>
        <w:rPr>
          <w:rFonts w:asciiTheme="minorHAnsi" w:hAnsiTheme="minorHAnsi" w:cstheme="minorHAnsi"/>
          <w:sz w:val="22"/>
          <w:szCs w:val="22"/>
        </w:rPr>
      </w:pPr>
      <w:r w:rsidRPr="00131E36">
        <w:rPr>
          <w:rStyle w:val="Style1"/>
          <w:rFonts w:eastAsia="Trebuchet MS" w:cstheme="minorHAnsi"/>
          <w:color w:val="auto"/>
          <w:szCs w:val="22"/>
        </w:rPr>
        <w:t xml:space="preserve">The expected number of discharges to community </w:t>
      </w:r>
      <w:r w:rsidRPr="00131E36">
        <w:rPr>
          <w:rFonts w:asciiTheme="minorHAnsi" w:hAnsiTheme="minorHAnsi" w:cstheme="minorHAnsi"/>
          <w:sz w:val="22"/>
          <w:szCs w:val="22"/>
        </w:rPr>
        <w:t xml:space="preserve">(i.e., denominator) </w:t>
      </w:r>
      <w:r w:rsidRPr="00131E36">
        <w:rPr>
          <w:rStyle w:val="Style1"/>
          <w:rFonts w:eastAsia="Trebuchet MS" w:cstheme="minorHAnsi"/>
          <w:color w:val="auto"/>
          <w:szCs w:val="22"/>
        </w:rPr>
        <w:t xml:space="preserve">is calculated as the sum of the predicted probability of discharges to community, but without the HH-specific effect </w:t>
      </w:r>
      <w:r w:rsidRPr="00131E36">
        <w:rPr>
          <w:rStyle w:val="Style1"/>
          <w:rFonts w:cstheme="minorHAnsi"/>
          <w:color w:val="auto"/>
          <w:szCs w:val="22"/>
        </w:rPr>
        <w:t>included in the predictions</w:t>
      </w:r>
      <w:r w:rsidRPr="00131E36">
        <w:rPr>
          <w:rStyle w:val="Style1"/>
          <w:rFonts w:eastAsia="Trebuchet MS" w:cstheme="minorHAnsi"/>
          <w:color w:val="auto"/>
          <w:szCs w:val="22"/>
        </w:rPr>
        <w:t>.</w:t>
      </w:r>
      <w:r w:rsidRPr="00131E36">
        <w:rPr>
          <w:rFonts w:asciiTheme="minorHAnsi" w:hAnsiTheme="minorHAnsi" w:cstheme="minorHAnsi"/>
          <w:sz w:val="22"/>
          <w:szCs w:val="22"/>
        </w:rPr>
        <w:t xml:space="preserve"> </w:t>
      </w:r>
      <w:r w:rsidRPr="00131E36">
        <w:rPr>
          <w:rStyle w:val="Style1"/>
          <w:rFonts w:cstheme="minorHAnsi"/>
          <w:color w:val="auto"/>
          <w:szCs w:val="22"/>
        </w:rPr>
        <w:t>This produces the expected number of discharges at the average HHA.</w:t>
      </w:r>
    </w:p>
    <w:p w14:paraId="438939E5" w14:textId="77777777" w:rsidR="004F2DCA" w:rsidRPr="00131E36" w:rsidRDefault="004F2DCA" w:rsidP="004F2DCA">
      <w:pPr>
        <w:pStyle w:val="StepsIndent"/>
        <w:spacing w:after="0" w:line="276" w:lineRule="auto"/>
        <w:rPr>
          <w:rFonts w:asciiTheme="minorHAnsi" w:hAnsiTheme="minorHAnsi" w:cstheme="minorHAnsi"/>
          <w:sz w:val="22"/>
          <w:szCs w:val="22"/>
        </w:rPr>
      </w:pPr>
      <w:r w:rsidRPr="00131E36">
        <w:rPr>
          <w:rFonts w:asciiTheme="minorHAnsi" w:hAnsiTheme="minorHAnsi" w:cstheme="minorHAnsi"/>
          <w:sz w:val="22"/>
          <w:szCs w:val="22"/>
        </w:rPr>
        <w:t>To calculate the expected number exp</w:t>
      </w:r>
      <w:r w:rsidRPr="00131E36">
        <w:rPr>
          <w:rFonts w:asciiTheme="minorHAnsi" w:hAnsiTheme="minorHAnsi" w:cstheme="minorHAnsi"/>
          <w:sz w:val="22"/>
          <w:szCs w:val="22"/>
          <w:vertAlign w:val="subscript"/>
        </w:rPr>
        <w:t>j</w:t>
      </w:r>
      <w:r w:rsidRPr="00131E36">
        <w:rPr>
          <w:rFonts w:asciiTheme="minorHAnsi" w:hAnsiTheme="minorHAnsi" w:cstheme="minorHAnsi"/>
          <w:sz w:val="22"/>
          <w:szCs w:val="22"/>
        </w:rPr>
        <w:t>, we used the following equation:</w:t>
      </w:r>
    </w:p>
    <w:p w14:paraId="027ED8C4" w14:textId="77777777" w:rsidR="004F2DCA" w:rsidRPr="00131E36" w:rsidRDefault="004F2DCA" w:rsidP="004F2DCA">
      <w:pPr>
        <w:pStyle w:val="equation"/>
        <w:spacing w:line="276" w:lineRule="auto"/>
        <w:rPr>
          <w:rFonts w:asciiTheme="minorHAnsi" w:eastAsia="Calibri" w:hAnsiTheme="minorHAnsi" w:cstheme="minorHAnsi"/>
          <w:spacing w:val="-1"/>
          <w:sz w:val="22"/>
          <w:szCs w:val="22"/>
        </w:rPr>
      </w:pPr>
      <w:r w:rsidRPr="00131E36">
        <w:rPr>
          <w:rFonts w:asciiTheme="minorHAnsi" w:hAnsiTheme="minorHAnsi" w:cstheme="minorHAnsi"/>
          <w:sz w:val="22"/>
          <w:szCs w:val="22"/>
        </w:rPr>
        <w:tab/>
        <w:t>exp</w:t>
      </w:r>
      <w:r w:rsidRPr="00131E36">
        <w:rPr>
          <w:rFonts w:asciiTheme="minorHAnsi" w:hAnsiTheme="minorHAnsi" w:cstheme="minorHAnsi"/>
          <w:sz w:val="22"/>
          <w:szCs w:val="22"/>
          <w:vertAlign w:val="subscript"/>
        </w:rPr>
        <w:t>j</w:t>
      </w:r>
      <w:r w:rsidRPr="00131E36">
        <w:rPr>
          <w:rFonts w:asciiTheme="minorHAnsi" w:hAnsiTheme="minorHAnsi" w:cstheme="minorHAnsi"/>
          <w:sz w:val="22"/>
          <w:szCs w:val="22"/>
        </w:rPr>
        <w:t xml:space="preserve"> = Σlogit</w:t>
      </w:r>
      <w:r w:rsidRPr="00131E36">
        <w:rPr>
          <w:rFonts w:asciiTheme="minorHAnsi" w:hAnsiTheme="minorHAnsi" w:cstheme="minorHAnsi"/>
          <w:sz w:val="22"/>
          <w:szCs w:val="22"/>
          <w:vertAlign w:val="superscript"/>
        </w:rPr>
        <w:t>-1</w:t>
      </w:r>
      <w:r w:rsidRPr="00131E36">
        <w:rPr>
          <w:rFonts w:asciiTheme="minorHAnsi" w:hAnsiTheme="minorHAnsi" w:cstheme="minorHAnsi"/>
          <w:sz w:val="22"/>
          <w:szCs w:val="22"/>
        </w:rPr>
        <w:t xml:space="preserve"> (</w:t>
      </w:r>
      <w:r w:rsidRPr="00131E36">
        <w:rPr>
          <w:rFonts w:asciiTheme="minorHAnsi" w:hAnsiTheme="minorHAnsi" w:cstheme="minorHAnsi"/>
          <w:spacing w:val="4"/>
          <w:sz w:val="22"/>
          <w:szCs w:val="22"/>
        </w:rPr>
        <w:sym w:font="Symbol" w:char="F06D"/>
      </w:r>
      <w:r w:rsidRPr="00131E36">
        <w:rPr>
          <w:rFonts w:asciiTheme="minorHAnsi" w:eastAsia="SymbolMT" w:hAnsiTheme="minorHAnsi" w:cstheme="minorHAnsi"/>
          <w:sz w:val="22"/>
          <w:szCs w:val="22"/>
        </w:rPr>
        <w:t xml:space="preserve"> </w:t>
      </w:r>
      <w:r w:rsidRPr="00131E36">
        <w:rPr>
          <w:rFonts w:asciiTheme="minorHAnsi" w:hAnsiTheme="minorHAnsi" w:cstheme="minorHAnsi"/>
          <w:sz w:val="22"/>
          <w:szCs w:val="22"/>
        </w:rPr>
        <w:t xml:space="preserve">+ </w:t>
      </w:r>
      <w:r w:rsidRPr="00131E36">
        <w:rPr>
          <w:rFonts w:asciiTheme="minorHAnsi" w:hAnsiTheme="minorHAnsi" w:cstheme="minorHAnsi"/>
          <w:spacing w:val="-1"/>
          <w:sz w:val="22"/>
          <w:szCs w:val="22"/>
        </w:rPr>
        <w:sym w:font="Symbol" w:char="F062"/>
      </w:r>
      <w:r w:rsidRPr="00131E36">
        <w:rPr>
          <w:rFonts w:asciiTheme="minorHAnsi" w:hAnsiTheme="minorHAnsi" w:cstheme="minorHAnsi"/>
          <w:spacing w:val="-1"/>
          <w:sz w:val="22"/>
          <w:szCs w:val="22"/>
        </w:rPr>
        <w:t>*Z</w:t>
      </w:r>
      <w:r w:rsidRPr="00131E36">
        <w:rPr>
          <w:rFonts w:asciiTheme="minorHAnsi" w:hAnsiTheme="minorHAnsi" w:cstheme="minorHAnsi"/>
          <w:spacing w:val="-1"/>
          <w:sz w:val="22"/>
          <w:szCs w:val="22"/>
          <w:vertAlign w:val="subscript"/>
        </w:rPr>
        <w:t>ij</w:t>
      </w:r>
      <w:r w:rsidRPr="00131E36">
        <w:rPr>
          <w:rFonts w:asciiTheme="minorHAnsi" w:hAnsiTheme="minorHAnsi" w:cstheme="minorHAnsi"/>
          <w:sz w:val="22"/>
          <w:szCs w:val="22"/>
        </w:rPr>
        <w:t>)</w:t>
      </w:r>
      <w:r w:rsidRPr="00131E36">
        <w:rPr>
          <w:rFonts w:asciiTheme="minorHAnsi" w:hAnsiTheme="minorHAnsi" w:cstheme="minorHAnsi"/>
          <w:spacing w:val="-9"/>
          <w:sz w:val="22"/>
          <w:szCs w:val="22"/>
        </w:rPr>
        <w:tab/>
      </w:r>
      <w:r w:rsidRPr="00131E36">
        <w:rPr>
          <w:rFonts w:asciiTheme="minorHAnsi" w:hAnsiTheme="minorHAnsi" w:cstheme="minorHAnsi"/>
          <w:sz w:val="22"/>
          <w:szCs w:val="22"/>
        </w:rPr>
        <w:t>(</w:t>
      </w:r>
      <w:r w:rsidRPr="00131E36">
        <w:rPr>
          <w:rFonts w:asciiTheme="minorHAnsi" w:hAnsiTheme="minorHAnsi" w:cstheme="minorHAnsi"/>
          <w:sz w:val="22"/>
          <w:szCs w:val="22"/>
        </w:rPr>
        <w:fldChar w:fldCharType="begin"/>
      </w:r>
      <w:r w:rsidRPr="00131E36">
        <w:rPr>
          <w:rFonts w:asciiTheme="minorHAnsi" w:hAnsiTheme="minorHAnsi" w:cstheme="minorHAnsi"/>
          <w:sz w:val="22"/>
          <w:szCs w:val="22"/>
        </w:rPr>
        <w:instrText xml:space="preserve"> SEQ Equation \* ARABIC </w:instrText>
      </w:r>
      <w:r w:rsidRPr="00131E36">
        <w:rPr>
          <w:rFonts w:asciiTheme="minorHAnsi" w:hAnsiTheme="minorHAnsi" w:cstheme="minorHAnsi"/>
          <w:sz w:val="22"/>
          <w:szCs w:val="22"/>
        </w:rPr>
        <w:fldChar w:fldCharType="separate"/>
      </w:r>
      <w:r w:rsidRPr="00131E36">
        <w:rPr>
          <w:rFonts w:asciiTheme="minorHAnsi" w:hAnsiTheme="minorHAnsi" w:cstheme="minorHAnsi"/>
          <w:noProof/>
          <w:sz w:val="22"/>
          <w:szCs w:val="22"/>
        </w:rPr>
        <w:t>3</w:t>
      </w:r>
      <w:r w:rsidRPr="00131E36">
        <w:rPr>
          <w:rFonts w:asciiTheme="minorHAnsi" w:hAnsiTheme="minorHAnsi" w:cstheme="minorHAnsi"/>
          <w:sz w:val="22"/>
          <w:szCs w:val="22"/>
        </w:rPr>
        <w:fldChar w:fldCharType="end"/>
      </w:r>
      <w:r w:rsidRPr="00131E36">
        <w:rPr>
          <w:rFonts w:asciiTheme="minorHAnsi" w:hAnsiTheme="minorHAnsi" w:cstheme="minorHAnsi"/>
          <w:sz w:val="22"/>
          <w:szCs w:val="22"/>
        </w:rPr>
        <w:t>)</w:t>
      </w:r>
    </w:p>
    <w:p w14:paraId="574E911F" w14:textId="77777777" w:rsidR="004F2DCA" w:rsidRPr="00131E36" w:rsidRDefault="004F2DCA" w:rsidP="004F2DCA">
      <w:pPr>
        <w:pStyle w:val="Steps"/>
        <w:spacing w:line="276" w:lineRule="auto"/>
        <w:rPr>
          <w:rFonts w:asciiTheme="minorHAnsi" w:eastAsia="Trebuchet MS" w:hAnsiTheme="minorHAnsi" w:cstheme="minorHAnsi"/>
          <w:sz w:val="22"/>
          <w:szCs w:val="22"/>
        </w:rPr>
      </w:pPr>
      <w:r w:rsidRPr="00906079">
        <w:rPr>
          <w:rFonts w:asciiTheme="minorHAnsi" w:eastAsia="Trebuchet MS" w:hAnsiTheme="minorHAnsi" w:cstheme="minorHAnsi"/>
          <w:b/>
          <w:i/>
          <w:iCs/>
          <w:sz w:val="22"/>
          <w:szCs w:val="22"/>
        </w:rPr>
        <w:t>Step 5:</w:t>
      </w:r>
      <w:r w:rsidRPr="00131E36">
        <w:rPr>
          <w:rFonts w:asciiTheme="minorHAnsi" w:eastAsia="Trebuchet MS" w:hAnsiTheme="minorHAnsi" w:cstheme="minorHAnsi"/>
          <w:i/>
          <w:iCs/>
          <w:sz w:val="22"/>
          <w:szCs w:val="22"/>
        </w:rPr>
        <w:t xml:space="preserve"> </w:t>
      </w:r>
      <w:r w:rsidRPr="00131E36">
        <w:rPr>
          <w:rFonts w:asciiTheme="minorHAnsi" w:hAnsiTheme="minorHAnsi" w:cstheme="minorHAnsi"/>
          <w:i/>
          <w:iCs/>
          <w:sz w:val="22"/>
          <w:szCs w:val="22"/>
        </w:rPr>
        <w:tab/>
      </w:r>
      <w:r w:rsidRPr="00131E36">
        <w:rPr>
          <w:rFonts w:asciiTheme="minorHAnsi" w:eastAsia="Trebuchet MS" w:hAnsiTheme="minorHAnsi" w:cstheme="minorHAnsi"/>
          <w:sz w:val="22"/>
          <w:szCs w:val="22"/>
        </w:rPr>
        <w:t>Calculate the standardized risk ratio for each HHA, as the ratio of the predicted to expected number of discharges to community.</w:t>
      </w:r>
    </w:p>
    <w:p w14:paraId="7C223BC2" w14:textId="77777777" w:rsidR="004F2DCA" w:rsidRPr="00131E36" w:rsidRDefault="004F2DCA" w:rsidP="004F2DCA">
      <w:pPr>
        <w:pStyle w:val="StepsIndent"/>
        <w:spacing w:after="0" w:line="276" w:lineRule="auto"/>
        <w:rPr>
          <w:rFonts w:asciiTheme="minorHAnsi" w:hAnsiTheme="minorHAnsi" w:cstheme="minorHAnsi"/>
          <w:sz w:val="22"/>
          <w:szCs w:val="22"/>
        </w:rPr>
      </w:pPr>
      <w:r w:rsidRPr="00131E36">
        <w:rPr>
          <w:rFonts w:asciiTheme="minorHAnsi" w:hAnsiTheme="minorHAnsi" w:cstheme="minorHAnsi"/>
          <w:sz w:val="22"/>
          <w:szCs w:val="22"/>
        </w:rPr>
        <w:t>To calculate the HHA-wide standardized risk ratio, SRR</w:t>
      </w:r>
      <w:r w:rsidRPr="00131E36">
        <w:rPr>
          <w:rFonts w:asciiTheme="minorHAnsi" w:hAnsiTheme="minorHAnsi" w:cstheme="minorHAnsi"/>
          <w:sz w:val="22"/>
          <w:szCs w:val="22"/>
          <w:vertAlign w:val="subscript"/>
        </w:rPr>
        <w:t>j</w:t>
      </w:r>
      <w:r w:rsidRPr="00131E36">
        <w:rPr>
          <w:rFonts w:asciiTheme="minorHAnsi" w:hAnsiTheme="minorHAnsi" w:cstheme="minorHAnsi"/>
          <w:sz w:val="22"/>
          <w:szCs w:val="22"/>
        </w:rPr>
        <w:t>, we used the following equation:</w:t>
      </w:r>
    </w:p>
    <w:p w14:paraId="485B8F17" w14:textId="77777777" w:rsidR="004F2DCA" w:rsidRPr="00131E36" w:rsidRDefault="004F2DCA" w:rsidP="004F2DCA">
      <w:pPr>
        <w:pStyle w:val="equation"/>
        <w:spacing w:line="276" w:lineRule="auto"/>
        <w:rPr>
          <w:rFonts w:asciiTheme="minorHAnsi" w:hAnsiTheme="minorHAnsi" w:cstheme="minorHAnsi"/>
          <w:sz w:val="22"/>
          <w:szCs w:val="22"/>
        </w:rPr>
      </w:pPr>
      <w:r w:rsidRPr="00131E36">
        <w:rPr>
          <w:rFonts w:asciiTheme="minorHAnsi" w:hAnsiTheme="minorHAnsi" w:cstheme="minorHAnsi"/>
          <w:sz w:val="22"/>
          <w:szCs w:val="22"/>
        </w:rPr>
        <w:tab/>
        <w:t>SRR</w:t>
      </w:r>
      <w:r w:rsidRPr="00131E36">
        <w:rPr>
          <w:rFonts w:asciiTheme="minorHAnsi" w:hAnsiTheme="minorHAnsi" w:cstheme="minorHAnsi"/>
          <w:sz w:val="22"/>
          <w:szCs w:val="22"/>
          <w:vertAlign w:val="subscript"/>
        </w:rPr>
        <w:t>j</w:t>
      </w:r>
      <w:r w:rsidRPr="00131E36">
        <w:rPr>
          <w:rFonts w:asciiTheme="minorHAnsi" w:hAnsiTheme="minorHAnsi" w:cstheme="minorHAnsi"/>
          <w:sz w:val="22"/>
          <w:szCs w:val="22"/>
        </w:rPr>
        <w:t xml:space="preserve"> = pred</w:t>
      </w:r>
      <w:r w:rsidRPr="00131E36">
        <w:rPr>
          <w:rFonts w:asciiTheme="minorHAnsi" w:hAnsiTheme="minorHAnsi" w:cstheme="minorHAnsi"/>
          <w:sz w:val="22"/>
          <w:szCs w:val="22"/>
          <w:vertAlign w:val="subscript"/>
        </w:rPr>
        <w:t>j</w:t>
      </w:r>
      <w:r w:rsidRPr="00131E36">
        <w:rPr>
          <w:rFonts w:asciiTheme="minorHAnsi" w:hAnsiTheme="minorHAnsi" w:cstheme="minorHAnsi"/>
          <w:sz w:val="22"/>
          <w:szCs w:val="22"/>
        </w:rPr>
        <w:t>/exp</w:t>
      </w:r>
      <w:r w:rsidRPr="00131E36">
        <w:rPr>
          <w:rFonts w:asciiTheme="minorHAnsi" w:hAnsiTheme="minorHAnsi" w:cstheme="minorHAnsi"/>
          <w:sz w:val="22"/>
          <w:szCs w:val="22"/>
          <w:vertAlign w:val="subscript"/>
        </w:rPr>
        <w:t>j</w:t>
      </w:r>
      <w:r w:rsidRPr="00131E36">
        <w:rPr>
          <w:rFonts w:asciiTheme="minorHAnsi" w:hAnsiTheme="minorHAnsi" w:cstheme="minorHAnsi"/>
          <w:sz w:val="22"/>
          <w:szCs w:val="22"/>
        </w:rPr>
        <w:tab/>
        <w:t>(</w:t>
      </w:r>
      <w:r w:rsidRPr="00131E36">
        <w:rPr>
          <w:rFonts w:asciiTheme="minorHAnsi" w:hAnsiTheme="minorHAnsi" w:cstheme="minorHAnsi"/>
          <w:sz w:val="22"/>
          <w:szCs w:val="22"/>
        </w:rPr>
        <w:fldChar w:fldCharType="begin"/>
      </w:r>
      <w:r w:rsidRPr="00131E36">
        <w:rPr>
          <w:rFonts w:asciiTheme="minorHAnsi" w:hAnsiTheme="minorHAnsi" w:cstheme="minorHAnsi"/>
          <w:sz w:val="22"/>
          <w:szCs w:val="22"/>
        </w:rPr>
        <w:instrText xml:space="preserve"> SEQ Equation \* ARABIC </w:instrText>
      </w:r>
      <w:r w:rsidRPr="00131E36">
        <w:rPr>
          <w:rFonts w:asciiTheme="minorHAnsi" w:hAnsiTheme="minorHAnsi" w:cstheme="minorHAnsi"/>
          <w:sz w:val="22"/>
          <w:szCs w:val="22"/>
        </w:rPr>
        <w:fldChar w:fldCharType="separate"/>
      </w:r>
      <w:r w:rsidRPr="00131E36">
        <w:rPr>
          <w:rFonts w:asciiTheme="minorHAnsi" w:hAnsiTheme="minorHAnsi" w:cstheme="minorHAnsi"/>
          <w:noProof/>
          <w:sz w:val="22"/>
          <w:szCs w:val="22"/>
        </w:rPr>
        <w:t>4</w:t>
      </w:r>
      <w:r w:rsidRPr="00131E36">
        <w:rPr>
          <w:rFonts w:asciiTheme="minorHAnsi" w:hAnsiTheme="minorHAnsi" w:cstheme="minorHAnsi"/>
          <w:sz w:val="22"/>
          <w:szCs w:val="22"/>
        </w:rPr>
        <w:fldChar w:fldCharType="end"/>
      </w:r>
      <w:r w:rsidRPr="00131E36">
        <w:rPr>
          <w:rFonts w:asciiTheme="minorHAnsi" w:hAnsiTheme="minorHAnsi" w:cstheme="minorHAnsi"/>
          <w:sz w:val="22"/>
          <w:szCs w:val="22"/>
        </w:rPr>
        <w:t>)</w:t>
      </w:r>
    </w:p>
    <w:p w14:paraId="7B8D4AE1" w14:textId="77777777" w:rsidR="004F2DCA" w:rsidRPr="00131E36" w:rsidRDefault="004F2DCA" w:rsidP="004F2DCA">
      <w:pPr>
        <w:pStyle w:val="Steps"/>
        <w:spacing w:line="276" w:lineRule="auto"/>
        <w:rPr>
          <w:rFonts w:asciiTheme="minorHAnsi" w:eastAsia="Trebuchet MS" w:hAnsiTheme="minorHAnsi" w:cstheme="minorHAnsi"/>
          <w:sz w:val="22"/>
          <w:szCs w:val="22"/>
        </w:rPr>
      </w:pPr>
      <w:r w:rsidRPr="00906079">
        <w:rPr>
          <w:rFonts w:asciiTheme="minorHAnsi" w:eastAsia="Trebuchet MS" w:hAnsiTheme="minorHAnsi" w:cstheme="minorHAnsi"/>
          <w:b/>
          <w:i/>
          <w:iCs/>
          <w:sz w:val="22"/>
          <w:szCs w:val="22"/>
        </w:rPr>
        <w:t>Step 6:</w:t>
      </w:r>
      <w:r w:rsidRPr="00131E36">
        <w:rPr>
          <w:rFonts w:asciiTheme="minorHAnsi" w:eastAsia="Trebuchet MS" w:hAnsiTheme="minorHAnsi" w:cstheme="minorHAnsi"/>
          <w:i/>
          <w:iCs/>
          <w:sz w:val="22"/>
          <w:szCs w:val="22"/>
        </w:rPr>
        <w:t xml:space="preserve"> </w:t>
      </w:r>
      <w:r w:rsidRPr="00131E36">
        <w:rPr>
          <w:rFonts w:asciiTheme="minorHAnsi" w:hAnsiTheme="minorHAnsi" w:cstheme="minorHAnsi"/>
          <w:i/>
          <w:iCs/>
          <w:sz w:val="22"/>
          <w:szCs w:val="22"/>
        </w:rPr>
        <w:tab/>
      </w:r>
      <w:r w:rsidRPr="00131E36">
        <w:rPr>
          <w:rFonts w:asciiTheme="minorHAnsi" w:eastAsia="Trebuchet MS" w:hAnsiTheme="minorHAnsi" w:cstheme="minorHAnsi"/>
          <w:sz w:val="22"/>
          <w:szCs w:val="22"/>
        </w:rPr>
        <w:t>Calculate the risk-standardized discharge to community rate for each HHA.</w:t>
      </w:r>
    </w:p>
    <w:p w14:paraId="767E9EA8" w14:textId="77777777" w:rsidR="004F2DCA" w:rsidRPr="00131E36" w:rsidRDefault="004F2DCA" w:rsidP="004F2DCA">
      <w:pPr>
        <w:pStyle w:val="StepsIndent"/>
        <w:spacing w:line="276" w:lineRule="auto"/>
        <w:rPr>
          <w:rFonts w:asciiTheme="minorHAnsi" w:hAnsiTheme="minorHAnsi" w:cstheme="minorHAnsi"/>
          <w:bCs/>
          <w:sz w:val="22"/>
          <w:szCs w:val="22"/>
        </w:rPr>
      </w:pPr>
      <w:r w:rsidRPr="00131E36">
        <w:rPr>
          <w:rFonts w:asciiTheme="minorHAnsi" w:hAnsiTheme="minorHAnsi" w:cstheme="minorHAnsi"/>
          <w:sz w:val="22"/>
          <w:szCs w:val="22"/>
        </w:rPr>
        <w:t>To aid interpretation, the HHA-wide standardized risk ratio, SRR</w:t>
      </w:r>
      <w:r w:rsidRPr="00131E36">
        <w:rPr>
          <w:rFonts w:asciiTheme="minorHAnsi" w:hAnsiTheme="minorHAnsi" w:cstheme="minorHAnsi"/>
          <w:sz w:val="22"/>
          <w:szCs w:val="22"/>
          <w:vertAlign w:val="subscript"/>
        </w:rPr>
        <w:t>j</w:t>
      </w:r>
      <w:r w:rsidRPr="00131E36">
        <w:rPr>
          <w:rFonts w:asciiTheme="minorHAnsi" w:hAnsiTheme="minorHAnsi" w:cstheme="minorHAnsi"/>
          <w:sz w:val="22"/>
          <w:szCs w:val="22"/>
        </w:rPr>
        <w:t>, obtained from equation (4) is then multiplied by the overall national raw discharge to community rate for all HH stays, Ῡ, to produce the HHA-wide risk-standardized discharge to community rate (RSR</w:t>
      </w:r>
      <w:r w:rsidRPr="00131E36">
        <w:rPr>
          <w:rFonts w:asciiTheme="minorHAnsi" w:hAnsiTheme="minorHAnsi" w:cstheme="minorHAnsi"/>
          <w:sz w:val="22"/>
          <w:szCs w:val="22"/>
          <w:vertAlign w:val="subscript"/>
        </w:rPr>
        <w:t>j</w:t>
      </w:r>
      <w:r w:rsidRPr="00131E36">
        <w:rPr>
          <w:rFonts w:asciiTheme="minorHAnsi" w:hAnsiTheme="minorHAnsi" w:cstheme="minorHAnsi"/>
          <w:sz w:val="22"/>
          <w:szCs w:val="22"/>
        </w:rPr>
        <w:t>).</w:t>
      </w:r>
    </w:p>
    <w:p w14:paraId="72999C39" w14:textId="77777777" w:rsidR="004F2DCA" w:rsidRPr="00131E36" w:rsidRDefault="004F2DCA" w:rsidP="004F2DCA">
      <w:pPr>
        <w:pStyle w:val="StepsIndent"/>
        <w:spacing w:after="0" w:line="276" w:lineRule="auto"/>
        <w:rPr>
          <w:rFonts w:asciiTheme="minorHAnsi" w:eastAsia="Trebuchet MS" w:hAnsiTheme="minorHAnsi" w:cstheme="minorHAnsi"/>
          <w:sz w:val="22"/>
          <w:szCs w:val="22"/>
        </w:rPr>
      </w:pPr>
      <w:r w:rsidRPr="00131E36">
        <w:rPr>
          <w:rFonts w:asciiTheme="minorHAnsi" w:eastAsia="Trebuchet MS" w:hAnsiTheme="minorHAnsi" w:cstheme="minorHAnsi"/>
          <w:sz w:val="22"/>
          <w:szCs w:val="22"/>
        </w:rPr>
        <w:t>To calculate the risk-standardized discharge to community rate for each HHA, we used the following equation:</w:t>
      </w:r>
    </w:p>
    <w:p w14:paraId="0A0B2707" w14:textId="77777777" w:rsidR="004F2DCA" w:rsidRPr="00131E36" w:rsidRDefault="004F2DCA" w:rsidP="004F2DCA">
      <w:pPr>
        <w:pStyle w:val="equation"/>
        <w:spacing w:line="276" w:lineRule="auto"/>
        <w:rPr>
          <w:rFonts w:asciiTheme="minorHAnsi" w:hAnsiTheme="minorHAnsi" w:cstheme="minorHAnsi"/>
          <w:sz w:val="22"/>
          <w:szCs w:val="22"/>
        </w:rPr>
      </w:pPr>
      <w:r w:rsidRPr="00131E36">
        <w:rPr>
          <w:rFonts w:asciiTheme="minorHAnsi" w:hAnsiTheme="minorHAnsi" w:cstheme="minorHAnsi"/>
          <w:sz w:val="22"/>
          <w:szCs w:val="22"/>
        </w:rPr>
        <w:tab/>
        <w:t>RSR</w:t>
      </w:r>
      <w:r w:rsidRPr="00131E36">
        <w:rPr>
          <w:rFonts w:asciiTheme="minorHAnsi" w:hAnsiTheme="minorHAnsi" w:cstheme="minorHAnsi"/>
          <w:sz w:val="22"/>
          <w:szCs w:val="22"/>
          <w:vertAlign w:val="subscript"/>
        </w:rPr>
        <w:t>j</w:t>
      </w:r>
      <w:r w:rsidRPr="00131E36">
        <w:rPr>
          <w:rFonts w:asciiTheme="minorHAnsi" w:hAnsiTheme="minorHAnsi" w:cstheme="minorHAnsi"/>
          <w:sz w:val="22"/>
          <w:szCs w:val="22"/>
        </w:rPr>
        <w:t xml:space="preserve"> = SRR</w:t>
      </w:r>
      <w:r w:rsidRPr="00131E36">
        <w:rPr>
          <w:rFonts w:asciiTheme="minorHAnsi" w:hAnsiTheme="minorHAnsi" w:cstheme="minorHAnsi"/>
          <w:sz w:val="22"/>
          <w:szCs w:val="22"/>
          <w:vertAlign w:val="subscript"/>
        </w:rPr>
        <w:t>j</w:t>
      </w:r>
      <w:r w:rsidRPr="00131E36">
        <w:rPr>
          <w:rFonts w:asciiTheme="minorHAnsi" w:hAnsiTheme="minorHAnsi" w:cstheme="minorHAnsi"/>
          <w:sz w:val="22"/>
          <w:szCs w:val="22"/>
        </w:rPr>
        <w:t>*</w:t>
      </w:r>
      <w:r w:rsidRPr="00131E36">
        <w:rPr>
          <w:rFonts w:asciiTheme="minorHAnsi" w:hAnsiTheme="minorHAnsi" w:cstheme="minorHAnsi"/>
          <w:spacing w:val="-1"/>
          <w:sz w:val="22"/>
          <w:szCs w:val="22"/>
        </w:rPr>
        <w:t>Ῡ</w:t>
      </w:r>
      <w:r w:rsidRPr="00131E36">
        <w:rPr>
          <w:rFonts w:asciiTheme="minorHAnsi" w:hAnsiTheme="minorHAnsi" w:cstheme="minorHAnsi"/>
          <w:spacing w:val="-1"/>
          <w:sz w:val="22"/>
          <w:szCs w:val="22"/>
        </w:rPr>
        <w:tab/>
      </w:r>
      <w:r w:rsidRPr="00131E36">
        <w:rPr>
          <w:rFonts w:asciiTheme="minorHAnsi" w:hAnsiTheme="minorHAnsi" w:cstheme="minorHAnsi"/>
          <w:sz w:val="22"/>
          <w:szCs w:val="22"/>
        </w:rPr>
        <w:t>(</w:t>
      </w:r>
      <w:r w:rsidRPr="00131E36">
        <w:rPr>
          <w:rFonts w:asciiTheme="minorHAnsi" w:hAnsiTheme="minorHAnsi" w:cstheme="minorHAnsi"/>
          <w:sz w:val="22"/>
          <w:szCs w:val="22"/>
        </w:rPr>
        <w:fldChar w:fldCharType="begin"/>
      </w:r>
      <w:r w:rsidRPr="00131E36">
        <w:rPr>
          <w:rFonts w:asciiTheme="minorHAnsi" w:hAnsiTheme="minorHAnsi" w:cstheme="minorHAnsi"/>
          <w:sz w:val="22"/>
          <w:szCs w:val="22"/>
        </w:rPr>
        <w:instrText xml:space="preserve"> SEQ Equation \* ARABIC </w:instrText>
      </w:r>
      <w:r w:rsidRPr="00131E36">
        <w:rPr>
          <w:rFonts w:asciiTheme="minorHAnsi" w:hAnsiTheme="minorHAnsi" w:cstheme="minorHAnsi"/>
          <w:sz w:val="22"/>
          <w:szCs w:val="22"/>
        </w:rPr>
        <w:fldChar w:fldCharType="separate"/>
      </w:r>
      <w:r w:rsidRPr="00131E36">
        <w:rPr>
          <w:rFonts w:asciiTheme="minorHAnsi" w:hAnsiTheme="minorHAnsi" w:cstheme="minorHAnsi"/>
          <w:noProof/>
          <w:sz w:val="22"/>
          <w:szCs w:val="22"/>
        </w:rPr>
        <w:t>5</w:t>
      </w:r>
      <w:r w:rsidRPr="00131E36">
        <w:rPr>
          <w:rFonts w:asciiTheme="minorHAnsi" w:hAnsiTheme="minorHAnsi" w:cstheme="minorHAnsi"/>
          <w:sz w:val="22"/>
          <w:szCs w:val="22"/>
        </w:rPr>
        <w:fldChar w:fldCharType="end"/>
      </w:r>
      <w:r w:rsidRPr="00131E36">
        <w:rPr>
          <w:rFonts w:asciiTheme="minorHAnsi" w:hAnsiTheme="minorHAnsi" w:cstheme="minorHAnsi"/>
          <w:sz w:val="22"/>
          <w:szCs w:val="22"/>
        </w:rPr>
        <w:t>)</w:t>
      </w:r>
    </w:p>
    <w:p w14:paraId="7A7CF44A" w14:textId="68E4F5CE" w:rsidR="00131E36" w:rsidRPr="00131E36" w:rsidRDefault="004F2DCA" w:rsidP="004F2DCA">
      <w:pPr>
        <w:pStyle w:val="NOTE"/>
        <w:spacing w:line="276" w:lineRule="auto"/>
        <w:rPr>
          <w:rFonts w:asciiTheme="minorHAnsi" w:eastAsia="Trebuchet MS" w:hAnsiTheme="minorHAnsi" w:cstheme="minorHAnsi"/>
          <w:sz w:val="22"/>
          <w:szCs w:val="22"/>
        </w:rPr>
      </w:pPr>
      <w:r>
        <w:rPr>
          <w:rFonts w:asciiTheme="minorHAnsi" w:eastAsia="Trebuchet MS" w:hAnsiTheme="minorHAnsi" w:cstheme="minorHAnsi"/>
          <w:sz w:val="22"/>
          <w:szCs w:val="22"/>
        </w:rPr>
        <w:t>The</w:t>
      </w:r>
      <w:r w:rsidRPr="00131E36">
        <w:rPr>
          <w:rFonts w:asciiTheme="minorHAnsi" w:eastAsia="Trebuchet MS" w:hAnsiTheme="minorHAnsi" w:cstheme="minorHAnsi"/>
          <w:sz w:val="22"/>
          <w:szCs w:val="22"/>
        </w:rPr>
        <w:t xml:space="preserve"> DTC-PAC HHA measure is specific to HHA providers only.</w:t>
      </w:r>
    </w:p>
    <w:p w14:paraId="3C48C44E" w14:textId="77777777" w:rsidR="00084156" w:rsidRPr="00DC352C" w:rsidRDefault="00084156" w:rsidP="00DC352C">
      <w:pPr>
        <w:rPr>
          <w:rFonts w:cs="Calibri"/>
          <w:bCs/>
          <w:color w:val="C00000"/>
        </w:rPr>
      </w:pPr>
    </w:p>
    <w:p w14:paraId="222CEC71" w14:textId="77777777" w:rsidR="006729CB" w:rsidRDefault="009C7513" w:rsidP="009D3882">
      <w:pPr>
        <w:rPr>
          <w:rFonts w:cs="Calibri"/>
          <w:bCs/>
        </w:rPr>
      </w:pPr>
      <w:r>
        <w:rPr>
          <w:rFonts w:cs="Calibri"/>
          <w:b/>
          <w:bCs/>
        </w:rPr>
        <w:t>2b3</w:t>
      </w:r>
      <w:r w:rsidR="009D3882">
        <w:rPr>
          <w:rFonts w:cs="Calibri"/>
          <w:b/>
          <w:bCs/>
        </w:rPr>
        <w:t xml:space="preserve">.2. If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p>
    <w:p w14:paraId="31B276F0" w14:textId="77777777" w:rsidR="00DC1585" w:rsidRDefault="006729CB" w:rsidP="00AF2D68">
      <w:pPr>
        <w:rPr>
          <w:rFonts w:cs="Calibri"/>
          <w:bCs/>
        </w:rPr>
      </w:pPr>
      <w:r w:rsidRPr="00DC1585">
        <w:rPr>
          <w:rFonts w:cs="Calibri"/>
          <w:bCs/>
        </w:rPr>
        <w:t>Not applicable</w:t>
      </w:r>
      <w:r w:rsidR="00DC1585" w:rsidRPr="00DC1585">
        <w:rPr>
          <w:rFonts w:cs="Calibri"/>
          <w:bCs/>
        </w:rPr>
        <w:t>.</w:t>
      </w:r>
    </w:p>
    <w:p w14:paraId="6E9A70E7" w14:textId="0B06B17A" w:rsidR="00C423B6" w:rsidRDefault="009C7513" w:rsidP="00AF2D68">
      <w:pPr>
        <w:rPr>
          <w:rFonts w:cstheme="minorHAnsi"/>
          <w:bCs/>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p>
    <w:p w14:paraId="66DA9A92" w14:textId="77777777" w:rsidR="008F3477" w:rsidRPr="00D860A1" w:rsidRDefault="008F3477" w:rsidP="008F3477">
      <w:pPr>
        <w:rPr>
          <w:b/>
        </w:rPr>
      </w:pPr>
      <w:r w:rsidRPr="00D860A1">
        <w:rPr>
          <w:b/>
        </w:rPr>
        <w:t>Conceptual rationale for risk factor selection</w:t>
      </w:r>
    </w:p>
    <w:p w14:paraId="6B68B438" w14:textId="77777777" w:rsidR="008F3477" w:rsidRDefault="008F3477" w:rsidP="008F3477">
      <w:r w:rsidRPr="004351DA">
        <w:t>The goal of risk adjustment is to account for differences across facilities in patient demographic and clinical characteristics that might be related to the outco</w:t>
      </w:r>
      <w:r>
        <w:t>me but exist at or prior to HH</w:t>
      </w:r>
      <w:r w:rsidRPr="004351DA">
        <w:t xml:space="preserve"> admission, such that differences in performance measure scores can be attributed to differences in quality of care rather than case-mix. Our model </w:t>
      </w:r>
      <w:r w:rsidRPr="004351DA">
        <w:lastRenderedPageBreak/>
        <w:t xml:space="preserve">includes clinical characteristics present at </w:t>
      </w:r>
      <w:r>
        <w:t>HH</w:t>
      </w:r>
      <w:r w:rsidRPr="004351DA">
        <w:t xml:space="preserve"> admission and during the prior acute hospitalization in the past 30 days, and certain comorbidities from acute care hospitalizations in the year preceding </w:t>
      </w:r>
      <w:r>
        <w:t>HH</w:t>
      </w:r>
      <w:r w:rsidRPr="004351DA">
        <w:t xml:space="preserve"> admission</w:t>
      </w:r>
      <w:r>
        <w:t>.</w:t>
      </w:r>
    </w:p>
    <w:p w14:paraId="2AD6B8BD" w14:textId="77777777" w:rsidR="008F3477" w:rsidRDefault="008F3477" w:rsidP="008F3477">
      <w:pPr>
        <w:rPr>
          <w:rFonts w:cstheme="minorHAnsi"/>
          <w:spacing w:val="-1"/>
        </w:rPr>
      </w:pPr>
      <w:r w:rsidRPr="005029B4">
        <w:rPr>
          <w:rFonts w:cstheme="minorHAnsi"/>
        </w:rPr>
        <w:t xml:space="preserve">Variables such as </w:t>
      </w:r>
      <w:r w:rsidRPr="005029B4">
        <w:rPr>
          <w:rFonts w:cstheme="minorHAnsi"/>
          <w:spacing w:val="-1"/>
        </w:rPr>
        <w:t xml:space="preserve">race or ethnicity are often not included as </w:t>
      </w:r>
      <w:r>
        <w:rPr>
          <w:rFonts w:cstheme="minorHAnsi"/>
          <w:spacing w:val="-1"/>
        </w:rPr>
        <w:t xml:space="preserve">risk </w:t>
      </w:r>
      <w:r w:rsidRPr="005029B4">
        <w:rPr>
          <w:rFonts w:cstheme="minorHAnsi"/>
          <w:spacing w:val="-1"/>
        </w:rPr>
        <w:t xml:space="preserve">adjustment variables in models because the standards of care should not vary across demographic markers for vulnerability to disparities in health outcomes and receipt of quality care. However, for some outcomes, an argument can be made that some of these markers (sex and age) are also associated with demonstrated clinical/physiologic differences that can determine risk at the time the patient enters the </w:t>
      </w:r>
      <w:r>
        <w:rPr>
          <w:rFonts w:cstheme="minorHAnsi"/>
          <w:spacing w:val="-1"/>
        </w:rPr>
        <w:t>HHA</w:t>
      </w:r>
      <w:r w:rsidRPr="005029B4">
        <w:rPr>
          <w:rFonts w:cstheme="minorHAnsi"/>
          <w:spacing w:val="-1"/>
        </w:rPr>
        <w:t>; thus, we adjust for age-sex groups in our model</w:t>
      </w:r>
      <w:r>
        <w:rPr>
          <w:rFonts w:cstheme="minorHAnsi"/>
          <w:spacing w:val="-1"/>
        </w:rPr>
        <w:t>.</w:t>
      </w:r>
    </w:p>
    <w:p w14:paraId="0A79EFD3" w14:textId="77777777" w:rsidR="008F3477" w:rsidRDefault="008F3477" w:rsidP="008F3477">
      <w:pPr>
        <w:rPr>
          <w:rFonts w:cstheme="minorHAnsi"/>
          <w:bCs/>
        </w:rPr>
      </w:pPr>
      <w:r w:rsidRPr="00C47A80">
        <w:rPr>
          <w:rFonts w:cstheme="minorHAnsi"/>
          <w:spacing w:val="-1"/>
        </w:rPr>
        <w:t>Several risk adjusters used in ou</w:t>
      </w:r>
      <w:r>
        <w:rPr>
          <w:rFonts w:cstheme="minorHAnsi"/>
          <w:spacing w:val="-1"/>
        </w:rPr>
        <w:t xml:space="preserve">r model were found useful in other </w:t>
      </w:r>
      <w:r w:rsidRPr="00C47A80">
        <w:rPr>
          <w:rFonts w:cstheme="minorHAnsi"/>
          <w:spacing w:val="-1"/>
        </w:rPr>
        <w:t xml:space="preserve">inpatient PAC settings. Age has frequently been found to be associated with discharge destination, with younger patients being more likely to be </w:t>
      </w:r>
      <w:r>
        <w:rPr>
          <w:rFonts w:cstheme="minorHAnsi"/>
          <w:spacing w:val="-1"/>
        </w:rPr>
        <w:t>discharged to the community.</w:t>
      </w:r>
      <w:r w:rsidRPr="00C607B5">
        <w:rPr>
          <w:rStyle w:val="FootnoteReference"/>
          <w:rFonts w:cstheme="minorHAnsi"/>
        </w:rPr>
        <w:t xml:space="preserve"> </w:t>
      </w:r>
      <w:r w:rsidRPr="005029B4">
        <w:rPr>
          <w:rStyle w:val="FootnoteReference"/>
          <w:rFonts w:cstheme="minorHAnsi"/>
        </w:rPr>
        <w:footnoteReference w:id="36"/>
      </w:r>
      <w:r w:rsidRPr="005029B4">
        <w:rPr>
          <w:rFonts w:cstheme="minorHAnsi"/>
          <w:vertAlign w:val="superscript"/>
        </w:rPr>
        <w:t>,</w:t>
      </w:r>
      <w:r w:rsidRPr="005029B4">
        <w:rPr>
          <w:rStyle w:val="FootnoteReference"/>
          <w:rFonts w:cstheme="minorHAnsi"/>
        </w:rPr>
        <w:footnoteReference w:id="37"/>
      </w:r>
      <w:r w:rsidRPr="005029B4">
        <w:rPr>
          <w:rFonts w:cstheme="minorHAnsi"/>
          <w:vertAlign w:val="superscript"/>
        </w:rPr>
        <w:t>,</w:t>
      </w:r>
      <w:r w:rsidRPr="005029B4">
        <w:rPr>
          <w:rStyle w:val="FootnoteReference"/>
          <w:rFonts w:cstheme="minorHAnsi"/>
        </w:rPr>
        <w:footnoteReference w:id="38"/>
      </w:r>
      <w:r w:rsidRPr="00C47A80">
        <w:rPr>
          <w:rFonts w:cstheme="minorHAnsi"/>
          <w:spacing w:val="-1"/>
        </w:rPr>
        <w:t xml:space="preserve">  An association between gender and discharge to community outcomes has also been reported, although there is lack of consensus about whether men or women are more li</w:t>
      </w:r>
      <w:r>
        <w:rPr>
          <w:rFonts w:cstheme="minorHAnsi"/>
          <w:spacing w:val="-1"/>
        </w:rPr>
        <w:t>kely to be discharged home.</w:t>
      </w:r>
      <w:r w:rsidRPr="00C607B5">
        <w:rPr>
          <w:rStyle w:val="FootnoteReference"/>
          <w:rFonts w:cstheme="minorHAnsi"/>
        </w:rPr>
        <w:t xml:space="preserve"> </w:t>
      </w:r>
      <w:r w:rsidRPr="005029B4">
        <w:rPr>
          <w:rStyle w:val="FootnoteReference"/>
          <w:rFonts w:cstheme="minorHAnsi"/>
        </w:rPr>
        <w:footnoteReference w:id="39"/>
      </w:r>
      <w:r w:rsidRPr="005029B4">
        <w:rPr>
          <w:rFonts w:cstheme="minorHAnsi"/>
          <w:vertAlign w:val="superscript"/>
        </w:rPr>
        <w:t>,</w:t>
      </w:r>
      <w:r w:rsidRPr="005029B4">
        <w:rPr>
          <w:rStyle w:val="FootnoteReference"/>
          <w:rFonts w:cstheme="minorHAnsi"/>
        </w:rPr>
        <w:footnoteReference w:id="40"/>
      </w:r>
      <w:r w:rsidRPr="005029B4">
        <w:rPr>
          <w:rFonts w:cstheme="minorHAnsi"/>
          <w:vertAlign w:val="superscript"/>
        </w:rPr>
        <w:t>,</w:t>
      </w:r>
      <w:r w:rsidRPr="005029B4">
        <w:rPr>
          <w:rStyle w:val="FootnoteReference"/>
          <w:rFonts w:cstheme="minorHAnsi"/>
        </w:rPr>
        <w:footnoteReference w:id="41"/>
      </w:r>
      <w:r w:rsidRPr="00C47A80">
        <w:rPr>
          <w:rFonts w:cstheme="minorHAnsi"/>
          <w:spacing w:val="-1"/>
        </w:rPr>
        <w:t xml:space="preserve"> Certain diagnoses including diabetes, stroke, Alzheimer’s disease or dementia, psychiatric disorders, cancer, and end-stage renal disease, are associated with a decreased likelihood of</w:t>
      </w:r>
      <w:r>
        <w:rPr>
          <w:rFonts w:cstheme="minorHAnsi"/>
          <w:spacing w:val="-1"/>
        </w:rPr>
        <w:t xml:space="preserve"> discharge to community.</w:t>
      </w:r>
      <w:r w:rsidRPr="00C607B5">
        <w:rPr>
          <w:rStyle w:val="FootnoteReference"/>
          <w:rFonts w:cstheme="minorHAnsi"/>
        </w:rPr>
        <w:t xml:space="preserve"> </w:t>
      </w:r>
      <w:r w:rsidRPr="005029B4">
        <w:rPr>
          <w:rStyle w:val="FootnoteReference"/>
          <w:rFonts w:cstheme="minorHAnsi"/>
        </w:rPr>
        <w:footnoteReference w:id="42"/>
      </w:r>
      <w:r w:rsidRPr="005029B4">
        <w:rPr>
          <w:rFonts w:cstheme="minorHAnsi"/>
          <w:vertAlign w:val="superscript"/>
        </w:rPr>
        <w:t>,</w:t>
      </w:r>
      <w:r w:rsidRPr="005029B4">
        <w:rPr>
          <w:rStyle w:val="FootnoteReference"/>
          <w:rFonts w:cstheme="minorHAnsi"/>
        </w:rPr>
        <w:footnoteReference w:id="43"/>
      </w:r>
      <w:r w:rsidRPr="005029B4">
        <w:rPr>
          <w:rFonts w:cstheme="minorHAnsi"/>
          <w:vertAlign w:val="superscript"/>
        </w:rPr>
        <w:t>,</w:t>
      </w:r>
      <w:r w:rsidRPr="005029B4">
        <w:rPr>
          <w:rStyle w:val="FootnoteReference"/>
          <w:rFonts w:cstheme="minorHAnsi"/>
        </w:rPr>
        <w:footnoteReference w:id="44"/>
      </w:r>
      <w:r w:rsidRPr="005029B4">
        <w:rPr>
          <w:rFonts w:cstheme="minorHAnsi"/>
          <w:vertAlign w:val="superscript"/>
        </w:rPr>
        <w:t>,</w:t>
      </w:r>
      <w:r w:rsidRPr="005029B4">
        <w:rPr>
          <w:rStyle w:val="FootnoteReference"/>
          <w:rFonts w:cstheme="minorHAnsi"/>
        </w:rPr>
        <w:footnoteReference w:id="45"/>
      </w:r>
      <w:r>
        <w:rPr>
          <w:rFonts w:cstheme="minorHAnsi"/>
          <w:spacing w:val="-1"/>
        </w:rPr>
        <w:t xml:space="preserve"> </w:t>
      </w:r>
      <w:r w:rsidRPr="00C47A80">
        <w:rPr>
          <w:rFonts w:cstheme="minorHAnsi"/>
          <w:spacing w:val="-1"/>
        </w:rPr>
        <w:t xml:space="preserve">Presence of comorbidities and severity of comorbidities has also been correlated with a decreased likelihood </w:t>
      </w:r>
      <w:r>
        <w:rPr>
          <w:rFonts w:cstheme="minorHAnsi"/>
          <w:spacing w:val="-1"/>
        </w:rPr>
        <w:t>of discharge to community.</w:t>
      </w:r>
      <w:r w:rsidRPr="00C607B5">
        <w:rPr>
          <w:rStyle w:val="FootnoteReference"/>
          <w:rFonts w:cstheme="minorHAnsi"/>
        </w:rPr>
        <w:t xml:space="preserve"> </w:t>
      </w:r>
      <w:r w:rsidRPr="005029B4">
        <w:rPr>
          <w:rStyle w:val="FootnoteReference"/>
          <w:rFonts w:cstheme="minorHAnsi"/>
        </w:rPr>
        <w:footnoteReference w:id="46"/>
      </w:r>
      <w:r w:rsidRPr="005029B4">
        <w:rPr>
          <w:rFonts w:cstheme="minorHAnsi"/>
          <w:vertAlign w:val="superscript"/>
        </w:rPr>
        <w:t>,</w:t>
      </w:r>
      <w:r w:rsidRPr="005029B4">
        <w:rPr>
          <w:rStyle w:val="FootnoteReference"/>
          <w:rFonts w:cstheme="minorHAnsi"/>
        </w:rPr>
        <w:footnoteReference w:id="47"/>
      </w:r>
      <w:r w:rsidRPr="005029B4">
        <w:rPr>
          <w:rFonts w:cstheme="minorHAnsi"/>
          <w:vertAlign w:val="superscript"/>
        </w:rPr>
        <w:t>,</w:t>
      </w:r>
      <w:r w:rsidRPr="005029B4">
        <w:rPr>
          <w:rStyle w:val="FootnoteReference"/>
          <w:rFonts w:cstheme="minorHAnsi"/>
        </w:rPr>
        <w:footnoteReference w:id="48"/>
      </w:r>
      <w:r w:rsidRPr="005029B4">
        <w:rPr>
          <w:rFonts w:cstheme="minorHAnsi"/>
        </w:rPr>
        <w:t xml:space="preserve"> </w:t>
      </w:r>
      <w:r>
        <w:rPr>
          <w:rFonts w:cstheme="minorHAnsi"/>
          <w:spacing w:val="-1"/>
        </w:rPr>
        <w:t xml:space="preserve"> </w:t>
      </w:r>
    </w:p>
    <w:p w14:paraId="02F217DF" w14:textId="77777777" w:rsidR="008F3477" w:rsidRDefault="008F3477" w:rsidP="008F3477">
      <w:pPr>
        <w:rPr>
          <w:b/>
        </w:rPr>
      </w:pPr>
    </w:p>
    <w:p w14:paraId="4F06D163" w14:textId="77777777" w:rsidR="00732C5A" w:rsidRDefault="00732C5A" w:rsidP="008F3477">
      <w:pPr>
        <w:rPr>
          <w:b/>
        </w:rPr>
      </w:pPr>
    </w:p>
    <w:p w14:paraId="1C8A6B8E" w14:textId="77777777" w:rsidR="008F3477" w:rsidRDefault="008F3477" w:rsidP="008F3477">
      <w:pPr>
        <w:rPr>
          <w:b/>
        </w:rPr>
      </w:pPr>
      <w:r w:rsidRPr="004351DA">
        <w:rPr>
          <w:b/>
        </w:rPr>
        <w:lastRenderedPageBreak/>
        <w:t>S</w:t>
      </w:r>
      <w:bookmarkStart w:id="19" w:name="_GoBack"/>
      <w:bookmarkEnd w:id="19"/>
      <w:r w:rsidRPr="004351DA">
        <w:rPr>
          <w:b/>
        </w:rPr>
        <w:t>tatistical approach for risk factor selection</w:t>
      </w:r>
    </w:p>
    <w:p w14:paraId="054CDA25" w14:textId="77777777" w:rsidR="008F3477" w:rsidRDefault="008F3477" w:rsidP="008F3477">
      <w:r w:rsidRPr="00DC352C">
        <w:t>Considering the volume of independent covariates available for this model, multiple steps were taken to eliminate variables that do not improve the model’s predictive ability or that do not predict discharges to the community risk in a consistent manner.</w:t>
      </w:r>
      <w:r>
        <w:t xml:space="preserve"> Variables flagged positively in less than 500 stays within the index HH stays were dropped as they are unlikely to meaningfully improve model performance. </w:t>
      </w:r>
      <w:r w:rsidRPr="00DC352C">
        <w:rPr>
          <w:rFonts w:cstheme="minorHAnsi"/>
        </w:rPr>
        <w:t>Furthermore, we eliminated al</w:t>
      </w:r>
      <w:r>
        <w:rPr>
          <w:rFonts w:cstheme="minorHAnsi"/>
        </w:rPr>
        <w:t>l variables with zero discharge</w:t>
      </w:r>
      <w:r w:rsidRPr="00DC352C">
        <w:rPr>
          <w:rFonts w:cstheme="minorHAnsi"/>
        </w:rPr>
        <w:t xml:space="preserve">s to the community in any individual year. </w:t>
      </w:r>
      <w:r>
        <w:rPr>
          <w:rFonts w:cstheme="minorHAnsi"/>
        </w:rPr>
        <w:t>T</w:t>
      </w:r>
      <w:r w:rsidRPr="00DC352C">
        <w:rPr>
          <w:rFonts w:cstheme="minorHAnsi"/>
        </w:rPr>
        <w:t>his exclusion was necessary to run annual logistic regression models assessing each covariate’s stability over time.</w:t>
      </w:r>
      <w:r>
        <w:t xml:space="preserve"> To avoid overfitting these models, we used an additional logistic regression employing shrinkage to further subset the parameters to those that were most predictive of the DTC outcome. This regression was trained on a random eighty percent sample of the index HH stays. Lastly, we checked the remaining parameters for stability overtime by fitting a separate logistic model for each calendar year. </w:t>
      </w:r>
      <w:r w:rsidRPr="009A2413">
        <w:t>If the point estimates for a particular variable were not consistently above or below the null across calendar years, then that variable was eliminated from the final model.</w:t>
      </w:r>
    </w:p>
    <w:p w14:paraId="3DDD86C1" w14:textId="7059605B" w:rsidR="00E00706" w:rsidRPr="004351DA" w:rsidRDefault="008F3477" w:rsidP="008F3477">
      <w:pPr>
        <w:rPr>
          <w:b/>
        </w:rPr>
      </w:pPr>
      <w:r>
        <w:t xml:space="preserve">Our final model includes 309 risk adjustment variables: 23 age-sex interactions, four activity of daily living </w:t>
      </w:r>
      <w:r w:rsidRPr="00B16754">
        <w:t xml:space="preserve">scores, </w:t>
      </w:r>
      <w:r>
        <w:t>107</w:t>
      </w:r>
      <w:r w:rsidRPr="00B16754">
        <w:t xml:space="preserve"> DGN flags, 56 HCCs, </w:t>
      </w:r>
      <w:r>
        <w:t>two</w:t>
      </w:r>
      <w:r w:rsidRPr="00B16754">
        <w:t xml:space="preserve"> original Medicare enrollment flags, </w:t>
      </w:r>
      <w:r>
        <w:t>one</w:t>
      </w:r>
      <w:r w:rsidRPr="00B16754">
        <w:t xml:space="preserve"> length of prior proximal hospitalization indicator, 10 number of prior acute discharge categories</w:t>
      </w:r>
      <w:r>
        <w:t>,</w:t>
      </w:r>
      <w:r w:rsidRPr="00B16754">
        <w:t xml:space="preserve"> 101 procedure code flags, </w:t>
      </w:r>
      <w:r>
        <w:t>and counts of prior</w:t>
      </w:r>
      <w:r w:rsidRPr="007A30FE">
        <w:t xml:space="preserve"> ED visits</w:t>
      </w:r>
      <w:r>
        <w:t>,</w:t>
      </w:r>
      <w:r w:rsidRPr="007A30FE">
        <w:t xml:space="preserve"> SNF</w:t>
      </w:r>
      <w:r>
        <w:t xml:space="preserve"> visits</w:t>
      </w:r>
      <w:r w:rsidRPr="007A30FE">
        <w:t>, IRF</w:t>
      </w:r>
      <w:r>
        <w:t xml:space="preserve"> visits</w:t>
      </w:r>
      <w:r w:rsidRPr="007A30FE">
        <w:t>, LTCH</w:t>
      </w:r>
      <w:r>
        <w:t xml:space="preserve"> visits</w:t>
      </w:r>
      <w:r w:rsidRPr="007A30FE">
        <w:t>,</w:t>
      </w:r>
      <w:r>
        <w:t xml:space="preserve"> </w:t>
      </w:r>
      <w:r w:rsidRPr="00B16754">
        <w:t xml:space="preserve">and </w:t>
      </w:r>
      <w:r>
        <w:t xml:space="preserve">inpatient </w:t>
      </w:r>
      <w:r w:rsidRPr="00B16754">
        <w:t>dialysis</w:t>
      </w:r>
      <w:r>
        <w:t xml:space="preserve"> sessions. </w:t>
      </w:r>
      <w:r w:rsidR="00E00706">
        <w:t xml:space="preserve"> </w:t>
      </w:r>
    </w:p>
    <w:p w14:paraId="455A2A22" w14:textId="77777777" w:rsidR="009B075A" w:rsidRDefault="009B075A" w:rsidP="009B075A">
      <w:pPr>
        <w:sectPr w:rsidR="009B075A" w:rsidSect="00AD0C91">
          <w:pgSz w:w="12240" w:h="15840"/>
          <w:pgMar w:top="1498" w:right="1080" w:bottom="878" w:left="418" w:header="0" w:footer="699" w:gutter="0"/>
          <w:cols w:space="720"/>
        </w:sectPr>
      </w:pPr>
    </w:p>
    <w:p w14:paraId="51FF72F3" w14:textId="77777777" w:rsidR="00275563" w:rsidRDefault="00275563" w:rsidP="00001D73">
      <w:pPr>
        <w:autoSpaceDE w:val="0"/>
        <w:autoSpaceDN w:val="0"/>
        <w:adjustRightInd w:val="0"/>
        <w:spacing w:after="0" w:line="240" w:lineRule="auto"/>
        <w:rPr>
          <w:rFonts w:cstheme="minorHAnsi"/>
          <w:b/>
          <w:bCs/>
        </w:rPr>
      </w:pPr>
      <w:r>
        <w:rPr>
          <w:rFonts w:cstheme="minorHAnsi"/>
          <w:b/>
          <w:bCs/>
        </w:rPr>
        <w:lastRenderedPageBreak/>
        <w:t xml:space="preserve">2b3.3b. How was the conceptual model </w:t>
      </w:r>
      <w:r w:rsidR="00CE284E">
        <w:rPr>
          <w:rFonts w:cstheme="minorHAnsi"/>
          <w:b/>
          <w:bCs/>
        </w:rPr>
        <w:t xml:space="preserve">of how social risk impacts this outcome </w:t>
      </w:r>
      <w:r>
        <w:rPr>
          <w:rFonts w:cstheme="minorHAnsi"/>
          <w:b/>
          <w:bCs/>
        </w:rPr>
        <w:t>developed?  Please check all that apply:</w:t>
      </w:r>
    </w:p>
    <w:p w14:paraId="4FE9AEB7" w14:textId="77777777" w:rsidR="00275563" w:rsidRPr="005232D6" w:rsidRDefault="0038706E"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Content>
          <w:r w:rsidR="00275563">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52E08589" w14:textId="3917E828" w:rsidR="00275563" w:rsidRPr="005232D6" w:rsidRDefault="0038706E"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1"/>
            <w14:checkedState w14:val="2612" w14:font="MS Gothic"/>
            <w14:uncheckedState w14:val="2610" w14:font="MS Gothic"/>
          </w14:checkbox>
        </w:sdtPr>
        <w:sdtContent>
          <w:r w:rsidR="00ED246F">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0A6FB78F" w14:textId="77777777" w:rsidR="00275563" w:rsidRPr="005232D6" w:rsidRDefault="0038706E"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33D7AD39" w14:textId="77777777" w:rsidR="00697F68" w:rsidRDefault="00697F68" w:rsidP="00697F68">
      <w:pPr>
        <w:spacing w:after="0" w:line="240" w:lineRule="auto"/>
      </w:pPr>
    </w:p>
    <w:p w14:paraId="25D5EF6B" w14:textId="77777777" w:rsidR="00697F68" w:rsidRPr="003C3B14" w:rsidRDefault="00697F68" w:rsidP="00697F68">
      <w:pPr>
        <w:spacing w:after="0" w:line="240" w:lineRule="auto"/>
        <w:rPr>
          <w:rFonts w:ascii="Calibri" w:eastAsia="Calibri" w:hAnsi="Calibri" w:cs="Calibri"/>
        </w:rPr>
      </w:pPr>
      <w:r>
        <w:t>Data for rural location, and Medicaid dual status were readily available through the enrollment database (EDB) and Common Medicare Environment (CME) and analyzed during the measure testing process. While a scoping review</w:t>
      </w:r>
      <w:r>
        <w:rPr>
          <w:vertAlign w:val="superscript"/>
        </w:rPr>
        <w:footnoteReference w:id="49"/>
      </w:r>
      <w:r>
        <w:t xml:space="preserve"> found general agreement that persons of lower socioeconomic status are not disadvantaged in terms of HH care services, there is a well-documented socioeconomic gradient seen with primary and acute care services. </w:t>
      </w:r>
      <w:r w:rsidRPr="00F96B56">
        <w:t xml:space="preserve">In addition, </w:t>
      </w:r>
      <w:r>
        <w:t xml:space="preserve">due to the availability of data and previous evidence on the importance of dual eligibility in similar claims-based measures, we tested the effects of patient-level dual eligibility status. For example, starting in fiscal year 2019, CMS's Hospital Readmission Reduction Program will assess </w:t>
      </w:r>
      <w:r w:rsidRPr="003C3B14">
        <w:t xml:space="preserve">penalties based on a hospital's performance relative to other hospitals treating a similar proportion of dual eligible patients. </w:t>
      </w:r>
    </w:p>
    <w:p w14:paraId="7AE193CE" w14:textId="77777777" w:rsidR="00275563" w:rsidRDefault="00275563" w:rsidP="00001D73">
      <w:pPr>
        <w:autoSpaceDE w:val="0"/>
        <w:autoSpaceDN w:val="0"/>
        <w:adjustRightInd w:val="0"/>
        <w:spacing w:after="0" w:line="240" w:lineRule="auto"/>
        <w:rPr>
          <w:rFonts w:cstheme="minorHAnsi"/>
          <w:b/>
          <w:bCs/>
        </w:rPr>
      </w:pPr>
    </w:p>
    <w:p w14:paraId="156425F8" w14:textId="77777777" w:rsidR="00697F68" w:rsidRDefault="009C7513" w:rsidP="00DC1585">
      <w:pPr>
        <w:spacing w:line="240" w:lineRule="auto"/>
        <w:rPr>
          <w:rFonts w:ascii="Calibri" w:eastAsia="Calibri" w:hAnsi="Calibri" w:cs="Calibri"/>
          <w:b/>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r w:rsidR="00001D73">
        <w:rPr>
          <w:rFonts w:cstheme="minorHAnsi"/>
          <w:b/>
          <w:bCs/>
        </w:rPr>
        <w:br/>
      </w:r>
    </w:p>
    <w:p w14:paraId="6782336E" w14:textId="75554785" w:rsidR="00DC1585" w:rsidRDefault="001B1617" w:rsidP="00DC1585">
      <w:pPr>
        <w:spacing w:line="240" w:lineRule="auto"/>
        <w:rPr>
          <w:rFonts w:ascii="Calibri" w:eastAsia="Calibri" w:hAnsi="Calibri" w:cs="Calibri"/>
        </w:rPr>
      </w:pPr>
      <w:r w:rsidRPr="005029B4">
        <w:rPr>
          <w:rFonts w:cstheme="minorHAnsi"/>
          <w:bCs/>
          <w:iCs/>
        </w:rPr>
        <w:t xml:space="preserve">See the </w:t>
      </w:r>
      <w:r w:rsidRPr="000B39F1">
        <w:rPr>
          <w:rFonts w:cstheme="minorHAnsi"/>
          <w:b/>
          <w:bCs/>
          <w:iCs/>
        </w:rPr>
        <w:t>attached excel document</w:t>
      </w:r>
      <w:r w:rsidRPr="005029B4">
        <w:rPr>
          <w:rFonts w:cstheme="minorHAnsi"/>
          <w:bCs/>
          <w:iCs/>
        </w:rPr>
        <w:t xml:space="preserve"> for </w:t>
      </w:r>
      <w:r w:rsidR="00697F68">
        <w:rPr>
          <w:rFonts w:ascii="Calibri" w:eastAsia="Calibri" w:hAnsi="Calibri" w:cs="Calibri"/>
        </w:rPr>
        <w:t xml:space="preserve">the </w:t>
      </w:r>
      <w:r w:rsidR="00697F68">
        <w:rPr>
          <w:bCs/>
          <w:iCs/>
        </w:rPr>
        <w:t>hierarchical logistic regression model</w:t>
      </w:r>
      <w:r>
        <w:rPr>
          <w:bCs/>
          <w:iCs/>
        </w:rPr>
        <w:t xml:space="preserve"> results</w:t>
      </w:r>
      <w:r w:rsidR="00697F68">
        <w:rPr>
          <w:bCs/>
          <w:iCs/>
        </w:rPr>
        <w:t xml:space="preserve">, including the specific risk adjusters used, and the corresponding coefficients, p-values, and odds ratios. The final </w:t>
      </w:r>
      <w:r>
        <w:rPr>
          <w:bCs/>
          <w:iCs/>
        </w:rPr>
        <w:t xml:space="preserve">model </w:t>
      </w:r>
      <w:r w:rsidR="00697F68">
        <w:rPr>
          <w:bCs/>
          <w:iCs/>
        </w:rPr>
        <w:t>had a c-statistic of 0.730.</w:t>
      </w:r>
    </w:p>
    <w:p w14:paraId="3AF04225" w14:textId="77777777" w:rsidR="00092566" w:rsidRDefault="00092566" w:rsidP="00001D73">
      <w:pPr>
        <w:autoSpaceDE w:val="0"/>
        <w:autoSpaceDN w:val="0"/>
        <w:adjustRightInd w:val="0"/>
        <w:spacing w:after="0" w:line="240" w:lineRule="auto"/>
        <w:rPr>
          <w:rFonts w:cstheme="minorHAnsi"/>
          <w:b/>
          <w:bCs/>
        </w:rPr>
      </w:pPr>
    </w:p>
    <w:p w14:paraId="632420AF" w14:textId="77777777" w:rsidR="003C0688" w:rsidRDefault="003C0688" w:rsidP="003C0688">
      <w:pPr>
        <w:spacing w:line="240" w:lineRule="auto"/>
      </w:pPr>
      <w:r>
        <w:rPr>
          <w:rStyle w:val="normaltextrun"/>
        </w:rPr>
        <w:t>We conducted the following analysis for each social risk factor:</w:t>
      </w:r>
    </w:p>
    <w:p w14:paraId="7C06C34B" w14:textId="77777777" w:rsidR="003C0688" w:rsidRDefault="003C0688" w:rsidP="003C0688">
      <w:pPr>
        <w:pStyle w:val="paragraph"/>
        <w:numPr>
          <w:ilvl w:val="0"/>
          <w:numId w:val="12"/>
        </w:numPr>
        <w:spacing w:before="0" w:beforeAutospacing="0" w:after="0" w:afterAutospacing="0"/>
        <w:ind w:left="360" w:firstLine="0"/>
        <w:textAlignment w:val="baseline"/>
        <w:rPr>
          <w:rStyle w:val="eop"/>
        </w:rPr>
      </w:pPr>
      <w:r>
        <w:rPr>
          <w:rStyle w:val="normaltextrun"/>
        </w:rPr>
        <w:t>Calculated the prevalence of patients with each social risk factor;</w:t>
      </w:r>
      <w:r>
        <w:rPr>
          <w:rStyle w:val="eop"/>
        </w:rPr>
        <w:t> </w:t>
      </w:r>
    </w:p>
    <w:p w14:paraId="2A7F1FC4" w14:textId="77777777" w:rsidR="003C0688" w:rsidRDefault="003C0688" w:rsidP="003C0688">
      <w:pPr>
        <w:pStyle w:val="paragraph"/>
        <w:numPr>
          <w:ilvl w:val="0"/>
          <w:numId w:val="12"/>
        </w:numPr>
        <w:spacing w:before="0" w:beforeAutospacing="0" w:after="0" w:afterAutospacing="0"/>
        <w:ind w:left="360" w:firstLine="0"/>
        <w:textAlignment w:val="baseline"/>
        <w:rPr>
          <w:rStyle w:val="normaltextrun"/>
        </w:rPr>
      </w:pPr>
      <w:r>
        <w:rPr>
          <w:rStyle w:val="normaltextrun"/>
        </w:rPr>
        <w:t xml:space="preserve">Compared the unplanned admission rates following return to the community and successful discharge to community rates for patients with and without each social risk factor; </w:t>
      </w:r>
    </w:p>
    <w:p w14:paraId="69F25E12" w14:textId="77777777" w:rsidR="003C0688" w:rsidRDefault="003C0688" w:rsidP="003C0688">
      <w:pPr>
        <w:pStyle w:val="paragraph"/>
        <w:numPr>
          <w:ilvl w:val="0"/>
          <w:numId w:val="12"/>
        </w:numPr>
        <w:spacing w:before="0" w:beforeAutospacing="0" w:after="0" w:afterAutospacing="0"/>
        <w:textAlignment w:val="baseline"/>
      </w:pPr>
      <w:r>
        <w:t>Calculated the distribution of agency-level SDS factor p</w:t>
      </w:r>
      <w:r w:rsidRPr="00B72B0D">
        <w:t>revalence</w:t>
      </w:r>
      <w:r>
        <w:t xml:space="preserve">; </w:t>
      </w:r>
    </w:p>
    <w:p w14:paraId="120FB767" w14:textId="77777777" w:rsidR="003C0688" w:rsidRDefault="003C0688" w:rsidP="003C0688">
      <w:pPr>
        <w:pStyle w:val="paragraph"/>
        <w:numPr>
          <w:ilvl w:val="0"/>
          <w:numId w:val="12"/>
        </w:numPr>
        <w:spacing w:before="0" w:beforeAutospacing="0" w:after="0" w:afterAutospacing="0"/>
        <w:textAlignment w:val="baseline"/>
        <w:rPr>
          <w:rStyle w:val="normaltextrun"/>
        </w:rPr>
      </w:pPr>
      <w:r>
        <w:rPr>
          <w:rStyle w:val="normaltextrun"/>
        </w:rPr>
        <w:t>Calculated the difference in agency-level risk-standardized rates; and</w:t>
      </w:r>
    </w:p>
    <w:p w14:paraId="7FFB9C3E" w14:textId="77777777" w:rsidR="003C0688" w:rsidRPr="00957F6A" w:rsidRDefault="003C0688" w:rsidP="003C0688">
      <w:pPr>
        <w:pStyle w:val="paragraph"/>
        <w:numPr>
          <w:ilvl w:val="0"/>
          <w:numId w:val="12"/>
        </w:numPr>
        <w:spacing w:before="0" w:beforeAutospacing="0" w:after="0" w:afterAutospacing="0"/>
        <w:ind w:left="360" w:firstLine="0"/>
        <w:textAlignment w:val="baseline"/>
        <w:rPr>
          <w:rFonts w:asciiTheme="minorHAnsi" w:hAnsiTheme="minorHAnsi" w:cstheme="minorHAnsi"/>
        </w:rPr>
      </w:pPr>
      <w:r>
        <w:rPr>
          <w:rStyle w:val="normaltextrun"/>
          <w:rFonts w:asciiTheme="minorHAnsi" w:hAnsiTheme="minorHAnsi" w:cstheme="minorHAnsi"/>
        </w:rPr>
        <w:t>Assessed</w:t>
      </w:r>
      <w:r w:rsidRPr="00957F6A">
        <w:rPr>
          <w:rStyle w:val="normaltextrun"/>
          <w:rFonts w:asciiTheme="minorHAnsi" w:hAnsiTheme="minorHAnsi" w:cstheme="minorHAnsi"/>
        </w:rPr>
        <w:t xml:space="preserve"> the </w:t>
      </w:r>
      <w:r>
        <w:rPr>
          <w:rStyle w:val="normaltextrun"/>
          <w:rFonts w:asciiTheme="minorHAnsi" w:hAnsiTheme="minorHAnsi" w:cstheme="minorHAnsi"/>
        </w:rPr>
        <w:t xml:space="preserve">difference </w:t>
      </w:r>
      <w:r w:rsidRPr="00957F6A">
        <w:rPr>
          <w:rStyle w:val="normaltextrun"/>
          <w:rFonts w:asciiTheme="minorHAnsi" w:hAnsiTheme="minorHAnsi" w:cstheme="minorHAnsi"/>
        </w:rPr>
        <w:t>in DTC measure scores estimated with and without dual eligibility </w:t>
      </w:r>
      <w:r>
        <w:rPr>
          <w:rStyle w:val="normaltextrun"/>
          <w:rFonts w:asciiTheme="minorHAnsi" w:hAnsiTheme="minorHAnsi" w:cstheme="minorHAnsi"/>
        </w:rPr>
        <w:t xml:space="preserve">adjustment </w:t>
      </w:r>
      <w:r w:rsidRPr="00957F6A">
        <w:rPr>
          <w:rStyle w:val="normaltextrun"/>
          <w:rFonts w:asciiTheme="minorHAnsi" w:hAnsiTheme="minorHAnsi" w:cstheme="minorHAnsi"/>
        </w:rPr>
        <w:t xml:space="preserve">for </w:t>
      </w:r>
      <w:r>
        <w:rPr>
          <w:rStyle w:val="normaltextrun"/>
          <w:rFonts w:asciiTheme="minorHAnsi" w:hAnsiTheme="minorHAnsi" w:cstheme="minorHAnsi"/>
        </w:rPr>
        <w:t>agencies</w:t>
      </w:r>
      <w:r w:rsidRPr="00957F6A">
        <w:rPr>
          <w:rStyle w:val="normaltextrun"/>
          <w:rFonts w:asciiTheme="minorHAnsi" w:hAnsiTheme="minorHAnsi" w:cstheme="minorHAnsi"/>
        </w:rPr>
        <w:t xml:space="preserve"> stratified by the proportion of dual eligible patients</w:t>
      </w:r>
      <w:r w:rsidRPr="00957F6A" w:rsidDel="00203978">
        <w:rPr>
          <w:rStyle w:val="normaltextrun"/>
          <w:rFonts w:asciiTheme="minorHAnsi" w:hAnsiTheme="minorHAnsi" w:cstheme="minorHAnsi"/>
        </w:rPr>
        <w:t xml:space="preserve"> </w:t>
      </w:r>
      <w:r w:rsidRPr="00957F6A">
        <w:rPr>
          <w:rStyle w:val="normaltextrun"/>
          <w:rFonts w:asciiTheme="minorHAnsi" w:hAnsiTheme="minorHAnsi" w:cstheme="minorHAnsi"/>
        </w:rPr>
        <w:t>with</w:t>
      </w:r>
      <w:r w:rsidRPr="00957F6A">
        <w:rPr>
          <w:rStyle w:val="eop"/>
          <w:rFonts w:asciiTheme="minorHAnsi" w:hAnsiTheme="minorHAnsi" w:cstheme="minorHAnsi"/>
        </w:rPr>
        <w:t> </w:t>
      </w:r>
      <w:r w:rsidRPr="00957F6A">
        <w:rPr>
          <w:rStyle w:val="normaltextrun"/>
          <w:rFonts w:asciiTheme="minorHAnsi" w:hAnsiTheme="minorHAnsi" w:cstheme="minorHAnsi"/>
        </w:rPr>
        <w:t xml:space="preserve">full Medicaid benefits (as this was found to be more </w:t>
      </w:r>
      <w:r>
        <w:rPr>
          <w:rStyle w:val="normaltextrun"/>
          <w:rFonts w:asciiTheme="minorHAnsi" w:hAnsiTheme="minorHAnsi" w:cstheme="minorHAnsi"/>
        </w:rPr>
        <w:t xml:space="preserve">prevalent and more strongly </w:t>
      </w:r>
      <w:r w:rsidRPr="00957F6A">
        <w:rPr>
          <w:rStyle w:val="normaltextrun"/>
          <w:rFonts w:asciiTheme="minorHAnsi" w:hAnsiTheme="minorHAnsi" w:cstheme="minorHAnsi"/>
        </w:rPr>
        <w:t>related to the DTC outcome).</w:t>
      </w:r>
    </w:p>
    <w:p w14:paraId="72A5EEB5" w14:textId="77777777" w:rsidR="003C0688" w:rsidRDefault="003C0688" w:rsidP="003C0688">
      <w:pPr>
        <w:pStyle w:val="paragraph"/>
        <w:spacing w:before="0" w:beforeAutospacing="0" w:after="0" w:afterAutospacing="0"/>
        <w:textAlignment w:val="baseline"/>
        <w:rPr>
          <w:rStyle w:val="normaltextrun"/>
        </w:rPr>
      </w:pPr>
    </w:p>
    <w:p w14:paraId="62C37D14" w14:textId="4265EDD3" w:rsidR="003C0688" w:rsidRPr="001904C7" w:rsidRDefault="003C0688" w:rsidP="003C0688">
      <w:pPr>
        <w:autoSpaceDE w:val="0"/>
        <w:autoSpaceDN w:val="0"/>
        <w:adjustRightInd w:val="0"/>
        <w:spacing w:after="0" w:line="240" w:lineRule="auto"/>
        <w:jc w:val="center"/>
        <w:rPr>
          <w:b/>
        </w:rPr>
      </w:pPr>
      <w:r w:rsidRPr="001904C7">
        <w:rPr>
          <w:b/>
        </w:rPr>
        <w:t xml:space="preserve">Table </w:t>
      </w:r>
      <w:r w:rsidR="00FC40CA">
        <w:rPr>
          <w:b/>
        </w:rPr>
        <w:t>13</w:t>
      </w:r>
      <w:r w:rsidRPr="001904C7">
        <w:rPr>
          <w:b/>
        </w:rPr>
        <w:t xml:space="preserve">. </w:t>
      </w:r>
      <w:r w:rsidRPr="001904C7">
        <w:rPr>
          <w:rStyle w:val="normaltextrun"/>
          <w:b/>
        </w:rPr>
        <w:t>Comparison of Unplanned Admission Rates following Return to the Community and Successful Discharge to Community Rates</w:t>
      </w:r>
      <w:r w:rsidRPr="001904C7">
        <w:rPr>
          <w:b/>
        </w:rPr>
        <w:t>, by Urban/Rural Status</w:t>
      </w:r>
    </w:p>
    <w:tbl>
      <w:tblPr>
        <w:tblW w:w="9164" w:type="dxa"/>
        <w:jc w:val="center"/>
        <w:tblLook w:val="04A0" w:firstRow="1" w:lastRow="0" w:firstColumn="1" w:lastColumn="0" w:noHBand="0" w:noVBand="1"/>
      </w:tblPr>
      <w:tblGrid>
        <w:gridCol w:w="1500"/>
        <w:gridCol w:w="1120"/>
        <w:gridCol w:w="2420"/>
        <w:gridCol w:w="1340"/>
        <w:gridCol w:w="1224"/>
        <w:gridCol w:w="1560"/>
      </w:tblGrid>
      <w:tr w:rsidR="003C0688" w:rsidRPr="00991A40" w14:paraId="28B7229E" w14:textId="77777777" w:rsidTr="00547B7B">
        <w:trPr>
          <w:trHeight w:val="1200"/>
          <w:jc w:val="center"/>
        </w:trPr>
        <w:tc>
          <w:tcPr>
            <w:tcW w:w="1500" w:type="dxa"/>
            <w:tcBorders>
              <w:top w:val="single" w:sz="4" w:space="0" w:color="auto"/>
              <w:left w:val="nil"/>
              <w:bottom w:val="single" w:sz="4" w:space="0" w:color="auto"/>
              <w:right w:val="nil"/>
            </w:tcBorders>
            <w:shd w:val="clear" w:color="000000" w:fill="D9D9D9"/>
            <w:vAlign w:val="bottom"/>
            <w:hideMark/>
          </w:tcPr>
          <w:p w14:paraId="00A254B1" w14:textId="77777777" w:rsidR="003C0688" w:rsidRPr="00991A40" w:rsidRDefault="003C0688" w:rsidP="005160F0">
            <w:pPr>
              <w:spacing w:after="0" w:line="240" w:lineRule="auto"/>
              <w:jc w:val="center"/>
              <w:rPr>
                <w:rFonts w:ascii="Calibri" w:eastAsia="Times New Roman" w:hAnsi="Calibri" w:cs="Times New Roman"/>
                <w:b/>
                <w:bCs/>
                <w:color w:val="000000"/>
              </w:rPr>
            </w:pPr>
            <w:r w:rsidRPr="00991A40">
              <w:rPr>
                <w:rFonts w:ascii="Calibri" w:eastAsia="Times New Roman" w:hAnsi="Calibri" w:cs="Times New Roman"/>
                <w:b/>
                <w:bCs/>
                <w:color w:val="000000"/>
              </w:rPr>
              <w:t>Social Risk Factor</w:t>
            </w:r>
          </w:p>
        </w:tc>
        <w:tc>
          <w:tcPr>
            <w:tcW w:w="1120" w:type="dxa"/>
            <w:tcBorders>
              <w:top w:val="single" w:sz="4" w:space="0" w:color="auto"/>
              <w:left w:val="nil"/>
              <w:bottom w:val="single" w:sz="4" w:space="0" w:color="auto"/>
              <w:right w:val="nil"/>
            </w:tcBorders>
            <w:shd w:val="clear" w:color="000000" w:fill="D9D9D9"/>
            <w:vAlign w:val="bottom"/>
            <w:hideMark/>
          </w:tcPr>
          <w:p w14:paraId="6E97B768" w14:textId="77777777" w:rsidR="003C0688" w:rsidRPr="00991A40" w:rsidRDefault="003C0688" w:rsidP="005160F0">
            <w:pPr>
              <w:spacing w:after="0" w:line="240" w:lineRule="auto"/>
              <w:jc w:val="center"/>
              <w:rPr>
                <w:rFonts w:ascii="Calibri" w:eastAsia="Times New Roman" w:hAnsi="Calibri" w:cs="Times New Roman"/>
                <w:b/>
                <w:bCs/>
                <w:color w:val="000000"/>
              </w:rPr>
            </w:pPr>
            <w:r w:rsidRPr="00991A40">
              <w:rPr>
                <w:rFonts w:ascii="Calibri" w:eastAsia="Times New Roman" w:hAnsi="Calibri" w:cs="Times New Roman"/>
                <w:b/>
                <w:bCs/>
                <w:color w:val="000000"/>
              </w:rPr>
              <w:t>Total # of Stays</w:t>
            </w:r>
          </w:p>
        </w:tc>
        <w:tc>
          <w:tcPr>
            <w:tcW w:w="2420" w:type="dxa"/>
            <w:tcBorders>
              <w:top w:val="single" w:sz="4" w:space="0" w:color="auto"/>
              <w:left w:val="nil"/>
              <w:bottom w:val="single" w:sz="4" w:space="0" w:color="auto"/>
              <w:right w:val="nil"/>
            </w:tcBorders>
            <w:shd w:val="clear" w:color="000000" w:fill="D9D9D9"/>
            <w:vAlign w:val="bottom"/>
            <w:hideMark/>
          </w:tcPr>
          <w:p w14:paraId="4D63F7F5" w14:textId="77777777" w:rsidR="003C0688" w:rsidRPr="00991A40" w:rsidRDefault="003C0688" w:rsidP="005160F0">
            <w:pPr>
              <w:spacing w:after="0" w:line="240" w:lineRule="auto"/>
              <w:jc w:val="center"/>
              <w:rPr>
                <w:rFonts w:ascii="Calibri" w:eastAsia="Times New Roman" w:hAnsi="Calibri" w:cs="Times New Roman"/>
                <w:b/>
                <w:bCs/>
                <w:color w:val="000000"/>
              </w:rPr>
            </w:pPr>
            <w:r w:rsidRPr="00991A40">
              <w:rPr>
                <w:rFonts w:ascii="Calibri" w:eastAsia="Times New Roman" w:hAnsi="Calibri" w:cs="Times New Roman"/>
                <w:b/>
                <w:bCs/>
                <w:color w:val="000000"/>
              </w:rPr>
              <w:t>Stays with Successful Discharge to Community</w:t>
            </w:r>
          </w:p>
        </w:tc>
        <w:tc>
          <w:tcPr>
            <w:tcW w:w="1340" w:type="dxa"/>
            <w:tcBorders>
              <w:top w:val="single" w:sz="4" w:space="0" w:color="auto"/>
              <w:left w:val="nil"/>
              <w:bottom w:val="single" w:sz="4" w:space="0" w:color="auto"/>
              <w:right w:val="nil"/>
            </w:tcBorders>
            <w:shd w:val="clear" w:color="000000" w:fill="D9D9D9"/>
            <w:vAlign w:val="bottom"/>
            <w:hideMark/>
          </w:tcPr>
          <w:p w14:paraId="0F2C5C08" w14:textId="77777777" w:rsidR="003C0688" w:rsidRPr="00991A40" w:rsidRDefault="003C0688" w:rsidP="005160F0">
            <w:pPr>
              <w:spacing w:after="0" w:line="240" w:lineRule="auto"/>
              <w:jc w:val="center"/>
              <w:rPr>
                <w:rFonts w:ascii="Calibri" w:eastAsia="Times New Roman" w:hAnsi="Calibri" w:cs="Times New Roman"/>
                <w:b/>
                <w:bCs/>
                <w:color w:val="000000"/>
              </w:rPr>
            </w:pPr>
            <w:r w:rsidRPr="00991A40">
              <w:rPr>
                <w:rFonts w:ascii="Calibri" w:eastAsia="Times New Roman" w:hAnsi="Calibri" w:cs="Times New Roman"/>
                <w:b/>
                <w:bCs/>
                <w:color w:val="000000"/>
              </w:rPr>
              <w:t>Unadjusted DTC Rate</w:t>
            </w:r>
          </w:p>
        </w:tc>
        <w:tc>
          <w:tcPr>
            <w:tcW w:w="1224" w:type="dxa"/>
            <w:tcBorders>
              <w:top w:val="single" w:sz="4" w:space="0" w:color="auto"/>
              <w:left w:val="nil"/>
              <w:bottom w:val="single" w:sz="4" w:space="0" w:color="auto"/>
              <w:right w:val="nil"/>
            </w:tcBorders>
            <w:shd w:val="clear" w:color="000000" w:fill="D9D9D9"/>
            <w:vAlign w:val="bottom"/>
            <w:hideMark/>
          </w:tcPr>
          <w:p w14:paraId="33D35335" w14:textId="77777777" w:rsidR="003C0688" w:rsidRPr="00991A40" w:rsidRDefault="003C0688" w:rsidP="005160F0">
            <w:pPr>
              <w:spacing w:after="0" w:line="240" w:lineRule="auto"/>
              <w:jc w:val="center"/>
              <w:rPr>
                <w:rFonts w:ascii="Calibri" w:eastAsia="Times New Roman" w:hAnsi="Calibri" w:cs="Times New Roman"/>
                <w:b/>
                <w:bCs/>
                <w:color w:val="000000"/>
              </w:rPr>
            </w:pPr>
            <w:r w:rsidRPr="00991A40">
              <w:rPr>
                <w:rFonts w:ascii="Calibri" w:eastAsia="Times New Roman" w:hAnsi="Calibri" w:cs="Times New Roman"/>
                <w:b/>
                <w:bCs/>
                <w:color w:val="000000"/>
              </w:rPr>
              <w:t>Stays with Unplanned Admission</w:t>
            </w:r>
          </w:p>
        </w:tc>
        <w:tc>
          <w:tcPr>
            <w:tcW w:w="1560" w:type="dxa"/>
            <w:tcBorders>
              <w:top w:val="single" w:sz="4" w:space="0" w:color="auto"/>
              <w:left w:val="nil"/>
              <w:bottom w:val="single" w:sz="4" w:space="0" w:color="auto"/>
              <w:right w:val="nil"/>
            </w:tcBorders>
            <w:shd w:val="clear" w:color="000000" w:fill="D9D9D9"/>
            <w:vAlign w:val="bottom"/>
            <w:hideMark/>
          </w:tcPr>
          <w:p w14:paraId="4D2BE9DA" w14:textId="77777777" w:rsidR="003C0688" w:rsidRPr="00991A40" w:rsidRDefault="003C0688" w:rsidP="005160F0">
            <w:pPr>
              <w:spacing w:after="0" w:line="240" w:lineRule="auto"/>
              <w:jc w:val="center"/>
              <w:rPr>
                <w:rFonts w:ascii="Calibri" w:eastAsia="Times New Roman" w:hAnsi="Calibri" w:cs="Times New Roman"/>
                <w:b/>
                <w:bCs/>
                <w:color w:val="000000"/>
              </w:rPr>
            </w:pPr>
            <w:r w:rsidRPr="00991A40">
              <w:rPr>
                <w:rFonts w:ascii="Calibri" w:eastAsia="Times New Roman" w:hAnsi="Calibri" w:cs="Times New Roman"/>
                <w:b/>
                <w:bCs/>
                <w:color w:val="000000"/>
              </w:rPr>
              <w:t>Unplanned Admission Rate</w:t>
            </w:r>
          </w:p>
        </w:tc>
      </w:tr>
      <w:tr w:rsidR="003C0688" w:rsidRPr="00991A40" w14:paraId="28ABD809" w14:textId="77777777" w:rsidTr="00547B7B">
        <w:trPr>
          <w:trHeight w:val="300"/>
          <w:jc w:val="center"/>
        </w:trPr>
        <w:tc>
          <w:tcPr>
            <w:tcW w:w="1500" w:type="dxa"/>
            <w:tcBorders>
              <w:top w:val="nil"/>
              <w:left w:val="nil"/>
              <w:bottom w:val="nil"/>
              <w:right w:val="nil"/>
            </w:tcBorders>
            <w:shd w:val="clear" w:color="auto" w:fill="auto"/>
            <w:noWrap/>
            <w:vAlign w:val="bottom"/>
            <w:hideMark/>
          </w:tcPr>
          <w:p w14:paraId="14B7D9BF" w14:textId="77777777" w:rsidR="003C0688" w:rsidRPr="00991A40" w:rsidRDefault="003C0688" w:rsidP="005160F0">
            <w:pPr>
              <w:spacing w:after="0" w:line="240" w:lineRule="auto"/>
              <w:rPr>
                <w:rFonts w:ascii="Calibri" w:eastAsia="Times New Roman" w:hAnsi="Calibri" w:cs="Times New Roman"/>
                <w:color w:val="000000"/>
              </w:rPr>
            </w:pPr>
            <w:r w:rsidRPr="00991A40">
              <w:rPr>
                <w:rFonts w:ascii="Calibri" w:eastAsia="Times New Roman" w:hAnsi="Calibri" w:cs="Times New Roman"/>
                <w:color w:val="000000"/>
              </w:rPr>
              <w:t>Rural</w:t>
            </w:r>
          </w:p>
        </w:tc>
        <w:tc>
          <w:tcPr>
            <w:tcW w:w="1120" w:type="dxa"/>
            <w:tcBorders>
              <w:top w:val="nil"/>
              <w:left w:val="nil"/>
              <w:bottom w:val="nil"/>
              <w:right w:val="nil"/>
            </w:tcBorders>
            <w:shd w:val="clear" w:color="auto" w:fill="auto"/>
            <w:noWrap/>
            <w:vAlign w:val="bottom"/>
            <w:hideMark/>
          </w:tcPr>
          <w:p w14:paraId="6C293FC3" w14:textId="77777777" w:rsidR="003C0688" w:rsidRPr="00991A40" w:rsidRDefault="003C0688" w:rsidP="005160F0">
            <w:pPr>
              <w:spacing w:after="0" w:line="240" w:lineRule="auto"/>
              <w:jc w:val="center"/>
              <w:rPr>
                <w:rFonts w:ascii="Calibri" w:eastAsia="Times New Roman" w:hAnsi="Calibri" w:cs="Times New Roman"/>
                <w:color w:val="000000"/>
              </w:rPr>
            </w:pPr>
            <w:r w:rsidRPr="00991A40">
              <w:rPr>
                <w:rFonts w:ascii="Calibri" w:eastAsia="Times New Roman" w:hAnsi="Calibri" w:cs="Times New Roman"/>
                <w:color w:val="000000"/>
              </w:rPr>
              <w:t>1,394,248</w:t>
            </w:r>
          </w:p>
        </w:tc>
        <w:tc>
          <w:tcPr>
            <w:tcW w:w="2420" w:type="dxa"/>
            <w:tcBorders>
              <w:top w:val="nil"/>
              <w:left w:val="nil"/>
              <w:bottom w:val="nil"/>
              <w:right w:val="nil"/>
            </w:tcBorders>
            <w:shd w:val="clear" w:color="auto" w:fill="auto"/>
            <w:noWrap/>
            <w:vAlign w:val="bottom"/>
            <w:hideMark/>
          </w:tcPr>
          <w:p w14:paraId="058011B5" w14:textId="77777777" w:rsidR="003C0688" w:rsidRPr="00991A40" w:rsidRDefault="003C0688" w:rsidP="005160F0">
            <w:pPr>
              <w:spacing w:after="0" w:line="240" w:lineRule="auto"/>
              <w:jc w:val="center"/>
              <w:rPr>
                <w:rFonts w:ascii="Calibri" w:eastAsia="Times New Roman" w:hAnsi="Calibri" w:cs="Times New Roman"/>
                <w:color w:val="000000"/>
              </w:rPr>
            </w:pPr>
            <w:r w:rsidRPr="00991A40">
              <w:rPr>
                <w:rFonts w:ascii="Calibri" w:eastAsia="Times New Roman" w:hAnsi="Calibri" w:cs="Times New Roman"/>
                <w:color w:val="000000"/>
              </w:rPr>
              <w:t>1,064,728</w:t>
            </w:r>
          </w:p>
        </w:tc>
        <w:tc>
          <w:tcPr>
            <w:tcW w:w="1340" w:type="dxa"/>
            <w:tcBorders>
              <w:top w:val="nil"/>
              <w:left w:val="nil"/>
              <w:bottom w:val="nil"/>
              <w:right w:val="nil"/>
            </w:tcBorders>
            <w:shd w:val="clear" w:color="auto" w:fill="auto"/>
            <w:noWrap/>
            <w:vAlign w:val="bottom"/>
            <w:hideMark/>
          </w:tcPr>
          <w:p w14:paraId="1D33F598" w14:textId="77777777" w:rsidR="003C0688" w:rsidRPr="00991A40" w:rsidRDefault="003C0688" w:rsidP="005160F0">
            <w:pPr>
              <w:spacing w:after="0" w:line="240" w:lineRule="auto"/>
              <w:jc w:val="center"/>
              <w:rPr>
                <w:rFonts w:ascii="Calibri" w:eastAsia="Times New Roman" w:hAnsi="Calibri" w:cs="Times New Roman"/>
                <w:color w:val="000000"/>
              </w:rPr>
            </w:pPr>
            <w:r w:rsidRPr="00991A40">
              <w:rPr>
                <w:rFonts w:ascii="Calibri" w:eastAsia="Times New Roman" w:hAnsi="Calibri" w:cs="Times New Roman"/>
                <w:color w:val="000000"/>
              </w:rPr>
              <w:t>76.4%</w:t>
            </w:r>
          </w:p>
        </w:tc>
        <w:tc>
          <w:tcPr>
            <w:tcW w:w="1224" w:type="dxa"/>
            <w:tcBorders>
              <w:top w:val="nil"/>
              <w:left w:val="nil"/>
              <w:bottom w:val="nil"/>
              <w:right w:val="nil"/>
            </w:tcBorders>
            <w:shd w:val="clear" w:color="auto" w:fill="auto"/>
            <w:noWrap/>
            <w:vAlign w:val="bottom"/>
            <w:hideMark/>
          </w:tcPr>
          <w:p w14:paraId="6D617B78" w14:textId="77777777" w:rsidR="003C0688" w:rsidRPr="00991A40" w:rsidRDefault="003C0688" w:rsidP="005160F0">
            <w:pPr>
              <w:spacing w:after="0" w:line="240" w:lineRule="auto"/>
              <w:jc w:val="center"/>
              <w:rPr>
                <w:rFonts w:ascii="Calibri" w:eastAsia="Times New Roman" w:hAnsi="Calibri" w:cs="Times New Roman"/>
                <w:color w:val="000000"/>
              </w:rPr>
            </w:pPr>
            <w:r w:rsidRPr="00991A40">
              <w:rPr>
                <w:rFonts w:ascii="Calibri" w:eastAsia="Times New Roman" w:hAnsi="Calibri" w:cs="Times New Roman"/>
                <w:color w:val="000000"/>
              </w:rPr>
              <w:t>145,630</w:t>
            </w:r>
          </w:p>
        </w:tc>
        <w:tc>
          <w:tcPr>
            <w:tcW w:w="1560" w:type="dxa"/>
            <w:tcBorders>
              <w:top w:val="nil"/>
              <w:left w:val="nil"/>
              <w:bottom w:val="nil"/>
              <w:right w:val="nil"/>
            </w:tcBorders>
            <w:shd w:val="clear" w:color="auto" w:fill="auto"/>
            <w:noWrap/>
            <w:vAlign w:val="bottom"/>
            <w:hideMark/>
          </w:tcPr>
          <w:p w14:paraId="4FCA8DB9" w14:textId="77777777" w:rsidR="003C0688" w:rsidRPr="00991A40" w:rsidRDefault="003C0688" w:rsidP="005160F0">
            <w:pPr>
              <w:spacing w:after="0" w:line="240" w:lineRule="auto"/>
              <w:jc w:val="center"/>
              <w:rPr>
                <w:rFonts w:ascii="Calibri" w:eastAsia="Times New Roman" w:hAnsi="Calibri" w:cs="Times New Roman"/>
                <w:color w:val="000000"/>
              </w:rPr>
            </w:pPr>
            <w:r w:rsidRPr="00991A40">
              <w:rPr>
                <w:rFonts w:ascii="Calibri" w:eastAsia="Times New Roman" w:hAnsi="Calibri" w:cs="Times New Roman"/>
                <w:color w:val="000000"/>
              </w:rPr>
              <w:t>10.4%</w:t>
            </w:r>
          </w:p>
        </w:tc>
      </w:tr>
      <w:tr w:rsidR="003C0688" w:rsidRPr="00991A40" w14:paraId="0FCBB217" w14:textId="77777777" w:rsidTr="00547B7B">
        <w:trPr>
          <w:trHeight w:val="300"/>
          <w:jc w:val="center"/>
        </w:trPr>
        <w:tc>
          <w:tcPr>
            <w:tcW w:w="1500" w:type="dxa"/>
            <w:tcBorders>
              <w:top w:val="nil"/>
              <w:left w:val="nil"/>
              <w:bottom w:val="nil"/>
              <w:right w:val="nil"/>
            </w:tcBorders>
            <w:shd w:val="clear" w:color="auto" w:fill="auto"/>
            <w:noWrap/>
            <w:vAlign w:val="bottom"/>
            <w:hideMark/>
          </w:tcPr>
          <w:p w14:paraId="638BA556" w14:textId="77777777" w:rsidR="003C0688" w:rsidRPr="00991A40" w:rsidRDefault="003C0688" w:rsidP="005160F0">
            <w:pPr>
              <w:spacing w:after="0" w:line="240" w:lineRule="auto"/>
              <w:rPr>
                <w:rFonts w:ascii="Calibri" w:eastAsia="Times New Roman" w:hAnsi="Calibri" w:cs="Times New Roman"/>
                <w:color w:val="000000"/>
              </w:rPr>
            </w:pPr>
            <w:r w:rsidRPr="00991A40">
              <w:rPr>
                <w:rFonts w:ascii="Calibri" w:eastAsia="Times New Roman" w:hAnsi="Calibri" w:cs="Times New Roman"/>
                <w:color w:val="000000"/>
              </w:rPr>
              <w:t>Urban</w:t>
            </w:r>
          </w:p>
        </w:tc>
        <w:tc>
          <w:tcPr>
            <w:tcW w:w="1120" w:type="dxa"/>
            <w:tcBorders>
              <w:top w:val="nil"/>
              <w:left w:val="nil"/>
              <w:bottom w:val="nil"/>
              <w:right w:val="nil"/>
            </w:tcBorders>
            <w:shd w:val="clear" w:color="auto" w:fill="auto"/>
            <w:noWrap/>
            <w:vAlign w:val="bottom"/>
            <w:hideMark/>
          </w:tcPr>
          <w:p w14:paraId="7F52CCCC" w14:textId="77777777" w:rsidR="003C0688" w:rsidRPr="00991A40" w:rsidRDefault="003C0688" w:rsidP="005160F0">
            <w:pPr>
              <w:spacing w:after="0" w:line="240" w:lineRule="auto"/>
              <w:jc w:val="center"/>
              <w:rPr>
                <w:rFonts w:ascii="Calibri" w:eastAsia="Times New Roman" w:hAnsi="Calibri" w:cs="Times New Roman"/>
                <w:color w:val="000000"/>
              </w:rPr>
            </w:pPr>
            <w:r w:rsidRPr="00991A40">
              <w:rPr>
                <w:rFonts w:ascii="Calibri" w:eastAsia="Times New Roman" w:hAnsi="Calibri" w:cs="Times New Roman"/>
                <w:color w:val="000000"/>
              </w:rPr>
              <w:t>4,884,941</w:t>
            </w:r>
          </w:p>
        </w:tc>
        <w:tc>
          <w:tcPr>
            <w:tcW w:w="2420" w:type="dxa"/>
            <w:tcBorders>
              <w:top w:val="nil"/>
              <w:left w:val="nil"/>
              <w:bottom w:val="nil"/>
              <w:right w:val="nil"/>
            </w:tcBorders>
            <w:shd w:val="clear" w:color="auto" w:fill="auto"/>
            <w:noWrap/>
            <w:vAlign w:val="bottom"/>
            <w:hideMark/>
          </w:tcPr>
          <w:p w14:paraId="2687B847" w14:textId="77777777" w:rsidR="003C0688" w:rsidRPr="00991A40" w:rsidRDefault="003C0688" w:rsidP="005160F0">
            <w:pPr>
              <w:spacing w:after="0" w:line="240" w:lineRule="auto"/>
              <w:jc w:val="center"/>
              <w:rPr>
                <w:rFonts w:ascii="Calibri" w:eastAsia="Times New Roman" w:hAnsi="Calibri" w:cs="Times New Roman"/>
                <w:color w:val="000000"/>
              </w:rPr>
            </w:pPr>
            <w:r w:rsidRPr="00991A40">
              <w:rPr>
                <w:rFonts w:ascii="Calibri" w:eastAsia="Times New Roman" w:hAnsi="Calibri" w:cs="Times New Roman"/>
                <w:color w:val="000000"/>
              </w:rPr>
              <w:t>3,861,610</w:t>
            </w:r>
          </w:p>
        </w:tc>
        <w:tc>
          <w:tcPr>
            <w:tcW w:w="1340" w:type="dxa"/>
            <w:tcBorders>
              <w:top w:val="nil"/>
              <w:left w:val="nil"/>
              <w:bottom w:val="nil"/>
              <w:right w:val="nil"/>
            </w:tcBorders>
            <w:shd w:val="clear" w:color="auto" w:fill="auto"/>
            <w:noWrap/>
            <w:vAlign w:val="bottom"/>
            <w:hideMark/>
          </w:tcPr>
          <w:p w14:paraId="3FB55389" w14:textId="77777777" w:rsidR="003C0688" w:rsidRPr="00991A40" w:rsidRDefault="003C0688" w:rsidP="005160F0">
            <w:pPr>
              <w:spacing w:after="0" w:line="240" w:lineRule="auto"/>
              <w:jc w:val="center"/>
              <w:rPr>
                <w:rFonts w:ascii="Calibri" w:eastAsia="Times New Roman" w:hAnsi="Calibri" w:cs="Times New Roman"/>
                <w:color w:val="000000"/>
              </w:rPr>
            </w:pPr>
            <w:r w:rsidRPr="00991A40">
              <w:rPr>
                <w:rFonts w:ascii="Calibri" w:eastAsia="Times New Roman" w:hAnsi="Calibri" w:cs="Times New Roman"/>
                <w:color w:val="000000"/>
              </w:rPr>
              <w:t>79.1%</w:t>
            </w:r>
          </w:p>
        </w:tc>
        <w:tc>
          <w:tcPr>
            <w:tcW w:w="1224" w:type="dxa"/>
            <w:tcBorders>
              <w:top w:val="nil"/>
              <w:left w:val="nil"/>
              <w:bottom w:val="nil"/>
              <w:right w:val="nil"/>
            </w:tcBorders>
            <w:shd w:val="clear" w:color="auto" w:fill="auto"/>
            <w:noWrap/>
            <w:vAlign w:val="bottom"/>
            <w:hideMark/>
          </w:tcPr>
          <w:p w14:paraId="2A527D25" w14:textId="77777777" w:rsidR="003C0688" w:rsidRPr="00991A40" w:rsidRDefault="003C0688" w:rsidP="005160F0">
            <w:pPr>
              <w:spacing w:after="0" w:line="240" w:lineRule="auto"/>
              <w:jc w:val="center"/>
              <w:rPr>
                <w:rFonts w:ascii="Calibri" w:eastAsia="Times New Roman" w:hAnsi="Calibri" w:cs="Times New Roman"/>
                <w:color w:val="000000"/>
              </w:rPr>
            </w:pPr>
            <w:r w:rsidRPr="00991A40">
              <w:rPr>
                <w:rFonts w:ascii="Calibri" w:eastAsia="Times New Roman" w:hAnsi="Calibri" w:cs="Times New Roman"/>
                <w:color w:val="000000"/>
              </w:rPr>
              <w:t>514,202</w:t>
            </w:r>
          </w:p>
        </w:tc>
        <w:tc>
          <w:tcPr>
            <w:tcW w:w="1560" w:type="dxa"/>
            <w:tcBorders>
              <w:top w:val="nil"/>
              <w:left w:val="nil"/>
              <w:bottom w:val="nil"/>
              <w:right w:val="nil"/>
            </w:tcBorders>
            <w:shd w:val="clear" w:color="auto" w:fill="auto"/>
            <w:noWrap/>
            <w:vAlign w:val="bottom"/>
            <w:hideMark/>
          </w:tcPr>
          <w:p w14:paraId="3997CE22" w14:textId="77777777" w:rsidR="003C0688" w:rsidRPr="00991A40" w:rsidRDefault="003C0688" w:rsidP="005160F0">
            <w:pPr>
              <w:spacing w:after="0" w:line="240" w:lineRule="auto"/>
              <w:jc w:val="center"/>
              <w:rPr>
                <w:rFonts w:ascii="Calibri" w:eastAsia="Times New Roman" w:hAnsi="Calibri" w:cs="Times New Roman"/>
                <w:color w:val="000000"/>
              </w:rPr>
            </w:pPr>
            <w:r w:rsidRPr="00991A40">
              <w:rPr>
                <w:rFonts w:ascii="Calibri" w:eastAsia="Times New Roman" w:hAnsi="Calibri" w:cs="Times New Roman"/>
                <w:color w:val="000000"/>
              </w:rPr>
              <w:t>10.5%</w:t>
            </w:r>
          </w:p>
        </w:tc>
      </w:tr>
      <w:tr w:rsidR="003C0688" w:rsidRPr="00991A40" w14:paraId="7E2AC44F" w14:textId="77777777" w:rsidTr="00547B7B">
        <w:trPr>
          <w:trHeight w:val="300"/>
          <w:jc w:val="center"/>
        </w:trPr>
        <w:tc>
          <w:tcPr>
            <w:tcW w:w="1500" w:type="dxa"/>
            <w:tcBorders>
              <w:top w:val="nil"/>
              <w:left w:val="nil"/>
              <w:bottom w:val="nil"/>
              <w:right w:val="nil"/>
            </w:tcBorders>
            <w:shd w:val="clear" w:color="auto" w:fill="auto"/>
            <w:noWrap/>
            <w:vAlign w:val="bottom"/>
            <w:hideMark/>
          </w:tcPr>
          <w:p w14:paraId="147BD7A0" w14:textId="77777777" w:rsidR="003C0688" w:rsidRPr="00991A40" w:rsidRDefault="003C0688" w:rsidP="005160F0">
            <w:pPr>
              <w:spacing w:after="0" w:line="240" w:lineRule="auto"/>
              <w:rPr>
                <w:rFonts w:ascii="Calibri" w:eastAsia="Times New Roman" w:hAnsi="Calibri" w:cs="Times New Roman"/>
                <w:color w:val="000000"/>
              </w:rPr>
            </w:pPr>
            <w:r w:rsidRPr="00991A40">
              <w:rPr>
                <w:rFonts w:ascii="Calibri" w:eastAsia="Times New Roman" w:hAnsi="Calibri" w:cs="Times New Roman"/>
                <w:color w:val="000000"/>
              </w:rPr>
              <w:t>Unknown</w:t>
            </w:r>
          </w:p>
        </w:tc>
        <w:tc>
          <w:tcPr>
            <w:tcW w:w="1120" w:type="dxa"/>
            <w:tcBorders>
              <w:top w:val="nil"/>
              <w:left w:val="nil"/>
              <w:bottom w:val="nil"/>
              <w:right w:val="nil"/>
            </w:tcBorders>
            <w:shd w:val="clear" w:color="auto" w:fill="auto"/>
            <w:noWrap/>
            <w:vAlign w:val="bottom"/>
            <w:hideMark/>
          </w:tcPr>
          <w:p w14:paraId="6E0BE299" w14:textId="77777777" w:rsidR="003C0688" w:rsidRPr="00991A40" w:rsidRDefault="003C0688" w:rsidP="005160F0">
            <w:pPr>
              <w:spacing w:after="0" w:line="240" w:lineRule="auto"/>
              <w:jc w:val="center"/>
              <w:rPr>
                <w:rFonts w:ascii="Calibri" w:eastAsia="Times New Roman" w:hAnsi="Calibri" w:cs="Times New Roman"/>
                <w:color w:val="000000"/>
              </w:rPr>
            </w:pPr>
            <w:r w:rsidRPr="00991A40">
              <w:rPr>
                <w:rFonts w:ascii="Calibri" w:eastAsia="Times New Roman" w:hAnsi="Calibri" w:cs="Times New Roman"/>
                <w:color w:val="000000"/>
              </w:rPr>
              <w:t>97</w:t>
            </w:r>
          </w:p>
        </w:tc>
        <w:tc>
          <w:tcPr>
            <w:tcW w:w="2420" w:type="dxa"/>
            <w:tcBorders>
              <w:top w:val="nil"/>
              <w:left w:val="nil"/>
              <w:bottom w:val="nil"/>
              <w:right w:val="nil"/>
            </w:tcBorders>
            <w:shd w:val="clear" w:color="auto" w:fill="auto"/>
            <w:noWrap/>
            <w:vAlign w:val="bottom"/>
            <w:hideMark/>
          </w:tcPr>
          <w:p w14:paraId="590100BD" w14:textId="77777777" w:rsidR="003C0688" w:rsidRPr="00991A40" w:rsidRDefault="003C0688" w:rsidP="005160F0">
            <w:pPr>
              <w:spacing w:after="0" w:line="240" w:lineRule="auto"/>
              <w:jc w:val="center"/>
              <w:rPr>
                <w:rFonts w:ascii="Calibri" w:eastAsia="Times New Roman" w:hAnsi="Calibri" w:cs="Times New Roman"/>
                <w:color w:val="000000"/>
              </w:rPr>
            </w:pPr>
            <w:r w:rsidRPr="00991A40">
              <w:rPr>
                <w:rFonts w:ascii="Calibri" w:eastAsia="Times New Roman" w:hAnsi="Calibri" w:cs="Times New Roman"/>
                <w:color w:val="000000"/>
              </w:rPr>
              <w:t>69</w:t>
            </w:r>
          </w:p>
        </w:tc>
        <w:tc>
          <w:tcPr>
            <w:tcW w:w="1340" w:type="dxa"/>
            <w:tcBorders>
              <w:top w:val="nil"/>
              <w:left w:val="nil"/>
              <w:bottom w:val="nil"/>
              <w:right w:val="nil"/>
            </w:tcBorders>
            <w:shd w:val="clear" w:color="auto" w:fill="auto"/>
            <w:noWrap/>
            <w:vAlign w:val="bottom"/>
            <w:hideMark/>
          </w:tcPr>
          <w:p w14:paraId="168647ED" w14:textId="77777777" w:rsidR="003C0688" w:rsidRPr="00991A40" w:rsidRDefault="003C0688" w:rsidP="005160F0">
            <w:pPr>
              <w:spacing w:after="0" w:line="240" w:lineRule="auto"/>
              <w:jc w:val="center"/>
              <w:rPr>
                <w:rFonts w:ascii="Calibri" w:eastAsia="Times New Roman" w:hAnsi="Calibri" w:cs="Times New Roman"/>
                <w:color w:val="000000"/>
              </w:rPr>
            </w:pPr>
            <w:r w:rsidRPr="00991A40">
              <w:rPr>
                <w:rFonts w:ascii="Calibri" w:eastAsia="Times New Roman" w:hAnsi="Calibri" w:cs="Times New Roman"/>
                <w:color w:val="000000"/>
              </w:rPr>
              <w:t>71.1%</w:t>
            </w:r>
          </w:p>
        </w:tc>
        <w:tc>
          <w:tcPr>
            <w:tcW w:w="1224" w:type="dxa"/>
            <w:tcBorders>
              <w:top w:val="nil"/>
              <w:left w:val="nil"/>
              <w:bottom w:val="nil"/>
              <w:right w:val="nil"/>
            </w:tcBorders>
            <w:shd w:val="clear" w:color="auto" w:fill="auto"/>
            <w:noWrap/>
            <w:vAlign w:val="bottom"/>
            <w:hideMark/>
          </w:tcPr>
          <w:p w14:paraId="38820CD7" w14:textId="77777777" w:rsidR="003C0688" w:rsidRPr="00991A40" w:rsidRDefault="003C0688" w:rsidP="005160F0">
            <w:pPr>
              <w:spacing w:after="0" w:line="240" w:lineRule="auto"/>
              <w:jc w:val="center"/>
              <w:rPr>
                <w:rFonts w:ascii="Calibri" w:eastAsia="Times New Roman" w:hAnsi="Calibri" w:cs="Times New Roman"/>
                <w:color w:val="000000"/>
              </w:rPr>
            </w:pPr>
            <w:r w:rsidRPr="00991A40">
              <w:rPr>
                <w:rFonts w:ascii="Calibri" w:eastAsia="Times New Roman" w:hAnsi="Calibri" w:cs="Times New Roman"/>
                <w:color w:val="000000"/>
              </w:rPr>
              <w:t>14</w:t>
            </w:r>
          </w:p>
        </w:tc>
        <w:tc>
          <w:tcPr>
            <w:tcW w:w="1560" w:type="dxa"/>
            <w:tcBorders>
              <w:top w:val="nil"/>
              <w:left w:val="nil"/>
              <w:bottom w:val="nil"/>
              <w:right w:val="nil"/>
            </w:tcBorders>
            <w:shd w:val="clear" w:color="auto" w:fill="auto"/>
            <w:noWrap/>
            <w:vAlign w:val="bottom"/>
            <w:hideMark/>
          </w:tcPr>
          <w:p w14:paraId="7033615B" w14:textId="77777777" w:rsidR="003C0688" w:rsidRPr="00991A40" w:rsidRDefault="003C0688" w:rsidP="005160F0">
            <w:pPr>
              <w:spacing w:after="0" w:line="240" w:lineRule="auto"/>
              <w:jc w:val="center"/>
              <w:rPr>
                <w:rFonts w:ascii="Calibri" w:eastAsia="Times New Roman" w:hAnsi="Calibri" w:cs="Times New Roman"/>
                <w:color w:val="000000"/>
              </w:rPr>
            </w:pPr>
            <w:r w:rsidRPr="00991A40">
              <w:rPr>
                <w:rFonts w:ascii="Calibri" w:eastAsia="Times New Roman" w:hAnsi="Calibri" w:cs="Times New Roman"/>
                <w:color w:val="000000"/>
              </w:rPr>
              <w:t>14.4%</w:t>
            </w:r>
          </w:p>
        </w:tc>
      </w:tr>
      <w:tr w:rsidR="003C0688" w:rsidRPr="00991A40" w14:paraId="13F75813" w14:textId="77777777" w:rsidTr="00547B7B">
        <w:trPr>
          <w:trHeight w:val="300"/>
          <w:jc w:val="center"/>
        </w:trPr>
        <w:tc>
          <w:tcPr>
            <w:tcW w:w="1500" w:type="dxa"/>
            <w:tcBorders>
              <w:top w:val="nil"/>
              <w:left w:val="nil"/>
              <w:bottom w:val="single" w:sz="4" w:space="0" w:color="auto"/>
              <w:right w:val="nil"/>
            </w:tcBorders>
            <w:shd w:val="clear" w:color="auto" w:fill="auto"/>
            <w:noWrap/>
            <w:vAlign w:val="bottom"/>
            <w:hideMark/>
          </w:tcPr>
          <w:p w14:paraId="49BA0C66" w14:textId="77777777" w:rsidR="003C0688" w:rsidRPr="00991A40" w:rsidRDefault="003C0688" w:rsidP="005160F0">
            <w:pPr>
              <w:spacing w:after="0" w:line="240" w:lineRule="auto"/>
              <w:rPr>
                <w:rFonts w:ascii="Calibri" w:eastAsia="Times New Roman" w:hAnsi="Calibri" w:cs="Times New Roman"/>
                <w:color w:val="000000"/>
              </w:rPr>
            </w:pPr>
            <w:r w:rsidRPr="00991A40">
              <w:rPr>
                <w:rFonts w:ascii="Calibri" w:eastAsia="Times New Roman" w:hAnsi="Calibri" w:cs="Times New Roman"/>
                <w:color w:val="000000"/>
              </w:rPr>
              <w:t>Total</w:t>
            </w:r>
          </w:p>
        </w:tc>
        <w:tc>
          <w:tcPr>
            <w:tcW w:w="1120" w:type="dxa"/>
            <w:tcBorders>
              <w:top w:val="nil"/>
              <w:left w:val="nil"/>
              <w:bottom w:val="single" w:sz="4" w:space="0" w:color="auto"/>
              <w:right w:val="nil"/>
            </w:tcBorders>
            <w:shd w:val="clear" w:color="auto" w:fill="auto"/>
            <w:noWrap/>
            <w:vAlign w:val="bottom"/>
            <w:hideMark/>
          </w:tcPr>
          <w:p w14:paraId="017A8F15" w14:textId="77777777" w:rsidR="003C0688" w:rsidRPr="00991A40" w:rsidRDefault="003C0688" w:rsidP="005160F0">
            <w:pPr>
              <w:spacing w:after="0" w:line="240" w:lineRule="auto"/>
              <w:jc w:val="center"/>
              <w:rPr>
                <w:rFonts w:ascii="Calibri" w:eastAsia="Times New Roman" w:hAnsi="Calibri" w:cs="Times New Roman"/>
                <w:color w:val="000000"/>
              </w:rPr>
            </w:pPr>
            <w:r w:rsidRPr="00991A40">
              <w:rPr>
                <w:rFonts w:ascii="Calibri" w:eastAsia="Times New Roman" w:hAnsi="Calibri" w:cs="Times New Roman"/>
                <w:color w:val="000000"/>
              </w:rPr>
              <w:t>6,279,286</w:t>
            </w:r>
          </w:p>
        </w:tc>
        <w:tc>
          <w:tcPr>
            <w:tcW w:w="2420" w:type="dxa"/>
            <w:tcBorders>
              <w:top w:val="nil"/>
              <w:left w:val="nil"/>
              <w:bottom w:val="single" w:sz="4" w:space="0" w:color="auto"/>
              <w:right w:val="nil"/>
            </w:tcBorders>
            <w:shd w:val="clear" w:color="auto" w:fill="auto"/>
            <w:noWrap/>
            <w:vAlign w:val="bottom"/>
            <w:hideMark/>
          </w:tcPr>
          <w:p w14:paraId="55CFCCEE" w14:textId="77777777" w:rsidR="003C0688" w:rsidRPr="00991A40" w:rsidRDefault="003C0688" w:rsidP="005160F0">
            <w:pPr>
              <w:spacing w:after="0" w:line="240" w:lineRule="auto"/>
              <w:jc w:val="center"/>
              <w:rPr>
                <w:rFonts w:ascii="Calibri" w:eastAsia="Times New Roman" w:hAnsi="Calibri" w:cs="Times New Roman"/>
                <w:color w:val="000000"/>
              </w:rPr>
            </w:pPr>
            <w:r w:rsidRPr="00991A40">
              <w:rPr>
                <w:rFonts w:ascii="Calibri" w:eastAsia="Times New Roman" w:hAnsi="Calibri" w:cs="Times New Roman"/>
                <w:color w:val="000000"/>
              </w:rPr>
              <w:t>4,926,407</w:t>
            </w:r>
          </w:p>
        </w:tc>
        <w:tc>
          <w:tcPr>
            <w:tcW w:w="1340" w:type="dxa"/>
            <w:tcBorders>
              <w:top w:val="nil"/>
              <w:left w:val="nil"/>
              <w:bottom w:val="single" w:sz="4" w:space="0" w:color="auto"/>
              <w:right w:val="nil"/>
            </w:tcBorders>
            <w:shd w:val="clear" w:color="auto" w:fill="auto"/>
            <w:noWrap/>
            <w:vAlign w:val="bottom"/>
            <w:hideMark/>
          </w:tcPr>
          <w:p w14:paraId="1FF59810" w14:textId="77777777" w:rsidR="003C0688" w:rsidRPr="00991A40" w:rsidRDefault="003C0688" w:rsidP="005160F0">
            <w:pPr>
              <w:spacing w:after="0" w:line="240" w:lineRule="auto"/>
              <w:jc w:val="center"/>
              <w:rPr>
                <w:rFonts w:ascii="Calibri" w:eastAsia="Times New Roman" w:hAnsi="Calibri" w:cs="Times New Roman"/>
                <w:color w:val="000000"/>
              </w:rPr>
            </w:pPr>
            <w:r w:rsidRPr="00991A40">
              <w:rPr>
                <w:rFonts w:ascii="Calibri" w:eastAsia="Times New Roman" w:hAnsi="Calibri" w:cs="Times New Roman"/>
                <w:color w:val="000000"/>
              </w:rPr>
              <w:t>78.5%</w:t>
            </w:r>
          </w:p>
        </w:tc>
        <w:tc>
          <w:tcPr>
            <w:tcW w:w="1224" w:type="dxa"/>
            <w:tcBorders>
              <w:top w:val="nil"/>
              <w:left w:val="nil"/>
              <w:bottom w:val="single" w:sz="4" w:space="0" w:color="auto"/>
              <w:right w:val="nil"/>
            </w:tcBorders>
            <w:shd w:val="clear" w:color="auto" w:fill="auto"/>
            <w:noWrap/>
            <w:vAlign w:val="bottom"/>
            <w:hideMark/>
          </w:tcPr>
          <w:p w14:paraId="2BD75556" w14:textId="77777777" w:rsidR="003C0688" w:rsidRPr="00991A40" w:rsidRDefault="003C0688" w:rsidP="005160F0">
            <w:pPr>
              <w:spacing w:after="0" w:line="240" w:lineRule="auto"/>
              <w:jc w:val="center"/>
              <w:rPr>
                <w:rFonts w:ascii="Calibri" w:eastAsia="Times New Roman" w:hAnsi="Calibri" w:cs="Times New Roman"/>
                <w:color w:val="000000"/>
              </w:rPr>
            </w:pPr>
            <w:r w:rsidRPr="00991A40">
              <w:rPr>
                <w:rFonts w:ascii="Calibri" w:eastAsia="Times New Roman" w:hAnsi="Calibri" w:cs="Times New Roman"/>
                <w:color w:val="000000"/>
              </w:rPr>
              <w:t>659,846</w:t>
            </w:r>
          </w:p>
        </w:tc>
        <w:tc>
          <w:tcPr>
            <w:tcW w:w="1560" w:type="dxa"/>
            <w:tcBorders>
              <w:top w:val="nil"/>
              <w:left w:val="nil"/>
              <w:bottom w:val="single" w:sz="4" w:space="0" w:color="auto"/>
              <w:right w:val="nil"/>
            </w:tcBorders>
            <w:shd w:val="clear" w:color="auto" w:fill="auto"/>
            <w:noWrap/>
            <w:vAlign w:val="bottom"/>
            <w:hideMark/>
          </w:tcPr>
          <w:p w14:paraId="7EF18E91" w14:textId="77777777" w:rsidR="003C0688" w:rsidRPr="00991A40" w:rsidRDefault="003C0688" w:rsidP="005160F0">
            <w:pPr>
              <w:spacing w:after="0" w:line="240" w:lineRule="auto"/>
              <w:jc w:val="center"/>
              <w:rPr>
                <w:rFonts w:ascii="Calibri" w:eastAsia="Times New Roman" w:hAnsi="Calibri" w:cs="Times New Roman"/>
                <w:color w:val="000000"/>
              </w:rPr>
            </w:pPr>
            <w:r w:rsidRPr="00991A40">
              <w:rPr>
                <w:rFonts w:ascii="Calibri" w:eastAsia="Times New Roman" w:hAnsi="Calibri" w:cs="Times New Roman"/>
                <w:color w:val="000000"/>
              </w:rPr>
              <w:t>10.5%</w:t>
            </w:r>
          </w:p>
        </w:tc>
      </w:tr>
    </w:tbl>
    <w:p w14:paraId="7E2ED9D9" w14:textId="05CEABFC" w:rsidR="00547B7B" w:rsidRPr="00547B7B" w:rsidRDefault="00547B7B" w:rsidP="00547B7B">
      <w:pPr>
        <w:autoSpaceDE w:val="0"/>
        <w:autoSpaceDN w:val="0"/>
        <w:adjustRightInd w:val="0"/>
        <w:spacing w:after="0" w:line="240" w:lineRule="auto"/>
        <w:rPr>
          <w:rFonts w:cstheme="minorHAnsi"/>
          <w:bCs/>
          <w:sz w:val="18"/>
        </w:rPr>
      </w:pPr>
      <w:r>
        <w:rPr>
          <w:rFonts w:cstheme="minorHAnsi"/>
          <w:bCs/>
          <w:sz w:val="18"/>
        </w:rPr>
        <w:t>Acumen</w:t>
      </w:r>
      <w:r w:rsidRPr="0090361B">
        <w:rPr>
          <w:rFonts w:cstheme="minorHAnsi"/>
          <w:bCs/>
          <w:sz w:val="18"/>
        </w:rPr>
        <w:t xml:space="preserve"> Analysis of Medicare Claims File for </w:t>
      </w:r>
      <w:r>
        <w:rPr>
          <w:rFonts w:cstheme="minorHAnsi"/>
          <w:bCs/>
          <w:sz w:val="18"/>
        </w:rPr>
        <w:t xml:space="preserve">HH, Medicare Enrollment Database, </w:t>
      </w:r>
      <w:r w:rsidRPr="00547B7B">
        <w:rPr>
          <w:rFonts w:cstheme="minorHAnsi"/>
          <w:bCs/>
          <w:sz w:val="18"/>
        </w:rPr>
        <w:t>Common Medicare Environment (CME) database,</w:t>
      </w:r>
      <w:r>
        <w:rPr>
          <w:rFonts w:cstheme="minorHAnsi"/>
          <w:bCs/>
          <w:sz w:val="18"/>
        </w:rPr>
        <w:t xml:space="preserve"> CY</w:t>
      </w:r>
      <w:r w:rsidRPr="0090361B">
        <w:rPr>
          <w:rFonts w:cstheme="minorHAnsi"/>
          <w:bCs/>
          <w:sz w:val="18"/>
        </w:rPr>
        <w:t xml:space="preserve"> 201</w:t>
      </w:r>
      <w:r>
        <w:rPr>
          <w:rFonts w:cstheme="minorHAnsi"/>
          <w:bCs/>
          <w:sz w:val="18"/>
        </w:rPr>
        <w:t>5</w:t>
      </w:r>
      <w:r w:rsidRPr="0090361B">
        <w:rPr>
          <w:rFonts w:cstheme="minorHAnsi"/>
          <w:bCs/>
          <w:sz w:val="18"/>
        </w:rPr>
        <w:t>-201</w:t>
      </w:r>
      <w:r>
        <w:rPr>
          <w:rFonts w:cstheme="minorHAnsi"/>
          <w:bCs/>
          <w:sz w:val="18"/>
        </w:rPr>
        <w:t>6.</w:t>
      </w:r>
    </w:p>
    <w:p w14:paraId="12FA8D13" w14:textId="77777777" w:rsidR="003C0688" w:rsidRDefault="003C0688" w:rsidP="003C0688">
      <w:pPr>
        <w:autoSpaceDE w:val="0"/>
        <w:autoSpaceDN w:val="0"/>
        <w:adjustRightInd w:val="0"/>
        <w:spacing w:after="0" w:line="240" w:lineRule="auto"/>
        <w:rPr>
          <w:b/>
        </w:rPr>
      </w:pPr>
    </w:p>
    <w:p w14:paraId="3102BFE9" w14:textId="77777777" w:rsidR="003C0688" w:rsidRDefault="003C0688" w:rsidP="003C0688">
      <w:pPr>
        <w:autoSpaceDE w:val="0"/>
        <w:autoSpaceDN w:val="0"/>
        <w:adjustRightInd w:val="0"/>
        <w:spacing w:after="0" w:line="240" w:lineRule="auto"/>
        <w:rPr>
          <w:b/>
        </w:rPr>
      </w:pPr>
    </w:p>
    <w:p w14:paraId="5189155A" w14:textId="47D28F0F" w:rsidR="003C0688" w:rsidRPr="001904C7" w:rsidRDefault="003C0688" w:rsidP="003C0688">
      <w:pPr>
        <w:autoSpaceDE w:val="0"/>
        <w:autoSpaceDN w:val="0"/>
        <w:adjustRightInd w:val="0"/>
        <w:spacing w:after="0" w:line="240" w:lineRule="auto"/>
        <w:jc w:val="center"/>
        <w:rPr>
          <w:b/>
        </w:rPr>
      </w:pPr>
      <w:r w:rsidRPr="001904C7">
        <w:rPr>
          <w:b/>
        </w:rPr>
        <w:lastRenderedPageBreak/>
        <w:t xml:space="preserve">Table </w:t>
      </w:r>
      <w:r w:rsidR="00FC40CA">
        <w:rPr>
          <w:b/>
        </w:rPr>
        <w:t>14</w:t>
      </w:r>
      <w:r w:rsidRPr="001904C7">
        <w:rPr>
          <w:b/>
        </w:rPr>
        <w:t xml:space="preserve">. </w:t>
      </w:r>
      <w:r w:rsidRPr="001904C7">
        <w:rPr>
          <w:rStyle w:val="normaltextrun"/>
          <w:b/>
        </w:rPr>
        <w:t>Comparison of Unplanned Admission Rates following Return to the Community and Successful Discharge to Community Rates</w:t>
      </w:r>
      <w:r w:rsidRPr="001904C7">
        <w:rPr>
          <w:b/>
        </w:rPr>
        <w:t>, by Dual Status</w:t>
      </w:r>
    </w:p>
    <w:tbl>
      <w:tblPr>
        <w:tblW w:w="9164" w:type="dxa"/>
        <w:jc w:val="center"/>
        <w:tblLook w:val="04A0" w:firstRow="1" w:lastRow="0" w:firstColumn="1" w:lastColumn="0" w:noHBand="0" w:noVBand="1"/>
      </w:tblPr>
      <w:tblGrid>
        <w:gridCol w:w="1500"/>
        <w:gridCol w:w="1120"/>
        <w:gridCol w:w="2420"/>
        <w:gridCol w:w="1340"/>
        <w:gridCol w:w="1224"/>
        <w:gridCol w:w="1560"/>
      </w:tblGrid>
      <w:tr w:rsidR="003C0688" w:rsidRPr="00991A40" w14:paraId="028E3744" w14:textId="77777777" w:rsidTr="005160F0">
        <w:trPr>
          <w:trHeight w:val="900"/>
          <w:jc w:val="center"/>
        </w:trPr>
        <w:tc>
          <w:tcPr>
            <w:tcW w:w="1500" w:type="dxa"/>
            <w:tcBorders>
              <w:top w:val="single" w:sz="4" w:space="0" w:color="auto"/>
              <w:left w:val="nil"/>
              <w:bottom w:val="single" w:sz="4" w:space="0" w:color="auto"/>
              <w:right w:val="nil"/>
            </w:tcBorders>
            <w:shd w:val="clear" w:color="000000" w:fill="D9D9D9"/>
            <w:vAlign w:val="bottom"/>
            <w:hideMark/>
          </w:tcPr>
          <w:p w14:paraId="1304F105" w14:textId="77777777" w:rsidR="003C0688" w:rsidRPr="00991A40" w:rsidRDefault="003C0688" w:rsidP="005160F0">
            <w:pPr>
              <w:spacing w:after="0" w:line="240" w:lineRule="auto"/>
              <w:jc w:val="center"/>
              <w:rPr>
                <w:rFonts w:ascii="Calibri" w:eastAsia="Times New Roman" w:hAnsi="Calibri" w:cs="Times New Roman"/>
                <w:b/>
                <w:bCs/>
                <w:color w:val="000000"/>
              </w:rPr>
            </w:pPr>
            <w:r w:rsidRPr="00991A40">
              <w:rPr>
                <w:rFonts w:ascii="Calibri" w:eastAsia="Times New Roman" w:hAnsi="Calibri" w:cs="Times New Roman"/>
                <w:b/>
                <w:bCs/>
                <w:color w:val="000000"/>
              </w:rPr>
              <w:t>Social Risk Factor</w:t>
            </w:r>
          </w:p>
        </w:tc>
        <w:tc>
          <w:tcPr>
            <w:tcW w:w="1120" w:type="dxa"/>
            <w:tcBorders>
              <w:top w:val="single" w:sz="4" w:space="0" w:color="auto"/>
              <w:left w:val="nil"/>
              <w:bottom w:val="single" w:sz="4" w:space="0" w:color="auto"/>
              <w:right w:val="nil"/>
            </w:tcBorders>
            <w:shd w:val="clear" w:color="000000" w:fill="D9D9D9"/>
            <w:vAlign w:val="bottom"/>
            <w:hideMark/>
          </w:tcPr>
          <w:p w14:paraId="3F9EFFB1" w14:textId="77777777" w:rsidR="003C0688" w:rsidRPr="00991A40" w:rsidRDefault="003C0688" w:rsidP="005160F0">
            <w:pPr>
              <w:spacing w:after="0" w:line="240" w:lineRule="auto"/>
              <w:jc w:val="center"/>
              <w:rPr>
                <w:rFonts w:ascii="Calibri" w:eastAsia="Times New Roman" w:hAnsi="Calibri" w:cs="Times New Roman"/>
                <w:b/>
                <w:bCs/>
                <w:color w:val="000000"/>
              </w:rPr>
            </w:pPr>
            <w:r w:rsidRPr="00991A40">
              <w:rPr>
                <w:rFonts w:ascii="Calibri" w:eastAsia="Times New Roman" w:hAnsi="Calibri" w:cs="Times New Roman"/>
                <w:b/>
                <w:bCs/>
                <w:color w:val="000000"/>
              </w:rPr>
              <w:t>Total # of Stays</w:t>
            </w:r>
          </w:p>
        </w:tc>
        <w:tc>
          <w:tcPr>
            <w:tcW w:w="2420" w:type="dxa"/>
            <w:tcBorders>
              <w:top w:val="single" w:sz="4" w:space="0" w:color="auto"/>
              <w:left w:val="nil"/>
              <w:bottom w:val="single" w:sz="4" w:space="0" w:color="auto"/>
              <w:right w:val="nil"/>
            </w:tcBorders>
            <w:shd w:val="clear" w:color="000000" w:fill="D9D9D9"/>
            <w:vAlign w:val="bottom"/>
            <w:hideMark/>
          </w:tcPr>
          <w:p w14:paraId="51C40FF4" w14:textId="77777777" w:rsidR="003C0688" w:rsidRPr="00991A40" w:rsidRDefault="003C0688" w:rsidP="005160F0">
            <w:pPr>
              <w:spacing w:after="0" w:line="240" w:lineRule="auto"/>
              <w:jc w:val="center"/>
              <w:rPr>
                <w:rFonts w:ascii="Calibri" w:eastAsia="Times New Roman" w:hAnsi="Calibri" w:cs="Times New Roman"/>
                <w:b/>
                <w:bCs/>
                <w:color w:val="000000"/>
              </w:rPr>
            </w:pPr>
            <w:r w:rsidRPr="00991A40">
              <w:rPr>
                <w:rFonts w:ascii="Calibri" w:eastAsia="Times New Roman" w:hAnsi="Calibri" w:cs="Times New Roman"/>
                <w:b/>
                <w:bCs/>
                <w:color w:val="000000"/>
              </w:rPr>
              <w:t>Stays with Successful Discharge to Community</w:t>
            </w:r>
          </w:p>
        </w:tc>
        <w:tc>
          <w:tcPr>
            <w:tcW w:w="1340" w:type="dxa"/>
            <w:tcBorders>
              <w:top w:val="single" w:sz="4" w:space="0" w:color="auto"/>
              <w:left w:val="nil"/>
              <w:bottom w:val="single" w:sz="4" w:space="0" w:color="auto"/>
              <w:right w:val="nil"/>
            </w:tcBorders>
            <w:shd w:val="clear" w:color="000000" w:fill="D9D9D9"/>
            <w:vAlign w:val="bottom"/>
            <w:hideMark/>
          </w:tcPr>
          <w:p w14:paraId="69A4D7A2" w14:textId="77777777" w:rsidR="003C0688" w:rsidRPr="00991A40" w:rsidRDefault="003C0688" w:rsidP="005160F0">
            <w:pPr>
              <w:spacing w:after="0" w:line="240" w:lineRule="auto"/>
              <w:jc w:val="center"/>
              <w:rPr>
                <w:rFonts w:ascii="Calibri" w:eastAsia="Times New Roman" w:hAnsi="Calibri" w:cs="Times New Roman"/>
                <w:b/>
                <w:bCs/>
                <w:color w:val="000000"/>
              </w:rPr>
            </w:pPr>
            <w:r w:rsidRPr="00991A40">
              <w:rPr>
                <w:rFonts w:ascii="Calibri" w:eastAsia="Times New Roman" w:hAnsi="Calibri" w:cs="Times New Roman"/>
                <w:b/>
                <w:bCs/>
                <w:color w:val="000000"/>
              </w:rPr>
              <w:t>Unadjusted DTC Rate</w:t>
            </w:r>
          </w:p>
        </w:tc>
        <w:tc>
          <w:tcPr>
            <w:tcW w:w="1224" w:type="dxa"/>
            <w:tcBorders>
              <w:top w:val="single" w:sz="4" w:space="0" w:color="auto"/>
              <w:left w:val="nil"/>
              <w:bottom w:val="single" w:sz="4" w:space="0" w:color="auto"/>
              <w:right w:val="nil"/>
            </w:tcBorders>
            <w:shd w:val="clear" w:color="000000" w:fill="D9D9D9"/>
            <w:vAlign w:val="bottom"/>
            <w:hideMark/>
          </w:tcPr>
          <w:p w14:paraId="73F15371" w14:textId="77777777" w:rsidR="003C0688" w:rsidRPr="00991A40" w:rsidRDefault="003C0688" w:rsidP="005160F0">
            <w:pPr>
              <w:spacing w:after="0" w:line="240" w:lineRule="auto"/>
              <w:jc w:val="center"/>
              <w:rPr>
                <w:rFonts w:ascii="Calibri" w:eastAsia="Times New Roman" w:hAnsi="Calibri" w:cs="Times New Roman"/>
                <w:b/>
                <w:bCs/>
                <w:color w:val="000000"/>
              </w:rPr>
            </w:pPr>
            <w:r w:rsidRPr="00991A40">
              <w:rPr>
                <w:rFonts w:ascii="Calibri" w:eastAsia="Times New Roman" w:hAnsi="Calibri" w:cs="Times New Roman"/>
                <w:b/>
                <w:bCs/>
                <w:color w:val="000000"/>
              </w:rPr>
              <w:t>Stays with Unplanned Admission</w:t>
            </w:r>
          </w:p>
        </w:tc>
        <w:tc>
          <w:tcPr>
            <w:tcW w:w="1560" w:type="dxa"/>
            <w:tcBorders>
              <w:top w:val="single" w:sz="4" w:space="0" w:color="auto"/>
              <w:left w:val="nil"/>
              <w:bottom w:val="single" w:sz="4" w:space="0" w:color="auto"/>
              <w:right w:val="nil"/>
            </w:tcBorders>
            <w:shd w:val="clear" w:color="000000" w:fill="D9D9D9"/>
            <w:vAlign w:val="bottom"/>
            <w:hideMark/>
          </w:tcPr>
          <w:p w14:paraId="0C1AFDFB" w14:textId="77777777" w:rsidR="003C0688" w:rsidRPr="00991A40" w:rsidRDefault="003C0688" w:rsidP="005160F0">
            <w:pPr>
              <w:spacing w:after="0" w:line="240" w:lineRule="auto"/>
              <w:jc w:val="center"/>
              <w:rPr>
                <w:rFonts w:ascii="Calibri" w:eastAsia="Times New Roman" w:hAnsi="Calibri" w:cs="Times New Roman"/>
                <w:b/>
                <w:bCs/>
                <w:color w:val="000000"/>
              </w:rPr>
            </w:pPr>
            <w:r w:rsidRPr="00991A40">
              <w:rPr>
                <w:rFonts w:ascii="Calibri" w:eastAsia="Times New Roman" w:hAnsi="Calibri" w:cs="Times New Roman"/>
                <w:b/>
                <w:bCs/>
                <w:color w:val="000000"/>
              </w:rPr>
              <w:t>Unplanned Admission Rate</w:t>
            </w:r>
          </w:p>
        </w:tc>
      </w:tr>
      <w:tr w:rsidR="003C0688" w:rsidRPr="00991A40" w14:paraId="69D2C38C" w14:textId="77777777" w:rsidTr="005160F0">
        <w:trPr>
          <w:trHeight w:val="300"/>
          <w:jc w:val="center"/>
        </w:trPr>
        <w:tc>
          <w:tcPr>
            <w:tcW w:w="1500" w:type="dxa"/>
            <w:tcBorders>
              <w:top w:val="nil"/>
              <w:left w:val="nil"/>
              <w:bottom w:val="nil"/>
              <w:right w:val="nil"/>
            </w:tcBorders>
            <w:shd w:val="clear" w:color="auto" w:fill="auto"/>
            <w:noWrap/>
            <w:vAlign w:val="bottom"/>
          </w:tcPr>
          <w:p w14:paraId="24EADE35" w14:textId="77777777" w:rsidR="003C0688" w:rsidRPr="00991A40" w:rsidRDefault="003C0688" w:rsidP="005160F0">
            <w:pPr>
              <w:spacing w:after="0" w:line="240" w:lineRule="auto"/>
              <w:rPr>
                <w:rFonts w:ascii="Calibri" w:eastAsia="Times New Roman" w:hAnsi="Calibri" w:cs="Times New Roman"/>
                <w:color w:val="000000"/>
              </w:rPr>
            </w:pPr>
            <w:r>
              <w:rPr>
                <w:rFonts w:ascii="Calibri" w:eastAsia="Times New Roman" w:hAnsi="Calibri" w:cs="Times New Roman"/>
                <w:color w:val="000000"/>
              </w:rPr>
              <w:t>Full Dual</w:t>
            </w:r>
          </w:p>
        </w:tc>
        <w:tc>
          <w:tcPr>
            <w:tcW w:w="1120" w:type="dxa"/>
            <w:tcBorders>
              <w:top w:val="nil"/>
              <w:left w:val="nil"/>
              <w:bottom w:val="nil"/>
              <w:right w:val="nil"/>
            </w:tcBorders>
            <w:shd w:val="clear" w:color="auto" w:fill="auto"/>
            <w:noWrap/>
            <w:vAlign w:val="bottom"/>
          </w:tcPr>
          <w:p w14:paraId="615B5B11" w14:textId="77777777" w:rsidR="003C0688" w:rsidRPr="00991A40" w:rsidRDefault="003C0688" w:rsidP="005160F0">
            <w:pPr>
              <w:spacing w:after="0" w:line="240" w:lineRule="auto"/>
              <w:jc w:val="center"/>
              <w:rPr>
                <w:rFonts w:ascii="Calibri" w:eastAsia="Times New Roman" w:hAnsi="Calibri" w:cs="Times New Roman"/>
                <w:color w:val="000000"/>
              </w:rPr>
            </w:pPr>
            <w:r>
              <w:rPr>
                <w:rFonts w:ascii="Calibri" w:hAnsi="Calibri"/>
                <w:color w:val="000000"/>
              </w:rPr>
              <w:t>1,248,005</w:t>
            </w:r>
          </w:p>
        </w:tc>
        <w:tc>
          <w:tcPr>
            <w:tcW w:w="2420" w:type="dxa"/>
            <w:tcBorders>
              <w:top w:val="nil"/>
              <w:left w:val="nil"/>
              <w:bottom w:val="nil"/>
              <w:right w:val="nil"/>
            </w:tcBorders>
            <w:shd w:val="clear" w:color="auto" w:fill="auto"/>
            <w:noWrap/>
            <w:vAlign w:val="bottom"/>
          </w:tcPr>
          <w:p w14:paraId="08C1746B" w14:textId="77777777" w:rsidR="003C0688" w:rsidRPr="00991A40" w:rsidRDefault="003C0688" w:rsidP="005160F0">
            <w:pPr>
              <w:spacing w:after="0" w:line="240" w:lineRule="auto"/>
              <w:jc w:val="center"/>
              <w:rPr>
                <w:rFonts w:ascii="Calibri" w:eastAsia="Times New Roman" w:hAnsi="Calibri" w:cs="Times New Roman"/>
                <w:color w:val="000000"/>
              </w:rPr>
            </w:pPr>
            <w:r>
              <w:rPr>
                <w:rFonts w:ascii="Calibri" w:hAnsi="Calibri"/>
                <w:color w:val="000000"/>
              </w:rPr>
              <w:t>927,046</w:t>
            </w:r>
          </w:p>
        </w:tc>
        <w:tc>
          <w:tcPr>
            <w:tcW w:w="1340" w:type="dxa"/>
            <w:tcBorders>
              <w:top w:val="nil"/>
              <w:left w:val="nil"/>
              <w:bottom w:val="nil"/>
              <w:right w:val="nil"/>
            </w:tcBorders>
            <w:shd w:val="clear" w:color="auto" w:fill="auto"/>
            <w:noWrap/>
            <w:vAlign w:val="bottom"/>
          </w:tcPr>
          <w:p w14:paraId="009BED2A" w14:textId="77777777" w:rsidR="003C0688" w:rsidRPr="00991A40" w:rsidRDefault="003C0688" w:rsidP="005160F0">
            <w:pPr>
              <w:spacing w:after="0" w:line="240" w:lineRule="auto"/>
              <w:jc w:val="center"/>
              <w:rPr>
                <w:rFonts w:ascii="Calibri" w:eastAsia="Times New Roman" w:hAnsi="Calibri" w:cs="Times New Roman"/>
                <w:color w:val="000000"/>
              </w:rPr>
            </w:pPr>
            <w:r>
              <w:rPr>
                <w:rFonts w:ascii="Calibri" w:hAnsi="Calibri"/>
                <w:color w:val="000000"/>
              </w:rPr>
              <w:t>74.3%</w:t>
            </w:r>
          </w:p>
        </w:tc>
        <w:tc>
          <w:tcPr>
            <w:tcW w:w="1224" w:type="dxa"/>
            <w:tcBorders>
              <w:top w:val="nil"/>
              <w:left w:val="nil"/>
              <w:bottom w:val="nil"/>
              <w:right w:val="nil"/>
            </w:tcBorders>
            <w:shd w:val="clear" w:color="auto" w:fill="auto"/>
            <w:noWrap/>
            <w:vAlign w:val="bottom"/>
          </w:tcPr>
          <w:p w14:paraId="78E611E3" w14:textId="77777777" w:rsidR="003C0688" w:rsidRPr="00991A40" w:rsidRDefault="003C0688" w:rsidP="005160F0">
            <w:pPr>
              <w:spacing w:after="0" w:line="240" w:lineRule="auto"/>
              <w:jc w:val="center"/>
              <w:rPr>
                <w:rFonts w:ascii="Calibri" w:eastAsia="Times New Roman" w:hAnsi="Calibri" w:cs="Times New Roman"/>
                <w:color w:val="000000"/>
              </w:rPr>
            </w:pPr>
            <w:r>
              <w:rPr>
                <w:rFonts w:ascii="Calibri" w:hAnsi="Calibri"/>
                <w:color w:val="000000"/>
              </w:rPr>
              <w:t>154,482</w:t>
            </w:r>
          </w:p>
        </w:tc>
        <w:tc>
          <w:tcPr>
            <w:tcW w:w="1560" w:type="dxa"/>
            <w:tcBorders>
              <w:top w:val="nil"/>
              <w:left w:val="nil"/>
              <w:bottom w:val="nil"/>
              <w:right w:val="nil"/>
            </w:tcBorders>
            <w:shd w:val="clear" w:color="auto" w:fill="auto"/>
            <w:noWrap/>
            <w:vAlign w:val="bottom"/>
          </w:tcPr>
          <w:p w14:paraId="2D49230F" w14:textId="77777777" w:rsidR="003C0688" w:rsidRPr="00991A40" w:rsidRDefault="003C0688" w:rsidP="005160F0">
            <w:pPr>
              <w:spacing w:after="0" w:line="240" w:lineRule="auto"/>
              <w:jc w:val="center"/>
              <w:rPr>
                <w:rFonts w:ascii="Calibri" w:eastAsia="Times New Roman" w:hAnsi="Calibri" w:cs="Times New Roman"/>
                <w:color w:val="000000"/>
              </w:rPr>
            </w:pPr>
            <w:r>
              <w:rPr>
                <w:rFonts w:ascii="Calibri" w:hAnsi="Calibri"/>
                <w:color w:val="000000"/>
              </w:rPr>
              <w:t>12.4%</w:t>
            </w:r>
          </w:p>
        </w:tc>
      </w:tr>
      <w:tr w:rsidR="003C0688" w:rsidRPr="00991A40" w14:paraId="3D1944A0" w14:textId="77777777" w:rsidTr="005160F0">
        <w:trPr>
          <w:trHeight w:val="300"/>
          <w:jc w:val="center"/>
        </w:trPr>
        <w:tc>
          <w:tcPr>
            <w:tcW w:w="1500" w:type="dxa"/>
            <w:tcBorders>
              <w:top w:val="nil"/>
              <w:left w:val="nil"/>
              <w:bottom w:val="nil"/>
              <w:right w:val="nil"/>
            </w:tcBorders>
            <w:shd w:val="clear" w:color="auto" w:fill="auto"/>
            <w:noWrap/>
            <w:vAlign w:val="bottom"/>
            <w:hideMark/>
          </w:tcPr>
          <w:p w14:paraId="55A4CE8A" w14:textId="77777777" w:rsidR="003C0688" w:rsidRPr="00991A40" w:rsidRDefault="003C0688" w:rsidP="005160F0">
            <w:pPr>
              <w:spacing w:after="0" w:line="240" w:lineRule="auto"/>
              <w:rPr>
                <w:rFonts w:ascii="Calibri" w:eastAsia="Times New Roman" w:hAnsi="Calibri" w:cs="Times New Roman"/>
                <w:color w:val="000000"/>
              </w:rPr>
            </w:pPr>
            <w:r>
              <w:rPr>
                <w:rFonts w:ascii="Calibri" w:eastAsia="Times New Roman" w:hAnsi="Calibri" w:cs="Times New Roman"/>
                <w:color w:val="000000"/>
              </w:rPr>
              <w:t>Dual without full Medicaid</w:t>
            </w:r>
          </w:p>
        </w:tc>
        <w:tc>
          <w:tcPr>
            <w:tcW w:w="1120" w:type="dxa"/>
            <w:tcBorders>
              <w:top w:val="nil"/>
              <w:left w:val="nil"/>
              <w:bottom w:val="nil"/>
              <w:right w:val="nil"/>
            </w:tcBorders>
            <w:shd w:val="clear" w:color="auto" w:fill="auto"/>
            <w:noWrap/>
            <w:vAlign w:val="bottom"/>
          </w:tcPr>
          <w:p w14:paraId="2E946790" w14:textId="77777777" w:rsidR="003C0688" w:rsidRPr="00991A40" w:rsidRDefault="003C0688" w:rsidP="005160F0">
            <w:pPr>
              <w:spacing w:after="0" w:line="240" w:lineRule="auto"/>
              <w:jc w:val="center"/>
              <w:rPr>
                <w:rFonts w:ascii="Calibri" w:eastAsia="Times New Roman" w:hAnsi="Calibri" w:cs="Times New Roman"/>
                <w:color w:val="000000"/>
              </w:rPr>
            </w:pPr>
            <w:r>
              <w:rPr>
                <w:rFonts w:ascii="Calibri" w:hAnsi="Calibri"/>
                <w:color w:val="000000"/>
              </w:rPr>
              <w:t>383,448</w:t>
            </w:r>
          </w:p>
        </w:tc>
        <w:tc>
          <w:tcPr>
            <w:tcW w:w="2420" w:type="dxa"/>
            <w:tcBorders>
              <w:top w:val="nil"/>
              <w:left w:val="nil"/>
              <w:bottom w:val="nil"/>
              <w:right w:val="nil"/>
            </w:tcBorders>
            <w:shd w:val="clear" w:color="auto" w:fill="auto"/>
            <w:noWrap/>
            <w:vAlign w:val="bottom"/>
          </w:tcPr>
          <w:p w14:paraId="0E55DA94" w14:textId="77777777" w:rsidR="003C0688" w:rsidRPr="00991A40" w:rsidRDefault="003C0688" w:rsidP="005160F0">
            <w:pPr>
              <w:spacing w:after="0" w:line="240" w:lineRule="auto"/>
              <w:jc w:val="center"/>
              <w:rPr>
                <w:rFonts w:ascii="Calibri" w:eastAsia="Times New Roman" w:hAnsi="Calibri" w:cs="Times New Roman"/>
                <w:color w:val="000000"/>
              </w:rPr>
            </w:pPr>
            <w:r>
              <w:rPr>
                <w:rFonts w:ascii="Calibri" w:hAnsi="Calibri"/>
                <w:color w:val="000000"/>
              </w:rPr>
              <w:t>283,365</w:t>
            </w:r>
          </w:p>
        </w:tc>
        <w:tc>
          <w:tcPr>
            <w:tcW w:w="1340" w:type="dxa"/>
            <w:tcBorders>
              <w:top w:val="nil"/>
              <w:left w:val="nil"/>
              <w:bottom w:val="nil"/>
              <w:right w:val="nil"/>
            </w:tcBorders>
            <w:shd w:val="clear" w:color="auto" w:fill="auto"/>
            <w:noWrap/>
            <w:vAlign w:val="bottom"/>
          </w:tcPr>
          <w:p w14:paraId="0EAF1C63" w14:textId="77777777" w:rsidR="003C0688" w:rsidRPr="00991A40" w:rsidRDefault="003C0688" w:rsidP="005160F0">
            <w:pPr>
              <w:spacing w:after="0" w:line="240" w:lineRule="auto"/>
              <w:jc w:val="center"/>
              <w:rPr>
                <w:rFonts w:ascii="Calibri" w:eastAsia="Times New Roman" w:hAnsi="Calibri" w:cs="Times New Roman"/>
                <w:color w:val="000000"/>
              </w:rPr>
            </w:pPr>
            <w:r>
              <w:rPr>
                <w:rFonts w:ascii="Calibri" w:hAnsi="Calibri"/>
                <w:color w:val="000000"/>
              </w:rPr>
              <w:t>73.9%</w:t>
            </w:r>
          </w:p>
        </w:tc>
        <w:tc>
          <w:tcPr>
            <w:tcW w:w="1224" w:type="dxa"/>
            <w:tcBorders>
              <w:top w:val="nil"/>
              <w:left w:val="nil"/>
              <w:bottom w:val="nil"/>
              <w:right w:val="nil"/>
            </w:tcBorders>
            <w:shd w:val="clear" w:color="auto" w:fill="auto"/>
            <w:noWrap/>
            <w:vAlign w:val="bottom"/>
          </w:tcPr>
          <w:p w14:paraId="6EE0B36A" w14:textId="77777777" w:rsidR="003C0688" w:rsidRPr="00991A40" w:rsidRDefault="003C0688" w:rsidP="005160F0">
            <w:pPr>
              <w:spacing w:after="0" w:line="240" w:lineRule="auto"/>
              <w:jc w:val="center"/>
              <w:rPr>
                <w:rFonts w:ascii="Calibri" w:eastAsia="Times New Roman" w:hAnsi="Calibri" w:cs="Times New Roman"/>
                <w:color w:val="000000"/>
              </w:rPr>
            </w:pPr>
            <w:r>
              <w:rPr>
                <w:rFonts w:ascii="Calibri" w:hAnsi="Calibri"/>
                <w:color w:val="000000"/>
              </w:rPr>
              <w:t>46,438</w:t>
            </w:r>
          </w:p>
        </w:tc>
        <w:tc>
          <w:tcPr>
            <w:tcW w:w="1560" w:type="dxa"/>
            <w:tcBorders>
              <w:top w:val="nil"/>
              <w:left w:val="nil"/>
              <w:bottom w:val="nil"/>
              <w:right w:val="nil"/>
            </w:tcBorders>
            <w:shd w:val="clear" w:color="auto" w:fill="auto"/>
            <w:noWrap/>
            <w:vAlign w:val="bottom"/>
          </w:tcPr>
          <w:p w14:paraId="3D4FE537" w14:textId="77777777" w:rsidR="003C0688" w:rsidRPr="00991A40" w:rsidRDefault="003C0688" w:rsidP="005160F0">
            <w:pPr>
              <w:spacing w:after="0" w:line="240" w:lineRule="auto"/>
              <w:jc w:val="center"/>
              <w:rPr>
                <w:rFonts w:ascii="Calibri" w:eastAsia="Times New Roman" w:hAnsi="Calibri" w:cs="Times New Roman"/>
                <w:color w:val="000000"/>
              </w:rPr>
            </w:pPr>
            <w:r>
              <w:rPr>
                <w:rFonts w:ascii="Calibri" w:hAnsi="Calibri"/>
                <w:color w:val="000000"/>
              </w:rPr>
              <w:t>12.1%</w:t>
            </w:r>
          </w:p>
        </w:tc>
      </w:tr>
      <w:tr w:rsidR="003C0688" w:rsidRPr="00991A40" w14:paraId="38576AC7" w14:textId="77777777" w:rsidTr="005160F0">
        <w:trPr>
          <w:trHeight w:val="300"/>
          <w:jc w:val="center"/>
        </w:trPr>
        <w:tc>
          <w:tcPr>
            <w:tcW w:w="1500" w:type="dxa"/>
            <w:tcBorders>
              <w:top w:val="nil"/>
              <w:left w:val="nil"/>
              <w:bottom w:val="nil"/>
              <w:right w:val="nil"/>
            </w:tcBorders>
            <w:shd w:val="clear" w:color="auto" w:fill="auto"/>
            <w:noWrap/>
            <w:vAlign w:val="bottom"/>
            <w:hideMark/>
          </w:tcPr>
          <w:p w14:paraId="0D6A7935" w14:textId="77777777" w:rsidR="003C0688" w:rsidRPr="00991A40" w:rsidRDefault="003C0688" w:rsidP="005160F0">
            <w:pPr>
              <w:spacing w:after="0" w:line="240" w:lineRule="auto"/>
              <w:rPr>
                <w:rFonts w:ascii="Calibri" w:eastAsia="Times New Roman" w:hAnsi="Calibri" w:cs="Times New Roman"/>
                <w:color w:val="000000"/>
              </w:rPr>
            </w:pPr>
            <w:r>
              <w:rPr>
                <w:rFonts w:ascii="Calibri" w:eastAsia="Times New Roman" w:hAnsi="Calibri" w:cs="Times New Roman"/>
                <w:color w:val="000000"/>
              </w:rPr>
              <w:t>Non-</w:t>
            </w:r>
            <w:r w:rsidRPr="00991A40">
              <w:rPr>
                <w:rFonts w:ascii="Calibri" w:eastAsia="Times New Roman" w:hAnsi="Calibri" w:cs="Times New Roman"/>
                <w:color w:val="000000"/>
              </w:rPr>
              <w:t>Dual</w:t>
            </w:r>
          </w:p>
        </w:tc>
        <w:tc>
          <w:tcPr>
            <w:tcW w:w="1120" w:type="dxa"/>
            <w:tcBorders>
              <w:top w:val="nil"/>
              <w:left w:val="nil"/>
              <w:bottom w:val="nil"/>
              <w:right w:val="nil"/>
            </w:tcBorders>
            <w:shd w:val="clear" w:color="auto" w:fill="auto"/>
            <w:noWrap/>
            <w:vAlign w:val="bottom"/>
          </w:tcPr>
          <w:p w14:paraId="48B899E1" w14:textId="77777777" w:rsidR="003C0688" w:rsidRPr="00991A40" w:rsidRDefault="003C0688" w:rsidP="005160F0">
            <w:pPr>
              <w:spacing w:after="0" w:line="240" w:lineRule="auto"/>
              <w:jc w:val="center"/>
              <w:rPr>
                <w:rFonts w:ascii="Calibri" w:eastAsia="Times New Roman" w:hAnsi="Calibri" w:cs="Times New Roman"/>
                <w:color w:val="000000"/>
              </w:rPr>
            </w:pPr>
            <w:r>
              <w:rPr>
                <w:rFonts w:ascii="Calibri" w:hAnsi="Calibri"/>
                <w:color w:val="000000"/>
              </w:rPr>
              <w:t>4,647,833</w:t>
            </w:r>
          </w:p>
        </w:tc>
        <w:tc>
          <w:tcPr>
            <w:tcW w:w="2420" w:type="dxa"/>
            <w:tcBorders>
              <w:top w:val="nil"/>
              <w:left w:val="nil"/>
              <w:bottom w:val="nil"/>
              <w:right w:val="nil"/>
            </w:tcBorders>
            <w:shd w:val="clear" w:color="auto" w:fill="auto"/>
            <w:noWrap/>
            <w:vAlign w:val="bottom"/>
          </w:tcPr>
          <w:p w14:paraId="6CF42C58" w14:textId="77777777" w:rsidR="003C0688" w:rsidRPr="00991A40" w:rsidRDefault="003C0688" w:rsidP="005160F0">
            <w:pPr>
              <w:spacing w:after="0" w:line="240" w:lineRule="auto"/>
              <w:jc w:val="center"/>
              <w:rPr>
                <w:rFonts w:ascii="Calibri" w:eastAsia="Times New Roman" w:hAnsi="Calibri" w:cs="Times New Roman"/>
                <w:color w:val="000000"/>
              </w:rPr>
            </w:pPr>
            <w:r>
              <w:rPr>
                <w:rFonts w:ascii="Calibri" w:hAnsi="Calibri"/>
                <w:color w:val="000000"/>
              </w:rPr>
              <w:t>3,715,996</w:t>
            </w:r>
          </w:p>
        </w:tc>
        <w:tc>
          <w:tcPr>
            <w:tcW w:w="1340" w:type="dxa"/>
            <w:tcBorders>
              <w:top w:val="nil"/>
              <w:left w:val="nil"/>
              <w:bottom w:val="nil"/>
              <w:right w:val="nil"/>
            </w:tcBorders>
            <w:shd w:val="clear" w:color="auto" w:fill="auto"/>
            <w:noWrap/>
            <w:vAlign w:val="bottom"/>
          </w:tcPr>
          <w:p w14:paraId="6E56237A" w14:textId="77777777" w:rsidR="003C0688" w:rsidRPr="00991A40" w:rsidRDefault="003C0688" w:rsidP="005160F0">
            <w:pPr>
              <w:spacing w:after="0" w:line="240" w:lineRule="auto"/>
              <w:jc w:val="center"/>
              <w:rPr>
                <w:rFonts w:ascii="Calibri" w:eastAsia="Times New Roman" w:hAnsi="Calibri" w:cs="Times New Roman"/>
                <w:color w:val="000000"/>
              </w:rPr>
            </w:pPr>
            <w:r>
              <w:rPr>
                <w:rFonts w:ascii="Calibri" w:hAnsi="Calibri"/>
                <w:color w:val="000000"/>
              </w:rPr>
              <w:t>80.0%</w:t>
            </w:r>
          </w:p>
        </w:tc>
        <w:tc>
          <w:tcPr>
            <w:tcW w:w="1224" w:type="dxa"/>
            <w:tcBorders>
              <w:top w:val="nil"/>
              <w:left w:val="nil"/>
              <w:bottom w:val="nil"/>
              <w:right w:val="nil"/>
            </w:tcBorders>
            <w:shd w:val="clear" w:color="auto" w:fill="auto"/>
            <w:noWrap/>
            <w:vAlign w:val="bottom"/>
          </w:tcPr>
          <w:p w14:paraId="799BF4BB" w14:textId="77777777" w:rsidR="003C0688" w:rsidRPr="00991A40" w:rsidRDefault="003C0688" w:rsidP="005160F0">
            <w:pPr>
              <w:spacing w:after="0" w:line="240" w:lineRule="auto"/>
              <w:jc w:val="center"/>
              <w:rPr>
                <w:rFonts w:ascii="Calibri" w:eastAsia="Times New Roman" w:hAnsi="Calibri" w:cs="Times New Roman"/>
                <w:color w:val="000000"/>
              </w:rPr>
            </w:pPr>
            <w:r>
              <w:rPr>
                <w:rFonts w:ascii="Calibri" w:hAnsi="Calibri"/>
                <w:color w:val="000000"/>
              </w:rPr>
              <w:t>458,926</w:t>
            </w:r>
          </w:p>
        </w:tc>
        <w:tc>
          <w:tcPr>
            <w:tcW w:w="1560" w:type="dxa"/>
            <w:tcBorders>
              <w:top w:val="nil"/>
              <w:left w:val="nil"/>
              <w:bottom w:val="nil"/>
              <w:right w:val="nil"/>
            </w:tcBorders>
            <w:shd w:val="clear" w:color="auto" w:fill="auto"/>
            <w:noWrap/>
            <w:vAlign w:val="bottom"/>
          </w:tcPr>
          <w:p w14:paraId="6F089C0C" w14:textId="77777777" w:rsidR="003C0688" w:rsidRPr="00991A40" w:rsidRDefault="003C0688" w:rsidP="005160F0">
            <w:pPr>
              <w:spacing w:after="0" w:line="240" w:lineRule="auto"/>
              <w:jc w:val="center"/>
              <w:rPr>
                <w:rFonts w:ascii="Calibri" w:eastAsia="Times New Roman" w:hAnsi="Calibri" w:cs="Times New Roman"/>
                <w:color w:val="000000"/>
              </w:rPr>
            </w:pPr>
            <w:r>
              <w:rPr>
                <w:rFonts w:ascii="Calibri" w:hAnsi="Calibri"/>
                <w:color w:val="000000"/>
              </w:rPr>
              <w:t>9.9%</w:t>
            </w:r>
          </w:p>
        </w:tc>
      </w:tr>
      <w:tr w:rsidR="003C0688" w:rsidRPr="00991A40" w14:paraId="5724D764" w14:textId="77777777" w:rsidTr="005160F0">
        <w:trPr>
          <w:trHeight w:val="300"/>
          <w:jc w:val="center"/>
        </w:trPr>
        <w:tc>
          <w:tcPr>
            <w:tcW w:w="1500" w:type="dxa"/>
            <w:tcBorders>
              <w:top w:val="nil"/>
              <w:left w:val="nil"/>
              <w:bottom w:val="single" w:sz="4" w:space="0" w:color="auto"/>
              <w:right w:val="nil"/>
            </w:tcBorders>
            <w:shd w:val="clear" w:color="auto" w:fill="auto"/>
            <w:noWrap/>
            <w:vAlign w:val="bottom"/>
            <w:hideMark/>
          </w:tcPr>
          <w:p w14:paraId="0CA815DC" w14:textId="77777777" w:rsidR="003C0688" w:rsidRPr="00991A40" w:rsidRDefault="003C0688" w:rsidP="005160F0">
            <w:pPr>
              <w:spacing w:after="0" w:line="240" w:lineRule="auto"/>
              <w:rPr>
                <w:rFonts w:ascii="Calibri" w:eastAsia="Times New Roman" w:hAnsi="Calibri" w:cs="Times New Roman"/>
                <w:color w:val="000000"/>
              </w:rPr>
            </w:pPr>
            <w:r w:rsidRPr="00991A40">
              <w:rPr>
                <w:rFonts w:ascii="Calibri" w:eastAsia="Times New Roman" w:hAnsi="Calibri" w:cs="Times New Roman"/>
                <w:color w:val="000000"/>
              </w:rPr>
              <w:t>Total</w:t>
            </w:r>
          </w:p>
        </w:tc>
        <w:tc>
          <w:tcPr>
            <w:tcW w:w="1120" w:type="dxa"/>
            <w:tcBorders>
              <w:top w:val="nil"/>
              <w:left w:val="nil"/>
              <w:bottom w:val="single" w:sz="4" w:space="0" w:color="auto"/>
              <w:right w:val="nil"/>
            </w:tcBorders>
            <w:shd w:val="clear" w:color="auto" w:fill="auto"/>
            <w:noWrap/>
            <w:vAlign w:val="bottom"/>
          </w:tcPr>
          <w:p w14:paraId="275B49ED" w14:textId="77777777" w:rsidR="003C0688" w:rsidRPr="00991A40" w:rsidRDefault="003C0688" w:rsidP="005160F0">
            <w:pPr>
              <w:spacing w:after="0" w:line="240" w:lineRule="auto"/>
              <w:jc w:val="center"/>
              <w:rPr>
                <w:rFonts w:ascii="Calibri" w:eastAsia="Times New Roman" w:hAnsi="Calibri" w:cs="Times New Roman"/>
                <w:color w:val="000000"/>
              </w:rPr>
            </w:pPr>
            <w:r>
              <w:rPr>
                <w:rFonts w:ascii="Calibri" w:hAnsi="Calibri"/>
                <w:color w:val="000000"/>
              </w:rPr>
              <w:t>6,279,286</w:t>
            </w:r>
          </w:p>
        </w:tc>
        <w:tc>
          <w:tcPr>
            <w:tcW w:w="2420" w:type="dxa"/>
            <w:tcBorders>
              <w:top w:val="nil"/>
              <w:left w:val="nil"/>
              <w:bottom w:val="single" w:sz="4" w:space="0" w:color="auto"/>
              <w:right w:val="nil"/>
            </w:tcBorders>
            <w:shd w:val="clear" w:color="auto" w:fill="auto"/>
            <w:noWrap/>
            <w:vAlign w:val="bottom"/>
          </w:tcPr>
          <w:p w14:paraId="742FDAFE" w14:textId="77777777" w:rsidR="003C0688" w:rsidRPr="00991A40" w:rsidRDefault="003C0688" w:rsidP="005160F0">
            <w:pPr>
              <w:spacing w:after="0" w:line="240" w:lineRule="auto"/>
              <w:jc w:val="center"/>
              <w:rPr>
                <w:rFonts w:ascii="Calibri" w:eastAsia="Times New Roman" w:hAnsi="Calibri" w:cs="Times New Roman"/>
                <w:color w:val="000000"/>
              </w:rPr>
            </w:pPr>
            <w:r>
              <w:rPr>
                <w:rFonts w:ascii="Calibri" w:hAnsi="Calibri"/>
                <w:color w:val="000000"/>
              </w:rPr>
              <w:t>4,926,407</w:t>
            </w:r>
          </w:p>
        </w:tc>
        <w:tc>
          <w:tcPr>
            <w:tcW w:w="1340" w:type="dxa"/>
            <w:tcBorders>
              <w:top w:val="nil"/>
              <w:left w:val="nil"/>
              <w:bottom w:val="single" w:sz="4" w:space="0" w:color="auto"/>
              <w:right w:val="nil"/>
            </w:tcBorders>
            <w:shd w:val="clear" w:color="auto" w:fill="auto"/>
            <w:noWrap/>
            <w:vAlign w:val="bottom"/>
          </w:tcPr>
          <w:p w14:paraId="6AF13091" w14:textId="77777777" w:rsidR="003C0688" w:rsidRPr="00991A40" w:rsidRDefault="003C0688" w:rsidP="005160F0">
            <w:pPr>
              <w:spacing w:after="0" w:line="240" w:lineRule="auto"/>
              <w:jc w:val="center"/>
              <w:rPr>
                <w:rFonts w:ascii="Calibri" w:eastAsia="Times New Roman" w:hAnsi="Calibri" w:cs="Times New Roman"/>
                <w:color w:val="000000"/>
              </w:rPr>
            </w:pPr>
            <w:r>
              <w:rPr>
                <w:rFonts w:ascii="Calibri" w:hAnsi="Calibri"/>
                <w:color w:val="000000"/>
              </w:rPr>
              <w:t>78.5%</w:t>
            </w:r>
          </w:p>
        </w:tc>
        <w:tc>
          <w:tcPr>
            <w:tcW w:w="1224" w:type="dxa"/>
            <w:tcBorders>
              <w:top w:val="nil"/>
              <w:left w:val="nil"/>
              <w:bottom w:val="single" w:sz="4" w:space="0" w:color="auto"/>
              <w:right w:val="nil"/>
            </w:tcBorders>
            <w:shd w:val="clear" w:color="auto" w:fill="auto"/>
            <w:noWrap/>
            <w:vAlign w:val="bottom"/>
          </w:tcPr>
          <w:p w14:paraId="41E112E7" w14:textId="77777777" w:rsidR="003C0688" w:rsidRPr="00991A40" w:rsidRDefault="003C0688" w:rsidP="005160F0">
            <w:pPr>
              <w:spacing w:after="0" w:line="240" w:lineRule="auto"/>
              <w:jc w:val="center"/>
              <w:rPr>
                <w:rFonts w:ascii="Calibri" w:eastAsia="Times New Roman" w:hAnsi="Calibri" w:cs="Times New Roman"/>
                <w:color w:val="000000"/>
              </w:rPr>
            </w:pPr>
            <w:r>
              <w:rPr>
                <w:rFonts w:ascii="Calibri" w:hAnsi="Calibri"/>
                <w:color w:val="000000"/>
              </w:rPr>
              <w:t>659,846</w:t>
            </w:r>
          </w:p>
        </w:tc>
        <w:tc>
          <w:tcPr>
            <w:tcW w:w="1560" w:type="dxa"/>
            <w:tcBorders>
              <w:top w:val="nil"/>
              <w:left w:val="nil"/>
              <w:bottom w:val="single" w:sz="4" w:space="0" w:color="auto"/>
              <w:right w:val="nil"/>
            </w:tcBorders>
            <w:shd w:val="clear" w:color="auto" w:fill="auto"/>
            <w:noWrap/>
            <w:vAlign w:val="bottom"/>
          </w:tcPr>
          <w:p w14:paraId="729EF4DE" w14:textId="77777777" w:rsidR="003C0688" w:rsidRPr="00991A40" w:rsidRDefault="003C0688" w:rsidP="005160F0">
            <w:pPr>
              <w:spacing w:after="0" w:line="240" w:lineRule="auto"/>
              <w:jc w:val="center"/>
              <w:rPr>
                <w:rFonts w:ascii="Calibri" w:eastAsia="Times New Roman" w:hAnsi="Calibri" w:cs="Times New Roman"/>
                <w:color w:val="000000"/>
              </w:rPr>
            </w:pPr>
            <w:r>
              <w:rPr>
                <w:rFonts w:ascii="Calibri" w:hAnsi="Calibri"/>
                <w:color w:val="000000"/>
              </w:rPr>
              <w:t>10.5%</w:t>
            </w:r>
          </w:p>
        </w:tc>
      </w:tr>
    </w:tbl>
    <w:p w14:paraId="584D1307" w14:textId="77777777" w:rsidR="00BD701C" w:rsidRPr="00547B7B" w:rsidRDefault="00BD701C" w:rsidP="00BD701C">
      <w:pPr>
        <w:autoSpaceDE w:val="0"/>
        <w:autoSpaceDN w:val="0"/>
        <w:adjustRightInd w:val="0"/>
        <w:spacing w:after="0" w:line="240" w:lineRule="auto"/>
        <w:rPr>
          <w:rFonts w:cstheme="minorHAnsi"/>
          <w:bCs/>
          <w:sz w:val="18"/>
        </w:rPr>
      </w:pPr>
      <w:r>
        <w:rPr>
          <w:rFonts w:cstheme="minorHAnsi"/>
          <w:bCs/>
          <w:sz w:val="18"/>
        </w:rPr>
        <w:t>Acumen</w:t>
      </w:r>
      <w:r w:rsidRPr="0090361B">
        <w:rPr>
          <w:rFonts w:cstheme="minorHAnsi"/>
          <w:bCs/>
          <w:sz w:val="18"/>
        </w:rPr>
        <w:t xml:space="preserve"> Analysis of Medicare Claims File for </w:t>
      </w:r>
      <w:r>
        <w:rPr>
          <w:rFonts w:cstheme="minorHAnsi"/>
          <w:bCs/>
          <w:sz w:val="18"/>
        </w:rPr>
        <w:t xml:space="preserve">HH, Medicare Enrollment Database, </w:t>
      </w:r>
      <w:r w:rsidRPr="00547B7B">
        <w:rPr>
          <w:rFonts w:cstheme="minorHAnsi"/>
          <w:bCs/>
          <w:sz w:val="18"/>
        </w:rPr>
        <w:t>Common Medicare Environment (CME) database,</w:t>
      </w:r>
      <w:r>
        <w:rPr>
          <w:rFonts w:cstheme="minorHAnsi"/>
          <w:bCs/>
          <w:sz w:val="18"/>
        </w:rPr>
        <w:t xml:space="preserve"> CY</w:t>
      </w:r>
      <w:r w:rsidRPr="0090361B">
        <w:rPr>
          <w:rFonts w:cstheme="minorHAnsi"/>
          <w:bCs/>
          <w:sz w:val="18"/>
        </w:rPr>
        <w:t xml:space="preserve"> 201</w:t>
      </w:r>
      <w:r>
        <w:rPr>
          <w:rFonts w:cstheme="minorHAnsi"/>
          <w:bCs/>
          <w:sz w:val="18"/>
        </w:rPr>
        <w:t>5</w:t>
      </w:r>
      <w:r w:rsidRPr="0090361B">
        <w:rPr>
          <w:rFonts w:cstheme="minorHAnsi"/>
          <w:bCs/>
          <w:sz w:val="18"/>
        </w:rPr>
        <w:t>-201</w:t>
      </w:r>
      <w:r>
        <w:rPr>
          <w:rFonts w:cstheme="minorHAnsi"/>
          <w:bCs/>
          <w:sz w:val="18"/>
        </w:rPr>
        <w:t>6.</w:t>
      </w:r>
    </w:p>
    <w:p w14:paraId="2EC50B3E" w14:textId="77777777" w:rsidR="00BD701C" w:rsidRDefault="00BD701C" w:rsidP="003C0688">
      <w:pPr>
        <w:pStyle w:val="paragraph"/>
        <w:spacing w:before="0" w:beforeAutospacing="0" w:after="0" w:afterAutospacing="0"/>
        <w:textAlignment w:val="baseline"/>
        <w:rPr>
          <w:rStyle w:val="normaltextrun"/>
        </w:rPr>
      </w:pPr>
    </w:p>
    <w:p w14:paraId="204DB142" w14:textId="36EA1C26" w:rsidR="003C0688" w:rsidRPr="001904C7" w:rsidRDefault="003C0688" w:rsidP="003C0688">
      <w:pPr>
        <w:pStyle w:val="paragraph"/>
        <w:spacing w:before="0" w:beforeAutospacing="0" w:after="0" w:afterAutospacing="0"/>
        <w:jc w:val="center"/>
        <w:textAlignment w:val="baseline"/>
        <w:rPr>
          <w:rStyle w:val="normaltextrun"/>
          <w:b/>
        </w:rPr>
      </w:pPr>
      <w:r w:rsidRPr="001904C7">
        <w:rPr>
          <w:b/>
        </w:rPr>
        <w:t xml:space="preserve">Table </w:t>
      </w:r>
      <w:r w:rsidR="00FC40CA">
        <w:rPr>
          <w:b/>
        </w:rPr>
        <w:t>15</w:t>
      </w:r>
      <w:r w:rsidRPr="001904C7">
        <w:rPr>
          <w:b/>
        </w:rPr>
        <w:t>. Distribution of Agency-level SDS Factor Prevalence</w:t>
      </w:r>
    </w:p>
    <w:tbl>
      <w:tblPr>
        <w:tblW w:w="7779" w:type="dxa"/>
        <w:jc w:val="center"/>
        <w:tblLook w:val="04A0" w:firstRow="1" w:lastRow="0" w:firstColumn="1" w:lastColumn="0" w:noHBand="0" w:noVBand="1"/>
      </w:tblPr>
      <w:tblGrid>
        <w:gridCol w:w="1197"/>
        <w:gridCol w:w="1000"/>
        <w:gridCol w:w="875"/>
        <w:gridCol w:w="840"/>
        <w:gridCol w:w="960"/>
        <w:gridCol w:w="960"/>
        <w:gridCol w:w="960"/>
        <w:gridCol w:w="987"/>
      </w:tblGrid>
      <w:tr w:rsidR="003C0688" w:rsidRPr="00D112F1" w14:paraId="201E26B0" w14:textId="77777777" w:rsidTr="005160F0">
        <w:trPr>
          <w:trHeight w:val="315"/>
          <w:jc w:val="center"/>
        </w:trPr>
        <w:tc>
          <w:tcPr>
            <w:tcW w:w="1197" w:type="dxa"/>
            <w:tcBorders>
              <w:top w:val="single" w:sz="4" w:space="0" w:color="auto"/>
              <w:left w:val="nil"/>
              <w:bottom w:val="single" w:sz="4" w:space="0" w:color="auto"/>
              <w:right w:val="nil"/>
            </w:tcBorders>
            <w:shd w:val="clear" w:color="000000" w:fill="D9D9D9"/>
            <w:noWrap/>
            <w:vAlign w:val="center"/>
            <w:hideMark/>
          </w:tcPr>
          <w:p w14:paraId="5F95EC65" w14:textId="77777777" w:rsidR="003C0688" w:rsidRPr="00D112F1" w:rsidRDefault="003C0688" w:rsidP="005160F0">
            <w:pPr>
              <w:spacing w:after="0" w:line="240" w:lineRule="auto"/>
              <w:rPr>
                <w:rFonts w:ascii="Calibri" w:eastAsia="Times New Roman" w:hAnsi="Calibri" w:cs="Times New Roman"/>
                <w:b/>
                <w:bCs/>
                <w:color w:val="000000"/>
              </w:rPr>
            </w:pPr>
            <w:r w:rsidRPr="00D112F1">
              <w:rPr>
                <w:rFonts w:ascii="Calibri" w:eastAsia="Times New Roman" w:hAnsi="Calibri" w:cs="Times New Roman"/>
                <w:b/>
                <w:bCs/>
                <w:color w:val="000000"/>
              </w:rPr>
              <w:t>SDS Factor</w:t>
            </w:r>
          </w:p>
        </w:tc>
        <w:tc>
          <w:tcPr>
            <w:tcW w:w="1000" w:type="dxa"/>
            <w:tcBorders>
              <w:top w:val="single" w:sz="4" w:space="0" w:color="auto"/>
              <w:left w:val="nil"/>
              <w:bottom w:val="single" w:sz="4" w:space="0" w:color="auto"/>
              <w:right w:val="nil"/>
            </w:tcBorders>
            <w:shd w:val="clear" w:color="000000" w:fill="D9D9D9"/>
            <w:noWrap/>
            <w:vAlign w:val="center"/>
            <w:hideMark/>
          </w:tcPr>
          <w:p w14:paraId="159ABA1B" w14:textId="77777777" w:rsidR="003C0688" w:rsidRPr="00D112F1" w:rsidRDefault="003C0688" w:rsidP="005160F0">
            <w:pPr>
              <w:spacing w:after="0" w:line="240" w:lineRule="auto"/>
              <w:rPr>
                <w:rFonts w:ascii="Calibri" w:eastAsia="Times New Roman" w:hAnsi="Calibri" w:cs="Times New Roman"/>
                <w:b/>
                <w:bCs/>
                <w:color w:val="000000"/>
              </w:rPr>
            </w:pPr>
            <w:r w:rsidRPr="00D112F1">
              <w:rPr>
                <w:rFonts w:ascii="Calibri" w:eastAsia="Times New Roman" w:hAnsi="Calibri" w:cs="Times New Roman"/>
                <w:b/>
                <w:bCs/>
                <w:color w:val="000000"/>
              </w:rPr>
              <w:t>Mean</w:t>
            </w:r>
          </w:p>
        </w:tc>
        <w:tc>
          <w:tcPr>
            <w:tcW w:w="875" w:type="dxa"/>
            <w:tcBorders>
              <w:top w:val="single" w:sz="4" w:space="0" w:color="auto"/>
              <w:left w:val="nil"/>
              <w:bottom w:val="single" w:sz="4" w:space="0" w:color="auto"/>
              <w:right w:val="nil"/>
            </w:tcBorders>
            <w:shd w:val="clear" w:color="000000" w:fill="D9D9D9"/>
            <w:noWrap/>
            <w:vAlign w:val="center"/>
            <w:hideMark/>
          </w:tcPr>
          <w:p w14:paraId="6BE2685C" w14:textId="77777777" w:rsidR="003C0688" w:rsidRPr="00D112F1" w:rsidRDefault="003C0688" w:rsidP="005160F0">
            <w:pPr>
              <w:spacing w:after="0" w:line="240" w:lineRule="auto"/>
              <w:rPr>
                <w:rFonts w:ascii="Calibri" w:eastAsia="Times New Roman" w:hAnsi="Calibri" w:cs="Times New Roman"/>
                <w:b/>
                <w:bCs/>
                <w:color w:val="000000"/>
              </w:rPr>
            </w:pPr>
            <w:r w:rsidRPr="00D112F1">
              <w:rPr>
                <w:rFonts w:ascii="Calibri" w:eastAsia="Times New Roman" w:hAnsi="Calibri" w:cs="Times New Roman"/>
                <w:b/>
                <w:bCs/>
                <w:color w:val="000000"/>
              </w:rPr>
              <w:t>St.dev</w:t>
            </w:r>
          </w:p>
        </w:tc>
        <w:tc>
          <w:tcPr>
            <w:tcW w:w="840" w:type="dxa"/>
            <w:tcBorders>
              <w:top w:val="single" w:sz="4" w:space="0" w:color="auto"/>
              <w:left w:val="nil"/>
              <w:bottom w:val="single" w:sz="4" w:space="0" w:color="auto"/>
              <w:right w:val="nil"/>
            </w:tcBorders>
            <w:shd w:val="clear" w:color="000000" w:fill="D9D9D9"/>
            <w:noWrap/>
            <w:vAlign w:val="center"/>
            <w:hideMark/>
          </w:tcPr>
          <w:p w14:paraId="67CA875B" w14:textId="77777777" w:rsidR="003C0688" w:rsidRPr="00D112F1" w:rsidRDefault="003C0688" w:rsidP="005160F0">
            <w:pPr>
              <w:spacing w:after="0" w:line="240" w:lineRule="auto"/>
              <w:rPr>
                <w:rFonts w:ascii="Calibri" w:eastAsia="Times New Roman" w:hAnsi="Calibri" w:cs="Times New Roman"/>
                <w:b/>
                <w:bCs/>
                <w:color w:val="000000"/>
              </w:rPr>
            </w:pPr>
            <w:r w:rsidRPr="00D112F1">
              <w:rPr>
                <w:rFonts w:ascii="Calibri" w:eastAsia="Times New Roman" w:hAnsi="Calibri" w:cs="Times New Roman"/>
                <w:b/>
                <w:bCs/>
                <w:color w:val="000000"/>
              </w:rPr>
              <w:t>Min</w:t>
            </w:r>
          </w:p>
        </w:tc>
        <w:tc>
          <w:tcPr>
            <w:tcW w:w="960" w:type="dxa"/>
            <w:tcBorders>
              <w:top w:val="single" w:sz="4" w:space="0" w:color="auto"/>
              <w:left w:val="nil"/>
              <w:bottom w:val="single" w:sz="4" w:space="0" w:color="auto"/>
              <w:right w:val="nil"/>
            </w:tcBorders>
            <w:shd w:val="clear" w:color="000000" w:fill="D9D9D9"/>
            <w:noWrap/>
            <w:vAlign w:val="center"/>
            <w:hideMark/>
          </w:tcPr>
          <w:p w14:paraId="5FB7AAAA" w14:textId="77777777" w:rsidR="003C0688" w:rsidRPr="00D112F1" w:rsidRDefault="003C0688" w:rsidP="005160F0">
            <w:pPr>
              <w:spacing w:after="0" w:line="240" w:lineRule="auto"/>
              <w:rPr>
                <w:rFonts w:ascii="Calibri" w:eastAsia="Times New Roman" w:hAnsi="Calibri" w:cs="Times New Roman"/>
                <w:b/>
                <w:bCs/>
                <w:color w:val="000000"/>
              </w:rPr>
            </w:pPr>
            <w:r w:rsidRPr="00D112F1">
              <w:rPr>
                <w:rFonts w:ascii="Calibri" w:eastAsia="Times New Roman" w:hAnsi="Calibri" w:cs="Times New Roman"/>
                <w:b/>
                <w:bCs/>
                <w:color w:val="000000"/>
              </w:rPr>
              <w:t>25th Pct</w:t>
            </w:r>
            <w:r>
              <w:rPr>
                <w:rFonts w:ascii="Calibri" w:eastAsia="Times New Roman" w:hAnsi="Calibri" w:cs="Times New Roman"/>
                <w:b/>
                <w:bCs/>
                <w:color w:val="000000"/>
              </w:rPr>
              <w:t>*</w:t>
            </w:r>
          </w:p>
        </w:tc>
        <w:tc>
          <w:tcPr>
            <w:tcW w:w="960" w:type="dxa"/>
            <w:tcBorders>
              <w:top w:val="single" w:sz="4" w:space="0" w:color="auto"/>
              <w:left w:val="nil"/>
              <w:bottom w:val="single" w:sz="4" w:space="0" w:color="auto"/>
              <w:right w:val="nil"/>
            </w:tcBorders>
            <w:shd w:val="clear" w:color="000000" w:fill="D9D9D9"/>
            <w:noWrap/>
            <w:vAlign w:val="center"/>
            <w:hideMark/>
          </w:tcPr>
          <w:p w14:paraId="241B1839" w14:textId="77777777" w:rsidR="003C0688" w:rsidRPr="00D112F1" w:rsidRDefault="003C0688" w:rsidP="005160F0">
            <w:pPr>
              <w:spacing w:after="0" w:line="240" w:lineRule="auto"/>
              <w:rPr>
                <w:rFonts w:ascii="Calibri" w:eastAsia="Times New Roman" w:hAnsi="Calibri" w:cs="Times New Roman"/>
                <w:b/>
                <w:bCs/>
                <w:color w:val="000000"/>
              </w:rPr>
            </w:pPr>
            <w:r w:rsidRPr="00D112F1">
              <w:rPr>
                <w:rFonts w:ascii="Calibri" w:eastAsia="Times New Roman" w:hAnsi="Calibri" w:cs="Times New Roman"/>
                <w:b/>
                <w:bCs/>
                <w:color w:val="000000"/>
              </w:rPr>
              <w:t>Median</w:t>
            </w:r>
          </w:p>
        </w:tc>
        <w:tc>
          <w:tcPr>
            <w:tcW w:w="960" w:type="dxa"/>
            <w:tcBorders>
              <w:top w:val="single" w:sz="4" w:space="0" w:color="auto"/>
              <w:left w:val="nil"/>
              <w:bottom w:val="single" w:sz="4" w:space="0" w:color="auto"/>
              <w:right w:val="nil"/>
            </w:tcBorders>
            <w:shd w:val="clear" w:color="000000" w:fill="D9D9D9"/>
            <w:noWrap/>
            <w:vAlign w:val="center"/>
            <w:hideMark/>
          </w:tcPr>
          <w:p w14:paraId="3E7CFBBA" w14:textId="77777777" w:rsidR="003C0688" w:rsidRPr="00D112F1" w:rsidRDefault="003C0688" w:rsidP="005160F0">
            <w:pPr>
              <w:spacing w:after="0" w:line="240" w:lineRule="auto"/>
              <w:rPr>
                <w:rFonts w:ascii="Calibri" w:eastAsia="Times New Roman" w:hAnsi="Calibri" w:cs="Times New Roman"/>
                <w:b/>
                <w:bCs/>
                <w:color w:val="000000"/>
              </w:rPr>
            </w:pPr>
            <w:r w:rsidRPr="00D112F1">
              <w:rPr>
                <w:rFonts w:ascii="Calibri" w:eastAsia="Times New Roman" w:hAnsi="Calibri" w:cs="Times New Roman"/>
                <w:b/>
                <w:bCs/>
                <w:color w:val="000000"/>
              </w:rPr>
              <w:t>75th Pct</w:t>
            </w:r>
          </w:p>
        </w:tc>
        <w:tc>
          <w:tcPr>
            <w:tcW w:w="987" w:type="dxa"/>
            <w:tcBorders>
              <w:top w:val="single" w:sz="4" w:space="0" w:color="auto"/>
              <w:left w:val="nil"/>
              <w:bottom w:val="single" w:sz="4" w:space="0" w:color="auto"/>
              <w:right w:val="nil"/>
            </w:tcBorders>
            <w:shd w:val="clear" w:color="000000" w:fill="D9D9D9"/>
            <w:noWrap/>
            <w:vAlign w:val="center"/>
            <w:hideMark/>
          </w:tcPr>
          <w:p w14:paraId="5BD1F12D" w14:textId="77777777" w:rsidR="003C0688" w:rsidRPr="00D112F1" w:rsidRDefault="003C0688" w:rsidP="005160F0">
            <w:pPr>
              <w:spacing w:after="0" w:line="240" w:lineRule="auto"/>
              <w:rPr>
                <w:rFonts w:ascii="Calibri" w:eastAsia="Times New Roman" w:hAnsi="Calibri" w:cs="Times New Roman"/>
                <w:b/>
                <w:bCs/>
                <w:color w:val="000000"/>
              </w:rPr>
            </w:pPr>
            <w:r w:rsidRPr="00D112F1">
              <w:rPr>
                <w:rFonts w:ascii="Calibri" w:eastAsia="Times New Roman" w:hAnsi="Calibri" w:cs="Times New Roman"/>
                <w:b/>
                <w:bCs/>
                <w:color w:val="000000"/>
              </w:rPr>
              <w:t>Max</w:t>
            </w:r>
          </w:p>
        </w:tc>
      </w:tr>
      <w:tr w:rsidR="003C0688" w:rsidRPr="00D112F1" w14:paraId="3D26F6B2" w14:textId="77777777" w:rsidTr="005160F0">
        <w:trPr>
          <w:trHeight w:val="300"/>
          <w:jc w:val="center"/>
        </w:trPr>
        <w:tc>
          <w:tcPr>
            <w:tcW w:w="1197" w:type="dxa"/>
            <w:tcBorders>
              <w:top w:val="nil"/>
              <w:left w:val="nil"/>
              <w:bottom w:val="nil"/>
              <w:right w:val="nil"/>
            </w:tcBorders>
            <w:shd w:val="clear" w:color="auto" w:fill="auto"/>
            <w:noWrap/>
            <w:vAlign w:val="center"/>
            <w:hideMark/>
          </w:tcPr>
          <w:p w14:paraId="3FBEF186" w14:textId="77777777" w:rsidR="003C0688" w:rsidRPr="00D112F1" w:rsidRDefault="003C0688" w:rsidP="005160F0">
            <w:pPr>
              <w:spacing w:after="0" w:line="240" w:lineRule="auto"/>
              <w:rPr>
                <w:rFonts w:ascii="Calibri" w:eastAsia="Times New Roman" w:hAnsi="Calibri" w:cs="Times New Roman"/>
                <w:color w:val="000000"/>
              </w:rPr>
            </w:pPr>
            <w:r w:rsidRPr="00D112F1">
              <w:rPr>
                <w:rFonts w:ascii="Calibri" w:eastAsia="Times New Roman" w:hAnsi="Calibri" w:cs="Times New Roman"/>
                <w:color w:val="000000"/>
              </w:rPr>
              <w:t>Urban</w:t>
            </w:r>
          </w:p>
        </w:tc>
        <w:tc>
          <w:tcPr>
            <w:tcW w:w="1000" w:type="dxa"/>
            <w:tcBorders>
              <w:top w:val="nil"/>
              <w:left w:val="nil"/>
              <w:bottom w:val="nil"/>
              <w:right w:val="nil"/>
            </w:tcBorders>
            <w:shd w:val="clear" w:color="auto" w:fill="auto"/>
            <w:noWrap/>
            <w:vAlign w:val="center"/>
            <w:hideMark/>
          </w:tcPr>
          <w:p w14:paraId="1B447561" w14:textId="77777777" w:rsidR="003C0688" w:rsidRPr="00D112F1" w:rsidRDefault="003C0688" w:rsidP="005160F0">
            <w:pPr>
              <w:spacing w:after="0" w:line="240" w:lineRule="auto"/>
              <w:jc w:val="center"/>
              <w:rPr>
                <w:rFonts w:ascii="Calibri" w:eastAsia="Times New Roman" w:hAnsi="Calibri" w:cs="Times New Roman"/>
                <w:color w:val="000000"/>
              </w:rPr>
            </w:pPr>
            <w:r w:rsidRPr="00D112F1">
              <w:rPr>
                <w:rFonts w:ascii="Calibri" w:eastAsia="Times New Roman" w:hAnsi="Calibri" w:cs="Times New Roman"/>
                <w:color w:val="000000"/>
              </w:rPr>
              <w:t>76.20%</w:t>
            </w:r>
          </w:p>
        </w:tc>
        <w:tc>
          <w:tcPr>
            <w:tcW w:w="875" w:type="dxa"/>
            <w:tcBorders>
              <w:top w:val="nil"/>
              <w:left w:val="nil"/>
              <w:bottom w:val="nil"/>
              <w:right w:val="nil"/>
            </w:tcBorders>
            <w:shd w:val="clear" w:color="auto" w:fill="auto"/>
            <w:noWrap/>
            <w:vAlign w:val="center"/>
            <w:hideMark/>
          </w:tcPr>
          <w:p w14:paraId="2C57B998" w14:textId="77777777" w:rsidR="003C0688" w:rsidRPr="00D112F1" w:rsidRDefault="003C0688" w:rsidP="005160F0">
            <w:pPr>
              <w:spacing w:after="0" w:line="240" w:lineRule="auto"/>
              <w:jc w:val="center"/>
              <w:rPr>
                <w:rFonts w:ascii="Calibri" w:eastAsia="Times New Roman" w:hAnsi="Calibri" w:cs="Times New Roman"/>
                <w:color w:val="000000"/>
              </w:rPr>
            </w:pPr>
            <w:r w:rsidRPr="00D112F1">
              <w:rPr>
                <w:rFonts w:ascii="Calibri" w:eastAsia="Times New Roman" w:hAnsi="Calibri" w:cs="Times New Roman"/>
                <w:color w:val="000000"/>
              </w:rPr>
              <w:t>36.10%</w:t>
            </w:r>
          </w:p>
        </w:tc>
        <w:tc>
          <w:tcPr>
            <w:tcW w:w="840" w:type="dxa"/>
            <w:tcBorders>
              <w:top w:val="nil"/>
              <w:left w:val="nil"/>
              <w:bottom w:val="nil"/>
              <w:right w:val="nil"/>
            </w:tcBorders>
            <w:shd w:val="clear" w:color="auto" w:fill="auto"/>
            <w:noWrap/>
            <w:vAlign w:val="center"/>
            <w:hideMark/>
          </w:tcPr>
          <w:p w14:paraId="3C77CE44" w14:textId="77777777" w:rsidR="003C0688" w:rsidRPr="00D112F1" w:rsidRDefault="003C0688" w:rsidP="005160F0">
            <w:pPr>
              <w:spacing w:after="0" w:line="240" w:lineRule="auto"/>
              <w:jc w:val="center"/>
              <w:rPr>
                <w:rFonts w:ascii="Calibri" w:eastAsia="Times New Roman" w:hAnsi="Calibri" w:cs="Times New Roman"/>
                <w:color w:val="000000"/>
              </w:rPr>
            </w:pPr>
            <w:r w:rsidRPr="00D112F1">
              <w:rPr>
                <w:rFonts w:ascii="Calibri" w:eastAsia="Times New Roman" w:hAnsi="Calibri" w:cs="Times New Roman"/>
                <w:color w:val="000000"/>
              </w:rPr>
              <w:t>0.00%</w:t>
            </w:r>
          </w:p>
        </w:tc>
        <w:tc>
          <w:tcPr>
            <w:tcW w:w="960" w:type="dxa"/>
            <w:tcBorders>
              <w:top w:val="nil"/>
              <w:left w:val="nil"/>
              <w:bottom w:val="nil"/>
              <w:right w:val="nil"/>
            </w:tcBorders>
            <w:shd w:val="clear" w:color="auto" w:fill="auto"/>
            <w:noWrap/>
            <w:vAlign w:val="center"/>
            <w:hideMark/>
          </w:tcPr>
          <w:p w14:paraId="5B30DC92" w14:textId="77777777" w:rsidR="003C0688" w:rsidRPr="00D112F1" w:rsidRDefault="003C0688" w:rsidP="005160F0">
            <w:pPr>
              <w:spacing w:after="0" w:line="240" w:lineRule="auto"/>
              <w:jc w:val="center"/>
              <w:rPr>
                <w:rFonts w:ascii="Calibri" w:eastAsia="Times New Roman" w:hAnsi="Calibri" w:cs="Times New Roman"/>
                <w:color w:val="000000"/>
              </w:rPr>
            </w:pPr>
            <w:r w:rsidRPr="00D112F1">
              <w:rPr>
                <w:rFonts w:ascii="Calibri" w:eastAsia="Times New Roman" w:hAnsi="Calibri" w:cs="Times New Roman"/>
                <w:color w:val="000000"/>
              </w:rPr>
              <w:t>68.10%</w:t>
            </w:r>
          </w:p>
        </w:tc>
        <w:tc>
          <w:tcPr>
            <w:tcW w:w="960" w:type="dxa"/>
            <w:tcBorders>
              <w:top w:val="nil"/>
              <w:left w:val="nil"/>
              <w:bottom w:val="nil"/>
              <w:right w:val="nil"/>
            </w:tcBorders>
            <w:shd w:val="clear" w:color="auto" w:fill="auto"/>
            <w:noWrap/>
            <w:vAlign w:val="center"/>
            <w:hideMark/>
          </w:tcPr>
          <w:p w14:paraId="7C8AAD05" w14:textId="77777777" w:rsidR="003C0688" w:rsidRPr="00D112F1" w:rsidRDefault="003C0688" w:rsidP="005160F0">
            <w:pPr>
              <w:spacing w:after="0" w:line="240" w:lineRule="auto"/>
              <w:jc w:val="center"/>
              <w:rPr>
                <w:rFonts w:ascii="Calibri" w:eastAsia="Times New Roman" w:hAnsi="Calibri" w:cs="Times New Roman"/>
                <w:color w:val="000000"/>
              </w:rPr>
            </w:pPr>
            <w:r w:rsidRPr="00D112F1">
              <w:rPr>
                <w:rFonts w:ascii="Calibri" w:eastAsia="Times New Roman" w:hAnsi="Calibri" w:cs="Times New Roman"/>
                <w:color w:val="000000"/>
              </w:rPr>
              <w:t>96.70%</w:t>
            </w:r>
          </w:p>
        </w:tc>
        <w:tc>
          <w:tcPr>
            <w:tcW w:w="960" w:type="dxa"/>
            <w:tcBorders>
              <w:top w:val="nil"/>
              <w:left w:val="nil"/>
              <w:bottom w:val="nil"/>
              <w:right w:val="nil"/>
            </w:tcBorders>
            <w:shd w:val="clear" w:color="auto" w:fill="auto"/>
            <w:noWrap/>
            <w:vAlign w:val="center"/>
            <w:hideMark/>
          </w:tcPr>
          <w:p w14:paraId="6F1C8CCE" w14:textId="77777777" w:rsidR="003C0688" w:rsidRPr="00D112F1" w:rsidRDefault="003C0688" w:rsidP="005160F0">
            <w:pPr>
              <w:spacing w:after="0" w:line="240" w:lineRule="auto"/>
              <w:jc w:val="center"/>
              <w:rPr>
                <w:rFonts w:ascii="Calibri" w:eastAsia="Times New Roman" w:hAnsi="Calibri" w:cs="Times New Roman"/>
                <w:color w:val="000000"/>
              </w:rPr>
            </w:pPr>
            <w:r w:rsidRPr="00D112F1">
              <w:rPr>
                <w:rFonts w:ascii="Calibri" w:eastAsia="Times New Roman" w:hAnsi="Calibri" w:cs="Times New Roman"/>
                <w:color w:val="000000"/>
              </w:rPr>
              <w:t>99.60%</w:t>
            </w:r>
          </w:p>
        </w:tc>
        <w:tc>
          <w:tcPr>
            <w:tcW w:w="987" w:type="dxa"/>
            <w:tcBorders>
              <w:top w:val="nil"/>
              <w:left w:val="nil"/>
              <w:bottom w:val="nil"/>
              <w:right w:val="nil"/>
            </w:tcBorders>
            <w:shd w:val="clear" w:color="auto" w:fill="auto"/>
            <w:noWrap/>
            <w:vAlign w:val="center"/>
            <w:hideMark/>
          </w:tcPr>
          <w:p w14:paraId="35529B92" w14:textId="77777777" w:rsidR="003C0688" w:rsidRPr="00D112F1" w:rsidRDefault="003C0688" w:rsidP="005160F0">
            <w:pPr>
              <w:spacing w:after="0" w:line="240" w:lineRule="auto"/>
              <w:jc w:val="center"/>
              <w:rPr>
                <w:rFonts w:ascii="Calibri" w:eastAsia="Times New Roman" w:hAnsi="Calibri" w:cs="Times New Roman"/>
                <w:color w:val="000000"/>
              </w:rPr>
            </w:pPr>
            <w:r w:rsidRPr="00D112F1">
              <w:rPr>
                <w:rFonts w:ascii="Calibri" w:eastAsia="Times New Roman" w:hAnsi="Calibri" w:cs="Times New Roman"/>
                <w:color w:val="000000"/>
              </w:rPr>
              <w:t>100.00%</w:t>
            </w:r>
          </w:p>
        </w:tc>
      </w:tr>
      <w:tr w:rsidR="003C0688" w:rsidRPr="00D112F1" w14:paraId="514B1D34" w14:textId="77777777" w:rsidTr="005160F0">
        <w:trPr>
          <w:trHeight w:val="300"/>
          <w:jc w:val="center"/>
        </w:trPr>
        <w:tc>
          <w:tcPr>
            <w:tcW w:w="1197" w:type="dxa"/>
            <w:tcBorders>
              <w:top w:val="nil"/>
              <w:left w:val="nil"/>
              <w:bottom w:val="nil"/>
              <w:right w:val="nil"/>
            </w:tcBorders>
            <w:shd w:val="clear" w:color="auto" w:fill="auto"/>
            <w:noWrap/>
            <w:vAlign w:val="center"/>
            <w:hideMark/>
          </w:tcPr>
          <w:p w14:paraId="1AD2EF85" w14:textId="77777777" w:rsidR="003C0688" w:rsidRPr="00D112F1" w:rsidRDefault="003C0688" w:rsidP="005160F0">
            <w:pPr>
              <w:spacing w:after="0" w:line="240" w:lineRule="auto"/>
              <w:rPr>
                <w:rFonts w:ascii="Calibri" w:eastAsia="Times New Roman" w:hAnsi="Calibri" w:cs="Times New Roman"/>
                <w:color w:val="000000"/>
              </w:rPr>
            </w:pPr>
            <w:r w:rsidRPr="00D112F1">
              <w:rPr>
                <w:rFonts w:ascii="Calibri" w:eastAsia="Times New Roman" w:hAnsi="Calibri" w:cs="Times New Roman"/>
                <w:color w:val="000000"/>
              </w:rPr>
              <w:t>Rural</w:t>
            </w:r>
          </w:p>
        </w:tc>
        <w:tc>
          <w:tcPr>
            <w:tcW w:w="1000" w:type="dxa"/>
            <w:tcBorders>
              <w:top w:val="nil"/>
              <w:left w:val="nil"/>
              <w:bottom w:val="nil"/>
              <w:right w:val="nil"/>
            </w:tcBorders>
            <w:shd w:val="clear" w:color="auto" w:fill="auto"/>
            <w:noWrap/>
            <w:vAlign w:val="center"/>
            <w:hideMark/>
          </w:tcPr>
          <w:p w14:paraId="293B8787" w14:textId="77777777" w:rsidR="003C0688" w:rsidRPr="00D112F1" w:rsidRDefault="003C0688" w:rsidP="005160F0">
            <w:pPr>
              <w:spacing w:after="0" w:line="240" w:lineRule="auto"/>
              <w:jc w:val="center"/>
              <w:rPr>
                <w:rFonts w:ascii="Calibri" w:eastAsia="Times New Roman" w:hAnsi="Calibri" w:cs="Times New Roman"/>
                <w:color w:val="000000"/>
              </w:rPr>
            </w:pPr>
            <w:r w:rsidRPr="00D112F1">
              <w:rPr>
                <w:rFonts w:ascii="Calibri" w:eastAsia="Times New Roman" w:hAnsi="Calibri" w:cs="Times New Roman"/>
                <w:color w:val="000000"/>
              </w:rPr>
              <w:t>23.80%</w:t>
            </w:r>
          </w:p>
        </w:tc>
        <w:tc>
          <w:tcPr>
            <w:tcW w:w="875" w:type="dxa"/>
            <w:tcBorders>
              <w:top w:val="nil"/>
              <w:left w:val="nil"/>
              <w:bottom w:val="nil"/>
              <w:right w:val="nil"/>
            </w:tcBorders>
            <w:shd w:val="clear" w:color="auto" w:fill="auto"/>
            <w:noWrap/>
            <w:vAlign w:val="center"/>
            <w:hideMark/>
          </w:tcPr>
          <w:p w14:paraId="6BCB0116" w14:textId="77777777" w:rsidR="003C0688" w:rsidRPr="00D112F1" w:rsidRDefault="003C0688" w:rsidP="005160F0">
            <w:pPr>
              <w:spacing w:after="0" w:line="240" w:lineRule="auto"/>
              <w:jc w:val="center"/>
              <w:rPr>
                <w:rFonts w:ascii="Calibri" w:eastAsia="Times New Roman" w:hAnsi="Calibri" w:cs="Times New Roman"/>
                <w:color w:val="000000"/>
              </w:rPr>
            </w:pPr>
            <w:r w:rsidRPr="00D112F1">
              <w:rPr>
                <w:rFonts w:ascii="Calibri" w:eastAsia="Times New Roman" w:hAnsi="Calibri" w:cs="Times New Roman"/>
                <w:color w:val="000000"/>
              </w:rPr>
              <w:t>36.10%</w:t>
            </w:r>
          </w:p>
        </w:tc>
        <w:tc>
          <w:tcPr>
            <w:tcW w:w="840" w:type="dxa"/>
            <w:tcBorders>
              <w:top w:val="nil"/>
              <w:left w:val="nil"/>
              <w:bottom w:val="nil"/>
              <w:right w:val="nil"/>
            </w:tcBorders>
            <w:shd w:val="clear" w:color="auto" w:fill="auto"/>
            <w:noWrap/>
            <w:vAlign w:val="center"/>
            <w:hideMark/>
          </w:tcPr>
          <w:p w14:paraId="65F587ED" w14:textId="77777777" w:rsidR="003C0688" w:rsidRPr="00D112F1" w:rsidRDefault="003C0688" w:rsidP="005160F0">
            <w:pPr>
              <w:spacing w:after="0" w:line="240" w:lineRule="auto"/>
              <w:jc w:val="center"/>
              <w:rPr>
                <w:rFonts w:ascii="Calibri" w:eastAsia="Times New Roman" w:hAnsi="Calibri" w:cs="Times New Roman"/>
                <w:color w:val="000000"/>
              </w:rPr>
            </w:pPr>
            <w:r w:rsidRPr="00D112F1">
              <w:rPr>
                <w:rFonts w:ascii="Calibri" w:eastAsia="Times New Roman" w:hAnsi="Calibri" w:cs="Times New Roman"/>
                <w:color w:val="000000"/>
              </w:rPr>
              <w:t>0.00%</w:t>
            </w:r>
          </w:p>
        </w:tc>
        <w:tc>
          <w:tcPr>
            <w:tcW w:w="960" w:type="dxa"/>
            <w:tcBorders>
              <w:top w:val="nil"/>
              <w:left w:val="nil"/>
              <w:bottom w:val="nil"/>
              <w:right w:val="nil"/>
            </w:tcBorders>
            <w:shd w:val="clear" w:color="auto" w:fill="auto"/>
            <w:noWrap/>
            <w:vAlign w:val="center"/>
            <w:hideMark/>
          </w:tcPr>
          <w:p w14:paraId="176C6E56" w14:textId="77777777" w:rsidR="003C0688" w:rsidRPr="00D112F1" w:rsidRDefault="003C0688" w:rsidP="005160F0">
            <w:pPr>
              <w:spacing w:after="0" w:line="240" w:lineRule="auto"/>
              <w:jc w:val="center"/>
              <w:rPr>
                <w:rFonts w:ascii="Calibri" w:eastAsia="Times New Roman" w:hAnsi="Calibri" w:cs="Times New Roman"/>
                <w:color w:val="000000"/>
              </w:rPr>
            </w:pPr>
            <w:r w:rsidRPr="00D112F1">
              <w:rPr>
                <w:rFonts w:ascii="Calibri" w:eastAsia="Times New Roman" w:hAnsi="Calibri" w:cs="Times New Roman"/>
                <w:color w:val="000000"/>
              </w:rPr>
              <w:t>0.40%</w:t>
            </w:r>
          </w:p>
        </w:tc>
        <w:tc>
          <w:tcPr>
            <w:tcW w:w="960" w:type="dxa"/>
            <w:tcBorders>
              <w:top w:val="nil"/>
              <w:left w:val="nil"/>
              <w:bottom w:val="nil"/>
              <w:right w:val="nil"/>
            </w:tcBorders>
            <w:shd w:val="clear" w:color="auto" w:fill="auto"/>
            <w:noWrap/>
            <w:vAlign w:val="center"/>
            <w:hideMark/>
          </w:tcPr>
          <w:p w14:paraId="35D1878C" w14:textId="77777777" w:rsidR="003C0688" w:rsidRPr="00D112F1" w:rsidRDefault="003C0688" w:rsidP="005160F0">
            <w:pPr>
              <w:spacing w:after="0" w:line="240" w:lineRule="auto"/>
              <w:jc w:val="center"/>
              <w:rPr>
                <w:rFonts w:ascii="Calibri" w:eastAsia="Times New Roman" w:hAnsi="Calibri" w:cs="Times New Roman"/>
                <w:color w:val="000000"/>
              </w:rPr>
            </w:pPr>
            <w:r w:rsidRPr="00D112F1">
              <w:rPr>
                <w:rFonts w:ascii="Calibri" w:eastAsia="Times New Roman" w:hAnsi="Calibri" w:cs="Times New Roman"/>
                <w:color w:val="000000"/>
              </w:rPr>
              <w:t>3.30%</w:t>
            </w:r>
          </w:p>
        </w:tc>
        <w:tc>
          <w:tcPr>
            <w:tcW w:w="960" w:type="dxa"/>
            <w:tcBorders>
              <w:top w:val="nil"/>
              <w:left w:val="nil"/>
              <w:bottom w:val="nil"/>
              <w:right w:val="nil"/>
            </w:tcBorders>
            <w:shd w:val="clear" w:color="auto" w:fill="auto"/>
            <w:noWrap/>
            <w:vAlign w:val="center"/>
            <w:hideMark/>
          </w:tcPr>
          <w:p w14:paraId="4249E970" w14:textId="77777777" w:rsidR="003C0688" w:rsidRPr="00D112F1" w:rsidRDefault="003C0688" w:rsidP="005160F0">
            <w:pPr>
              <w:spacing w:after="0" w:line="240" w:lineRule="auto"/>
              <w:jc w:val="center"/>
              <w:rPr>
                <w:rFonts w:ascii="Calibri" w:eastAsia="Times New Roman" w:hAnsi="Calibri" w:cs="Times New Roman"/>
                <w:color w:val="000000"/>
              </w:rPr>
            </w:pPr>
            <w:r w:rsidRPr="00D112F1">
              <w:rPr>
                <w:rFonts w:ascii="Calibri" w:eastAsia="Times New Roman" w:hAnsi="Calibri" w:cs="Times New Roman"/>
                <w:color w:val="000000"/>
              </w:rPr>
              <w:t>31.90%</w:t>
            </w:r>
          </w:p>
        </w:tc>
        <w:tc>
          <w:tcPr>
            <w:tcW w:w="987" w:type="dxa"/>
            <w:tcBorders>
              <w:top w:val="nil"/>
              <w:left w:val="nil"/>
              <w:bottom w:val="nil"/>
              <w:right w:val="nil"/>
            </w:tcBorders>
            <w:shd w:val="clear" w:color="auto" w:fill="auto"/>
            <w:noWrap/>
            <w:vAlign w:val="center"/>
            <w:hideMark/>
          </w:tcPr>
          <w:p w14:paraId="288D56E3" w14:textId="77777777" w:rsidR="003C0688" w:rsidRPr="00D112F1" w:rsidRDefault="003C0688" w:rsidP="005160F0">
            <w:pPr>
              <w:spacing w:after="0" w:line="240" w:lineRule="auto"/>
              <w:jc w:val="center"/>
              <w:rPr>
                <w:rFonts w:ascii="Calibri" w:eastAsia="Times New Roman" w:hAnsi="Calibri" w:cs="Times New Roman"/>
                <w:color w:val="000000"/>
              </w:rPr>
            </w:pPr>
            <w:r w:rsidRPr="00D112F1">
              <w:rPr>
                <w:rFonts w:ascii="Calibri" w:eastAsia="Times New Roman" w:hAnsi="Calibri" w:cs="Times New Roman"/>
                <w:color w:val="000000"/>
              </w:rPr>
              <w:t>100.00%</w:t>
            </w:r>
          </w:p>
        </w:tc>
      </w:tr>
      <w:tr w:rsidR="003C0688" w:rsidRPr="00D112F1" w14:paraId="76C10C77" w14:textId="77777777" w:rsidTr="005160F0">
        <w:trPr>
          <w:trHeight w:val="300"/>
          <w:jc w:val="center"/>
        </w:trPr>
        <w:tc>
          <w:tcPr>
            <w:tcW w:w="1197" w:type="dxa"/>
            <w:tcBorders>
              <w:top w:val="nil"/>
              <w:left w:val="nil"/>
              <w:bottom w:val="single" w:sz="4" w:space="0" w:color="auto"/>
              <w:right w:val="nil"/>
            </w:tcBorders>
            <w:shd w:val="clear" w:color="auto" w:fill="auto"/>
            <w:noWrap/>
            <w:vAlign w:val="center"/>
            <w:hideMark/>
          </w:tcPr>
          <w:p w14:paraId="49AC2C75" w14:textId="77777777" w:rsidR="003C0688" w:rsidRPr="00D112F1" w:rsidRDefault="003C0688" w:rsidP="005160F0">
            <w:pPr>
              <w:spacing w:after="0" w:line="240" w:lineRule="auto"/>
              <w:rPr>
                <w:rFonts w:ascii="Calibri" w:eastAsia="Times New Roman" w:hAnsi="Calibri" w:cs="Times New Roman"/>
                <w:color w:val="000000"/>
              </w:rPr>
            </w:pPr>
            <w:r w:rsidRPr="00D112F1">
              <w:rPr>
                <w:rFonts w:ascii="Calibri" w:eastAsia="Times New Roman" w:hAnsi="Calibri" w:cs="Times New Roman"/>
                <w:color w:val="000000"/>
              </w:rPr>
              <w:t>Unknown Geography</w:t>
            </w:r>
          </w:p>
        </w:tc>
        <w:tc>
          <w:tcPr>
            <w:tcW w:w="1000" w:type="dxa"/>
            <w:tcBorders>
              <w:top w:val="nil"/>
              <w:left w:val="nil"/>
              <w:bottom w:val="single" w:sz="4" w:space="0" w:color="auto"/>
              <w:right w:val="nil"/>
            </w:tcBorders>
            <w:shd w:val="clear" w:color="auto" w:fill="auto"/>
            <w:noWrap/>
            <w:vAlign w:val="center"/>
            <w:hideMark/>
          </w:tcPr>
          <w:p w14:paraId="6D3252CD" w14:textId="77777777" w:rsidR="003C0688" w:rsidRPr="00D112F1" w:rsidRDefault="003C0688" w:rsidP="005160F0">
            <w:pPr>
              <w:spacing w:after="0" w:line="240" w:lineRule="auto"/>
              <w:jc w:val="center"/>
              <w:rPr>
                <w:rFonts w:ascii="Calibri" w:eastAsia="Times New Roman" w:hAnsi="Calibri" w:cs="Times New Roman"/>
                <w:color w:val="000000"/>
              </w:rPr>
            </w:pPr>
            <w:r w:rsidRPr="00D112F1">
              <w:rPr>
                <w:rFonts w:ascii="Calibri" w:eastAsia="Times New Roman" w:hAnsi="Calibri" w:cs="Times New Roman"/>
                <w:color w:val="000000"/>
              </w:rPr>
              <w:t>0.00%</w:t>
            </w:r>
          </w:p>
        </w:tc>
        <w:tc>
          <w:tcPr>
            <w:tcW w:w="875" w:type="dxa"/>
            <w:tcBorders>
              <w:top w:val="nil"/>
              <w:left w:val="nil"/>
              <w:bottom w:val="single" w:sz="4" w:space="0" w:color="auto"/>
              <w:right w:val="nil"/>
            </w:tcBorders>
            <w:shd w:val="clear" w:color="auto" w:fill="auto"/>
            <w:noWrap/>
            <w:vAlign w:val="center"/>
            <w:hideMark/>
          </w:tcPr>
          <w:p w14:paraId="3E9F7B8F" w14:textId="77777777" w:rsidR="003C0688" w:rsidRPr="00D112F1" w:rsidRDefault="003C0688" w:rsidP="005160F0">
            <w:pPr>
              <w:spacing w:after="0" w:line="240" w:lineRule="auto"/>
              <w:jc w:val="center"/>
              <w:rPr>
                <w:rFonts w:ascii="Calibri" w:eastAsia="Times New Roman" w:hAnsi="Calibri" w:cs="Times New Roman"/>
                <w:color w:val="000000"/>
              </w:rPr>
            </w:pPr>
            <w:r w:rsidRPr="00D112F1">
              <w:rPr>
                <w:rFonts w:ascii="Calibri" w:eastAsia="Times New Roman" w:hAnsi="Calibri" w:cs="Times New Roman"/>
                <w:color w:val="000000"/>
              </w:rPr>
              <w:t>0.10%</w:t>
            </w:r>
          </w:p>
        </w:tc>
        <w:tc>
          <w:tcPr>
            <w:tcW w:w="840" w:type="dxa"/>
            <w:tcBorders>
              <w:top w:val="nil"/>
              <w:left w:val="nil"/>
              <w:bottom w:val="single" w:sz="4" w:space="0" w:color="auto"/>
              <w:right w:val="nil"/>
            </w:tcBorders>
            <w:shd w:val="clear" w:color="auto" w:fill="auto"/>
            <w:noWrap/>
            <w:vAlign w:val="center"/>
            <w:hideMark/>
          </w:tcPr>
          <w:p w14:paraId="0753E4CF" w14:textId="77777777" w:rsidR="003C0688" w:rsidRPr="00D112F1" w:rsidRDefault="003C0688" w:rsidP="005160F0">
            <w:pPr>
              <w:spacing w:after="0" w:line="240" w:lineRule="auto"/>
              <w:jc w:val="center"/>
              <w:rPr>
                <w:rFonts w:ascii="Calibri" w:eastAsia="Times New Roman" w:hAnsi="Calibri" w:cs="Times New Roman"/>
                <w:color w:val="000000"/>
              </w:rPr>
            </w:pPr>
            <w:r w:rsidRPr="00D112F1">
              <w:rPr>
                <w:rFonts w:ascii="Calibri" w:eastAsia="Times New Roman" w:hAnsi="Calibri" w:cs="Times New Roman"/>
                <w:color w:val="000000"/>
              </w:rPr>
              <w:t>0.00%</w:t>
            </w:r>
          </w:p>
        </w:tc>
        <w:tc>
          <w:tcPr>
            <w:tcW w:w="960" w:type="dxa"/>
            <w:tcBorders>
              <w:top w:val="nil"/>
              <w:left w:val="nil"/>
              <w:bottom w:val="single" w:sz="4" w:space="0" w:color="auto"/>
              <w:right w:val="nil"/>
            </w:tcBorders>
            <w:shd w:val="clear" w:color="auto" w:fill="auto"/>
            <w:noWrap/>
            <w:vAlign w:val="center"/>
            <w:hideMark/>
          </w:tcPr>
          <w:p w14:paraId="387D9418" w14:textId="77777777" w:rsidR="003C0688" w:rsidRPr="00D112F1" w:rsidRDefault="003C0688" w:rsidP="005160F0">
            <w:pPr>
              <w:spacing w:after="0" w:line="240" w:lineRule="auto"/>
              <w:jc w:val="center"/>
              <w:rPr>
                <w:rFonts w:ascii="Calibri" w:eastAsia="Times New Roman" w:hAnsi="Calibri" w:cs="Times New Roman"/>
                <w:color w:val="000000"/>
              </w:rPr>
            </w:pPr>
            <w:r w:rsidRPr="00D112F1">
              <w:rPr>
                <w:rFonts w:ascii="Calibri" w:eastAsia="Times New Roman" w:hAnsi="Calibri" w:cs="Times New Roman"/>
                <w:color w:val="000000"/>
              </w:rPr>
              <w:t>0.00%</w:t>
            </w:r>
          </w:p>
        </w:tc>
        <w:tc>
          <w:tcPr>
            <w:tcW w:w="960" w:type="dxa"/>
            <w:tcBorders>
              <w:top w:val="nil"/>
              <w:left w:val="nil"/>
              <w:bottom w:val="single" w:sz="4" w:space="0" w:color="auto"/>
              <w:right w:val="nil"/>
            </w:tcBorders>
            <w:shd w:val="clear" w:color="auto" w:fill="auto"/>
            <w:noWrap/>
            <w:vAlign w:val="center"/>
            <w:hideMark/>
          </w:tcPr>
          <w:p w14:paraId="44A72DB7" w14:textId="77777777" w:rsidR="003C0688" w:rsidRPr="00D112F1" w:rsidRDefault="003C0688" w:rsidP="005160F0">
            <w:pPr>
              <w:spacing w:after="0" w:line="240" w:lineRule="auto"/>
              <w:jc w:val="center"/>
              <w:rPr>
                <w:rFonts w:ascii="Calibri" w:eastAsia="Times New Roman" w:hAnsi="Calibri" w:cs="Times New Roman"/>
                <w:color w:val="000000"/>
              </w:rPr>
            </w:pPr>
            <w:r w:rsidRPr="00D112F1">
              <w:rPr>
                <w:rFonts w:ascii="Calibri" w:eastAsia="Times New Roman" w:hAnsi="Calibri" w:cs="Times New Roman"/>
                <w:color w:val="000000"/>
              </w:rPr>
              <w:t>0.00%</w:t>
            </w:r>
          </w:p>
        </w:tc>
        <w:tc>
          <w:tcPr>
            <w:tcW w:w="960" w:type="dxa"/>
            <w:tcBorders>
              <w:top w:val="nil"/>
              <w:left w:val="nil"/>
              <w:bottom w:val="single" w:sz="4" w:space="0" w:color="auto"/>
              <w:right w:val="nil"/>
            </w:tcBorders>
            <w:shd w:val="clear" w:color="auto" w:fill="auto"/>
            <w:noWrap/>
            <w:vAlign w:val="center"/>
            <w:hideMark/>
          </w:tcPr>
          <w:p w14:paraId="5C91ACE1" w14:textId="77777777" w:rsidR="003C0688" w:rsidRPr="00D112F1" w:rsidRDefault="003C0688" w:rsidP="005160F0">
            <w:pPr>
              <w:spacing w:after="0" w:line="240" w:lineRule="auto"/>
              <w:jc w:val="center"/>
              <w:rPr>
                <w:rFonts w:ascii="Calibri" w:eastAsia="Times New Roman" w:hAnsi="Calibri" w:cs="Times New Roman"/>
                <w:color w:val="000000"/>
              </w:rPr>
            </w:pPr>
            <w:r w:rsidRPr="00D112F1">
              <w:rPr>
                <w:rFonts w:ascii="Calibri" w:eastAsia="Times New Roman" w:hAnsi="Calibri" w:cs="Times New Roman"/>
                <w:color w:val="000000"/>
              </w:rPr>
              <w:t>0.00%</w:t>
            </w:r>
          </w:p>
        </w:tc>
        <w:tc>
          <w:tcPr>
            <w:tcW w:w="987" w:type="dxa"/>
            <w:tcBorders>
              <w:top w:val="nil"/>
              <w:left w:val="nil"/>
              <w:bottom w:val="single" w:sz="4" w:space="0" w:color="auto"/>
              <w:right w:val="nil"/>
            </w:tcBorders>
            <w:shd w:val="clear" w:color="auto" w:fill="auto"/>
            <w:noWrap/>
            <w:vAlign w:val="center"/>
            <w:hideMark/>
          </w:tcPr>
          <w:p w14:paraId="5BA2270D" w14:textId="77777777" w:rsidR="003C0688" w:rsidRPr="00D112F1" w:rsidRDefault="003C0688" w:rsidP="005160F0">
            <w:pPr>
              <w:spacing w:after="0" w:line="240" w:lineRule="auto"/>
              <w:jc w:val="center"/>
              <w:rPr>
                <w:rFonts w:ascii="Calibri" w:eastAsia="Times New Roman" w:hAnsi="Calibri" w:cs="Times New Roman"/>
                <w:color w:val="000000"/>
              </w:rPr>
            </w:pPr>
            <w:r w:rsidRPr="00D112F1">
              <w:rPr>
                <w:rFonts w:ascii="Calibri" w:eastAsia="Times New Roman" w:hAnsi="Calibri" w:cs="Times New Roman"/>
                <w:color w:val="000000"/>
              </w:rPr>
              <w:t>6.70%</w:t>
            </w:r>
          </w:p>
        </w:tc>
      </w:tr>
      <w:tr w:rsidR="003C0688" w:rsidRPr="00D112F1" w14:paraId="7C203B8C" w14:textId="77777777" w:rsidTr="005160F0">
        <w:trPr>
          <w:trHeight w:val="300"/>
          <w:jc w:val="center"/>
        </w:trPr>
        <w:tc>
          <w:tcPr>
            <w:tcW w:w="1197" w:type="dxa"/>
            <w:tcBorders>
              <w:top w:val="nil"/>
              <w:left w:val="nil"/>
              <w:bottom w:val="nil"/>
              <w:right w:val="nil"/>
            </w:tcBorders>
            <w:shd w:val="clear" w:color="auto" w:fill="auto"/>
            <w:noWrap/>
            <w:vAlign w:val="center"/>
            <w:hideMark/>
          </w:tcPr>
          <w:p w14:paraId="67081CE6" w14:textId="77777777" w:rsidR="003C0688" w:rsidRPr="00D112F1" w:rsidRDefault="003C0688" w:rsidP="005160F0">
            <w:pPr>
              <w:spacing w:after="0" w:line="240" w:lineRule="auto"/>
              <w:rPr>
                <w:rFonts w:ascii="Calibri" w:eastAsia="Times New Roman" w:hAnsi="Calibri" w:cs="Times New Roman"/>
                <w:color w:val="000000"/>
              </w:rPr>
            </w:pPr>
            <w:r w:rsidRPr="00D112F1">
              <w:rPr>
                <w:rFonts w:ascii="Calibri" w:eastAsia="Times New Roman" w:hAnsi="Calibri" w:cs="Times New Roman"/>
                <w:color w:val="000000"/>
              </w:rPr>
              <w:t>Full Dual</w:t>
            </w:r>
          </w:p>
        </w:tc>
        <w:tc>
          <w:tcPr>
            <w:tcW w:w="1000" w:type="dxa"/>
            <w:tcBorders>
              <w:top w:val="nil"/>
              <w:left w:val="nil"/>
              <w:bottom w:val="nil"/>
              <w:right w:val="nil"/>
            </w:tcBorders>
            <w:shd w:val="clear" w:color="auto" w:fill="auto"/>
            <w:noWrap/>
            <w:vAlign w:val="center"/>
            <w:hideMark/>
          </w:tcPr>
          <w:p w14:paraId="3D49A482" w14:textId="77777777" w:rsidR="003C0688" w:rsidRPr="00D112F1" w:rsidRDefault="003C0688" w:rsidP="005160F0">
            <w:pPr>
              <w:spacing w:after="0" w:line="240" w:lineRule="auto"/>
              <w:jc w:val="center"/>
              <w:rPr>
                <w:rFonts w:ascii="Calibri" w:eastAsia="Times New Roman" w:hAnsi="Calibri" w:cs="Times New Roman"/>
                <w:color w:val="000000"/>
              </w:rPr>
            </w:pPr>
            <w:r w:rsidRPr="00D112F1">
              <w:rPr>
                <w:rFonts w:ascii="Calibri" w:eastAsia="Times New Roman" w:hAnsi="Calibri" w:cs="Times New Roman"/>
                <w:color w:val="000000"/>
              </w:rPr>
              <w:t>27.70%</w:t>
            </w:r>
          </w:p>
        </w:tc>
        <w:tc>
          <w:tcPr>
            <w:tcW w:w="875" w:type="dxa"/>
            <w:tcBorders>
              <w:top w:val="nil"/>
              <w:left w:val="nil"/>
              <w:bottom w:val="nil"/>
              <w:right w:val="nil"/>
            </w:tcBorders>
            <w:shd w:val="clear" w:color="auto" w:fill="auto"/>
            <w:noWrap/>
            <w:vAlign w:val="center"/>
            <w:hideMark/>
          </w:tcPr>
          <w:p w14:paraId="4D38D9DB" w14:textId="77777777" w:rsidR="003C0688" w:rsidRPr="00D112F1" w:rsidRDefault="003C0688" w:rsidP="005160F0">
            <w:pPr>
              <w:spacing w:after="0" w:line="240" w:lineRule="auto"/>
              <w:jc w:val="center"/>
              <w:rPr>
                <w:rFonts w:ascii="Calibri" w:eastAsia="Times New Roman" w:hAnsi="Calibri" w:cs="Times New Roman"/>
                <w:color w:val="000000"/>
              </w:rPr>
            </w:pPr>
            <w:r w:rsidRPr="00D112F1">
              <w:rPr>
                <w:rFonts w:ascii="Calibri" w:eastAsia="Times New Roman" w:hAnsi="Calibri" w:cs="Times New Roman"/>
                <w:color w:val="000000"/>
              </w:rPr>
              <w:t>22.10%</w:t>
            </w:r>
          </w:p>
        </w:tc>
        <w:tc>
          <w:tcPr>
            <w:tcW w:w="840" w:type="dxa"/>
            <w:tcBorders>
              <w:top w:val="nil"/>
              <w:left w:val="nil"/>
              <w:bottom w:val="nil"/>
              <w:right w:val="nil"/>
            </w:tcBorders>
            <w:shd w:val="clear" w:color="auto" w:fill="auto"/>
            <w:noWrap/>
            <w:vAlign w:val="center"/>
            <w:hideMark/>
          </w:tcPr>
          <w:p w14:paraId="190A7D1A" w14:textId="77777777" w:rsidR="003C0688" w:rsidRPr="00D112F1" w:rsidRDefault="003C0688" w:rsidP="005160F0">
            <w:pPr>
              <w:spacing w:after="0" w:line="240" w:lineRule="auto"/>
              <w:jc w:val="center"/>
              <w:rPr>
                <w:rFonts w:ascii="Calibri" w:eastAsia="Times New Roman" w:hAnsi="Calibri" w:cs="Times New Roman"/>
                <w:color w:val="000000"/>
              </w:rPr>
            </w:pPr>
            <w:r w:rsidRPr="00D112F1">
              <w:rPr>
                <w:rFonts w:ascii="Calibri" w:eastAsia="Times New Roman" w:hAnsi="Calibri" w:cs="Times New Roman"/>
                <w:color w:val="000000"/>
              </w:rPr>
              <w:t>0.00%</w:t>
            </w:r>
          </w:p>
        </w:tc>
        <w:tc>
          <w:tcPr>
            <w:tcW w:w="960" w:type="dxa"/>
            <w:tcBorders>
              <w:top w:val="nil"/>
              <w:left w:val="nil"/>
              <w:bottom w:val="nil"/>
              <w:right w:val="nil"/>
            </w:tcBorders>
            <w:shd w:val="clear" w:color="auto" w:fill="auto"/>
            <w:noWrap/>
            <w:vAlign w:val="center"/>
            <w:hideMark/>
          </w:tcPr>
          <w:p w14:paraId="426E206B" w14:textId="77777777" w:rsidR="003C0688" w:rsidRPr="00D112F1" w:rsidRDefault="003C0688" w:rsidP="005160F0">
            <w:pPr>
              <w:spacing w:after="0" w:line="240" w:lineRule="auto"/>
              <w:jc w:val="center"/>
              <w:rPr>
                <w:rFonts w:ascii="Calibri" w:eastAsia="Times New Roman" w:hAnsi="Calibri" w:cs="Times New Roman"/>
                <w:color w:val="000000"/>
              </w:rPr>
            </w:pPr>
            <w:r w:rsidRPr="00D112F1">
              <w:rPr>
                <w:rFonts w:ascii="Calibri" w:eastAsia="Times New Roman" w:hAnsi="Calibri" w:cs="Times New Roman"/>
                <w:color w:val="000000"/>
              </w:rPr>
              <w:t>11.50%</w:t>
            </w:r>
          </w:p>
        </w:tc>
        <w:tc>
          <w:tcPr>
            <w:tcW w:w="960" w:type="dxa"/>
            <w:tcBorders>
              <w:top w:val="nil"/>
              <w:left w:val="nil"/>
              <w:bottom w:val="nil"/>
              <w:right w:val="nil"/>
            </w:tcBorders>
            <w:shd w:val="clear" w:color="auto" w:fill="auto"/>
            <w:noWrap/>
            <w:vAlign w:val="center"/>
            <w:hideMark/>
          </w:tcPr>
          <w:p w14:paraId="15DE77C6" w14:textId="77777777" w:rsidR="003C0688" w:rsidRPr="00D112F1" w:rsidRDefault="003C0688" w:rsidP="005160F0">
            <w:pPr>
              <w:spacing w:after="0" w:line="240" w:lineRule="auto"/>
              <w:jc w:val="center"/>
              <w:rPr>
                <w:rFonts w:ascii="Calibri" w:eastAsia="Times New Roman" w:hAnsi="Calibri" w:cs="Times New Roman"/>
                <w:color w:val="000000"/>
              </w:rPr>
            </w:pPr>
            <w:r w:rsidRPr="00D112F1">
              <w:rPr>
                <w:rFonts w:ascii="Calibri" w:eastAsia="Times New Roman" w:hAnsi="Calibri" w:cs="Times New Roman"/>
                <w:color w:val="000000"/>
              </w:rPr>
              <w:t>20.30%</w:t>
            </w:r>
          </w:p>
        </w:tc>
        <w:tc>
          <w:tcPr>
            <w:tcW w:w="960" w:type="dxa"/>
            <w:tcBorders>
              <w:top w:val="nil"/>
              <w:left w:val="nil"/>
              <w:bottom w:val="nil"/>
              <w:right w:val="nil"/>
            </w:tcBorders>
            <w:shd w:val="clear" w:color="auto" w:fill="auto"/>
            <w:noWrap/>
            <w:vAlign w:val="center"/>
            <w:hideMark/>
          </w:tcPr>
          <w:p w14:paraId="12A5A4AC" w14:textId="77777777" w:rsidR="003C0688" w:rsidRPr="00D112F1" w:rsidRDefault="003C0688" w:rsidP="005160F0">
            <w:pPr>
              <w:spacing w:after="0" w:line="240" w:lineRule="auto"/>
              <w:jc w:val="center"/>
              <w:rPr>
                <w:rFonts w:ascii="Calibri" w:eastAsia="Times New Roman" w:hAnsi="Calibri" w:cs="Times New Roman"/>
                <w:color w:val="000000"/>
              </w:rPr>
            </w:pPr>
            <w:r w:rsidRPr="00D112F1">
              <w:rPr>
                <w:rFonts w:ascii="Calibri" w:eastAsia="Times New Roman" w:hAnsi="Calibri" w:cs="Times New Roman"/>
                <w:color w:val="000000"/>
              </w:rPr>
              <w:t>38.50%</w:t>
            </w:r>
          </w:p>
        </w:tc>
        <w:tc>
          <w:tcPr>
            <w:tcW w:w="987" w:type="dxa"/>
            <w:tcBorders>
              <w:top w:val="nil"/>
              <w:left w:val="nil"/>
              <w:bottom w:val="nil"/>
              <w:right w:val="nil"/>
            </w:tcBorders>
            <w:shd w:val="clear" w:color="auto" w:fill="auto"/>
            <w:noWrap/>
            <w:vAlign w:val="center"/>
            <w:hideMark/>
          </w:tcPr>
          <w:p w14:paraId="77AB27BB" w14:textId="77777777" w:rsidR="003C0688" w:rsidRPr="00D112F1" w:rsidRDefault="003C0688" w:rsidP="005160F0">
            <w:pPr>
              <w:spacing w:after="0" w:line="240" w:lineRule="auto"/>
              <w:jc w:val="center"/>
              <w:rPr>
                <w:rFonts w:ascii="Calibri" w:eastAsia="Times New Roman" w:hAnsi="Calibri" w:cs="Times New Roman"/>
                <w:color w:val="000000"/>
              </w:rPr>
            </w:pPr>
            <w:r w:rsidRPr="00D112F1">
              <w:rPr>
                <w:rFonts w:ascii="Calibri" w:eastAsia="Times New Roman" w:hAnsi="Calibri" w:cs="Times New Roman"/>
                <w:color w:val="000000"/>
              </w:rPr>
              <w:t>100.00%</w:t>
            </w:r>
          </w:p>
        </w:tc>
      </w:tr>
      <w:tr w:rsidR="003C0688" w:rsidRPr="00D112F1" w14:paraId="1EB92206" w14:textId="77777777" w:rsidTr="005160F0">
        <w:trPr>
          <w:trHeight w:val="300"/>
          <w:jc w:val="center"/>
        </w:trPr>
        <w:tc>
          <w:tcPr>
            <w:tcW w:w="1197" w:type="dxa"/>
            <w:tcBorders>
              <w:top w:val="nil"/>
              <w:left w:val="nil"/>
              <w:bottom w:val="nil"/>
              <w:right w:val="nil"/>
            </w:tcBorders>
            <w:shd w:val="clear" w:color="auto" w:fill="auto"/>
            <w:noWrap/>
            <w:vAlign w:val="center"/>
            <w:hideMark/>
          </w:tcPr>
          <w:p w14:paraId="7B996B8F" w14:textId="77777777" w:rsidR="003C0688" w:rsidRPr="00D112F1" w:rsidRDefault="003C0688" w:rsidP="005160F0">
            <w:pPr>
              <w:spacing w:after="0" w:line="240" w:lineRule="auto"/>
              <w:rPr>
                <w:rFonts w:ascii="Calibri" w:eastAsia="Times New Roman" w:hAnsi="Calibri" w:cs="Times New Roman"/>
                <w:color w:val="000000"/>
              </w:rPr>
            </w:pPr>
            <w:r w:rsidRPr="00D112F1">
              <w:rPr>
                <w:rFonts w:ascii="Calibri" w:eastAsia="Times New Roman" w:hAnsi="Calibri" w:cs="Times New Roman"/>
                <w:color w:val="000000"/>
              </w:rPr>
              <w:t>Dual without full Medicaid</w:t>
            </w:r>
          </w:p>
        </w:tc>
        <w:tc>
          <w:tcPr>
            <w:tcW w:w="1000" w:type="dxa"/>
            <w:tcBorders>
              <w:top w:val="nil"/>
              <w:left w:val="nil"/>
              <w:bottom w:val="nil"/>
              <w:right w:val="nil"/>
            </w:tcBorders>
            <w:shd w:val="clear" w:color="auto" w:fill="auto"/>
            <w:noWrap/>
            <w:vAlign w:val="center"/>
            <w:hideMark/>
          </w:tcPr>
          <w:p w14:paraId="47C036F9" w14:textId="77777777" w:rsidR="003C0688" w:rsidRPr="00D112F1" w:rsidRDefault="003C0688" w:rsidP="005160F0">
            <w:pPr>
              <w:spacing w:after="0" w:line="240" w:lineRule="auto"/>
              <w:jc w:val="center"/>
              <w:rPr>
                <w:rFonts w:ascii="Calibri" w:eastAsia="Times New Roman" w:hAnsi="Calibri" w:cs="Times New Roman"/>
                <w:color w:val="000000"/>
              </w:rPr>
            </w:pPr>
            <w:r w:rsidRPr="00D112F1">
              <w:rPr>
                <w:rFonts w:ascii="Calibri" w:eastAsia="Times New Roman" w:hAnsi="Calibri" w:cs="Times New Roman"/>
                <w:color w:val="000000"/>
              </w:rPr>
              <w:t>8.20%</w:t>
            </w:r>
          </w:p>
        </w:tc>
        <w:tc>
          <w:tcPr>
            <w:tcW w:w="875" w:type="dxa"/>
            <w:tcBorders>
              <w:top w:val="nil"/>
              <w:left w:val="nil"/>
              <w:bottom w:val="nil"/>
              <w:right w:val="nil"/>
            </w:tcBorders>
            <w:shd w:val="clear" w:color="auto" w:fill="auto"/>
            <w:noWrap/>
            <w:vAlign w:val="center"/>
            <w:hideMark/>
          </w:tcPr>
          <w:p w14:paraId="3409C932" w14:textId="77777777" w:rsidR="003C0688" w:rsidRPr="00D112F1" w:rsidRDefault="003C0688" w:rsidP="005160F0">
            <w:pPr>
              <w:spacing w:after="0" w:line="240" w:lineRule="auto"/>
              <w:jc w:val="center"/>
              <w:rPr>
                <w:rFonts w:ascii="Calibri" w:eastAsia="Times New Roman" w:hAnsi="Calibri" w:cs="Times New Roman"/>
                <w:color w:val="000000"/>
              </w:rPr>
            </w:pPr>
            <w:r w:rsidRPr="00D112F1">
              <w:rPr>
                <w:rFonts w:ascii="Calibri" w:eastAsia="Times New Roman" w:hAnsi="Calibri" w:cs="Times New Roman"/>
                <w:color w:val="000000"/>
              </w:rPr>
              <w:t>8.70%</w:t>
            </w:r>
          </w:p>
        </w:tc>
        <w:tc>
          <w:tcPr>
            <w:tcW w:w="840" w:type="dxa"/>
            <w:tcBorders>
              <w:top w:val="nil"/>
              <w:left w:val="nil"/>
              <w:bottom w:val="nil"/>
              <w:right w:val="nil"/>
            </w:tcBorders>
            <w:shd w:val="clear" w:color="auto" w:fill="auto"/>
            <w:noWrap/>
            <w:vAlign w:val="center"/>
            <w:hideMark/>
          </w:tcPr>
          <w:p w14:paraId="76785BBA" w14:textId="77777777" w:rsidR="003C0688" w:rsidRPr="00D112F1" w:rsidRDefault="003C0688" w:rsidP="005160F0">
            <w:pPr>
              <w:spacing w:after="0" w:line="240" w:lineRule="auto"/>
              <w:jc w:val="center"/>
              <w:rPr>
                <w:rFonts w:ascii="Calibri" w:eastAsia="Times New Roman" w:hAnsi="Calibri" w:cs="Times New Roman"/>
                <w:color w:val="000000"/>
              </w:rPr>
            </w:pPr>
            <w:r w:rsidRPr="00D112F1">
              <w:rPr>
                <w:rFonts w:ascii="Calibri" w:eastAsia="Times New Roman" w:hAnsi="Calibri" w:cs="Times New Roman"/>
                <w:color w:val="000000"/>
              </w:rPr>
              <w:t>0.00%</w:t>
            </w:r>
          </w:p>
        </w:tc>
        <w:tc>
          <w:tcPr>
            <w:tcW w:w="960" w:type="dxa"/>
            <w:tcBorders>
              <w:top w:val="nil"/>
              <w:left w:val="nil"/>
              <w:bottom w:val="nil"/>
              <w:right w:val="nil"/>
            </w:tcBorders>
            <w:shd w:val="clear" w:color="auto" w:fill="auto"/>
            <w:noWrap/>
            <w:vAlign w:val="center"/>
            <w:hideMark/>
          </w:tcPr>
          <w:p w14:paraId="0263E33D" w14:textId="77777777" w:rsidR="003C0688" w:rsidRPr="00D112F1" w:rsidRDefault="003C0688" w:rsidP="005160F0">
            <w:pPr>
              <w:spacing w:after="0" w:line="240" w:lineRule="auto"/>
              <w:jc w:val="center"/>
              <w:rPr>
                <w:rFonts w:ascii="Calibri" w:eastAsia="Times New Roman" w:hAnsi="Calibri" w:cs="Times New Roman"/>
                <w:color w:val="000000"/>
              </w:rPr>
            </w:pPr>
            <w:r w:rsidRPr="00D112F1">
              <w:rPr>
                <w:rFonts w:ascii="Calibri" w:eastAsia="Times New Roman" w:hAnsi="Calibri" w:cs="Times New Roman"/>
                <w:color w:val="000000"/>
              </w:rPr>
              <w:t>2.20%</w:t>
            </w:r>
          </w:p>
        </w:tc>
        <w:tc>
          <w:tcPr>
            <w:tcW w:w="960" w:type="dxa"/>
            <w:tcBorders>
              <w:top w:val="nil"/>
              <w:left w:val="nil"/>
              <w:bottom w:val="nil"/>
              <w:right w:val="nil"/>
            </w:tcBorders>
            <w:shd w:val="clear" w:color="auto" w:fill="auto"/>
            <w:noWrap/>
            <w:vAlign w:val="center"/>
            <w:hideMark/>
          </w:tcPr>
          <w:p w14:paraId="4D114798" w14:textId="77777777" w:rsidR="003C0688" w:rsidRPr="00D112F1" w:rsidRDefault="003C0688" w:rsidP="005160F0">
            <w:pPr>
              <w:spacing w:after="0" w:line="240" w:lineRule="auto"/>
              <w:jc w:val="center"/>
              <w:rPr>
                <w:rFonts w:ascii="Calibri" w:eastAsia="Times New Roman" w:hAnsi="Calibri" w:cs="Times New Roman"/>
                <w:color w:val="000000"/>
              </w:rPr>
            </w:pPr>
            <w:r w:rsidRPr="00D112F1">
              <w:rPr>
                <w:rFonts w:ascii="Calibri" w:eastAsia="Times New Roman" w:hAnsi="Calibri" w:cs="Times New Roman"/>
                <w:color w:val="000000"/>
              </w:rPr>
              <w:t>5.40%</w:t>
            </w:r>
          </w:p>
        </w:tc>
        <w:tc>
          <w:tcPr>
            <w:tcW w:w="960" w:type="dxa"/>
            <w:tcBorders>
              <w:top w:val="nil"/>
              <w:left w:val="nil"/>
              <w:bottom w:val="nil"/>
              <w:right w:val="nil"/>
            </w:tcBorders>
            <w:shd w:val="clear" w:color="auto" w:fill="auto"/>
            <w:noWrap/>
            <w:vAlign w:val="center"/>
            <w:hideMark/>
          </w:tcPr>
          <w:p w14:paraId="2AF4610C" w14:textId="77777777" w:rsidR="003C0688" w:rsidRPr="00D112F1" w:rsidRDefault="003C0688" w:rsidP="005160F0">
            <w:pPr>
              <w:spacing w:after="0" w:line="240" w:lineRule="auto"/>
              <w:jc w:val="center"/>
              <w:rPr>
                <w:rFonts w:ascii="Calibri" w:eastAsia="Times New Roman" w:hAnsi="Calibri" w:cs="Times New Roman"/>
                <w:color w:val="000000"/>
              </w:rPr>
            </w:pPr>
            <w:r w:rsidRPr="00D112F1">
              <w:rPr>
                <w:rFonts w:ascii="Calibri" w:eastAsia="Times New Roman" w:hAnsi="Calibri" w:cs="Times New Roman"/>
                <w:color w:val="000000"/>
              </w:rPr>
              <w:t>11.30%</w:t>
            </w:r>
          </w:p>
        </w:tc>
        <w:tc>
          <w:tcPr>
            <w:tcW w:w="987" w:type="dxa"/>
            <w:tcBorders>
              <w:top w:val="nil"/>
              <w:left w:val="nil"/>
              <w:bottom w:val="nil"/>
              <w:right w:val="nil"/>
            </w:tcBorders>
            <w:shd w:val="clear" w:color="auto" w:fill="auto"/>
            <w:noWrap/>
            <w:vAlign w:val="center"/>
            <w:hideMark/>
          </w:tcPr>
          <w:p w14:paraId="7C3BD722" w14:textId="77777777" w:rsidR="003C0688" w:rsidRPr="00D112F1" w:rsidRDefault="003C0688" w:rsidP="005160F0">
            <w:pPr>
              <w:spacing w:after="0" w:line="240" w:lineRule="auto"/>
              <w:jc w:val="center"/>
              <w:rPr>
                <w:rFonts w:ascii="Calibri" w:eastAsia="Times New Roman" w:hAnsi="Calibri" w:cs="Times New Roman"/>
                <w:color w:val="000000"/>
              </w:rPr>
            </w:pPr>
            <w:r w:rsidRPr="00D112F1">
              <w:rPr>
                <w:rFonts w:ascii="Calibri" w:eastAsia="Times New Roman" w:hAnsi="Calibri" w:cs="Times New Roman"/>
                <w:color w:val="000000"/>
              </w:rPr>
              <w:t>74.40%</w:t>
            </w:r>
          </w:p>
        </w:tc>
      </w:tr>
      <w:tr w:rsidR="003C0688" w:rsidRPr="00D112F1" w14:paraId="7636CF8F" w14:textId="77777777" w:rsidTr="005160F0">
        <w:trPr>
          <w:trHeight w:val="300"/>
          <w:jc w:val="center"/>
        </w:trPr>
        <w:tc>
          <w:tcPr>
            <w:tcW w:w="1197" w:type="dxa"/>
            <w:tcBorders>
              <w:top w:val="nil"/>
              <w:left w:val="nil"/>
              <w:bottom w:val="single" w:sz="4" w:space="0" w:color="auto"/>
              <w:right w:val="nil"/>
            </w:tcBorders>
            <w:shd w:val="clear" w:color="auto" w:fill="auto"/>
            <w:noWrap/>
            <w:vAlign w:val="center"/>
            <w:hideMark/>
          </w:tcPr>
          <w:p w14:paraId="3F5AFE98" w14:textId="77777777" w:rsidR="003C0688" w:rsidRPr="00D112F1" w:rsidRDefault="003C0688" w:rsidP="005160F0">
            <w:pPr>
              <w:spacing w:after="0" w:line="240" w:lineRule="auto"/>
              <w:rPr>
                <w:rFonts w:ascii="Calibri" w:eastAsia="Times New Roman" w:hAnsi="Calibri" w:cs="Times New Roman"/>
                <w:color w:val="000000"/>
              </w:rPr>
            </w:pPr>
            <w:r w:rsidRPr="00D112F1">
              <w:rPr>
                <w:rFonts w:ascii="Calibri" w:eastAsia="Times New Roman" w:hAnsi="Calibri" w:cs="Times New Roman"/>
                <w:color w:val="000000"/>
              </w:rPr>
              <w:t>Non-Dual</w:t>
            </w:r>
          </w:p>
        </w:tc>
        <w:tc>
          <w:tcPr>
            <w:tcW w:w="1000" w:type="dxa"/>
            <w:tcBorders>
              <w:top w:val="nil"/>
              <w:left w:val="nil"/>
              <w:bottom w:val="single" w:sz="4" w:space="0" w:color="auto"/>
              <w:right w:val="nil"/>
            </w:tcBorders>
            <w:shd w:val="clear" w:color="auto" w:fill="auto"/>
            <w:noWrap/>
            <w:vAlign w:val="center"/>
            <w:hideMark/>
          </w:tcPr>
          <w:p w14:paraId="20E5F2D3" w14:textId="77777777" w:rsidR="003C0688" w:rsidRPr="00D112F1" w:rsidRDefault="003C0688" w:rsidP="005160F0">
            <w:pPr>
              <w:spacing w:after="0" w:line="240" w:lineRule="auto"/>
              <w:jc w:val="center"/>
              <w:rPr>
                <w:rFonts w:ascii="Calibri" w:eastAsia="Times New Roman" w:hAnsi="Calibri" w:cs="Times New Roman"/>
                <w:color w:val="000000"/>
              </w:rPr>
            </w:pPr>
            <w:r w:rsidRPr="00D112F1">
              <w:rPr>
                <w:rFonts w:ascii="Calibri" w:eastAsia="Times New Roman" w:hAnsi="Calibri" w:cs="Times New Roman"/>
                <w:color w:val="000000"/>
              </w:rPr>
              <w:t>64.10%</w:t>
            </w:r>
          </w:p>
        </w:tc>
        <w:tc>
          <w:tcPr>
            <w:tcW w:w="875" w:type="dxa"/>
            <w:tcBorders>
              <w:top w:val="nil"/>
              <w:left w:val="nil"/>
              <w:bottom w:val="single" w:sz="4" w:space="0" w:color="auto"/>
              <w:right w:val="nil"/>
            </w:tcBorders>
            <w:shd w:val="clear" w:color="auto" w:fill="auto"/>
            <w:noWrap/>
            <w:vAlign w:val="center"/>
            <w:hideMark/>
          </w:tcPr>
          <w:p w14:paraId="30A147D1" w14:textId="77777777" w:rsidR="003C0688" w:rsidRPr="00D112F1" w:rsidRDefault="003C0688" w:rsidP="005160F0">
            <w:pPr>
              <w:spacing w:after="0" w:line="240" w:lineRule="auto"/>
              <w:jc w:val="center"/>
              <w:rPr>
                <w:rFonts w:ascii="Calibri" w:eastAsia="Times New Roman" w:hAnsi="Calibri" w:cs="Times New Roman"/>
                <w:color w:val="000000"/>
              </w:rPr>
            </w:pPr>
            <w:r w:rsidRPr="00D112F1">
              <w:rPr>
                <w:rFonts w:ascii="Calibri" w:eastAsia="Times New Roman" w:hAnsi="Calibri" w:cs="Times New Roman"/>
                <w:color w:val="000000"/>
              </w:rPr>
              <w:t>23.60%</w:t>
            </w:r>
          </w:p>
        </w:tc>
        <w:tc>
          <w:tcPr>
            <w:tcW w:w="840" w:type="dxa"/>
            <w:tcBorders>
              <w:top w:val="nil"/>
              <w:left w:val="nil"/>
              <w:bottom w:val="single" w:sz="4" w:space="0" w:color="auto"/>
              <w:right w:val="nil"/>
            </w:tcBorders>
            <w:shd w:val="clear" w:color="auto" w:fill="auto"/>
            <w:noWrap/>
            <w:vAlign w:val="center"/>
            <w:hideMark/>
          </w:tcPr>
          <w:p w14:paraId="364CFB7C" w14:textId="77777777" w:rsidR="003C0688" w:rsidRPr="00D112F1" w:rsidRDefault="003C0688" w:rsidP="005160F0">
            <w:pPr>
              <w:spacing w:after="0" w:line="240" w:lineRule="auto"/>
              <w:jc w:val="center"/>
              <w:rPr>
                <w:rFonts w:ascii="Calibri" w:eastAsia="Times New Roman" w:hAnsi="Calibri" w:cs="Times New Roman"/>
                <w:color w:val="000000"/>
              </w:rPr>
            </w:pPr>
            <w:r w:rsidRPr="00D112F1">
              <w:rPr>
                <w:rFonts w:ascii="Calibri" w:eastAsia="Times New Roman" w:hAnsi="Calibri" w:cs="Times New Roman"/>
                <w:color w:val="000000"/>
              </w:rPr>
              <w:t>0.00%</w:t>
            </w:r>
          </w:p>
        </w:tc>
        <w:tc>
          <w:tcPr>
            <w:tcW w:w="960" w:type="dxa"/>
            <w:tcBorders>
              <w:top w:val="nil"/>
              <w:left w:val="nil"/>
              <w:bottom w:val="single" w:sz="4" w:space="0" w:color="auto"/>
              <w:right w:val="nil"/>
            </w:tcBorders>
            <w:shd w:val="clear" w:color="auto" w:fill="auto"/>
            <w:noWrap/>
            <w:vAlign w:val="center"/>
            <w:hideMark/>
          </w:tcPr>
          <w:p w14:paraId="4258A6BA" w14:textId="77777777" w:rsidR="003C0688" w:rsidRPr="00D112F1" w:rsidRDefault="003C0688" w:rsidP="005160F0">
            <w:pPr>
              <w:spacing w:after="0" w:line="240" w:lineRule="auto"/>
              <w:jc w:val="center"/>
              <w:rPr>
                <w:rFonts w:ascii="Calibri" w:eastAsia="Times New Roman" w:hAnsi="Calibri" w:cs="Times New Roman"/>
                <w:color w:val="000000"/>
              </w:rPr>
            </w:pPr>
            <w:r w:rsidRPr="00D112F1">
              <w:rPr>
                <w:rFonts w:ascii="Calibri" w:eastAsia="Times New Roman" w:hAnsi="Calibri" w:cs="Times New Roman"/>
                <w:color w:val="000000"/>
              </w:rPr>
              <w:t>48.80%</w:t>
            </w:r>
          </w:p>
        </w:tc>
        <w:tc>
          <w:tcPr>
            <w:tcW w:w="960" w:type="dxa"/>
            <w:tcBorders>
              <w:top w:val="nil"/>
              <w:left w:val="nil"/>
              <w:bottom w:val="single" w:sz="4" w:space="0" w:color="auto"/>
              <w:right w:val="nil"/>
            </w:tcBorders>
            <w:shd w:val="clear" w:color="auto" w:fill="auto"/>
            <w:noWrap/>
            <w:vAlign w:val="center"/>
            <w:hideMark/>
          </w:tcPr>
          <w:p w14:paraId="5E010FE0" w14:textId="77777777" w:rsidR="003C0688" w:rsidRPr="00D112F1" w:rsidRDefault="003C0688" w:rsidP="005160F0">
            <w:pPr>
              <w:spacing w:after="0" w:line="240" w:lineRule="auto"/>
              <w:jc w:val="center"/>
              <w:rPr>
                <w:rFonts w:ascii="Calibri" w:eastAsia="Times New Roman" w:hAnsi="Calibri" w:cs="Times New Roman"/>
                <w:color w:val="000000"/>
              </w:rPr>
            </w:pPr>
            <w:r w:rsidRPr="00D112F1">
              <w:rPr>
                <w:rFonts w:ascii="Calibri" w:eastAsia="Times New Roman" w:hAnsi="Calibri" w:cs="Times New Roman"/>
                <w:color w:val="000000"/>
              </w:rPr>
              <w:t>70.90%</w:t>
            </w:r>
          </w:p>
        </w:tc>
        <w:tc>
          <w:tcPr>
            <w:tcW w:w="960" w:type="dxa"/>
            <w:tcBorders>
              <w:top w:val="nil"/>
              <w:left w:val="nil"/>
              <w:bottom w:val="single" w:sz="4" w:space="0" w:color="auto"/>
              <w:right w:val="nil"/>
            </w:tcBorders>
            <w:shd w:val="clear" w:color="auto" w:fill="auto"/>
            <w:noWrap/>
            <w:vAlign w:val="center"/>
            <w:hideMark/>
          </w:tcPr>
          <w:p w14:paraId="69CAEA33" w14:textId="77777777" w:rsidR="003C0688" w:rsidRPr="00D112F1" w:rsidRDefault="003C0688" w:rsidP="005160F0">
            <w:pPr>
              <w:spacing w:after="0" w:line="240" w:lineRule="auto"/>
              <w:jc w:val="center"/>
              <w:rPr>
                <w:rFonts w:ascii="Calibri" w:eastAsia="Times New Roman" w:hAnsi="Calibri" w:cs="Times New Roman"/>
                <w:color w:val="000000"/>
              </w:rPr>
            </w:pPr>
            <w:r w:rsidRPr="00D112F1">
              <w:rPr>
                <w:rFonts w:ascii="Calibri" w:eastAsia="Times New Roman" w:hAnsi="Calibri" w:cs="Times New Roman"/>
                <w:color w:val="000000"/>
              </w:rPr>
              <w:t>82.20%</w:t>
            </w:r>
          </w:p>
        </w:tc>
        <w:tc>
          <w:tcPr>
            <w:tcW w:w="987" w:type="dxa"/>
            <w:tcBorders>
              <w:top w:val="nil"/>
              <w:left w:val="nil"/>
              <w:bottom w:val="single" w:sz="4" w:space="0" w:color="auto"/>
              <w:right w:val="nil"/>
            </w:tcBorders>
            <w:shd w:val="clear" w:color="auto" w:fill="auto"/>
            <w:noWrap/>
            <w:vAlign w:val="center"/>
            <w:hideMark/>
          </w:tcPr>
          <w:p w14:paraId="2887A0F6" w14:textId="77777777" w:rsidR="003C0688" w:rsidRPr="00D112F1" w:rsidRDefault="003C0688" w:rsidP="005160F0">
            <w:pPr>
              <w:spacing w:after="0" w:line="240" w:lineRule="auto"/>
              <w:jc w:val="center"/>
              <w:rPr>
                <w:rFonts w:ascii="Calibri" w:eastAsia="Times New Roman" w:hAnsi="Calibri" w:cs="Times New Roman"/>
                <w:color w:val="000000"/>
              </w:rPr>
            </w:pPr>
            <w:r w:rsidRPr="00D112F1">
              <w:rPr>
                <w:rFonts w:ascii="Calibri" w:eastAsia="Times New Roman" w:hAnsi="Calibri" w:cs="Times New Roman"/>
                <w:color w:val="000000"/>
              </w:rPr>
              <w:t>100.00%</w:t>
            </w:r>
          </w:p>
        </w:tc>
      </w:tr>
    </w:tbl>
    <w:p w14:paraId="2FC5AB1E" w14:textId="77777777" w:rsidR="003C0688" w:rsidRDefault="003C0688" w:rsidP="003C0688">
      <w:pPr>
        <w:autoSpaceDE w:val="0"/>
        <w:autoSpaceDN w:val="0"/>
        <w:adjustRightInd w:val="0"/>
        <w:spacing w:after="0" w:line="240" w:lineRule="auto"/>
        <w:ind w:left="1440" w:firstLine="720"/>
        <w:rPr>
          <w:rFonts w:cstheme="minorHAnsi"/>
          <w:bCs/>
          <w:sz w:val="18"/>
        </w:rPr>
      </w:pPr>
      <w:r>
        <w:rPr>
          <w:rFonts w:cstheme="minorHAnsi"/>
          <w:bCs/>
          <w:sz w:val="18"/>
        </w:rPr>
        <w:t>*  Pct = percentile</w:t>
      </w:r>
    </w:p>
    <w:p w14:paraId="1FDFD4A7" w14:textId="77777777" w:rsidR="00BD701C" w:rsidRPr="00547B7B" w:rsidRDefault="00BD701C" w:rsidP="00BD701C">
      <w:pPr>
        <w:autoSpaceDE w:val="0"/>
        <w:autoSpaceDN w:val="0"/>
        <w:adjustRightInd w:val="0"/>
        <w:spacing w:after="0" w:line="240" w:lineRule="auto"/>
        <w:rPr>
          <w:rFonts w:cstheme="minorHAnsi"/>
          <w:bCs/>
          <w:sz w:val="18"/>
        </w:rPr>
      </w:pPr>
      <w:r>
        <w:rPr>
          <w:rFonts w:cstheme="minorHAnsi"/>
          <w:bCs/>
          <w:sz w:val="18"/>
        </w:rPr>
        <w:t>Acumen</w:t>
      </w:r>
      <w:r w:rsidRPr="0090361B">
        <w:rPr>
          <w:rFonts w:cstheme="minorHAnsi"/>
          <w:bCs/>
          <w:sz w:val="18"/>
        </w:rPr>
        <w:t xml:space="preserve"> Analysis of Medicare Claims File for </w:t>
      </w:r>
      <w:r>
        <w:rPr>
          <w:rFonts w:cstheme="minorHAnsi"/>
          <w:bCs/>
          <w:sz w:val="18"/>
        </w:rPr>
        <w:t xml:space="preserve">HH, Medicare Enrollment Database, </w:t>
      </w:r>
      <w:r w:rsidRPr="00547B7B">
        <w:rPr>
          <w:rFonts w:cstheme="minorHAnsi"/>
          <w:bCs/>
          <w:sz w:val="18"/>
        </w:rPr>
        <w:t>Common Medicare Environment (CME) database,</w:t>
      </w:r>
      <w:r>
        <w:rPr>
          <w:rFonts w:cstheme="minorHAnsi"/>
          <w:bCs/>
          <w:sz w:val="18"/>
        </w:rPr>
        <w:t xml:space="preserve"> CY</w:t>
      </w:r>
      <w:r w:rsidRPr="0090361B">
        <w:rPr>
          <w:rFonts w:cstheme="minorHAnsi"/>
          <w:bCs/>
          <w:sz w:val="18"/>
        </w:rPr>
        <w:t xml:space="preserve"> 201</w:t>
      </w:r>
      <w:r>
        <w:rPr>
          <w:rFonts w:cstheme="minorHAnsi"/>
          <w:bCs/>
          <w:sz w:val="18"/>
        </w:rPr>
        <w:t>5</w:t>
      </w:r>
      <w:r w:rsidRPr="0090361B">
        <w:rPr>
          <w:rFonts w:cstheme="minorHAnsi"/>
          <w:bCs/>
          <w:sz w:val="18"/>
        </w:rPr>
        <w:t>-201</w:t>
      </w:r>
      <w:r>
        <w:rPr>
          <w:rFonts w:cstheme="minorHAnsi"/>
          <w:bCs/>
          <w:sz w:val="18"/>
        </w:rPr>
        <w:t>6.</w:t>
      </w:r>
    </w:p>
    <w:p w14:paraId="09A7E2F5" w14:textId="77777777" w:rsidR="003C0688" w:rsidRDefault="003C0688" w:rsidP="003C0688">
      <w:pPr>
        <w:pStyle w:val="paragraph"/>
        <w:spacing w:before="0" w:beforeAutospacing="0" w:after="0" w:afterAutospacing="0"/>
        <w:textAlignment w:val="baseline"/>
        <w:rPr>
          <w:rStyle w:val="normaltextrun"/>
        </w:rPr>
      </w:pPr>
    </w:p>
    <w:p w14:paraId="464D8CAB" w14:textId="241B4523" w:rsidR="003C0688" w:rsidRPr="001904C7" w:rsidRDefault="003C0688" w:rsidP="003C0688">
      <w:pPr>
        <w:pStyle w:val="paragraph"/>
        <w:spacing w:before="0" w:beforeAutospacing="0" w:after="0" w:afterAutospacing="0"/>
        <w:jc w:val="center"/>
        <w:textAlignment w:val="baseline"/>
        <w:rPr>
          <w:rStyle w:val="normaltextrun"/>
          <w:b/>
        </w:rPr>
      </w:pPr>
      <w:r w:rsidRPr="00F96B56">
        <w:rPr>
          <w:b/>
        </w:rPr>
        <w:t>Table</w:t>
      </w:r>
      <w:r w:rsidRPr="001904C7">
        <w:rPr>
          <w:b/>
        </w:rPr>
        <w:t xml:space="preserve"> </w:t>
      </w:r>
      <w:r w:rsidR="00FC40CA">
        <w:rPr>
          <w:b/>
        </w:rPr>
        <w:t>16</w:t>
      </w:r>
      <w:r w:rsidRPr="001904C7">
        <w:rPr>
          <w:b/>
        </w:rPr>
        <w:t xml:space="preserve">. </w:t>
      </w:r>
      <w:bookmarkStart w:id="20" w:name="_Hlk520662147"/>
      <w:r w:rsidR="00226712">
        <w:rPr>
          <w:rFonts w:eastAsia="Calibri" w:cstheme="minorHAnsi"/>
          <w:b/>
        </w:rPr>
        <w:t xml:space="preserve">Effect of </w:t>
      </w:r>
      <w:r w:rsidR="00226712" w:rsidRPr="00C23FC0">
        <w:rPr>
          <w:rFonts w:eastAsia="Calibri" w:cstheme="minorHAnsi"/>
          <w:b/>
        </w:rPr>
        <w:t>Dual Eligibility Status</w:t>
      </w:r>
      <w:r w:rsidR="00226712" w:rsidRPr="00C23FC0">
        <w:rPr>
          <w:rFonts w:eastAsia="Calibri" w:cstheme="minorHAnsi"/>
          <w:b/>
          <w:bCs/>
        </w:rPr>
        <w:t xml:space="preserve"> </w:t>
      </w:r>
      <w:r w:rsidR="00226712">
        <w:rPr>
          <w:rFonts w:eastAsia="Calibri" w:cstheme="minorHAnsi"/>
          <w:b/>
          <w:bCs/>
        </w:rPr>
        <w:t>Indicators in the Hierarchical Logistic Regression Model</w:t>
      </w:r>
      <w:bookmarkEnd w:id="20"/>
    </w:p>
    <w:tbl>
      <w:tblPr>
        <w:tblW w:w="6449" w:type="dxa"/>
        <w:jc w:val="center"/>
        <w:tblLook w:val="04A0" w:firstRow="1" w:lastRow="0" w:firstColumn="1" w:lastColumn="0" w:noHBand="0" w:noVBand="1"/>
      </w:tblPr>
      <w:tblGrid>
        <w:gridCol w:w="1566"/>
        <w:gridCol w:w="1016"/>
        <w:gridCol w:w="718"/>
        <w:gridCol w:w="995"/>
        <w:gridCol w:w="718"/>
        <w:gridCol w:w="718"/>
        <w:gridCol w:w="718"/>
      </w:tblGrid>
      <w:tr w:rsidR="005F10A7" w:rsidRPr="00407D01" w14:paraId="1C03B7D4" w14:textId="77777777" w:rsidTr="005F10A7">
        <w:trPr>
          <w:trHeight w:val="900"/>
          <w:jc w:val="center"/>
        </w:trPr>
        <w:tc>
          <w:tcPr>
            <w:tcW w:w="1566" w:type="dxa"/>
            <w:tcBorders>
              <w:top w:val="single" w:sz="4" w:space="0" w:color="auto"/>
              <w:left w:val="nil"/>
              <w:bottom w:val="single" w:sz="4" w:space="0" w:color="auto"/>
              <w:right w:val="nil"/>
            </w:tcBorders>
            <w:shd w:val="clear" w:color="000000" w:fill="D9D9D9"/>
            <w:vAlign w:val="center"/>
            <w:hideMark/>
          </w:tcPr>
          <w:p w14:paraId="7C8DC82B" w14:textId="77777777" w:rsidR="00407D01" w:rsidRPr="00407D01" w:rsidRDefault="00407D01" w:rsidP="00407D01">
            <w:pPr>
              <w:spacing w:after="0" w:line="240" w:lineRule="auto"/>
              <w:jc w:val="center"/>
              <w:rPr>
                <w:rFonts w:ascii="Calibri" w:eastAsia="Times New Roman" w:hAnsi="Calibri" w:cs="Times New Roman"/>
                <w:b/>
                <w:bCs/>
                <w:color w:val="000000"/>
              </w:rPr>
            </w:pPr>
            <w:r w:rsidRPr="00407D01">
              <w:rPr>
                <w:rFonts w:ascii="Calibri" w:eastAsia="Times New Roman" w:hAnsi="Calibri" w:cs="Times New Roman"/>
                <w:b/>
                <w:bCs/>
                <w:color w:val="000000"/>
              </w:rPr>
              <w:t>Dual Eligibility Indicator</w:t>
            </w:r>
          </w:p>
        </w:tc>
        <w:tc>
          <w:tcPr>
            <w:tcW w:w="1016" w:type="dxa"/>
            <w:tcBorders>
              <w:top w:val="single" w:sz="4" w:space="0" w:color="auto"/>
              <w:left w:val="nil"/>
              <w:bottom w:val="single" w:sz="4" w:space="0" w:color="auto"/>
              <w:right w:val="nil"/>
            </w:tcBorders>
            <w:shd w:val="clear" w:color="000000" w:fill="D9D9D9"/>
            <w:noWrap/>
            <w:vAlign w:val="center"/>
            <w:hideMark/>
          </w:tcPr>
          <w:p w14:paraId="664516E6" w14:textId="77777777" w:rsidR="00407D01" w:rsidRPr="00407D01" w:rsidRDefault="00407D01" w:rsidP="00407D01">
            <w:pPr>
              <w:spacing w:after="0" w:line="240" w:lineRule="auto"/>
              <w:jc w:val="center"/>
              <w:rPr>
                <w:rFonts w:ascii="Calibri" w:eastAsia="Times New Roman" w:hAnsi="Calibri" w:cs="Times New Roman"/>
                <w:b/>
                <w:bCs/>
                <w:color w:val="000000"/>
              </w:rPr>
            </w:pPr>
            <w:r w:rsidRPr="00407D01">
              <w:rPr>
                <w:rFonts w:ascii="Calibri" w:eastAsia="Times New Roman" w:hAnsi="Calibri" w:cs="Times New Roman"/>
                <w:b/>
                <w:bCs/>
                <w:color w:val="000000"/>
              </w:rPr>
              <w:t>Estimate</w:t>
            </w:r>
          </w:p>
        </w:tc>
        <w:tc>
          <w:tcPr>
            <w:tcW w:w="718" w:type="dxa"/>
            <w:tcBorders>
              <w:top w:val="single" w:sz="4" w:space="0" w:color="auto"/>
              <w:left w:val="nil"/>
              <w:bottom w:val="single" w:sz="4" w:space="0" w:color="auto"/>
              <w:right w:val="nil"/>
            </w:tcBorders>
            <w:shd w:val="clear" w:color="000000" w:fill="D9D9D9"/>
            <w:vAlign w:val="center"/>
            <w:hideMark/>
          </w:tcPr>
          <w:p w14:paraId="038C6A5F" w14:textId="77777777" w:rsidR="00407D01" w:rsidRPr="00407D01" w:rsidRDefault="00407D01" w:rsidP="00407D01">
            <w:pPr>
              <w:spacing w:after="0" w:line="240" w:lineRule="auto"/>
              <w:jc w:val="center"/>
              <w:rPr>
                <w:rFonts w:ascii="Calibri" w:eastAsia="Times New Roman" w:hAnsi="Calibri" w:cs="Times New Roman"/>
                <w:b/>
                <w:bCs/>
                <w:color w:val="000000"/>
              </w:rPr>
            </w:pPr>
            <w:r w:rsidRPr="00407D01">
              <w:rPr>
                <w:rFonts w:ascii="Calibri" w:eastAsia="Times New Roman" w:hAnsi="Calibri" w:cs="Times New Roman"/>
                <w:b/>
                <w:bCs/>
                <w:color w:val="000000"/>
              </w:rPr>
              <w:t>SE</w:t>
            </w:r>
          </w:p>
        </w:tc>
        <w:tc>
          <w:tcPr>
            <w:tcW w:w="995" w:type="dxa"/>
            <w:tcBorders>
              <w:top w:val="single" w:sz="4" w:space="0" w:color="auto"/>
              <w:left w:val="nil"/>
              <w:bottom w:val="single" w:sz="4" w:space="0" w:color="auto"/>
              <w:right w:val="nil"/>
            </w:tcBorders>
            <w:shd w:val="clear" w:color="000000" w:fill="D9D9D9"/>
            <w:noWrap/>
            <w:vAlign w:val="center"/>
            <w:hideMark/>
          </w:tcPr>
          <w:p w14:paraId="3CD978CE" w14:textId="77777777" w:rsidR="00407D01" w:rsidRPr="00407D01" w:rsidRDefault="00407D01" w:rsidP="00407D01">
            <w:pPr>
              <w:spacing w:after="0" w:line="240" w:lineRule="auto"/>
              <w:jc w:val="center"/>
              <w:rPr>
                <w:rFonts w:ascii="Calibri" w:eastAsia="Times New Roman" w:hAnsi="Calibri" w:cs="Times New Roman"/>
                <w:b/>
                <w:bCs/>
                <w:i/>
                <w:iCs/>
                <w:color w:val="000000"/>
              </w:rPr>
            </w:pPr>
            <w:r w:rsidRPr="00407D01">
              <w:rPr>
                <w:rFonts w:ascii="Calibri" w:eastAsia="Times New Roman" w:hAnsi="Calibri" w:cs="Times New Roman"/>
                <w:b/>
                <w:bCs/>
                <w:i/>
                <w:iCs/>
                <w:color w:val="000000"/>
              </w:rPr>
              <w:t>p</w:t>
            </w:r>
            <w:r w:rsidRPr="00407D01">
              <w:rPr>
                <w:rFonts w:ascii="Calibri" w:eastAsia="Times New Roman" w:hAnsi="Calibri" w:cs="Times New Roman"/>
                <w:b/>
                <w:bCs/>
                <w:color w:val="000000"/>
              </w:rPr>
              <w:t>-value</w:t>
            </w:r>
          </w:p>
        </w:tc>
        <w:tc>
          <w:tcPr>
            <w:tcW w:w="718" w:type="dxa"/>
            <w:tcBorders>
              <w:top w:val="single" w:sz="4" w:space="0" w:color="auto"/>
              <w:left w:val="nil"/>
              <w:bottom w:val="single" w:sz="4" w:space="0" w:color="auto"/>
              <w:right w:val="nil"/>
            </w:tcBorders>
            <w:shd w:val="clear" w:color="000000" w:fill="D9D9D9"/>
            <w:vAlign w:val="center"/>
            <w:hideMark/>
          </w:tcPr>
          <w:p w14:paraId="7DFC5CCF" w14:textId="77777777" w:rsidR="00407D01" w:rsidRPr="00407D01" w:rsidRDefault="00407D01" w:rsidP="00407D01">
            <w:pPr>
              <w:spacing w:after="0" w:line="240" w:lineRule="auto"/>
              <w:jc w:val="center"/>
              <w:rPr>
                <w:rFonts w:ascii="Calibri" w:eastAsia="Times New Roman" w:hAnsi="Calibri" w:cs="Times New Roman"/>
                <w:b/>
                <w:bCs/>
                <w:color w:val="000000"/>
              </w:rPr>
            </w:pPr>
            <w:r w:rsidRPr="00407D01">
              <w:rPr>
                <w:rFonts w:ascii="Calibri" w:eastAsia="Times New Roman" w:hAnsi="Calibri" w:cs="Times New Roman"/>
                <w:b/>
                <w:bCs/>
                <w:color w:val="000000"/>
              </w:rPr>
              <w:t>OR</w:t>
            </w:r>
          </w:p>
        </w:tc>
        <w:tc>
          <w:tcPr>
            <w:tcW w:w="718" w:type="dxa"/>
            <w:tcBorders>
              <w:top w:val="single" w:sz="4" w:space="0" w:color="auto"/>
              <w:left w:val="nil"/>
              <w:bottom w:val="single" w:sz="4" w:space="0" w:color="auto"/>
              <w:right w:val="nil"/>
            </w:tcBorders>
            <w:shd w:val="clear" w:color="000000" w:fill="D9D9D9"/>
            <w:vAlign w:val="center"/>
            <w:hideMark/>
          </w:tcPr>
          <w:p w14:paraId="55817991" w14:textId="77777777" w:rsidR="00407D01" w:rsidRPr="00407D01" w:rsidRDefault="00407D01" w:rsidP="00407D01">
            <w:pPr>
              <w:spacing w:after="0" w:line="240" w:lineRule="auto"/>
              <w:jc w:val="center"/>
              <w:rPr>
                <w:rFonts w:ascii="Calibri" w:eastAsia="Times New Roman" w:hAnsi="Calibri" w:cs="Times New Roman"/>
                <w:b/>
                <w:bCs/>
                <w:color w:val="000000"/>
              </w:rPr>
            </w:pPr>
            <w:r w:rsidRPr="00407D01">
              <w:rPr>
                <w:rFonts w:ascii="Calibri" w:eastAsia="Times New Roman" w:hAnsi="Calibri" w:cs="Times New Roman"/>
                <w:b/>
                <w:bCs/>
                <w:color w:val="000000"/>
              </w:rPr>
              <w:t>LCL</w:t>
            </w:r>
          </w:p>
        </w:tc>
        <w:tc>
          <w:tcPr>
            <w:tcW w:w="718" w:type="dxa"/>
            <w:tcBorders>
              <w:top w:val="single" w:sz="4" w:space="0" w:color="auto"/>
              <w:left w:val="nil"/>
              <w:bottom w:val="single" w:sz="4" w:space="0" w:color="auto"/>
              <w:right w:val="nil"/>
            </w:tcBorders>
            <w:shd w:val="clear" w:color="000000" w:fill="D9D9D9"/>
            <w:noWrap/>
            <w:vAlign w:val="center"/>
            <w:hideMark/>
          </w:tcPr>
          <w:p w14:paraId="63219FFE" w14:textId="77777777" w:rsidR="00407D01" w:rsidRPr="00407D01" w:rsidRDefault="00407D01" w:rsidP="00407D01">
            <w:pPr>
              <w:spacing w:after="0" w:line="240" w:lineRule="auto"/>
              <w:jc w:val="center"/>
              <w:rPr>
                <w:rFonts w:ascii="Calibri" w:eastAsia="Times New Roman" w:hAnsi="Calibri" w:cs="Times New Roman"/>
                <w:b/>
                <w:bCs/>
                <w:color w:val="000000"/>
              </w:rPr>
            </w:pPr>
            <w:r w:rsidRPr="00407D01">
              <w:rPr>
                <w:rFonts w:ascii="Calibri" w:eastAsia="Times New Roman" w:hAnsi="Calibri" w:cs="Times New Roman"/>
                <w:b/>
                <w:bCs/>
                <w:color w:val="000000"/>
              </w:rPr>
              <w:t>UCL</w:t>
            </w:r>
          </w:p>
        </w:tc>
      </w:tr>
      <w:tr w:rsidR="00407D01" w:rsidRPr="00407D01" w14:paraId="746478C0" w14:textId="77777777" w:rsidTr="005F10A7">
        <w:trPr>
          <w:trHeight w:val="300"/>
          <w:jc w:val="center"/>
        </w:trPr>
        <w:tc>
          <w:tcPr>
            <w:tcW w:w="1566" w:type="dxa"/>
            <w:tcBorders>
              <w:top w:val="nil"/>
              <w:left w:val="nil"/>
              <w:bottom w:val="single" w:sz="4" w:space="0" w:color="auto"/>
              <w:right w:val="nil"/>
            </w:tcBorders>
            <w:shd w:val="clear" w:color="auto" w:fill="auto"/>
            <w:vAlign w:val="center"/>
            <w:hideMark/>
          </w:tcPr>
          <w:p w14:paraId="55B010B6" w14:textId="77777777" w:rsidR="00407D01" w:rsidRPr="00407D01" w:rsidRDefault="00407D01" w:rsidP="00407D01">
            <w:pPr>
              <w:spacing w:after="0" w:line="240" w:lineRule="auto"/>
              <w:jc w:val="center"/>
              <w:rPr>
                <w:rFonts w:ascii="Calibri" w:eastAsia="Times New Roman" w:hAnsi="Calibri" w:cs="Times New Roman"/>
                <w:color w:val="000000"/>
              </w:rPr>
            </w:pPr>
            <w:r w:rsidRPr="00407D01">
              <w:rPr>
                <w:rFonts w:ascii="Calibri" w:eastAsia="Times New Roman" w:hAnsi="Calibri" w:cs="Times New Roman"/>
                <w:color w:val="000000"/>
              </w:rPr>
              <w:t>Full Dual</w:t>
            </w:r>
          </w:p>
        </w:tc>
        <w:tc>
          <w:tcPr>
            <w:tcW w:w="1016" w:type="dxa"/>
            <w:tcBorders>
              <w:top w:val="nil"/>
              <w:left w:val="nil"/>
              <w:bottom w:val="single" w:sz="4" w:space="0" w:color="auto"/>
              <w:right w:val="nil"/>
            </w:tcBorders>
            <w:shd w:val="clear" w:color="auto" w:fill="auto"/>
            <w:noWrap/>
            <w:vAlign w:val="center"/>
            <w:hideMark/>
          </w:tcPr>
          <w:p w14:paraId="5E7E0802" w14:textId="77777777" w:rsidR="00407D01" w:rsidRPr="00407D01" w:rsidRDefault="00407D01" w:rsidP="00407D01">
            <w:pPr>
              <w:spacing w:after="0" w:line="240" w:lineRule="auto"/>
              <w:jc w:val="center"/>
              <w:rPr>
                <w:rFonts w:ascii="Calibri" w:eastAsia="Times New Roman" w:hAnsi="Calibri" w:cs="Times New Roman"/>
                <w:color w:val="000000"/>
              </w:rPr>
            </w:pPr>
            <w:r w:rsidRPr="00407D01">
              <w:rPr>
                <w:rFonts w:ascii="Calibri" w:eastAsia="Times New Roman" w:hAnsi="Calibri" w:cs="Times New Roman"/>
                <w:color w:val="000000"/>
              </w:rPr>
              <w:t>-0.1489</w:t>
            </w:r>
          </w:p>
        </w:tc>
        <w:tc>
          <w:tcPr>
            <w:tcW w:w="718" w:type="dxa"/>
            <w:tcBorders>
              <w:top w:val="nil"/>
              <w:left w:val="nil"/>
              <w:bottom w:val="single" w:sz="4" w:space="0" w:color="auto"/>
              <w:right w:val="nil"/>
            </w:tcBorders>
            <w:shd w:val="clear" w:color="auto" w:fill="auto"/>
            <w:noWrap/>
            <w:vAlign w:val="center"/>
            <w:hideMark/>
          </w:tcPr>
          <w:p w14:paraId="2406122A" w14:textId="77777777" w:rsidR="00407D01" w:rsidRPr="00407D01" w:rsidRDefault="00407D01" w:rsidP="00407D01">
            <w:pPr>
              <w:spacing w:after="0" w:line="240" w:lineRule="auto"/>
              <w:jc w:val="center"/>
              <w:rPr>
                <w:rFonts w:ascii="Calibri" w:eastAsia="Times New Roman" w:hAnsi="Calibri" w:cs="Times New Roman"/>
                <w:color w:val="000000"/>
              </w:rPr>
            </w:pPr>
            <w:r w:rsidRPr="00407D01">
              <w:rPr>
                <w:rFonts w:ascii="Calibri" w:eastAsia="Times New Roman" w:hAnsi="Calibri" w:cs="Times New Roman"/>
                <w:color w:val="000000"/>
              </w:rPr>
              <w:t>0.003</w:t>
            </w:r>
          </w:p>
        </w:tc>
        <w:tc>
          <w:tcPr>
            <w:tcW w:w="995" w:type="dxa"/>
            <w:tcBorders>
              <w:top w:val="nil"/>
              <w:left w:val="nil"/>
              <w:bottom w:val="single" w:sz="4" w:space="0" w:color="auto"/>
              <w:right w:val="nil"/>
            </w:tcBorders>
            <w:shd w:val="clear" w:color="auto" w:fill="auto"/>
            <w:noWrap/>
            <w:vAlign w:val="center"/>
            <w:hideMark/>
          </w:tcPr>
          <w:p w14:paraId="17F39C25" w14:textId="77777777" w:rsidR="00407D01" w:rsidRPr="00407D01" w:rsidRDefault="00407D01" w:rsidP="00407D01">
            <w:pPr>
              <w:spacing w:after="0" w:line="240" w:lineRule="auto"/>
              <w:jc w:val="center"/>
              <w:rPr>
                <w:rFonts w:ascii="Calibri" w:eastAsia="Times New Roman" w:hAnsi="Calibri" w:cs="Times New Roman"/>
                <w:color w:val="000000"/>
              </w:rPr>
            </w:pPr>
            <w:r w:rsidRPr="00407D01">
              <w:rPr>
                <w:rFonts w:ascii="Calibri" w:eastAsia="Times New Roman" w:hAnsi="Calibri" w:cs="Times New Roman"/>
                <w:color w:val="000000"/>
              </w:rPr>
              <w:t>&lt;.0001</w:t>
            </w:r>
          </w:p>
        </w:tc>
        <w:tc>
          <w:tcPr>
            <w:tcW w:w="718" w:type="dxa"/>
            <w:tcBorders>
              <w:top w:val="nil"/>
              <w:left w:val="nil"/>
              <w:bottom w:val="single" w:sz="4" w:space="0" w:color="auto"/>
              <w:right w:val="nil"/>
            </w:tcBorders>
            <w:shd w:val="clear" w:color="auto" w:fill="auto"/>
            <w:noWrap/>
            <w:vAlign w:val="center"/>
            <w:hideMark/>
          </w:tcPr>
          <w:p w14:paraId="77B9E478" w14:textId="77777777" w:rsidR="00407D01" w:rsidRPr="00407D01" w:rsidRDefault="00407D01" w:rsidP="00407D01">
            <w:pPr>
              <w:spacing w:after="0" w:line="240" w:lineRule="auto"/>
              <w:jc w:val="center"/>
              <w:rPr>
                <w:rFonts w:ascii="Calibri" w:eastAsia="Times New Roman" w:hAnsi="Calibri" w:cs="Times New Roman"/>
                <w:color w:val="000000"/>
              </w:rPr>
            </w:pPr>
            <w:r w:rsidRPr="00407D01">
              <w:rPr>
                <w:rFonts w:ascii="Calibri" w:eastAsia="Times New Roman" w:hAnsi="Calibri" w:cs="Times New Roman"/>
                <w:color w:val="000000"/>
              </w:rPr>
              <w:t>0.862</w:t>
            </w:r>
          </w:p>
        </w:tc>
        <w:tc>
          <w:tcPr>
            <w:tcW w:w="718" w:type="dxa"/>
            <w:tcBorders>
              <w:top w:val="nil"/>
              <w:left w:val="nil"/>
              <w:bottom w:val="single" w:sz="4" w:space="0" w:color="auto"/>
              <w:right w:val="nil"/>
            </w:tcBorders>
            <w:shd w:val="clear" w:color="auto" w:fill="auto"/>
            <w:noWrap/>
            <w:vAlign w:val="center"/>
            <w:hideMark/>
          </w:tcPr>
          <w:p w14:paraId="317ED62B" w14:textId="77777777" w:rsidR="00407D01" w:rsidRPr="00407D01" w:rsidRDefault="00407D01" w:rsidP="00407D01">
            <w:pPr>
              <w:spacing w:after="0" w:line="240" w:lineRule="auto"/>
              <w:jc w:val="center"/>
              <w:rPr>
                <w:rFonts w:ascii="Calibri" w:eastAsia="Times New Roman" w:hAnsi="Calibri" w:cs="Times New Roman"/>
                <w:color w:val="000000"/>
              </w:rPr>
            </w:pPr>
            <w:r w:rsidRPr="00407D01">
              <w:rPr>
                <w:rFonts w:ascii="Calibri" w:eastAsia="Times New Roman" w:hAnsi="Calibri" w:cs="Times New Roman"/>
                <w:color w:val="000000"/>
              </w:rPr>
              <w:t>0.857</w:t>
            </w:r>
          </w:p>
        </w:tc>
        <w:tc>
          <w:tcPr>
            <w:tcW w:w="718" w:type="dxa"/>
            <w:tcBorders>
              <w:top w:val="nil"/>
              <w:left w:val="nil"/>
              <w:bottom w:val="single" w:sz="4" w:space="0" w:color="auto"/>
              <w:right w:val="nil"/>
            </w:tcBorders>
            <w:shd w:val="clear" w:color="auto" w:fill="auto"/>
            <w:noWrap/>
            <w:vAlign w:val="center"/>
            <w:hideMark/>
          </w:tcPr>
          <w:p w14:paraId="69EAEBC9" w14:textId="77777777" w:rsidR="00407D01" w:rsidRPr="00407D01" w:rsidRDefault="00407D01" w:rsidP="00407D01">
            <w:pPr>
              <w:spacing w:after="0" w:line="240" w:lineRule="auto"/>
              <w:jc w:val="center"/>
              <w:rPr>
                <w:rFonts w:ascii="Calibri" w:eastAsia="Times New Roman" w:hAnsi="Calibri" w:cs="Times New Roman"/>
                <w:color w:val="000000"/>
              </w:rPr>
            </w:pPr>
            <w:r w:rsidRPr="00407D01">
              <w:rPr>
                <w:rFonts w:ascii="Calibri" w:eastAsia="Times New Roman" w:hAnsi="Calibri" w:cs="Times New Roman"/>
                <w:color w:val="000000"/>
              </w:rPr>
              <w:t>0.867</w:t>
            </w:r>
          </w:p>
        </w:tc>
      </w:tr>
      <w:tr w:rsidR="00407D01" w:rsidRPr="00407D01" w14:paraId="3D26772F" w14:textId="77777777" w:rsidTr="005F10A7">
        <w:trPr>
          <w:trHeight w:val="600"/>
          <w:jc w:val="center"/>
        </w:trPr>
        <w:tc>
          <w:tcPr>
            <w:tcW w:w="1566" w:type="dxa"/>
            <w:tcBorders>
              <w:top w:val="nil"/>
              <w:left w:val="nil"/>
              <w:bottom w:val="single" w:sz="4" w:space="0" w:color="auto"/>
              <w:right w:val="nil"/>
            </w:tcBorders>
            <w:shd w:val="clear" w:color="auto" w:fill="auto"/>
            <w:vAlign w:val="center"/>
            <w:hideMark/>
          </w:tcPr>
          <w:p w14:paraId="4D794BD2" w14:textId="77777777" w:rsidR="00407D01" w:rsidRPr="00407D01" w:rsidRDefault="00407D01" w:rsidP="00407D01">
            <w:pPr>
              <w:spacing w:after="0" w:line="240" w:lineRule="auto"/>
              <w:jc w:val="center"/>
              <w:rPr>
                <w:rFonts w:ascii="Calibri" w:eastAsia="Times New Roman" w:hAnsi="Calibri" w:cs="Times New Roman"/>
                <w:color w:val="000000"/>
              </w:rPr>
            </w:pPr>
            <w:r w:rsidRPr="00407D01">
              <w:rPr>
                <w:rFonts w:ascii="Calibri" w:eastAsia="Times New Roman" w:hAnsi="Calibri" w:cs="Times New Roman"/>
                <w:color w:val="000000"/>
              </w:rPr>
              <w:t>Dual without full Medicaid</w:t>
            </w:r>
          </w:p>
        </w:tc>
        <w:tc>
          <w:tcPr>
            <w:tcW w:w="1016" w:type="dxa"/>
            <w:tcBorders>
              <w:top w:val="nil"/>
              <w:left w:val="nil"/>
              <w:bottom w:val="single" w:sz="4" w:space="0" w:color="auto"/>
              <w:right w:val="nil"/>
            </w:tcBorders>
            <w:shd w:val="clear" w:color="auto" w:fill="auto"/>
            <w:noWrap/>
            <w:vAlign w:val="center"/>
            <w:hideMark/>
          </w:tcPr>
          <w:p w14:paraId="415E8AAF" w14:textId="77777777" w:rsidR="00407D01" w:rsidRPr="00407D01" w:rsidRDefault="00407D01" w:rsidP="00407D01">
            <w:pPr>
              <w:spacing w:after="0" w:line="240" w:lineRule="auto"/>
              <w:jc w:val="center"/>
              <w:rPr>
                <w:rFonts w:ascii="Calibri" w:eastAsia="Times New Roman" w:hAnsi="Calibri" w:cs="Times New Roman"/>
                <w:color w:val="000000"/>
              </w:rPr>
            </w:pPr>
            <w:r w:rsidRPr="00407D01">
              <w:rPr>
                <w:rFonts w:ascii="Calibri" w:eastAsia="Times New Roman" w:hAnsi="Calibri" w:cs="Times New Roman"/>
                <w:color w:val="000000"/>
              </w:rPr>
              <w:t>-0.07404</w:t>
            </w:r>
          </w:p>
        </w:tc>
        <w:tc>
          <w:tcPr>
            <w:tcW w:w="718" w:type="dxa"/>
            <w:tcBorders>
              <w:top w:val="nil"/>
              <w:left w:val="nil"/>
              <w:bottom w:val="single" w:sz="4" w:space="0" w:color="auto"/>
              <w:right w:val="nil"/>
            </w:tcBorders>
            <w:shd w:val="clear" w:color="auto" w:fill="auto"/>
            <w:noWrap/>
            <w:vAlign w:val="center"/>
            <w:hideMark/>
          </w:tcPr>
          <w:p w14:paraId="62FB3BC8" w14:textId="77777777" w:rsidR="00407D01" w:rsidRPr="00407D01" w:rsidRDefault="00407D01" w:rsidP="00407D01">
            <w:pPr>
              <w:spacing w:after="0" w:line="240" w:lineRule="auto"/>
              <w:jc w:val="center"/>
              <w:rPr>
                <w:rFonts w:ascii="Calibri" w:eastAsia="Times New Roman" w:hAnsi="Calibri" w:cs="Times New Roman"/>
                <w:color w:val="000000"/>
              </w:rPr>
            </w:pPr>
            <w:r w:rsidRPr="00407D01">
              <w:rPr>
                <w:rFonts w:ascii="Calibri" w:eastAsia="Times New Roman" w:hAnsi="Calibri" w:cs="Times New Roman"/>
                <w:color w:val="000000"/>
              </w:rPr>
              <w:t>0.004</w:t>
            </w:r>
          </w:p>
        </w:tc>
        <w:tc>
          <w:tcPr>
            <w:tcW w:w="995" w:type="dxa"/>
            <w:tcBorders>
              <w:top w:val="nil"/>
              <w:left w:val="nil"/>
              <w:bottom w:val="single" w:sz="4" w:space="0" w:color="auto"/>
              <w:right w:val="nil"/>
            </w:tcBorders>
            <w:shd w:val="clear" w:color="auto" w:fill="auto"/>
            <w:noWrap/>
            <w:vAlign w:val="center"/>
            <w:hideMark/>
          </w:tcPr>
          <w:p w14:paraId="5B314A30" w14:textId="77777777" w:rsidR="00407D01" w:rsidRPr="00407D01" w:rsidRDefault="00407D01" w:rsidP="00407D01">
            <w:pPr>
              <w:spacing w:after="0" w:line="240" w:lineRule="auto"/>
              <w:jc w:val="center"/>
              <w:rPr>
                <w:rFonts w:ascii="Calibri" w:eastAsia="Times New Roman" w:hAnsi="Calibri" w:cs="Times New Roman"/>
                <w:color w:val="000000"/>
              </w:rPr>
            </w:pPr>
            <w:r w:rsidRPr="00407D01">
              <w:rPr>
                <w:rFonts w:ascii="Calibri" w:eastAsia="Times New Roman" w:hAnsi="Calibri" w:cs="Times New Roman"/>
                <w:color w:val="000000"/>
              </w:rPr>
              <w:t>&lt;.0001</w:t>
            </w:r>
          </w:p>
        </w:tc>
        <w:tc>
          <w:tcPr>
            <w:tcW w:w="718" w:type="dxa"/>
            <w:tcBorders>
              <w:top w:val="nil"/>
              <w:left w:val="nil"/>
              <w:bottom w:val="single" w:sz="4" w:space="0" w:color="auto"/>
              <w:right w:val="nil"/>
            </w:tcBorders>
            <w:shd w:val="clear" w:color="auto" w:fill="auto"/>
            <w:noWrap/>
            <w:vAlign w:val="center"/>
            <w:hideMark/>
          </w:tcPr>
          <w:p w14:paraId="0CF7E7CF" w14:textId="77777777" w:rsidR="00407D01" w:rsidRPr="00407D01" w:rsidRDefault="00407D01" w:rsidP="00407D01">
            <w:pPr>
              <w:spacing w:after="0" w:line="240" w:lineRule="auto"/>
              <w:jc w:val="center"/>
              <w:rPr>
                <w:rFonts w:ascii="Calibri" w:eastAsia="Times New Roman" w:hAnsi="Calibri" w:cs="Times New Roman"/>
                <w:color w:val="000000"/>
              </w:rPr>
            </w:pPr>
            <w:r w:rsidRPr="00407D01">
              <w:rPr>
                <w:rFonts w:ascii="Calibri" w:eastAsia="Times New Roman" w:hAnsi="Calibri" w:cs="Times New Roman"/>
                <w:color w:val="000000"/>
              </w:rPr>
              <w:t>0.929</w:t>
            </w:r>
          </w:p>
        </w:tc>
        <w:tc>
          <w:tcPr>
            <w:tcW w:w="718" w:type="dxa"/>
            <w:tcBorders>
              <w:top w:val="nil"/>
              <w:left w:val="nil"/>
              <w:bottom w:val="single" w:sz="4" w:space="0" w:color="auto"/>
              <w:right w:val="nil"/>
            </w:tcBorders>
            <w:shd w:val="clear" w:color="auto" w:fill="auto"/>
            <w:noWrap/>
            <w:vAlign w:val="center"/>
            <w:hideMark/>
          </w:tcPr>
          <w:p w14:paraId="1D84B7E8" w14:textId="77777777" w:rsidR="00407D01" w:rsidRPr="00407D01" w:rsidRDefault="00407D01" w:rsidP="00407D01">
            <w:pPr>
              <w:spacing w:after="0" w:line="240" w:lineRule="auto"/>
              <w:jc w:val="center"/>
              <w:rPr>
                <w:rFonts w:ascii="Calibri" w:eastAsia="Times New Roman" w:hAnsi="Calibri" w:cs="Times New Roman"/>
                <w:color w:val="000000"/>
              </w:rPr>
            </w:pPr>
            <w:r w:rsidRPr="00407D01">
              <w:rPr>
                <w:rFonts w:ascii="Calibri" w:eastAsia="Times New Roman" w:hAnsi="Calibri" w:cs="Times New Roman"/>
                <w:color w:val="000000"/>
              </w:rPr>
              <w:t>0.921</w:t>
            </w:r>
          </w:p>
        </w:tc>
        <w:tc>
          <w:tcPr>
            <w:tcW w:w="718" w:type="dxa"/>
            <w:tcBorders>
              <w:top w:val="nil"/>
              <w:left w:val="nil"/>
              <w:bottom w:val="single" w:sz="4" w:space="0" w:color="auto"/>
              <w:right w:val="nil"/>
            </w:tcBorders>
            <w:shd w:val="clear" w:color="auto" w:fill="auto"/>
            <w:noWrap/>
            <w:vAlign w:val="center"/>
            <w:hideMark/>
          </w:tcPr>
          <w:p w14:paraId="0790129B" w14:textId="77777777" w:rsidR="00407D01" w:rsidRPr="00407D01" w:rsidRDefault="00407D01" w:rsidP="00407D01">
            <w:pPr>
              <w:spacing w:after="0" w:line="240" w:lineRule="auto"/>
              <w:jc w:val="center"/>
              <w:rPr>
                <w:rFonts w:ascii="Calibri" w:eastAsia="Times New Roman" w:hAnsi="Calibri" w:cs="Times New Roman"/>
                <w:color w:val="000000"/>
              </w:rPr>
            </w:pPr>
            <w:r w:rsidRPr="00407D01">
              <w:rPr>
                <w:rFonts w:ascii="Calibri" w:eastAsia="Times New Roman" w:hAnsi="Calibri" w:cs="Times New Roman"/>
                <w:color w:val="000000"/>
              </w:rPr>
              <w:t>0.937</w:t>
            </w:r>
          </w:p>
        </w:tc>
      </w:tr>
    </w:tbl>
    <w:p w14:paraId="11DC8517" w14:textId="77777777" w:rsidR="005A6B23" w:rsidRPr="00547B7B" w:rsidRDefault="005A6B23" w:rsidP="005A6B23">
      <w:pPr>
        <w:autoSpaceDE w:val="0"/>
        <w:autoSpaceDN w:val="0"/>
        <w:adjustRightInd w:val="0"/>
        <w:spacing w:after="0" w:line="240" w:lineRule="auto"/>
        <w:rPr>
          <w:rFonts w:cstheme="minorHAnsi"/>
          <w:bCs/>
          <w:sz w:val="18"/>
        </w:rPr>
      </w:pPr>
      <w:r>
        <w:rPr>
          <w:rFonts w:cstheme="minorHAnsi"/>
          <w:bCs/>
          <w:sz w:val="18"/>
        </w:rPr>
        <w:t>Acumen</w:t>
      </w:r>
      <w:r w:rsidRPr="0090361B">
        <w:rPr>
          <w:rFonts w:cstheme="minorHAnsi"/>
          <w:bCs/>
          <w:sz w:val="18"/>
        </w:rPr>
        <w:t xml:space="preserve"> Analysis of Medicare Claims File for </w:t>
      </w:r>
      <w:r>
        <w:rPr>
          <w:rFonts w:cstheme="minorHAnsi"/>
          <w:bCs/>
          <w:sz w:val="18"/>
        </w:rPr>
        <w:t xml:space="preserve">HH, Medicare Enrollment Database, </w:t>
      </w:r>
      <w:r w:rsidRPr="00547B7B">
        <w:rPr>
          <w:rFonts w:cstheme="minorHAnsi"/>
          <w:bCs/>
          <w:sz w:val="18"/>
        </w:rPr>
        <w:t>Common Medicare Environment (CME) database,</w:t>
      </w:r>
      <w:r>
        <w:rPr>
          <w:rFonts w:cstheme="minorHAnsi"/>
          <w:bCs/>
          <w:sz w:val="18"/>
        </w:rPr>
        <w:t xml:space="preserve"> CY</w:t>
      </w:r>
      <w:r w:rsidRPr="0090361B">
        <w:rPr>
          <w:rFonts w:cstheme="minorHAnsi"/>
          <w:bCs/>
          <w:sz w:val="18"/>
        </w:rPr>
        <w:t xml:space="preserve"> 201</w:t>
      </w:r>
      <w:r>
        <w:rPr>
          <w:rFonts w:cstheme="minorHAnsi"/>
          <w:bCs/>
          <w:sz w:val="18"/>
        </w:rPr>
        <w:t>5</w:t>
      </w:r>
      <w:r w:rsidRPr="0090361B">
        <w:rPr>
          <w:rFonts w:cstheme="minorHAnsi"/>
          <w:bCs/>
          <w:sz w:val="18"/>
        </w:rPr>
        <w:t>-201</w:t>
      </w:r>
      <w:r>
        <w:rPr>
          <w:rFonts w:cstheme="minorHAnsi"/>
          <w:bCs/>
          <w:sz w:val="18"/>
        </w:rPr>
        <w:t>6.</w:t>
      </w:r>
    </w:p>
    <w:p w14:paraId="1AD22B2F" w14:textId="5596FCE1" w:rsidR="003C0688" w:rsidRPr="001904C7" w:rsidRDefault="003C0688" w:rsidP="003C0688">
      <w:pPr>
        <w:pStyle w:val="paragraph"/>
        <w:spacing w:before="0" w:beforeAutospacing="0" w:after="0" w:afterAutospacing="0"/>
        <w:jc w:val="center"/>
        <w:textAlignment w:val="baseline"/>
        <w:rPr>
          <w:rStyle w:val="normaltextrun"/>
          <w:b/>
        </w:rPr>
      </w:pPr>
      <w:r w:rsidRPr="00F96B56">
        <w:rPr>
          <w:b/>
        </w:rPr>
        <w:t>Table</w:t>
      </w:r>
      <w:r w:rsidRPr="001904C7">
        <w:rPr>
          <w:b/>
        </w:rPr>
        <w:t xml:space="preserve"> </w:t>
      </w:r>
      <w:r w:rsidR="00FC40CA">
        <w:rPr>
          <w:b/>
        </w:rPr>
        <w:t>17.</w:t>
      </w:r>
      <w:r w:rsidRPr="001904C7">
        <w:rPr>
          <w:b/>
        </w:rPr>
        <w:t xml:space="preserve"> </w:t>
      </w:r>
      <w:r>
        <w:rPr>
          <w:b/>
        </w:rPr>
        <w:t>Comparison of</w:t>
      </w:r>
      <w:r w:rsidRPr="001904C7">
        <w:rPr>
          <w:b/>
        </w:rPr>
        <w:t xml:space="preserve"> Agency-level Risk Standardized Rate (RSR)</w:t>
      </w:r>
    </w:p>
    <w:tbl>
      <w:tblPr>
        <w:tblW w:w="8904" w:type="dxa"/>
        <w:jc w:val="center"/>
        <w:tblLook w:val="04A0" w:firstRow="1" w:lastRow="0" w:firstColumn="1" w:lastColumn="0" w:noHBand="0" w:noVBand="1"/>
      </w:tblPr>
      <w:tblGrid>
        <w:gridCol w:w="1600"/>
        <w:gridCol w:w="764"/>
        <w:gridCol w:w="1000"/>
        <w:gridCol w:w="860"/>
        <w:gridCol w:w="840"/>
        <w:gridCol w:w="960"/>
        <w:gridCol w:w="960"/>
        <w:gridCol w:w="960"/>
        <w:gridCol w:w="960"/>
      </w:tblGrid>
      <w:tr w:rsidR="003C0688" w:rsidRPr="00173658" w14:paraId="5E215FA3" w14:textId="77777777" w:rsidTr="005F10A7">
        <w:trPr>
          <w:trHeight w:val="300"/>
          <w:jc w:val="center"/>
        </w:trPr>
        <w:tc>
          <w:tcPr>
            <w:tcW w:w="1600" w:type="dxa"/>
            <w:tcBorders>
              <w:top w:val="single" w:sz="4" w:space="0" w:color="auto"/>
              <w:left w:val="nil"/>
              <w:bottom w:val="nil"/>
              <w:right w:val="nil"/>
            </w:tcBorders>
            <w:shd w:val="clear" w:color="000000" w:fill="D9D9D9"/>
          </w:tcPr>
          <w:p w14:paraId="0BCF7289" w14:textId="77777777" w:rsidR="003C0688" w:rsidRPr="00173658" w:rsidRDefault="003C0688" w:rsidP="005160F0">
            <w:pPr>
              <w:spacing w:after="0" w:line="240" w:lineRule="auto"/>
              <w:jc w:val="center"/>
              <w:rPr>
                <w:rFonts w:ascii="Calibri" w:eastAsia="Times New Roman" w:hAnsi="Calibri" w:cs="Times New Roman"/>
                <w:b/>
                <w:bCs/>
                <w:color w:val="000000"/>
              </w:rPr>
            </w:pPr>
          </w:p>
        </w:tc>
        <w:tc>
          <w:tcPr>
            <w:tcW w:w="764" w:type="dxa"/>
            <w:tcBorders>
              <w:top w:val="single" w:sz="4" w:space="0" w:color="auto"/>
              <w:left w:val="nil"/>
              <w:bottom w:val="nil"/>
              <w:right w:val="nil"/>
            </w:tcBorders>
            <w:shd w:val="clear" w:color="000000" w:fill="D9D9D9"/>
            <w:noWrap/>
            <w:vAlign w:val="center"/>
            <w:hideMark/>
          </w:tcPr>
          <w:p w14:paraId="306997AF" w14:textId="77777777" w:rsidR="003C0688" w:rsidRPr="00173658" w:rsidRDefault="003C0688" w:rsidP="005160F0">
            <w:pPr>
              <w:spacing w:after="0" w:line="240" w:lineRule="auto"/>
              <w:jc w:val="center"/>
              <w:rPr>
                <w:rFonts w:ascii="Calibri" w:eastAsia="Times New Roman" w:hAnsi="Calibri" w:cs="Times New Roman"/>
                <w:b/>
                <w:bCs/>
                <w:color w:val="000000"/>
              </w:rPr>
            </w:pPr>
            <w:r w:rsidRPr="00173658">
              <w:rPr>
                <w:rFonts w:ascii="Calibri" w:eastAsia="Times New Roman" w:hAnsi="Calibri" w:cs="Times New Roman"/>
                <w:b/>
                <w:bCs/>
                <w:color w:val="000000"/>
              </w:rPr>
              <w:t>Mean</w:t>
            </w:r>
          </w:p>
        </w:tc>
        <w:tc>
          <w:tcPr>
            <w:tcW w:w="1000" w:type="dxa"/>
            <w:tcBorders>
              <w:top w:val="single" w:sz="4" w:space="0" w:color="auto"/>
              <w:left w:val="nil"/>
              <w:bottom w:val="nil"/>
              <w:right w:val="nil"/>
            </w:tcBorders>
            <w:shd w:val="clear" w:color="000000" w:fill="D9D9D9"/>
            <w:noWrap/>
            <w:vAlign w:val="center"/>
            <w:hideMark/>
          </w:tcPr>
          <w:p w14:paraId="5DECEAF7" w14:textId="77777777" w:rsidR="003C0688" w:rsidRPr="00173658" w:rsidRDefault="003C0688" w:rsidP="005160F0">
            <w:pPr>
              <w:spacing w:after="0" w:line="240" w:lineRule="auto"/>
              <w:jc w:val="center"/>
              <w:rPr>
                <w:rFonts w:ascii="Calibri" w:eastAsia="Times New Roman" w:hAnsi="Calibri" w:cs="Times New Roman"/>
                <w:b/>
                <w:bCs/>
                <w:color w:val="000000"/>
              </w:rPr>
            </w:pPr>
            <w:r w:rsidRPr="00173658">
              <w:rPr>
                <w:rFonts w:ascii="Calibri" w:eastAsia="Times New Roman" w:hAnsi="Calibri" w:cs="Times New Roman"/>
                <w:b/>
                <w:bCs/>
                <w:color w:val="000000"/>
              </w:rPr>
              <w:t>Std</w:t>
            </w:r>
          </w:p>
        </w:tc>
        <w:tc>
          <w:tcPr>
            <w:tcW w:w="860" w:type="dxa"/>
            <w:tcBorders>
              <w:top w:val="single" w:sz="4" w:space="0" w:color="auto"/>
              <w:left w:val="nil"/>
              <w:bottom w:val="nil"/>
              <w:right w:val="nil"/>
            </w:tcBorders>
            <w:shd w:val="clear" w:color="000000" w:fill="D9D9D9"/>
            <w:noWrap/>
            <w:vAlign w:val="center"/>
            <w:hideMark/>
          </w:tcPr>
          <w:p w14:paraId="64FEF020" w14:textId="77777777" w:rsidR="003C0688" w:rsidRPr="00173658" w:rsidRDefault="003C0688" w:rsidP="005160F0">
            <w:pPr>
              <w:spacing w:after="0" w:line="240" w:lineRule="auto"/>
              <w:jc w:val="center"/>
              <w:rPr>
                <w:rFonts w:ascii="Calibri" w:eastAsia="Times New Roman" w:hAnsi="Calibri" w:cs="Times New Roman"/>
                <w:b/>
                <w:bCs/>
                <w:color w:val="000000"/>
              </w:rPr>
            </w:pPr>
            <w:r w:rsidRPr="00173658">
              <w:rPr>
                <w:rFonts w:ascii="Calibri" w:eastAsia="Times New Roman" w:hAnsi="Calibri" w:cs="Times New Roman"/>
                <w:b/>
                <w:bCs/>
                <w:color w:val="000000"/>
              </w:rPr>
              <w:t>Min</w:t>
            </w:r>
          </w:p>
        </w:tc>
        <w:tc>
          <w:tcPr>
            <w:tcW w:w="840" w:type="dxa"/>
            <w:tcBorders>
              <w:top w:val="single" w:sz="4" w:space="0" w:color="auto"/>
              <w:left w:val="nil"/>
              <w:bottom w:val="nil"/>
              <w:right w:val="nil"/>
            </w:tcBorders>
            <w:shd w:val="clear" w:color="000000" w:fill="D9D9D9"/>
            <w:vAlign w:val="center"/>
            <w:hideMark/>
          </w:tcPr>
          <w:p w14:paraId="234EF922" w14:textId="77777777" w:rsidR="003C0688" w:rsidRPr="00173658" w:rsidRDefault="003C0688" w:rsidP="005160F0">
            <w:pPr>
              <w:spacing w:after="0" w:line="240" w:lineRule="auto"/>
              <w:jc w:val="center"/>
              <w:rPr>
                <w:rFonts w:ascii="Calibri" w:eastAsia="Times New Roman" w:hAnsi="Calibri" w:cs="Times New Roman"/>
                <w:b/>
                <w:bCs/>
                <w:color w:val="000000"/>
              </w:rPr>
            </w:pPr>
            <w:r w:rsidRPr="00173658">
              <w:rPr>
                <w:rFonts w:ascii="Calibri" w:eastAsia="Times New Roman" w:hAnsi="Calibri" w:cs="Times New Roman"/>
                <w:b/>
                <w:bCs/>
                <w:color w:val="000000"/>
              </w:rPr>
              <w:t>25th Pct</w:t>
            </w:r>
            <w:r>
              <w:rPr>
                <w:rFonts w:ascii="Calibri" w:eastAsia="Times New Roman" w:hAnsi="Calibri" w:cs="Times New Roman"/>
                <w:b/>
                <w:bCs/>
                <w:color w:val="000000"/>
              </w:rPr>
              <w:t>*</w:t>
            </w:r>
          </w:p>
        </w:tc>
        <w:tc>
          <w:tcPr>
            <w:tcW w:w="960" w:type="dxa"/>
            <w:tcBorders>
              <w:top w:val="single" w:sz="4" w:space="0" w:color="auto"/>
              <w:left w:val="nil"/>
              <w:bottom w:val="nil"/>
              <w:right w:val="nil"/>
            </w:tcBorders>
            <w:shd w:val="clear" w:color="000000" w:fill="D9D9D9"/>
            <w:noWrap/>
            <w:vAlign w:val="center"/>
            <w:hideMark/>
          </w:tcPr>
          <w:p w14:paraId="27B84A58" w14:textId="77777777" w:rsidR="003C0688" w:rsidRPr="00173658" w:rsidRDefault="003C0688" w:rsidP="005160F0">
            <w:pPr>
              <w:spacing w:after="0" w:line="240" w:lineRule="auto"/>
              <w:jc w:val="center"/>
              <w:rPr>
                <w:rFonts w:ascii="Calibri" w:eastAsia="Times New Roman" w:hAnsi="Calibri" w:cs="Times New Roman"/>
                <w:b/>
                <w:bCs/>
                <w:color w:val="000000"/>
              </w:rPr>
            </w:pPr>
            <w:r w:rsidRPr="00173658">
              <w:rPr>
                <w:rFonts w:ascii="Calibri" w:eastAsia="Times New Roman" w:hAnsi="Calibri" w:cs="Times New Roman"/>
                <w:b/>
                <w:bCs/>
                <w:color w:val="000000"/>
              </w:rPr>
              <w:t>Median</w:t>
            </w:r>
          </w:p>
        </w:tc>
        <w:tc>
          <w:tcPr>
            <w:tcW w:w="960" w:type="dxa"/>
            <w:tcBorders>
              <w:top w:val="single" w:sz="4" w:space="0" w:color="auto"/>
              <w:left w:val="nil"/>
              <w:bottom w:val="nil"/>
              <w:right w:val="nil"/>
            </w:tcBorders>
            <w:shd w:val="clear" w:color="000000" w:fill="D9D9D9"/>
            <w:vAlign w:val="center"/>
            <w:hideMark/>
          </w:tcPr>
          <w:p w14:paraId="6408E643" w14:textId="77777777" w:rsidR="003C0688" w:rsidRPr="00173658" w:rsidRDefault="003C0688" w:rsidP="005160F0">
            <w:pPr>
              <w:spacing w:after="0" w:line="240" w:lineRule="auto"/>
              <w:jc w:val="center"/>
              <w:rPr>
                <w:rFonts w:ascii="Calibri" w:eastAsia="Times New Roman" w:hAnsi="Calibri" w:cs="Times New Roman"/>
                <w:b/>
                <w:bCs/>
                <w:color w:val="000000"/>
              </w:rPr>
            </w:pPr>
            <w:r w:rsidRPr="00173658">
              <w:rPr>
                <w:rFonts w:ascii="Calibri" w:eastAsia="Times New Roman" w:hAnsi="Calibri" w:cs="Times New Roman"/>
                <w:b/>
                <w:bCs/>
                <w:color w:val="000000"/>
              </w:rPr>
              <w:t>75th Pct</w:t>
            </w:r>
          </w:p>
        </w:tc>
        <w:tc>
          <w:tcPr>
            <w:tcW w:w="960" w:type="dxa"/>
            <w:tcBorders>
              <w:top w:val="single" w:sz="4" w:space="0" w:color="auto"/>
              <w:left w:val="nil"/>
              <w:bottom w:val="nil"/>
              <w:right w:val="nil"/>
            </w:tcBorders>
            <w:shd w:val="clear" w:color="000000" w:fill="D9D9D9"/>
            <w:vAlign w:val="center"/>
            <w:hideMark/>
          </w:tcPr>
          <w:p w14:paraId="44767F71" w14:textId="77777777" w:rsidR="003C0688" w:rsidRPr="00173658" w:rsidRDefault="003C0688" w:rsidP="005160F0">
            <w:pPr>
              <w:spacing w:after="0" w:line="240" w:lineRule="auto"/>
              <w:jc w:val="center"/>
              <w:rPr>
                <w:rFonts w:ascii="Calibri" w:eastAsia="Times New Roman" w:hAnsi="Calibri" w:cs="Times New Roman"/>
                <w:b/>
                <w:bCs/>
                <w:color w:val="000000"/>
              </w:rPr>
            </w:pPr>
            <w:r w:rsidRPr="00173658">
              <w:rPr>
                <w:rFonts w:ascii="Calibri" w:eastAsia="Times New Roman" w:hAnsi="Calibri" w:cs="Times New Roman"/>
                <w:b/>
                <w:bCs/>
                <w:color w:val="000000"/>
              </w:rPr>
              <w:t>90th Pct</w:t>
            </w:r>
          </w:p>
        </w:tc>
        <w:tc>
          <w:tcPr>
            <w:tcW w:w="960" w:type="dxa"/>
            <w:tcBorders>
              <w:top w:val="single" w:sz="4" w:space="0" w:color="auto"/>
              <w:left w:val="nil"/>
              <w:bottom w:val="nil"/>
              <w:right w:val="nil"/>
            </w:tcBorders>
            <w:shd w:val="clear" w:color="000000" w:fill="D9D9D9"/>
            <w:noWrap/>
            <w:vAlign w:val="center"/>
            <w:hideMark/>
          </w:tcPr>
          <w:p w14:paraId="1103E97F" w14:textId="77777777" w:rsidR="003C0688" w:rsidRPr="00173658" w:rsidRDefault="003C0688" w:rsidP="005160F0">
            <w:pPr>
              <w:spacing w:after="0" w:line="240" w:lineRule="auto"/>
              <w:jc w:val="center"/>
              <w:rPr>
                <w:rFonts w:ascii="Calibri" w:eastAsia="Times New Roman" w:hAnsi="Calibri" w:cs="Times New Roman"/>
                <w:b/>
                <w:bCs/>
                <w:color w:val="000000"/>
              </w:rPr>
            </w:pPr>
            <w:r w:rsidRPr="00173658">
              <w:rPr>
                <w:rFonts w:ascii="Calibri" w:eastAsia="Times New Roman" w:hAnsi="Calibri" w:cs="Times New Roman"/>
                <w:b/>
                <w:bCs/>
                <w:color w:val="000000"/>
              </w:rPr>
              <w:t>Max</w:t>
            </w:r>
          </w:p>
        </w:tc>
      </w:tr>
      <w:tr w:rsidR="003C0688" w:rsidRPr="00173658" w14:paraId="3CBA2D4E" w14:textId="77777777" w:rsidTr="005F10A7">
        <w:trPr>
          <w:trHeight w:val="300"/>
          <w:jc w:val="center"/>
        </w:trPr>
        <w:tc>
          <w:tcPr>
            <w:tcW w:w="1600" w:type="dxa"/>
            <w:tcBorders>
              <w:top w:val="nil"/>
              <w:left w:val="nil"/>
              <w:bottom w:val="single" w:sz="4" w:space="0" w:color="auto"/>
              <w:right w:val="nil"/>
            </w:tcBorders>
          </w:tcPr>
          <w:p w14:paraId="415EDA63" w14:textId="77777777" w:rsidR="003C0688" w:rsidRDefault="003C0688" w:rsidP="005160F0">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Original Model</w:t>
            </w:r>
          </w:p>
        </w:tc>
        <w:tc>
          <w:tcPr>
            <w:tcW w:w="764" w:type="dxa"/>
            <w:tcBorders>
              <w:top w:val="nil"/>
              <w:left w:val="nil"/>
              <w:bottom w:val="single" w:sz="4" w:space="0" w:color="auto"/>
              <w:right w:val="nil"/>
            </w:tcBorders>
            <w:shd w:val="clear" w:color="auto" w:fill="auto"/>
            <w:noWrap/>
            <w:vAlign w:val="center"/>
          </w:tcPr>
          <w:p w14:paraId="6EECF090" w14:textId="77777777" w:rsidR="003C0688" w:rsidRPr="00173658" w:rsidRDefault="003C0688" w:rsidP="005160F0">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77.5%</w:t>
            </w:r>
          </w:p>
        </w:tc>
        <w:tc>
          <w:tcPr>
            <w:tcW w:w="1000" w:type="dxa"/>
            <w:tcBorders>
              <w:top w:val="nil"/>
              <w:left w:val="nil"/>
              <w:bottom w:val="single" w:sz="4" w:space="0" w:color="auto"/>
              <w:right w:val="nil"/>
            </w:tcBorders>
            <w:shd w:val="clear" w:color="auto" w:fill="auto"/>
            <w:noWrap/>
            <w:vAlign w:val="center"/>
          </w:tcPr>
          <w:p w14:paraId="12D5B409" w14:textId="77777777" w:rsidR="003C0688" w:rsidRPr="00173658" w:rsidRDefault="003C0688" w:rsidP="005160F0">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16.8%</w:t>
            </w:r>
          </w:p>
        </w:tc>
        <w:tc>
          <w:tcPr>
            <w:tcW w:w="860" w:type="dxa"/>
            <w:tcBorders>
              <w:top w:val="nil"/>
              <w:left w:val="nil"/>
              <w:bottom w:val="single" w:sz="4" w:space="0" w:color="auto"/>
              <w:right w:val="nil"/>
            </w:tcBorders>
            <w:shd w:val="clear" w:color="auto" w:fill="auto"/>
            <w:noWrap/>
            <w:vAlign w:val="center"/>
          </w:tcPr>
          <w:p w14:paraId="2B686A27" w14:textId="77777777" w:rsidR="003C0688" w:rsidRPr="00173658" w:rsidRDefault="003C0688" w:rsidP="005160F0">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1.7%</w:t>
            </w:r>
          </w:p>
        </w:tc>
        <w:tc>
          <w:tcPr>
            <w:tcW w:w="840" w:type="dxa"/>
            <w:tcBorders>
              <w:top w:val="nil"/>
              <w:left w:val="nil"/>
              <w:bottom w:val="single" w:sz="4" w:space="0" w:color="auto"/>
              <w:right w:val="nil"/>
            </w:tcBorders>
            <w:shd w:val="clear" w:color="auto" w:fill="auto"/>
            <w:noWrap/>
            <w:vAlign w:val="center"/>
          </w:tcPr>
          <w:p w14:paraId="5FBD2C70" w14:textId="77777777" w:rsidR="003C0688" w:rsidRPr="00173658" w:rsidRDefault="003C0688" w:rsidP="005160F0">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71.6%</w:t>
            </w:r>
          </w:p>
        </w:tc>
        <w:tc>
          <w:tcPr>
            <w:tcW w:w="960" w:type="dxa"/>
            <w:tcBorders>
              <w:top w:val="nil"/>
              <w:left w:val="nil"/>
              <w:bottom w:val="single" w:sz="4" w:space="0" w:color="auto"/>
              <w:right w:val="nil"/>
            </w:tcBorders>
            <w:shd w:val="clear" w:color="auto" w:fill="auto"/>
            <w:noWrap/>
            <w:vAlign w:val="center"/>
          </w:tcPr>
          <w:p w14:paraId="775EAF75" w14:textId="77777777" w:rsidR="003C0688" w:rsidRPr="00173658" w:rsidRDefault="003C0688" w:rsidP="005160F0">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82.9%</w:t>
            </w:r>
          </w:p>
        </w:tc>
        <w:tc>
          <w:tcPr>
            <w:tcW w:w="960" w:type="dxa"/>
            <w:tcBorders>
              <w:top w:val="nil"/>
              <w:left w:val="nil"/>
              <w:bottom w:val="single" w:sz="4" w:space="0" w:color="auto"/>
              <w:right w:val="nil"/>
            </w:tcBorders>
            <w:shd w:val="clear" w:color="auto" w:fill="auto"/>
            <w:noWrap/>
            <w:vAlign w:val="center"/>
          </w:tcPr>
          <w:p w14:paraId="067E157E" w14:textId="77777777" w:rsidR="003C0688" w:rsidRPr="00173658" w:rsidRDefault="003C0688" w:rsidP="005160F0">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88.8%</w:t>
            </w:r>
          </w:p>
        </w:tc>
        <w:tc>
          <w:tcPr>
            <w:tcW w:w="960" w:type="dxa"/>
            <w:tcBorders>
              <w:top w:val="nil"/>
              <w:left w:val="nil"/>
              <w:bottom w:val="single" w:sz="4" w:space="0" w:color="auto"/>
              <w:right w:val="nil"/>
            </w:tcBorders>
            <w:shd w:val="clear" w:color="auto" w:fill="auto"/>
            <w:noWrap/>
            <w:vAlign w:val="center"/>
          </w:tcPr>
          <w:p w14:paraId="2E0B2B29" w14:textId="77777777" w:rsidR="003C0688" w:rsidRPr="00173658" w:rsidRDefault="003C0688" w:rsidP="005160F0">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92.7%</w:t>
            </w:r>
          </w:p>
        </w:tc>
        <w:tc>
          <w:tcPr>
            <w:tcW w:w="960" w:type="dxa"/>
            <w:tcBorders>
              <w:top w:val="nil"/>
              <w:left w:val="nil"/>
              <w:bottom w:val="single" w:sz="4" w:space="0" w:color="auto"/>
              <w:right w:val="nil"/>
            </w:tcBorders>
            <w:shd w:val="clear" w:color="auto" w:fill="auto"/>
            <w:noWrap/>
            <w:vAlign w:val="center"/>
          </w:tcPr>
          <w:p w14:paraId="7D839A0F" w14:textId="77777777" w:rsidR="003C0688" w:rsidRPr="00173658" w:rsidRDefault="003C0688" w:rsidP="005160F0">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100%</w:t>
            </w:r>
          </w:p>
        </w:tc>
      </w:tr>
      <w:tr w:rsidR="003C0688" w:rsidRPr="00173658" w14:paraId="31515545" w14:textId="77777777" w:rsidTr="005F10A7">
        <w:trPr>
          <w:trHeight w:val="300"/>
          <w:jc w:val="center"/>
        </w:trPr>
        <w:tc>
          <w:tcPr>
            <w:tcW w:w="1600" w:type="dxa"/>
            <w:tcBorders>
              <w:top w:val="nil"/>
              <w:left w:val="nil"/>
              <w:bottom w:val="single" w:sz="4" w:space="0" w:color="auto"/>
              <w:right w:val="nil"/>
            </w:tcBorders>
          </w:tcPr>
          <w:p w14:paraId="4D68ECEA" w14:textId="5F9C9A5B" w:rsidR="003C0688" w:rsidRDefault="003C0688" w:rsidP="005160F0">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Model with Dual</w:t>
            </w:r>
            <w:r w:rsidR="00584CEA">
              <w:rPr>
                <w:rFonts w:ascii="Calibri" w:eastAsia="Times New Roman" w:hAnsi="Calibri" w:cs="Times New Roman"/>
                <w:color w:val="000000"/>
              </w:rPr>
              <w:t xml:space="preserve"> Eligibility Indicators</w:t>
            </w:r>
          </w:p>
        </w:tc>
        <w:tc>
          <w:tcPr>
            <w:tcW w:w="764" w:type="dxa"/>
            <w:tcBorders>
              <w:top w:val="nil"/>
              <w:left w:val="nil"/>
              <w:bottom w:val="single" w:sz="4" w:space="0" w:color="auto"/>
              <w:right w:val="nil"/>
            </w:tcBorders>
            <w:shd w:val="clear" w:color="auto" w:fill="auto"/>
            <w:noWrap/>
            <w:vAlign w:val="center"/>
          </w:tcPr>
          <w:p w14:paraId="4D55B635" w14:textId="77777777" w:rsidR="003C0688" w:rsidRPr="00173658" w:rsidRDefault="003C0688" w:rsidP="005160F0">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77.5%</w:t>
            </w:r>
          </w:p>
        </w:tc>
        <w:tc>
          <w:tcPr>
            <w:tcW w:w="1000" w:type="dxa"/>
            <w:tcBorders>
              <w:top w:val="nil"/>
              <w:left w:val="nil"/>
              <w:bottom w:val="single" w:sz="4" w:space="0" w:color="auto"/>
              <w:right w:val="nil"/>
            </w:tcBorders>
            <w:shd w:val="clear" w:color="auto" w:fill="auto"/>
            <w:noWrap/>
            <w:vAlign w:val="center"/>
          </w:tcPr>
          <w:p w14:paraId="6C3BE9FD" w14:textId="77777777" w:rsidR="003C0688" w:rsidRPr="00173658" w:rsidRDefault="003C0688" w:rsidP="005160F0">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16.8%</w:t>
            </w:r>
          </w:p>
        </w:tc>
        <w:tc>
          <w:tcPr>
            <w:tcW w:w="860" w:type="dxa"/>
            <w:tcBorders>
              <w:top w:val="nil"/>
              <w:left w:val="nil"/>
              <w:bottom w:val="single" w:sz="4" w:space="0" w:color="auto"/>
              <w:right w:val="nil"/>
            </w:tcBorders>
            <w:shd w:val="clear" w:color="auto" w:fill="auto"/>
            <w:noWrap/>
            <w:vAlign w:val="center"/>
          </w:tcPr>
          <w:p w14:paraId="518C8DD7" w14:textId="77777777" w:rsidR="003C0688" w:rsidRPr="00173658" w:rsidRDefault="003C0688" w:rsidP="005160F0">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1.7%</w:t>
            </w:r>
          </w:p>
        </w:tc>
        <w:tc>
          <w:tcPr>
            <w:tcW w:w="840" w:type="dxa"/>
            <w:tcBorders>
              <w:top w:val="nil"/>
              <w:left w:val="nil"/>
              <w:bottom w:val="single" w:sz="4" w:space="0" w:color="auto"/>
              <w:right w:val="nil"/>
            </w:tcBorders>
            <w:shd w:val="clear" w:color="auto" w:fill="auto"/>
            <w:noWrap/>
            <w:vAlign w:val="center"/>
          </w:tcPr>
          <w:p w14:paraId="182A3F8F" w14:textId="77777777" w:rsidR="003C0688" w:rsidRPr="00173658" w:rsidRDefault="003C0688" w:rsidP="005160F0">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71.7%</w:t>
            </w:r>
          </w:p>
        </w:tc>
        <w:tc>
          <w:tcPr>
            <w:tcW w:w="960" w:type="dxa"/>
            <w:tcBorders>
              <w:top w:val="nil"/>
              <w:left w:val="nil"/>
              <w:bottom w:val="single" w:sz="4" w:space="0" w:color="auto"/>
              <w:right w:val="nil"/>
            </w:tcBorders>
            <w:shd w:val="clear" w:color="auto" w:fill="auto"/>
            <w:noWrap/>
            <w:vAlign w:val="center"/>
          </w:tcPr>
          <w:p w14:paraId="27D50B3F" w14:textId="77777777" w:rsidR="003C0688" w:rsidRPr="00173658" w:rsidRDefault="003C0688" w:rsidP="005160F0">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82.8%</w:t>
            </w:r>
          </w:p>
        </w:tc>
        <w:tc>
          <w:tcPr>
            <w:tcW w:w="960" w:type="dxa"/>
            <w:tcBorders>
              <w:top w:val="nil"/>
              <w:left w:val="nil"/>
              <w:bottom w:val="single" w:sz="4" w:space="0" w:color="auto"/>
              <w:right w:val="nil"/>
            </w:tcBorders>
            <w:shd w:val="clear" w:color="auto" w:fill="auto"/>
            <w:noWrap/>
            <w:vAlign w:val="center"/>
          </w:tcPr>
          <w:p w14:paraId="331D2F81" w14:textId="77777777" w:rsidR="003C0688" w:rsidRPr="00173658" w:rsidRDefault="003C0688" w:rsidP="005160F0">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88.7%</w:t>
            </w:r>
          </w:p>
        </w:tc>
        <w:tc>
          <w:tcPr>
            <w:tcW w:w="960" w:type="dxa"/>
            <w:tcBorders>
              <w:top w:val="nil"/>
              <w:left w:val="nil"/>
              <w:bottom w:val="single" w:sz="4" w:space="0" w:color="auto"/>
              <w:right w:val="nil"/>
            </w:tcBorders>
            <w:shd w:val="clear" w:color="auto" w:fill="auto"/>
            <w:noWrap/>
            <w:vAlign w:val="center"/>
          </w:tcPr>
          <w:p w14:paraId="01B42383" w14:textId="77777777" w:rsidR="003C0688" w:rsidRPr="00173658" w:rsidRDefault="003C0688" w:rsidP="005160F0">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92.8%</w:t>
            </w:r>
          </w:p>
        </w:tc>
        <w:tc>
          <w:tcPr>
            <w:tcW w:w="960" w:type="dxa"/>
            <w:tcBorders>
              <w:top w:val="nil"/>
              <w:left w:val="nil"/>
              <w:bottom w:val="single" w:sz="4" w:space="0" w:color="auto"/>
              <w:right w:val="nil"/>
            </w:tcBorders>
            <w:shd w:val="clear" w:color="auto" w:fill="auto"/>
            <w:noWrap/>
            <w:vAlign w:val="center"/>
          </w:tcPr>
          <w:p w14:paraId="76C2FC2E" w14:textId="77777777" w:rsidR="003C0688" w:rsidRPr="00173658" w:rsidRDefault="003C0688" w:rsidP="005160F0">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100%</w:t>
            </w:r>
          </w:p>
        </w:tc>
      </w:tr>
      <w:tr w:rsidR="003C0688" w:rsidRPr="00173658" w14:paraId="47DDDA03" w14:textId="77777777" w:rsidTr="005F10A7">
        <w:trPr>
          <w:trHeight w:val="300"/>
          <w:jc w:val="center"/>
        </w:trPr>
        <w:tc>
          <w:tcPr>
            <w:tcW w:w="1600" w:type="dxa"/>
            <w:tcBorders>
              <w:top w:val="nil"/>
              <w:left w:val="nil"/>
              <w:bottom w:val="single" w:sz="4" w:space="0" w:color="auto"/>
              <w:right w:val="nil"/>
            </w:tcBorders>
          </w:tcPr>
          <w:p w14:paraId="1840F97B" w14:textId="77777777" w:rsidR="003C0688" w:rsidRPr="00173658" w:rsidRDefault="003C0688" w:rsidP="005160F0">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Agency-level Difference</w:t>
            </w:r>
          </w:p>
        </w:tc>
        <w:tc>
          <w:tcPr>
            <w:tcW w:w="764" w:type="dxa"/>
            <w:tcBorders>
              <w:top w:val="nil"/>
              <w:left w:val="nil"/>
              <w:bottom w:val="single" w:sz="4" w:space="0" w:color="auto"/>
              <w:right w:val="nil"/>
            </w:tcBorders>
            <w:shd w:val="clear" w:color="auto" w:fill="auto"/>
            <w:noWrap/>
            <w:vAlign w:val="center"/>
            <w:hideMark/>
          </w:tcPr>
          <w:p w14:paraId="0FAFAD1E" w14:textId="22669E32" w:rsidR="003C0688" w:rsidRPr="00173658" w:rsidRDefault="003C0688" w:rsidP="00226712">
            <w:pPr>
              <w:spacing w:after="0" w:line="240" w:lineRule="auto"/>
              <w:jc w:val="center"/>
              <w:rPr>
                <w:rFonts w:ascii="Calibri" w:eastAsia="Times New Roman" w:hAnsi="Calibri" w:cs="Times New Roman"/>
                <w:color w:val="000000"/>
              </w:rPr>
            </w:pPr>
            <w:r w:rsidRPr="00173658">
              <w:rPr>
                <w:rFonts w:ascii="Calibri" w:eastAsia="Times New Roman" w:hAnsi="Calibri" w:cs="Times New Roman"/>
                <w:color w:val="000000"/>
              </w:rPr>
              <w:t>0.4%</w:t>
            </w:r>
          </w:p>
        </w:tc>
        <w:tc>
          <w:tcPr>
            <w:tcW w:w="1000" w:type="dxa"/>
            <w:tcBorders>
              <w:top w:val="nil"/>
              <w:left w:val="nil"/>
              <w:bottom w:val="single" w:sz="4" w:space="0" w:color="auto"/>
              <w:right w:val="nil"/>
            </w:tcBorders>
            <w:shd w:val="clear" w:color="auto" w:fill="auto"/>
            <w:noWrap/>
            <w:vAlign w:val="center"/>
            <w:hideMark/>
          </w:tcPr>
          <w:p w14:paraId="61910BAC" w14:textId="55CFAEB7" w:rsidR="003C0688" w:rsidRPr="00173658" w:rsidRDefault="003C0688" w:rsidP="00226712">
            <w:pPr>
              <w:spacing w:after="0" w:line="240" w:lineRule="auto"/>
              <w:jc w:val="center"/>
              <w:rPr>
                <w:rFonts w:ascii="Calibri" w:eastAsia="Times New Roman" w:hAnsi="Calibri" w:cs="Times New Roman"/>
                <w:color w:val="000000"/>
              </w:rPr>
            </w:pPr>
            <w:r w:rsidRPr="00173658">
              <w:rPr>
                <w:rFonts w:ascii="Calibri" w:eastAsia="Times New Roman" w:hAnsi="Calibri" w:cs="Times New Roman"/>
                <w:color w:val="000000"/>
              </w:rPr>
              <w:t>0.4%</w:t>
            </w:r>
          </w:p>
        </w:tc>
        <w:tc>
          <w:tcPr>
            <w:tcW w:w="860" w:type="dxa"/>
            <w:tcBorders>
              <w:top w:val="nil"/>
              <w:left w:val="nil"/>
              <w:bottom w:val="single" w:sz="4" w:space="0" w:color="auto"/>
              <w:right w:val="nil"/>
            </w:tcBorders>
            <w:shd w:val="clear" w:color="auto" w:fill="auto"/>
            <w:noWrap/>
            <w:vAlign w:val="center"/>
            <w:hideMark/>
          </w:tcPr>
          <w:p w14:paraId="1479B308" w14:textId="7CDA16F6" w:rsidR="003C0688" w:rsidRPr="00173658" w:rsidRDefault="003C0688" w:rsidP="005160F0">
            <w:pPr>
              <w:spacing w:after="0" w:line="240" w:lineRule="auto"/>
              <w:jc w:val="center"/>
              <w:rPr>
                <w:rFonts w:ascii="Calibri" w:eastAsia="Times New Roman" w:hAnsi="Calibri" w:cs="Times New Roman"/>
                <w:color w:val="000000"/>
              </w:rPr>
            </w:pPr>
            <w:r w:rsidRPr="00173658">
              <w:rPr>
                <w:rFonts w:ascii="Calibri" w:eastAsia="Times New Roman" w:hAnsi="Calibri" w:cs="Times New Roman"/>
                <w:color w:val="000000"/>
              </w:rPr>
              <w:t>0</w:t>
            </w:r>
            <w:r w:rsidR="00226712">
              <w:rPr>
                <w:rFonts w:ascii="Calibri" w:eastAsia="Times New Roman" w:hAnsi="Calibri" w:cs="Times New Roman"/>
                <w:color w:val="000000"/>
              </w:rPr>
              <w:t>.0</w:t>
            </w:r>
            <w:r w:rsidRPr="00173658">
              <w:rPr>
                <w:rFonts w:ascii="Calibri" w:eastAsia="Times New Roman" w:hAnsi="Calibri" w:cs="Times New Roman"/>
                <w:color w:val="000000"/>
              </w:rPr>
              <w:t>%</w:t>
            </w:r>
          </w:p>
        </w:tc>
        <w:tc>
          <w:tcPr>
            <w:tcW w:w="840" w:type="dxa"/>
            <w:tcBorders>
              <w:top w:val="nil"/>
              <w:left w:val="nil"/>
              <w:bottom w:val="single" w:sz="4" w:space="0" w:color="auto"/>
              <w:right w:val="nil"/>
            </w:tcBorders>
            <w:shd w:val="clear" w:color="auto" w:fill="auto"/>
            <w:noWrap/>
            <w:vAlign w:val="center"/>
            <w:hideMark/>
          </w:tcPr>
          <w:p w14:paraId="1BD602D0" w14:textId="55AFD041" w:rsidR="003C0688" w:rsidRPr="00173658" w:rsidRDefault="003C0688" w:rsidP="00226712">
            <w:pPr>
              <w:spacing w:after="0" w:line="240" w:lineRule="auto"/>
              <w:jc w:val="center"/>
              <w:rPr>
                <w:rFonts w:ascii="Calibri" w:eastAsia="Times New Roman" w:hAnsi="Calibri" w:cs="Times New Roman"/>
                <w:color w:val="000000"/>
              </w:rPr>
            </w:pPr>
            <w:r w:rsidRPr="00173658">
              <w:rPr>
                <w:rFonts w:ascii="Calibri" w:eastAsia="Times New Roman" w:hAnsi="Calibri" w:cs="Times New Roman"/>
                <w:color w:val="000000"/>
              </w:rPr>
              <w:t>0.2%</w:t>
            </w:r>
          </w:p>
        </w:tc>
        <w:tc>
          <w:tcPr>
            <w:tcW w:w="960" w:type="dxa"/>
            <w:tcBorders>
              <w:top w:val="nil"/>
              <w:left w:val="nil"/>
              <w:bottom w:val="single" w:sz="4" w:space="0" w:color="auto"/>
              <w:right w:val="nil"/>
            </w:tcBorders>
            <w:shd w:val="clear" w:color="auto" w:fill="auto"/>
            <w:noWrap/>
            <w:vAlign w:val="center"/>
            <w:hideMark/>
          </w:tcPr>
          <w:p w14:paraId="7C36B548" w14:textId="54D5353D" w:rsidR="003C0688" w:rsidRPr="00173658" w:rsidRDefault="003C0688" w:rsidP="00226712">
            <w:pPr>
              <w:spacing w:after="0" w:line="240" w:lineRule="auto"/>
              <w:jc w:val="center"/>
              <w:rPr>
                <w:rFonts w:ascii="Calibri" w:eastAsia="Times New Roman" w:hAnsi="Calibri" w:cs="Times New Roman"/>
                <w:color w:val="000000"/>
              </w:rPr>
            </w:pPr>
            <w:r w:rsidRPr="00173658">
              <w:rPr>
                <w:rFonts w:ascii="Calibri" w:eastAsia="Times New Roman" w:hAnsi="Calibri" w:cs="Times New Roman"/>
                <w:color w:val="000000"/>
              </w:rPr>
              <w:t>0.3%</w:t>
            </w:r>
          </w:p>
        </w:tc>
        <w:tc>
          <w:tcPr>
            <w:tcW w:w="960" w:type="dxa"/>
            <w:tcBorders>
              <w:top w:val="nil"/>
              <w:left w:val="nil"/>
              <w:bottom w:val="single" w:sz="4" w:space="0" w:color="auto"/>
              <w:right w:val="nil"/>
            </w:tcBorders>
            <w:shd w:val="clear" w:color="auto" w:fill="auto"/>
            <w:noWrap/>
            <w:vAlign w:val="center"/>
            <w:hideMark/>
          </w:tcPr>
          <w:p w14:paraId="59D5958C" w14:textId="12684705" w:rsidR="003C0688" w:rsidRPr="00173658" w:rsidRDefault="003C0688" w:rsidP="00226712">
            <w:pPr>
              <w:spacing w:after="0" w:line="240" w:lineRule="auto"/>
              <w:jc w:val="center"/>
              <w:rPr>
                <w:rFonts w:ascii="Calibri" w:eastAsia="Times New Roman" w:hAnsi="Calibri" w:cs="Times New Roman"/>
                <w:color w:val="000000"/>
              </w:rPr>
            </w:pPr>
            <w:r w:rsidRPr="00173658">
              <w:rPr>
                <w:rFonts w:ascii="Calibri" w:eastAsia="Times New Roman" w:hAnsi="Calibri" w:cs="Times New Roman"/>
                <w:color w:val="000000"/>
              </w:rPr>
              <w:t>0.5%</w:t>
            </w:r>
          </w:p>
        </w:tc>
        <w:tc>
          <w:tcPr>
            <w:tcW w:w="960" w:type="dxa"/>
            <w:tcBorders>
              <w:top w:val="nil"/>
              <w:left w:val="nil"/>
              <w:bottom w:val="single" w:sz="4" w:space="0" w:color="auto"/>
              <w:right w:val="nil"/>
            </w:tcBorders>
            <w:shd w:val="clear" w:color="auto" w:fill="auto"/>
            <w:noWrap/>
            <w:vAlign w:val="center"/>
            <w:hideMark/>
          </w:tcPr>
          <w:p w14:paraId="71D70894" w14:textId="457946D5" w:rsidR="003C0688" w:rsidRPr="00173658" w:rsidRDefault="003C0688" w:rsidP="00226712">
            <w:pPr>
              <w:spacing w:after="0" w:line="240" w:lineRule="auto"/>
              <w:jc w:val="center"/>
              <w:rPr>
                <w:rFonts w:ascii="Calibri" w:eastAsia="Times New Roman" w:hAnsi="Calibri" w:cs="Times New Roman"/>
                <w:color w:val="000000"/>
              </w:rPr>
            </w:pPr>
            <w:r w:rsidRPr="00173658">
              <w:rPr>
                <w:rFonts w:ascii="Calibri" w:eastAsia="Times New Roman" w:hAnsi="Calibri" w:cs="Times New Roman"/>
                <w:color w:val="000000"/>
              </w:rPr>
              <w:t>0.9%</w:t>
            </w:r>
          </w:p>
        </w:tc>
        <w:tc>
          <w:tcPr>
            <w:tcW w:w="960" w:type="dxa"/>
            <w:tcBorders>
              <w:top w:val="nil"/>
              <w:left w:val="nil"/>
              <w:bottom w:val="single" w:sz="4" w:space="0" w:color="auto"/>
              <w:right w:val="nil"/>
            </w:tcBorders>
            <w:shd w:val="clear" w:color="auto" w:fill="auto"/>
            <w:noWrap/>
            <w:vAlign w:val="center"/>
            <w:hideMark/>
          </w:tcPr>
          <w:p w14:paraId="6171051B" w14:textId="589F462C" w:rsidR="003C0688" w:rsidRPr="00173658" w:rsidRDefault="003C0688" w:rsidP="00226712">
            <w:pPr>
              <w:spacing w:after="0" w:line="240" w:lineRule="auto"/>
              <w:jc w:val="center"/>
              <w:rPr>
                <w:rFonts w:ascii="Calibri" w:eastAsia="Times New Roman" w:hAnsi="Calibri" w:cs="Times New Roman"/>
                <w:color w:val="000000"/>
              </w:rPr>
            </w:pPr>
            <w:r w:rsidRPr="00173658">
              <w:rPr>
                <w:rFonts w:ascii="Calibri" w:eastAsia="Times New Roman" w:hAnsi="Calibri" w:cs="Times New Roman"/>
                <w:color w:val="000000"/>
              </w:rPr>
              <w:t>3.2%</w:t>
            </w:r>
          </w:p>
        </w:tc>
      </w:tr>
    </w:tbl>
    <w:p w14:paraId="250192F0" w14:textId="77777777" w:rsidR="003C0688" w:rsidRDefault="003C0688" w:rsidP="003C0688">
      <w:pPr>
        <w:autoSpaceDE w:val="0"/>
        <w:autoSpaceDN w:val="0"/>
        <w:adjustRightInd w:val="0"/>
        <w:spacing w:after="0" w:line="240" w:lineRule="auto"/>
        <w:ind w:left="1440" w:firstLine="720"/>
        <w:rPr>
          <w:rFonts w:cstheme="minorHAnsi"/>
          <w:bCs/>
          <w:sz w:val="18"/>
        </w:rPr>
      </w:pPr>
      <w:r>
        <w:rPr>
          <w:rFonts w:cstheme="minorHAnsi"/>
          <w:bCs/>
          <w:sz w:val="18"/>
        </w:rPr>
        <w:t>*  Pct = percentile</w:t>
      </w:r>
    </w:p>
    <w:p w14:paraId="6758DE78" w14:textId="77777777" w:rsidR="005A6B23" w:rsidRPr="00547B7B" w:rsidRDefault="005A6B23" w:rsidP="005A6B23">
      <w:pPr>
        <w:autoSpaceDE w:val="0"/>
        <w:autoSpaceDN w:val="0"/>
        <w:adjustRightInd w:val="0"/>
        <w:spacing w:after="0" w:line="240" w:lineRule="auto"/>
        <w:rPr>
          <w:rFonts w:cstheme="minorHAnsi"/>
          <w:bCs/>
          <w:sz w:val="18"/>
        </w:rPr>
      </w:pPr>
      <w:r>
        <w:rPr>
          <w:rFonts w:cstheme="minorHAnsi"/>
          <w:bCs/>
          <w:sz w:val="18"/>
        </w:rPr>
        <w:t>Acumen</w:t>
      </w:r>
      <w:r w:rsidRPr="0090361B">
        <w:rPr>
          <w:rFonts w:cstheme="minorHAnsi"/>
          <w:bCs/>
          <w:sz w:val="18"/>
        </w:rPr>
        <w:t xml:space="preserve"> Analysis of Medicare Claims File for </w:t>
      </w:r>
      <w:r>
        <w:rPr>
          <w:rFonts w:cstheme="minorHAnsi"/>
          <w:bCs/>
          <w:sz w:val="18"/>
        </w:rPr>
        <w:t xml:space="preserve">HH, Medicare Enrollment Database, </w:t>
      </w:r>
      <w:r w:rsidRPr="00547B7B">
        <w:rPr>
          <w:rFonts w:cstheme="minorHAnsi"/>
          <w:bCs/>
          <w:sz w:val="18"/>
        </w:rPr>
        <w:t>Common Medicare Environment (CME) database,</w:t>
      </w:r>
      <w:r>
        <w:rPr>
          <w:rFonts w:cstheme="minorHAnsi"/>
          <w:bCs/>
          <w:sz w:val="18"/>
        </w:rPr>
        <w:t xml:space="preserve"> CY</w:t>
      </w:r>
      <w:r w:rsidRPr="0090361B">
        <w:rPr>
          <w:rFonts w:cstheme="minorHAnsi"/>
          <w:bCs/>
          <w:sz w:val="18"/>
        </w:rPr>
        <w:t xml:space="preserve"> 201</w:t>
      </w:r>
      <w:r>
        <w:rPr>
          <w:rFonts w:cstheme="minorHAnsi"/>
          <w:bCs/>
          <w:sz w:val="18"/>
        </w:rPr>
        <w:t>5</w:t>
      </w:r>
      <w:r w:rsidRPr="0090361B">
        <w:rPr>
          <w:rFonts w:cstheme="minorHAnsi"/>
          <w:bCs/>
          <w:sz w:val="18"/>
        </w:rPr>
        <w:t>-201</w:t>
      </w:r>
      <w:r>
        <w:rPr>
          <w:rFonts w:cstheme="minorHAnsi"/>
          <w:bCs/>
          <w:sz w:val="18"/>
        </w:rPr>
        <w:t>6.</w:t>
      </w:r>
    </w:p>
    <w:p w14:paraId="53EA8764" w14:textId="77777777" w:rsidR="005A6B23" w:rsidRDefault="005A6B23" w:rsidP="003C0688">
      <w:pPr>
        <w:autoSpaceDE w:val="0"/>
        <w:autoSpaceDN w:val="0"/>
        <w:adjustRightInd w:val="0"/>
        <w:spacing w:after="0" w:line="240" w:lineRule="auto"/>
        <w:ind w:left="1440" w:firstLine="720"/>
        <w:rPr>
          <w:rFonts w:cstheme="minorHAnsi"/>
          <w:bCs/>
          <w:sz w:val="18"/>
        </w:rPr>
      </w:pPr>
    </w:p>
    <w:p w14:paraId="698F5201" w14:textId="77777777" w:rsidR="005A6B23" w:rsidRDefault="005A6B23" w:rsidP="005A6B23">
      <w:pPr>
        <w:pStyle w:val="Body115"/>
        <w:ind w:firstLine="0"/>
        <w:rPr>
          <w:sz w:val="22"/>
          <w:szCs w:val="22"/>
        </w:rPr>
      </w:pPr>
      <w:r>
        <w:rPr>
          <w:rStyle w:val="normaltextrun"/>
          <w:sz w:val="22"/>
          <w:szCs w:val="22"/>
        </w:rPr>
        <w:lastRenderedPageBreak/>
        <w:t>T</w:t>
      </w:r>
      <w:r w:rsidRPr="00ED2312">
        <w:rPr>
          <w:rStyle w:val="normaltextrun"/>
          <w:sz w:val="22"/>
          <w:szCs w:val="22"/>
        </w:rPr>
        <w:t xml:space="preserve">he unadjusted DTC rates </w:t>
      </w:r>
      <w:r>
        <w:rPr>
          <w:rStyle w:val="normaltextrun"/>
          <w:sz w:val="22"/>
          <w:szCs w:val="22"/>
        </w:rPr>
        <w:t>and</w:t>
      </w:r>
      <w:r w:rsidRPr="00ED2312">
        <w:rPr>
          <w:rStyle w:val="normaltextrun"/>
          <w:sz w:val="22"/>
          <w:szCs w:val="22"/>
        </w:rPr>
        <w:t xml:space="preserve"> unplanned admission rates</w:t>
      </w:r>
      <w:r>
        <w:rPr>
          <w:rStyle w:val="normaltextrun"/>
          <w:sz w:val="22"/>
          <w:szCs w:val="22"/>
        </w:rPr>
        <w:t xml:space="preserve"> for urban/rural status were similar (</w:t>
      </w:r>
      <w:r w:rsidRPr="005A6B23">
        <w:rPr>
          <w:rStyle w:val="normaltextrun"/>
          <w:b/>
          <w:sz w:val="22"/>
          <w:szCs w:val="22"/>
        </w:rPr>
        <w:t>Table 13</w:t>
      </w:r>
      <w:r>
        <w:rPr>
          <w:rStyle w:val="normaltextrun"/>
          <w:sz w:val="22"/>
          <w:szCs w:val="22"/>
        </w:rPr>
        <w:t>)</w:t>
      </w:r>
      <w:r w:rsidRPr="00ED2312">
        <w:rPr>
          <w:rStyle w:val="normaltextrun"/>
          <w:sz w:val="22"/>
          <w:szCs w:val="22"/>
        </w:rPr>
        <w:t>. However,</w:t>
      </w:r>
      <w:r>
        <w:rPr>
          <w:rStyle w:val="normaltextrun"/>
          <w:sz w:val="22"/>
          <w:szCs w:val="22"/>
        </w:rPr>
        <w:t xml:space="preserve"> the rates differed for dual status. Specifically, patients who do not have dual eligibility status tend to have higher unadjusted DTC rates and lower unplanned admission rates (</w:t>
      </w:r>
      <w:r w:rsidRPr="005A6B23">
        <w:rPr>
          <w:rStyle w:val="normaltextrun"/>
          <w:b/>
          <w:sz w:val="22"/>
          <w:szCs w:val="22"/>
        </w:rPr>
        <w:t>Table 14</w:t>
      </w:r>
      <w:r>
        <w:rPr>
          <w:rStyle w:val="normaltextrun"/>
          <w:sz w:val="22"/>
          <w:szCs w:val="22"/>
        </w:rPr>
        <w:t>). Additionally, the prevalence of dual eligible patients differed amongst HHAs (</w:t>
      </w:r>
      <w:r w:rsidRPr="005A6B23">
        <w:rPr>
          <w:rStyle w:val="normaltextrun"/>
          <w:b/>
          <w:sz w:val="22"/>
          <w:szCs w:val="22"/>
        </w:rPr>
        <w:t>Table 15</w:t>
      </w:r>
      <w:r>
        <w:rPr>
          <w:rStyle w:val="normaltextrun"/>
          <w:sz w:val="22"/>
          <w:szCs w:val="22"/>
        </w:rPr>
        <w:t xml:space="preserve">). </w:t>
      </w:r>
      <w:r>
        <w:rPr>
          <w:sz w:val="22"/>
          <w:szCs w:val="22"/>
        </w:rPr>
        <w:t>To further investigate the potential importance of these variables on agency-level risk adjustment, we re-ran the hierarchical logistical model including these variables and investigated the ensuing differences in the agency-level RSRs.</w:t>
      </w:r>
    </w:p>
    <w:p w14:paraId="3A49DF2F" w14:textId="77777777" w:rsidR="005A6B23" w:rsidRDefault="005A6B23" w:rsidP="005A6B23">
      <w:pPr>
        <w:pStyle w:val="Body115"/>
        <w:ind w:firstLine="0"/>
        <w:rPr>
          <w:sz w:val="22"/>
          <w:szCs w:val="22"/>
        </w:rPr>
      </w:pPr>
      <w:r>
        <w:rPr>
          <w:b/>
          <w:sz w:val="22"/>
          <w:szCs w:val="22"/>
        </w:rPr>
        <w:t xml:space="preserve">Table 16 </w:t>
      </w:r>
      <w:r>
        <w:rPr>
          <w:sz w:val="22"/>
          <w:szCs w:val="22"/>
        </w:rPr>
        <w:t xml:space="preserve">shows the parameter estimates for the two dual eligibility status variables that were included. </w:t>
      </w:r>
      <w:r w:rsidRPr="0018132E">
        <w:rPr>
          <w:b/>
          <w:sz w:val="22"/>
          <w:szCs w:val="22"/>
        </w:rPr>
        <w:t>Table</w:t>
      </w:r>
      <w:r>
        <w:rPr>
          <w:sz w:val="22"/>
          <w:szCs w:val="22"/>
        </w:rPr>
        <w:t xml:space="preserve"> </w:t>
      </w:r>
      <w:r>
        <w:rPr>
          <w:b/>
          <w:sz w:val="22"/>
          <w:szCs w:val="22"/>
        </w:rPr>
        <w:t>17</w:t>
      </w:r>
      <w:r>
        <w:rPr>
          <w:sz w:val="22"/>
          <w:szCs w:val="22"/>
        </w:rPr>
        <w:t xml:space="preserve"> assesses the impact of including the dual eligibility status in the risk adjustment model. On average, there is a difference 0.4% in agency-</w:t>
      </w:r>
      <w:r w:rsidRPr="0024515C">
        <w:rPr>
          <w:sz w:val="22"/>
          <w:szCs w:val="22"/>
        </w:rPr>
        <w:t>level risk-standardized rates. The difference in agency-level risk-standardized rates for the 90</w:t>
      </w:r>
      <w:r w:rsidRPr="0024515C">
        <w:rPr>
          <w:sz w:val="22"/>
          <w:szCs w:val="22"/>
          <w:vertAlign w:val="superscript"/>
        </w:rPr>
        <w:t>th</w:t>
      </w:r>
      <w:r w:rsidRPr="0024515C">
        <w:rPr>
          <w:sz w:val="22"/>
          <w:szCs w:val="22"/>
        </w:rPr>
        <w:t xml:space="preserve"> percentile are less than 1%. </w:t>
      </w:r>
      <w:r w:rsidRPr="0024515C">
        <w:rPr>
          <w:rFonts w:eastAsia="Calibri" w:cstheme="minorHAnsi"/>
          <w:sz w:val="22"/>
          <w:szCs w:val="22"/>
        </w:rPr>
        <w:t>In addition, not shown in table, we found that controlling for these two dual eligible indicators increased the model C-statistic by only 0.003.</w:t>
      </w:r>
      <w:r>
        <w:rPr>
          <w:rFonts w:eastAsia="Calibri" w:cstheme="minorHAnsi"/>
          <w:sz w:val="22"/>
          <w:szCs w:val="22"/>
        </w:rPr>
        <w:t xml:space="preserve"> </w:t>
      </w:r>
      <w:r w:rsidRPr="0024515C">
        <w:rPr>
          <w:sz w:val="22"/>
          <w:szCs w:val="22"/>
        </w:rPr>
        <w:t>Given the low impact</w:t>
      </w:r>
      <w:r>
        <w:rPr>
          <w:sz w:val="22"/>
          <w:szCs w:val="22"/>
        </w:rPr>
        <w:t xml:space="preserve"> of including dual eligibility status in the risk adjustment model</w:t>
      </w:r>
      <w:r w:rsidRPr="00ED2312">
        <w:rPr>
          <w:sz w:val="22"/>
          <w:szCs w:val="22"/>
        </w:rPr>
        <w:t xml:space="preserve">, we do not recommend controlling for </w:t>
      </w:r>
      <w:r>
        <w:rPr>
          <w:sz w:val="22"/>
          <w:szCs w:val="22"/>
        </w:rPr>
        <w:t>these social risk factors in</w:t>
      </w:r>
      <w:r w:rsidRPr="00ED2312">
        <w:rPr>
          <w:sz w:val="22"/>
          <w:szCs w:val="22"/>
        </w:rPr>
        <w:t xml:space="preserve"> the </w:t>
      </w:r>
      <w:r>
        <w:rPr>
          <w:sz w:val="22"/>
          <w:szCs w:val="22"/>
        </w:rPr>
        <w:t xml:space="preserve">DTC </w:t>
      </w:r>
      <w:r w:rsidRPr="00ED2312">
        <w:rPr>
          <w:sz w:val="22"/>
          <w:szCs w:val="22"/>
        </w:rPr>
        <w:t>measure.</w:t>
      </w:r>
    </w:p>
    <w:p w14:paraId="5BB95C8C" w14:textId="77777777" w:rsidR="003C0688" w:rsidRPr="00001D73" w:rsidRDefault="003C0688" w:rsidP="003C0688">
      <w:pPr>
        <w:autoSpaceDE w:val="0"/>
        <w:autoSpaceDN w:val="0"/>
        <w:adjustRightInd w:val="0"/>
        <w:spacing w:after="0" w:line="240" w:lineRule="auto"/>
        <w:rPr>
          <w:rFonts w:cstheme="minorHAnsi"/>
          <w:b/>
          <w:bCs/>
        </w:rPr>
      </w:pPr>
    </w:p>
    <w:p w14:paraId="71204C62" w14:textId="77777777" w:rsidR="003C0688" w:rsidRDefault="003C0688" w:rsidP="003C0688">
      <w:pPr>
        <w:autoSpaceDE w:val="0"/>
        <w:autoSpaceDN w:val="0"/>
        <w:adjustRightInd w:val="0"/>
        <w:spacing w:after="0" w:line="240" w:lineRule="auto"/>
        <w:rPr>
          <w:rFonts w:cstheme="minorHAnsi"/>
          <w:bCs/>
        </w:rPr>
      </w:pPr>
      <w:r>
        <w:rPr>
          <w:rFonts w:cstheme="minorHAnsi"/>
          <w:b/>
          <w:bCs/>
        </w:rPr>
        <w:t>2b3.5. Describe the method of</w:t>
      </w:r>
      <w:r w:rsidRPr="00A25024">
        <w:rPr>
          <w:rFonts w:cstheme="minorHAnsi"/>
          <w:b/>
          <w:bCs/>
        </w:rPr>
        <w:t xml:space="preserve"> </w:t>
      </w:r>
      <w:r>
        <w:rPr>
          <w:rFonts w:cstheme="minorHAnsi"/>
          <w:b/>
          <w:bCs/>
        </w:rPr>
        <w:t xml:space="preserve">testing/analysis used </w:t>
      </w:r>
      <w:r w:rsidRPr="00A25024">
        <w:rPr>
          <w:rFonts w:cstheme="minorHAnsi"/>
          <w:b/>
          <w:bCs/>
        </w:rPr>
        <w:t xml:space="preserve">to develop and validate the adequacy of the statistical model </w:t>
      </w:r>
      <w:r w:rsidRPr="006C3A4F">
        <w:rPr>
          <w:rFonts w:cstheme="minorHAnsi"/>
          <w:b/>
          <w:bCs/>
          <w:u w:val="single"/>
        </w:rPr>
        <w:t>or</w:t>
      </w:r>
      <w:r w:rsidRPr="00A25024">
        <w:rPr>
          <w:rFonts w:cstheme="minorHAnsi"/>
          <w:b/>
          <w:bCs/>
        </w:rPr>
        <w:t xml:space="preserve"> stratification approach</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Pr="00A25024">
        <w:rPr>
          <w:rFonts w:cstheme="minorHAnsi"/>
          <w:bCs/>
        </w:rPr>
        <w:br/>
      </w:r>
    </w:p>
    <w:p w14:paraId="7F1F5085" w14:textId="77777777" w:rsidR="003C0688" w:rsidRPr="00514842" w:rsidRDefault="003C0688" w:rsidP="003C0688">
      <w:pPr>
        <w:autoSpaceDE w:val="0"/>
        <w:autoSpaceDN w:val="0"/>
        <w:adjustRightInd w:val="0"/>
        <w:spacing w:after="0" w:line="240" w:lineRule="auto"/>
        <w:rPr>
          <w:sz w:val="18"/>
          <w:szCs w:val="18"/>
        </w:rPr>
      </w:pPr>
    </w:p>
    <w:p w14:paraId="6F610782" w14:textId="77777777" w:rsidR="003C0688" w:rsidRDefault="003C0688" w:rsidP="003C0688">
      <w:pPr>
        <w:autoSpaceDE w:val="0"/>
        <w:autoSpaceDN w:val="0"/>
        <w:adjustRightInd w:val="0"/>
        <w:spacing w:after="0" w:line="240" w:lineRule="auto"/>
      </w:pPr>
      <w:r>
        <w:t>To test the adequacy of this model, we conducted several analyses and tests:</w:t>
      </w:r>
    </w:p>
    <w:p w14:paraId="7869F68A" w14:textId="77777777" w:rsidR="003C0688" w:rsidRDefault="003C0688" w:rsidP="003C0688">
      <w:pPr>
        <w:pStyle w:val="ListParagraph"/>
        <w:numPr>
          <w:ilvl w:val="0"/>
          <w:numId w:val="18"/>
        </w:numPr>
        <w:autoSpaceDE w:val="0"/>
        <w:autoSpaceDN w:val="0"/>
        <w:adjustRightInd w:val="0"/>
        <w:spacing w:after="0" w:line="240" w:lineRule="auto"/>
        <w:rPr>
          <w:rFonts w:cstheme="minorHAnsi"/>
        </w:rPr>
      </w:pPr>
      <w:r w:rsidRPr="002D3B54">
        <w:rPr>
          <w:rFonts w:cstheme="minorHAnsi"/>
          <w:b/>
        </w:rPr>
        <w:t>Score Distribution</w:t>
      </w:r>
      <w:r w:rsidRPr="005029B4">
        <w:rPr>
          <w:rFonts w:cstheme="minorHAnsi"/>
        </w:rPr>
        <w:t>: We examined the distribution of the</w:t>
      </w:r>
      <w:r>
        <w:rPr>
          <w:rFonts w:cstheme="minorHAnsi"/>
        </w:rPr>
        <w:t xml:space="preserve"> HHA-level</w:t>
      </w:r>
      <w:r w:rsidRPr="005029B4">
        <w:rPr>
          <w:rFonts w:cstheme="minorHAnsi"/>
        </w:rPr>
        <w:t xml:space="preserve"> observed and risk-standardized discharge to community measure scores</w:t>
      </w:r>
      <w:r>
        <w:rPr>
          <w:rFonts w:cstheme="minorHAnsi"/>
        </w:rPr>
        <w:t>.</w:t>
      </w:r>
    </w:p>
    <w:p w14:paraId="14241721" w14:textId="77777777" w:rsidR="003C0688" w:rsidRPr="001904C7" w:rsidRDefault="003C0688" w:rsidP="003C0688">
      <w:pPr>
        <w:autoSpaceDE w:val="0"/>
        <w:autoSpaceDN w:val="0"/>
        <w:adjustRightInd w:val="0"/>
        <w:spacing w:after="0" w:line="240" w:lineRule="auto"/>
      </w:pPr>
    </w:p>
    <w:p w14:paraId="4797FE5E" w14:textId="77777777" w:rsidR="003C0688" w:rsidRDefault="003C0688" w:rsidP="003C0688">
      <w:pPr>
        <w:pStyle w:val="ListParagraph"/>
        <w:numPr>
          <w:ilvl w:val="0"/>
          <w:numId w:val="18"/>
        </w:numPr>
        <w:autoSpaceDE w:val="0"/>
        <w:autoSpaceDN w:val="0"/>
        <w:adjustRightInd w:val="0"/>
        <w:spacing w:after="0" w:line="240" w:lineRule="auto"/>
      </w:pPr>
      <w:r w:rsidRPr="001904C7">
        <w:rPr>
          <w:b/>
        </w:rPr>
        <w:t>Model Discrimination</w:t>
      </w:r>
      <w:r>
        <w:t xml:space="preserve">: we calculated the C-statistic for the model and generated a </w:t>
      </w:r>
      <w:r w:rsidRPr="00B5491D">
        <w:t>receiver operating characteristic curve</w:t>
      </w:r>
      <w:r>
        <w:t xml:space="preserve"> (ROC curve). </w:t>
      </w:r>
      <w:r w:rsidRPr="00755536">
        <w:t xml:space="preserve">The C-statistic is a measure of how accurately a statistical model can distinguish between a patient with and without an outcome. For binary outcomes the C-statistic is identical to the area under a ROC curve for the model. A C-statistic of 0.50 indicates random prediction, implying the model predicts no better than random chance. A C-statistic of 1.0 indicates perfect prediction, implying the model is perfectly predictive of the outcome. </w:t>
      </w:r>
    </w:p>
    <w:p w14:paraId="4E484B94" w14:textId="4CA15FC0" w:rsidR="0037386C" w:rsidRDefault="003C0688" w:rsidP="003C0688">
      <w:pPr>
        <w:pStyle w:val="ListParagraph"/>
        <w:numPr>
          <w:ilvl w:val="0"/>
          <w:numId w:val="18"/>
        </w:numPr>
        <w:autoSpaceDE w:val="0"/>
        <w:autoSpaceDN w:val="0"/>
        <w:adjustRightInd w:val="0"/>
        <w:spacing w:after="0" w:line="240" w:lineRule="auto"/>
      </w:pPr>
      <w:r w:rsidRPr="002D3B54">
        <w:rPr>
          <w:rFonts w:cstheme="minorHAnsi"/>
          <w:b/>
          <w:bCs/>
        </w:rPr>
        <w:t>Risk-decile testing and plots:</w:t>
      </w:r>
      <w:r w:rsidRPr="005029B4">
        <w:rPr>
          <w:rFonts w:cstheme="minorHAnsi"/>
          <w:bCs/>
        </w:rPr>
        <w:t xml:space="preserve"> </w:t>
      </w:r>
      <w:r w:rsidR="00584CEA" w:rsidRPr="005029B4">
        <w:rPr>
          <w:rFonts w:cstheme="minorHAnsi"/>
          <w:bCs/>
        </w:rPr>
        <w:t xml:space="preserve">We calculated the patient-level predicted DTC rates from the </w:t>
      </w:r>
      <w:r w:rsidR="00584CEA">
        <w:rPr>
          <w:bCs/>
          <w:iCs/>
        </w:rPr>
        <w:t>hierarchical logistic regression</w:t>
      </w:r>
      <w:r w:rsidR="00584CEA" w:rsidRPr="005029B4">
        <w:rPr>
          <w:rFonts w:cstheme="minorHAnsi"/>
          <w:bCs/>
        </w:rPr>
        <w:t xml:space="preserve"> model, and assessed the difference between, and ratio of the patient-level observed and predicted DTC rates by deciles of DTC risk. </w:t>
      </w:r>
      <w:r w:rsidR="00584CEA">
        <w:rPr>
          <w:rFonts w:cstheme="minorHAnsi"/>
          <w:bCs/>
        </w:rPr>
        <w:t>The</w:t>
      </w:r>
      <w:r w:rsidR="00584CEA" w:rsidRPr="005029B4">
        <w:rPr>
          <w:rFonts w:cstheme="minorHAnsi"/>
          <w:bCs/>
        </w:rPr>
        <w:t xml:space="preserve"> purpose of this analysis was to assess </w:t>
      </w:r>
      <w:r w:rsidR="00584CEA" w:rsidRPr="005029B4">
        <w:rPr>
          <w:rFonts w:cstheme="minorHAnsi"/>
        </w:rPr>
        <w:t xml:space="preserve">whether the model worked well across the full range of patients from low to high likelihood of DTC, and to assess for possible over- or under-estimation </w:t>
      </w:r>
      <w:r w:rsidR="00584CEA">
        <w:rPr>
          <w:rFonts w:cstheme="minorHAnsi"/>
        </w:rPr>
        <w:t>over</w:t>
      </w:r>
      <w:r w:rsidR="00584CEA" w:rsidRPr="005029B4">
        <w:rPr>
          <w:rFonts w:cstheme="minorHAnsi"/>
        </w:rPr>
        <w:t xml:space="preserve"> the </w:t>
      </w:r>
      <w:r w:rsidR="00584CEA">
        <w:rPr>
          <w:rFonts w:cstheme="minorHAnsi"/>
        </w:rPr>
        <w:t>range</w:t>
      </w:r>
      <w:r w:rsidR="00584CEA" w:rsidRPr="005029B4">
        <w:rPr>
          <w:rFonts w:cstheme="minorHAnsi"/>
        </w:rPr>
        <w:t xml:space="preserve"> of risk.</w:t>
      </w:r>
    </w:p>
    <w:p w14:paraId="2AD1BDCF" w14:textId="77777777" w:rsidR="0037386C" w:rsidRPr="00A25024" w:rsidRDefault="0037386C" w:rsidP="00092566">
      <w:pPr>
        <w:autoSpaceDE w:val="0"/>
        <w:autoSpaceDN w:val="0"/>
        <w:adjustRightInd w:val="0"/>
        <w:spacing w:after="0" w:line="240" w:lineRule="auto"/>
        <w:rPr>
          <w:rFonts w:cstheme="minorHAnsi"/>
          <w:bCs/>
        </w:rPr>
      </w:pPr>
    </w:p>
    <w:p w14:paraId="4B8C13E0" w14:textId="77777777"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14:paraId="57E3647F" w14:textId="77777777" w:rsidR="00743E46" w:rsidRDefault="00743E46" w:rsidP="00092566">
      <w:pPr>
        <w:autoSpaceDE w:val="0"/>
        <w:autoSpaceDN w:val="0"/>
        <w:adjustRightInd w:val="0"/>
        <w:spacing w:after="0" w:line="240" w:lineRule="auto"/>
        <w:rPr>
          <w:rFonts w:cstheme="minorHAnsi"/>
          <w:b/>
          <w:bCs/>
        </w:rPr>
      </w:pPr>
    </w:p>
    <w:p w14:paraId="49933A19" w14:textId="77777777" w:rsidR="00DA3D36" w:rsidRDefault="00743E46" w:rsidP="00DA3D36">
      <w:pPr>
        <w:spacing w:after="0" w:line="240" w:lineRule="auto"/>
        <w:rPr>
          <w:rFonts w:cstheme="minorHAnsi"/>
          <w:b/>
          <w:bCs/>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4633F0">
        <w:rPr>
          <w:rFonts w:cstheme="minorHAnsi"/>
          <w:b/>
          <w:bCs/>
        </w:rPr>
        <w:t xml:space="preserve"> </w:t>
      </w:r>
    </w:p>
    <w:p w14:paraId="152AE1B6" w14:textId="760E2B9B" w:rsidR="001E0E5E" w:rsidRDefault="001E0E5E" w:rsidP="001E0E5E">
      <w:pPr>
        <w:spacing w:after="0" w:line="240" w:lineRule="auto"/>
        <w:rPr>
          <w:rFonts w:cstheme="minorHAnsi"/>
          <w:bCs/>
        </w:rPr>
      </w:pPr>
      <w:r>
        <w:t>The model C-statistic is 0.73</w:t>
      </w:r>
      <w:r w:rsidR="00584CEA">
        <w:t>0</w:t>
      </w:r>
      <w:r>
        <w:t xml:space="preserve"> indicating that the model has good predictive ability. </w:t>
      </w:r>
      <w:r w:rsidR="0007132E">
        <w:rPr>
          <w:rFonts w:cstheme="minorHAnsi"/>
          <w:b/>
          <w:bCs/>
        </w:rPr>
        <w:t>Figure 2</w:t>
      </w:r>
      <w:r>
        <w:rPr>
          <w:rFonts w:cstheme="minorHAnsi"/>
          <w:bCs/>
        </w:rPr>
        <w:t xml:space="preserve"> below depicts the ROC curve for this model. </w:t>
      </w:r>
    </w:p>
    <w:p w14:paraId="2921B4B9" w14:textId="77777777" w:rsidR="001E0E5E" w:rsidRDefault="001E0E5E" w:rsidP="001E0E5E">
      <w:pPr>
        <w:spacing w:after="0" w:line="240" w:lineRule="auto"/>
        <w:rPr>
          <w:rFonts w:cstheme="minorHAnsi"/>
          <w:bCs/>
        </w:rPr>
      </w:pPr>
    </w:p>
    <w:p w14:paraId="0D1EDA21" w14:textId="77777777" w:rsidR="001E0E5E" w:rsidRDefault="001E0E5E" w:rsidP="001E0E5E">
      <w:pPr>
        <w:spacing w:after="0" w:line="240" w:lineRule="auto"/>
        <w:rPr>
          <w:rFonts w:cstheme="minorHAnsi"/>
          <w:bCs/>
        </w:rPr>
      </w:pPr>
    </w:p>
    <w:p w14:paraId="1AAA73E7" w14:textId="77777777" w:rsidR="008355FD" w:rsidRDefault="008355FD" w:rsidP="001E0E5E">
      <w:pPr>
        <w:spacing w:after="0" w:line="240" w:lineRule="auto"/>
        <w:jc w:val="center"/>
        <w:rPr>
          <w:rFonts w:cstheme="minorHAnsi"/>
          <w:b/>
          <w:bCs/>
        </w:rPr>
      </w:pPr>
    </w:p>
    <w:p w14:paraId="182D33E5" w14:textId="77777777" w:rsidR="008355FD" w:rsidRDefault="008355FD" w:rsidP="001E0E5E">
      <w:pPr>
        <w:spacing w:after="0" w:line="240" w:lineRule="auto"/>
        <w:jc w:val="center"/>
        <w:rPr>
          <w:rFonts w:cstheme="minorHAnsi"/>
          <w:b/>
          <w:bCs/>
        </w:rPr>
      </w:pPr>
    </w:p>
    <w:p w14:paraId="192C9CE7" w14:textId="77777777" w:rsidR="008355FD" w:rsidRDefault="008355FD" w:rsidP="001E0E5E">
      <w:pPr>
        <w:spacing w:after="0" w:line="240" w:lineRule="auto"/>
        <w:jc w:val="center"/>
        <w:rPr>
          <w:rFonts w:cstheme="minorHAnsi"/>
          <w:b/>
          <w:bCs/>
        </w:rPr>
      </w:pPr>
    </w:p>
    <w:p w14:paraId="5F8C130C" w14:textId="77777777" w:rsidR="008355FD" w:rsidRDefault="008355FD" w:rsidP="001E0E5E">
      <w:pPr>
        <w:spacing w:after="0" w:line="240" w:lineRule="auto"/>
        <w:jc w:val="center"/>
        <w:rPr>
          <w:rFonts w:cstheme="minorHAnsi"/>
          <w:b/>
          <w:bCs/>
        </w:rPr>
      </w:pPr>
    </w:p>
    <w:p w14:paraId="1BC397FE" w14:textId="77777777" w:rsidR="008355FD" w:rsidRDefault="008355FD" w:rsidP="001E0E5E">
      <w:pPr>
        <w:spacing w:after="0" w:line="240" w:lineRule="auto"/>
        <w:jc w:val="center"/>
        <w:rPr>
          <w:rFonts w:cstheme="minorHAnsi"/>
          <w:b/>
          <w:bCs/>
        </w:rPr>
      </w:pPr>
    </w:p>
    <w:p w14:paraId="73A2CAF3" w14:textId="16FD07FB" w:rsidR="001E0E5E" w:rsidRPr="00B5491D" w:rsidRDefault="001E0E5E" w:rsidP="001E0E5E">
      <w:pPr>
        <w:spacing w:after="0" w:line="240" w:lineRule="auto"/>
        <w:jc w:val="center"/>
        <w:rPr>
          <w:rFonts w:cstheme="minorHAnsi"/>
          <w:bCs/>
        </w:rPr>
      </w:pPr>
      <w:r>
        <w:rPr>
          <w:rFonts w:cstheme="minorHAnsi"/>
          <w:b/>
          <w:bCs/>
        </w:rPr>
        <w:lastRenderedPageBreak/>
        <w:t xml:space="preserve">Figure </w:t>
      </w:r>
      <w:r w:rsidR="00FC40CA">
        <w:rPr>
          <w:rFonts w:cstheme="minorHAnsi"/>
          <w:b/>
          <w:bCs/>
        </w:rPr>
        <w:t>2</w:t>
      </w:r>
      <w:r w:rsidRPr="005D48B3">
        <w:rPr>
          <w:rFonts w:cstheme="minorHAnsi"/>
          <w:b/>
          <w:bCs/>
        </w:rPr>
        <w:t>. Receiver Operating Curve (ROC) for the Patient-Level Logistic Regression Model for the DCT-PAC HH Measure</w:t>
      </w:r>
    </w:p>
    <w:p w14:paraId="4750B780" w14:textId="77777777" w:rsidR="001E0E5E" w:rsidRDefault="001E0E5E" w:rsidP="001E0E5E">
      <w:pPr>
        <w:autoSpaceDE w:val="0"/>
        <w:autoSpaceDN w:val="0"/>
        <w:adjustRightInd w:val="0"/>
        <w:spacing w:after="0" w:line="240" w:lineRule="auto"/>
      </w:pPr>
    </w:p>
    <w:p w14:paraId="7E9C80A3" w14:textId="77777777" w:rsidR="001E0E5E" w:rsidRDefault="001E0E5E" w:rsidP="001E0E5E">
      <w:pPr>
        <w:autoSpaceDE w:val="0"/>
        <w:autoSpaceDN w:val="0"/>
        <w:adjustRightInd w:val="0"/>
        <w:spacing w:after="0" w:line="240" w:lineRule="auto"/>
        <w:jc w:val="center"/>
        <w:rPr>
          <w:rFonts w:cstheme="minorHAnsi"/>
          <w:b/>
          <w:bCs/>
        </w:rPr>
      </w:pPr>
      <w:r>
        <w:rPr>
          <w:rFonts w:cstheme="minorHAnsi"/>
          <w:b/>
          <w:bCs/>
          <w:noProof/>
        </w:rPr>
        <w:drawing>
          <wp:inline distT="0" distB="0" distL="0" distR="0" wp14:anchorId="7AB10344" wp14:editId="73D73CBD">
            <wp:extent cx="4610100" cy="34575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OC_Curve.png"/>
                    <pic:cNvPicPr/>
                  </pic:nvPicPr>
                  <pic:blipFill>
                    <a:blip r:embed="rId28">
                      <a:extLst>
                        <a:ext uri="{28A0092B-C50C-407E-A947-70E740481C1C}">
                          <a14:useLocalDpi xmlns:a14="http://schemas.microsoft.com/office/drawing/2010/main" val="0"/>
                        </a:ext>
                      </a:extLst>
                    </a:blip>
                    <a:stretch>
                      <a:fillRect/>
                    </a:stretch>
                  </pic:blipFill>
                  <pic:spPr>
                    <a:xfrm>
                      <a:off x="0" y="0"/>
                      <a:ext cx="4618197" cy="3463648"/>
                    </a:xfrm>
                    <a:prstGeom prst="rect">
                      <a:avLst/>
                    </a:prstGeom>
                  </pic:spPr>
                </pic:pic>
              </a:graphicData>
            </a:graphic>
          </wp:inline>
        </w:drawing>
      </w:r>
    </w:p>
    <w:p w14:paraId="54FFF6EF" w14:textId="77777777" w:rsidR="001E0E5E" w:rsidRPr="00DB52B4" w:rsidRDefault="001E0E5E" w:rsidP="001E0E5E">
      <w:pPr>
        <w:autoSpaceDE w:val="0"/>
        <w:autoSpaceDN w:val="0"/>
        <w:adjustRightInd w:val="0"/>
        <w:spacing w:after="0" w:line="240" w:lineRule="auto"/>
        <w:ind w:left="2160" w:firstLine="720"/>
        <w:rPr>
          <w:rFonts w:cstheme="minorHAnsi"/>
          <w:bCs/>
        </w:rPr>
      </w:pPr>
      <w:r>
        <w:rPr>
          <w:rFonts w:cstheme="minorHAnsi"/>
          <w:bCs/>
          <w:sz w:val="18"/>
        </w:rPr>
        <w:t>Acumen</w:t>
      </w:r>
      <w:r w:rsidRPr="0090361B">
        <w:rPr>
          <w:rFonts w:cstheme="minorHAnsi"/>
          <w:bCs/>
          <w:sz w:val="18"/>
        </w:rPr>
        <w:t xml:space="preserve"> Analysis of Medicare Claims File for </w:t>
      </w:r>
      <w:r>
        <w:rPr>
          <w:rFonts w:cstheme="minorHAnsi"/>
          <w:bCs/>
          <w:sz w:val="18"/>
        </w:rPr>
        <w:t>HH</w:t>
      </w:r>
      <w:r w:rsidRPr="0090361B">
        <w:rPr>
          <w:rFonts w:cstheme="minorHAnsi"/>
          <w:bCs/>
          <w:sz w:val="18"/>
        </w:rPr>
        <w:t xml:space="preserve">, </w:t>
      </w:r>
      <w:r>
        <w:rPr>
          <w:rFonts w:cstheme="minorHAnsi"/>
          <w:bCs/>
          <w:sz w:val="18"/>
        </w:rPr>
        <w:t>CY</w:t>
      </w:r>
      <w:r w:rsidRPr="0090361B">
        <w:rPr>
          <w:rFonts w:cstheme="minorHAnsi"/>
          <w:bCs/>
          <w:sz w:val="18"/>
        </w:rPr>
        <w:t xml:space="preserve"> 201</w:t>
      </w:r>
      <w:r>
        <w:rPr>
          <w:rFonts w:cstheme="minorHAnsi"/>
          <w:bCs/>
          <w:sz w:val="18"/>
        </w:rPr>
        <w:t>5</w:t>
      </w:r>
      <w:r w:rsidRPr="0090361B">
        <w:rPr>
          <w:rFonts w:cstheme="minorHAnsi"/>
          <w:bCs/>
          <w:sz w:val="18"/>
        </w:rPr>
        <w:t>-201</w:t>
      </w:r>
      <w:r>
        <w:rPr>
          <w:rFonts w:cstheme="minorHAnsi"/>
          <w:bCs/>
          <w:sz w:val="18"/>
        </w:rPr>
        <w:t>6.</w:t>
      </w:r>
    </w:p>
    <w:p w14:paraId="76F44E66" w14:textId="39693BE0" w:rsidR="009D377C" w:rsidRPr="00DB52B4" w:rsidRDefault="009D377C" w:rsidP="00944EE4">
      <w:pPr>
        <w:autoSpaceDE w:val="0"/>
        <w:autoSpaceDN w:val="0"/>
        <w:adjustRightInd w:val="0"/>
        <w:spacing w:after="0" w:line="240" w:lineRule="auto"/>
        <w:ind w:left="2160" w:firstLine="720"/>
        <w:rPr>
          <w:rFonts w:cstheme="minorHAnsi"/>
          <w:bCs/>
        </w:rPr>
      </w:pPr>
    </w:p>
    <w:p w14:paraId="75F23FBD" w14:textId="77777777" w:rsidR="009D377C" w:rsidRPr="00001D73" w:rsidRDefault="009D377C" w:rsidP="00092566">
      <w:pPr>
        <w:autoSpaceDE w:val="0"/>
        <w:autoSpaceDN w:val="0"/>
        <w:adjustRightInd w:val="0"/>
        <w:spacing w:after="0" w:line="240" w:lineRule="auto"/>
        <w:rPr>
          <w:rFonts w:cstheme="minorHAnsi"/>
          <w:b/>
          <w:bCs/>
        </w:rPr>
      </w:pPr>
    </w:p>
    <w:p w14:paraId="43CC341A" w14:textId="73B92866" w:rsidR="001E0E5E" w:rsidRDefault="009C7513" w:rsidP="001E0E5E">
      <w:pPr>
        <w:autoSpaceDE w:val="0"/>
        <w:autoSpaceDN w:val="0"/>
        <w:adjustRightInd w:val="0"/>
        <w:spacing w:after="0" w:line="240" w:lineRule="auto"/>
        <w:rPr>
          <w:rFonts w:ascii="Calibri" w:eastAsia="Calibri" w:hAnsi="Calibri" w:cs="Calibri"/>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r w:rsidR="001E0E5E">
        <w:rPr>
          <w:rFonts w:cstheme="minorHAnsi"/>
          <w:bCs/>
        </w:rPr>
        <w:t xml:space="preserve">The patient-level predicted Discharge to Community rates of the logistic model range from </w:t>
      </w:r>
      <w:r w:rsidR="001E0E5E">
        <w:rPr>
          <w:rFonts w:cstheme="minorHAnsi"/>
          <w:color w:val="000000"/>
        </w:rPr>
        <w:t>1.7%</w:t>
      </w:r>
      <w:r w:rsidR="001E0E5E">
        <w:rPr>
          <w:rFonts w:cstheme="minorHAnsi"/>
          <w:bCs/>
        </w:rPr>
        <w:t xml:space="preserve"> to </w:t>
      </w:r>
      <w:r w:rsidR="001E0E5E">
        <w:rPr>
          <w:rFonts w:cstheme="minorHAnsi"/>
          <w:color w:val="000000"/>
        </w:rPr>
        <w:t>100.0%, indicating that this model has a range of predictions and can predict both high and low scores.</w:t>
      </w:r>
      <w:r w:rsidR="001E0E5E">
        <w:rPr>
          <w:rFonts w:ascii="Calibri" w:eastAsia="Calibri" w:hAnsi="Calibri" w:cs="Calibri"/>
        </w:rPr>
        <w:t xml:space="preserve"> The results of our analysis</w:t>
      </w:r>
      <w:r w:rsidR="001E0E5E" w:rsidRPr="00936C12">
        <w:rPr>
          <w:rFonts w:cstheme="minorHAnsi"/>
          <w:bCs/>
        </w:rPr>
        <w:t xml:space="preserve"> </w:t>
      </w:r>
      <w:r w:rsidR="001E0E5E" w:rsidRPr="005B776B">
        <w:rPr>
          <w:rFonts w:cstheme="minorHAnsi"/>
          <w:bCs/>
        </w:rPr>
        <w:t xml:space="preserve">comparing </w:t>
      </w:r>
      <w:r w:rsidR="001E0E5E">
        <w:rPr>
          <w:rFonts w:cstheme="minorHAnsi"/>
          <w:bCs/>
        </w:rPr>
        <w:t xml:space="preserve">the observed and predicted DTC rates by deciles of DTC risk are displayed in </w:t>
      </w:r>
      <w:r w:rsidR="001E0E5E">
        <w:rPr>
          <w:rFonts w:cstheme="minorHAnsi"/>
          <w:b/>
          <w:bCs/>
        </w:rPr>
        <w:t xml:space="preserve">Figure </w:t>
      </w:r>
      <w:r w:rsidR="0007132E">
        <w:rPr>
          <w:rFonts w:cstheme="minorHAnsi"/>
          <w:b/>
          <w:bCs/>
        </w:rPr>
        <w:t>3</w:t>
      </w:r>
      <w:r w:rsidR="001E0E5E">
        <w:rPr>
          <w:rFonts w:cstheme="minorHAnsi"/>
          <w:bCs/>
        </w:rPr>
        <w:t xml:space="preserve"> </w:t>
      </w:r>
      <w:r w:rsidR="00CE1A67">
        <w:rPr>
          <w:rFonts w:cstheme="minorHAnsi"/>
          <w:bCs/>
        </w:rPr>
        <w:t>a</w:t>
      </w:r>
      <w:r w:rsidR="001E0E5E">
        <w:rPr>
          <w:rFonts w:cstheme="minorHAnsi"/>
          <w:bCs/>
        </w:rPr>
        <w:t xml:space="preserve">nd </w:t>
      </w:r>
      <w:r w:rsidR="001E0E5E" w:rsidRPr="00936C12">
        <w:rPr>
          <w:rFonts w:cstheme="minorHAnsi"/>
          <w:b/>
          <w:bCs/>
        </w:rPr>
        <w:t xml:space="preserve">Table </w:t>
      </w:r>
      <w:r w:rsidR="0007132E">
        <w:rPr>
          <w:rFonts w:cstheme="minorHAnsi"/>
          <w:b/>
          <w:bCs/>
        </w:rPr>
        <w:t>18</w:t>
      </w:r>
      <w:r w:rsidR="001E0E5E">
        <w:rPr>
          <w:rFonts w:cstheme="minorHAnsi"/>
          <w:bCs/>
        </w:rPr>
        <w:t xml:space="preserve"> </w:t>
      </w:r>
      <w:r w:rsidR="001E0E5E">
        <w:rPr>
          <w:rFonts w:ascii="Calibri" w:eastAsia="Calibri" w:hAnsi="Calibri" w:cs="Calibri"/>
        </w:rPr>
        <w:t>I</w:t>
      </w:r>
      <w:r w:rsidR="001E0E5E" w:rsidRPr="008C2C1F">
        <w:rPr>
          <w:rFonts w:ascii="Calibri" w:eastAsia="Calibri" w:hAnsi="Calibri" w:cs="Calibri"/>
        </w:rPr>
        <w:t xml:space="preserve">n each </w:t>
      </w:r>
      <w:r w:rsidR="001E0E5E">
        <w:rPr>
          <w:rFonts w:ascii="Calibri" w:eastAsia="Calibri" w:hAnsi="Calibri" w:cs="Calibri"/>
        </w:rPr>
        <w:t>risk decile, the observed and predicted DTC rates are close, with a difference of 0.7</w:t>
      </w:r>
      <w:r w:rsidR="001E0E5E" w:rsidRPr="00E84B23">
        <w:rPr>
          <w:rFonts w:ascii="Calibri" w:eastAsia="Calibri" w:hAnsi="Calibri" w:cs="Calibri"/>
        </w:rPr>
        <w:t xml:space="preserve"> percentage point or less</w:t>
      </w:r>
      <w:r w:rsidR="001E0E5E">
        <w:rPr>
          <w:rFonts w:ascii="Calibri" w:eastAsia="Calibri" w:hAnsi="Calibri" w:cs="Calibri"/>
        </w:rPr>
        <w:t xml:space="preserve">. The ratio of observed to predicted rates is close to 1 across risk deciles, with the smallest ratio being 0.99 and the largest ratio being 1.01. </w:t>
      </w:r>
      <w:r w:rsidR="001E0E5E">
        <w:rPr>
          <w:rFonts w:eastAsia="Times New Roman" w:cstheme="minorHAnsi"/>
        </w:rPr>
        <w:t xml:space="preserve">This analysis is the same approach as the </w:t>
      </w:r>
      <w:r w:rsidR="001E0E5E" w:rsidRPr="00E84B23">
        <w:rPr>
          <w:rFonts w:eastAsia="Times New Roman" w:cstheme="minorHAnsi"/>
        </w:rPr>
        <w:t>Hosmer-Lemeshow</w:t>
      </w:r>
      <w:r w:rsidR="001E0E5E">
        <w:rPr>
          <w:rFonts w:eastAsia="Times New Roman" w:cstheme="minorHAnsi"/>
        </w:rPr>
        <w:t xml:space="preserve"> goodness of fit test, without the generation of the </w:t>
      </w:r>
      <w:r w:rsidR="001E0E5E" w:rsidRPr="00E84B23">
        <w:rPr>
          <w:rFonts w:eastAsia="Times New Roman" w:cstheme="minorHAnsi"/>
        </w:rPr>
        <w:t>Hosmer-Lemeshow statistic</w:t>
      </w:r>
      <w:r w:rsidR="001E0E5E">
        <w:rPr>
          <w:rFonts w:eastAsia="Times New Roman" w:cstheme="minorHAnsi"/>
        </w:rPr>
        <w:t xml:space="preserve">.  The </w:t>
      </w:r>
      <w:r w:rsidR="001E0E5E" w:rsidRPr="00E84B23">
        <w:rPr>
          <w:rFonts w:eastAsia="Times New Roman" w:cstheme="minorHAnsi"/>
        </w:rPr>
        <w:t>Hosmer-Lemeshow statistic</w:t>
      </w:r>
      <w:r w:rsidR="001E0E5E">
        <w:rPr>
          <w:rFonts w:eastAsia="Times New Roman" w:cstheme="minorHAnsi"/>
          <w:b/>
        </w:rPr>
        <w:t xml:space="preserve"> </w:t>
      </w:r>
      <w:r w:rsidR="001E0E5E">
        <w:rPr>
          <w:rFonts w:eastAsia="Times New Roman" w:cstheme="minorHAnsi"/>
        </w:rPr>
        <w:t xml:space="preserve">is not appropriate for very large sample sizes such as the one in this testing sample, as even minor deviations will come out as statistically significant. </w:t>
      </w:r>
      <w:r w:rsidR="001E0E5E">
        <w:rPr>
          <w:rFonts w:ascii="Calibri" w:eastAsia="Calibri" w:hAnsi="Calibri" w:cs="Calibri"/>
        </w:rPr>
        <w:t xml:space="preserve">Our results demonstrate that this model demonstrates a good </w:t>
      </w:r>
      <w:r w:rsidR="001E0E5E" w:rsidRPr="008C2C1F">
        <w:rPr>
          <w:rFonts w:ascii="Calibri" w:eastAsia="Calibri" w:hAnsi="Calibri" w:cs="Calibri"/>
        </w:rPr>
        <w:t>predictive ability to distinguish h</w:t>
      </w:r>
      <w:r w:rsidR="001E0E5E">
        <w:rPr>
          <w:rFonts w:ascii="Calibri" w:eastAsia="Calibri" w:hAnsi="Calibri" w:cs="Calibri"/>
        </w:rPr>
        <w:t>igh-risk from low-risk subjects, thus demonstrating good calibration and discrimination.</w:t>
      </w:r>
      <w:r w:rsidR="001E0E5E" w:rsidRPr="008C2C1F">
        <w:rPr>
          <w:rFonts w:ascii="Calibri" w:eastAsia="Calibri" w:hAnsi="Calibri" w:cs="Calibri"/>
        </w:rPr>
        <w:t xml:space="preserve"> </w:t>
      </w:r>
    </w:p>
    <w:p w14:paraId="0BF78F95" w14:textId="77777777" w:rsidR="001E0E5E" w:rsidRDefault="001E0E5E" w:rsidP="001E0E5E">
      <w:pPr>
        <w:autoSpaceDE w:val="0"/>
        <w:autoSpaceDN w:val="0"/>
        <w:adjustRightInd w:val="0"/>
        <w:spacing w:after="0" w:line="240" w:lineRule="auto"/>
        <w:rPr>
          <w:rFonts w:ascii="Calibri" w:eastAsia="Calibri" w:hAnsi="Calibri" w:cs="Calibri"/>
        </w:rPr>
      </w:pPr>
    </w:p>
    <w:p w14:paraId="39AA9C94" w14:textId="77777777" w:rsidR="008355FD" w:rsidRDefault="008355FD" w:rsidP="001E0E5E">
      <w:pPr>
        <w:autoSpaceDE w:val="0"/>
        <w:autoSpaceDN w:val="0"/>
        <w:adjustRightInd w:val="0"/>
        <w:spacing w:after="0" w:line="240" w:lineRule="auto"/>
        <w:jc w:val="center"/>
        <w:rPr>
          <w:rFonts w:ascii="Calibri" w:eastAsia="Calibri" w:hAnsi="Calibri" w:cs="Calibri"/>
          <w:b/>
          <w:bCs/>
        </w:rPr>
      </w:pPr>
    </w:p>
    <w:p w14:paraId="6145A12C" w14:textId="77777777" w:rsidR="008355FD" w:rsidRDefault="008355FD" w:rsidP="001E0E5E">
      <w:pPr>
        <w:autoSpaceDE w:val="0"/>
        <w:autoSpaceDN w:val="0"/>
        <w:adjustRightInd w:val="0"/>
        <w:spacing w:after="0" w:line="240" w:lineRule="auto"/>
        <w:jc w:val="center"/>
        <w:rPr>
          <w:rFonts w:ascii="Calibri" w:eastAsia="Calibri" w:hAnsi="Calibri" w:cs="Calibri"/>
          <w:b/>
          <w:bCs/>
        </w:rPr>
      </w:pPr>
    </w:p>
    <w:p w14:paraId="4744F2CB" w14:textId="77777777" w:rsidR="008355FD" w:rsidRDefault="008355FD" w:rsidP="001E0E5E">
      <w:pPr>
        <w:autoSpaceDE w:val="0"/>
        <w:autoSpaceDN w:val="0"/>
        <w:adjustRightInd w:val="0"/>
        <w:spacing w:after="0" w:line="240" w:lineRule="auto"/>
        <w:jc w:val="center"/>
        <w:rPr>
          <w:rFonts w:ascii="Calibri" w:eastAsia="Calibri" w:hAnsi="Calibri" w:cs="Calibri"/>
          <w:b/>
          <w:bCs/>
        </w:rPr>
      </w:pPr>
    </w:p>
    <w:p w14:paraId="3B233F78" w14:textId="77777777" w:rsidR="008355FD" w:rsidRDefault="008355FD" w:rsidP="001E0E5E">
      <w:pPr>
        <w:autoSpaceDE w:val="0"/>
        <w:autoSpaceDN w:val="0"/>
        <w:adjustRightInd w:val="0"/>
        <w:spacing w:after="0" w:line="240" w:lineRule="auto"/>
        <w:jc w:val="center"/>
        <w:rPr>
          <w:rFonts w:ascii="Calibri" w:eastAsia="Calibri" w:hAnsi="Calibri" w:cs="Calibri"/>
          <w:b/>
          <w:bCs/>
        </w:rPr>
      </w:pPr>
    </w:p>
    <w:p w14:paraId="5246C3BF" w14:textId="77777777" w:rsidR="008355FD" w:rsidRDefault="008355FD" w:rsidP="001E0E5E">
      <w:pPr>
        <w:autoSpaceDE w:val="0"/>
        <w:autoSpaceDN w:val="0"/>
        <w:adjustRightInd w:val="0"/>
        <w:spacing w:after="0" w:line="240" w:lineRule="auto"/>
        <w:jc w:val="center"/>
        <w:rPr>
          <w:rFonts w:ascii="Calibri" w:eastAsia="Calibri" w:hAnsi="Calibri" w:cs="Calibri"/>
          <w:b/>
          <w:bCs/>
        </w:rPr>
      </w:pPr>
    </w:p>
    <w:p w14:paraId="7FD05877" w14:textId="77777777" w:rsidR="008355FD" w:rsidRDefault="008355FD" w:rsidP="001E0E5E">
      <w:pPr>
        <w:autoSpaceDE w:val="0"/>
        <w:autoSpaceDN w:val="0"/>
        <w:adjustRightInd w:val="0"/>
        <w:spacing w:after="0" w:line="240" w:lineRule="auto"/>
        <w:jc w:val="center"/>
        <w:rPr>
          <w:rFonts w:ascii="Calibri" w:eastAsia="Calibri" w:hAnsi="Calibri" w:cs="Calibri"/>
          <w:b/>
          <w:bCs/>
        </w:rPr>
      </w:pPr>
    </w:p>
    <w:p w14:paraId="76DEC483" w14:textId="77777777" w:rsidR="008355FD" w:rsidRDefault="008355FD" w:rsidP="001E0E5E">
      <w:pPr>
        <w:autoSpaceDE w:val="0"/>
        <w:autoSpaceDN w:val="0"/>
        <w:adjustRightInd w:val="0"/>
        <w:spacing w:after="0" w:line="240" w:lineRule="auto"/>
        <w:jc w:val="center"/>
        <w:rPr>
          <w:rFonts w:ascii="Calibri" w:eastAsia="Calibri" w:hAnsi="Calibri" w:cs="Calibri"/>
          <w:b/>
          <w:bCs/>
        </w:rPr>
      </w:pPr>
    </w:p>
    <w:p w14:paraId="5B25DC62" w14:textId="77777777" w:rsidR="008355FD" w:rsidRDefault="008355FD" w:rsidP="001E0E5E">
      <w:pPr>
        <w:autoSpaceDE w:val="0"/>
        <w:autoSpaceDN w:val="0"/>
        <w:adjustRightInd w:val="0"/>
        <w:spacing w:after="0" w:line="240" w:lineRule="auto"/>
        <w:jc w:val="center"/>
        <w:rPr>
          <w:rFonts w:ascii="Calibri" w:eastAsia="Calibri" w:hAnsi="Calibri" w:cs="Calibri"/>
          <w:b/>
          <w:bCs/>
        </w:rPr>
      </w:pPr>
    </w:p>
    <w:p w14:paraId="5684931C" w14:textId="77777777" w:rsidR="008355FD" w:rsidRDefault="008355FD" w:rsidP="001E0E5E">
      <w:pPr>
        <w:autoSpaceDE w:val="0"/>
        <w:autoSpaceDN w:val="0"/>
        <w:adjustRightInd w:val="0"/>
        <w:spacing w:after="0" w:line="240" w:lineRule="auto"/>
        <w:jc w:val="center"/>
        <w:rPr>
          <w:rFonts w:ascii="Calibri" w:eastAsia="Calibri" w:hAnsi="Calibri" w:cs="Calibri"/>
          <w:b/>
          <w:bCs/>
        </w:rPr>
      </w:pPr>
    </w:p>
    <w:p w14:paraId="370C8E83" w14:textId="77777777" w:rsidR="008355FD" w:rsidRDefault="008355FD" w:rsidP="001E0E5E">
      <w:pPr>
        <w:autoSpaceDE w:val="0"/>
        <w:autoSpaceDN w:val="0"/>
        <w:adjustRightInd w:val="0"/>
        <w:spacing w:after="0" w:line="240" w:lineRule="auto"/>
        <w:jc w:val="center"/>
        <w:rPr>
          <w:rFonts w:ascii="Calibri" w:eastAsia="Calibri" w:hAnsi="Calibri" w:cs="Calibri"/>
          <w:b/>
          <w:bCs/>
        </w:rPr>
      </w:pPr>
    </w:p>
    <w:p w14:paraId="334BFB35" w14:textId="31BBA08A" w:rsidR="001E0E5E" w:rsidRPr="008C2C1F" w:rsidRDefault="001E0E5E" w:rsidP="001E0E5E">
      <w:pPr>
        <w:autoSpaceDE w:val="0"/>
        <w:autoSpaceDN w:val="0"/>
        <w:adjustRightInd w:val="0"/>
        <w:spacing w:after="0" w:line="240" w:lineRule="auto"/>
        <w:jc w:val="center"/>
        <w:rPr>
          <w:rFonts w:ascii="Calibri" w:eastAsia="Calibri" w:hAnsi="Calibri" w:cs="Calibri"/>
          <w:b/>
          <w:bCs/>
        </w:rPr>
      </w:pPr>
      <w:r>
        <w:rPr>
          <w:rFonts w:ascii="Calibri" w:eastAsia="Calibri" w:hAnsi="Calibri" w:cs="Calibri"/>
          <w:b/>
          <w:bCs/>
        </w:rPr>
        <w:lastRenderedPageBreak/>
        <w:t xml:space="preserve">Figure </w:t>
      </w:r>
      <w:r w:rsidR="00FC40CA">
        <w:rPr>
          <w:rFonts w:ascii="Calibri" w:eastAsia="Calibri" w:hAnsi="Calibri" w:cs="Calibri"/>
          <w:b/>
          <w:bCs/>
        </w:rPr>
        <w:t>3.</w:t>
      </w:r>
      <w:r w:rsidRPr="008C2C1F">
        <w:rPr>
          <w:rFonts w:ascii="Calibri" w:eastAsia="Calibri" w:hAnsi="Calibri" w:cs="Calibri"/>
          <w:b/>
          <w:bCs/>
        </w:rPr>
        <w:t xml:space="preserve"> </w:t>
      </w:r>
      <w:r w:rsidRPr="001904C7">
        <w:rPr>
          <w:rFonts w:ascii="Calibri" w:eastAsia="Calibri" w:hAnsi="Calibri" w:cs="Calibri"/>
          <w:b/>
          <w:bCs/>
        </w:rPr>
        <w:t>HH Model Diagnostics: Comparison of Observed and Predicted Discharges to Community by Predicted Discharge to Community Deciles – CY 2015-2016</w:t>
      </w:r>
    </w:p>
    <w:p w14:paraId="04F0DCF3" w14:textId="77777777" w:rsidR="001E0E5E" w:rsidRPr="001D7DB4" w:rsidRDefault="001E0E5E" w:rsidP="001E0E5E">
      <w:pPr>
        <w:autoSpaceDE w:val="0"/>
        <w:autoSpaceDN w:val="0"/>
        <w:adjustRightInd w:val="0"/>
        <w:spacing w:after="0" w:line="240" w:lineRule="auto"/>
        <w:jc w:val="center"/>
        <w:rPr>
          <w:rFonts w:ascii="Calibri" w:eastAsia="Calibri" w:hAnsi="Calibri" w:cs="Calibri"/>
          <w:b/>
          <w:bCs/>
        </w:rPr>
      </w:pPr>
      <w:r>
        <w:rPr>
          <w:noProof/>
        </w:rPr>
        <w:drawing>
          <wp:inline distT="0" distB="0" distL="0" distR="0" wp14:anchorId="3402622B" wp14:editId="5A7CE9A8">
            <wp:extent cx="6022701" cy="4148920"/>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034206" cy="4156846"/>
                    </a:xfrm>
                    <a:prstGeom prst="rect">
                      <a:avLst/>
                    </a:prstGeom>
                    <a:noFill/>
                  </pic:spPr>
                </pic:pic>
              </a:graphicData>
            </a:graphic>
          </wp:inline>
        </w:drawing>
      </w:r>
    </w:p>
    <w:p w14:paraId="27590EB3" w14:textId="77777777" w:rsidR="001E0E5E" w:rsidRPr="00DB52B4" w:rsidRDefault="001E0E5E" w:rsidP="001E0E5E">
      <w:pPr>
        <w:autoSpaceDE w:val="0"/>
        <w:autoSpaceDN w:val="0"/>
        <w:adjustRightInd w:val="0"/>
        <w:spacing w:after="0" w:line="240" w:lineRule="auto"/>
        <w:rPr>
          <w:rFonts w:cstheme="minorHAnsi"/>
          <w:bCs/>
        </w:rPr>
      </w:pPr>
      <w:r>
        <w:rPr>
          <w:rFonts w:cstheme="minorHAnsi"/>
          <w:bCs/>
          <w:sz w:val="18"/>
        </w:rPr>
        <w:tab/>
        <w:t>Acumen</w:t>
      </w:r>
      <w:r w:rsidRPr="0090361B">
        <w:rPr>
          <w:rFonts w:cstheme="minorHAnsi"/>
          <w:bCs/>
          <w:sz w:val="18"/>
        </w:rPr>
        <w:t xml:space="preserve"> Analysis of Medicare Claims File for </w:t>
      </w:r>
      <w:r>
        <w:rPr>
          <w:rFonts w:cstheme="minorHAnsi"/>
          <w:bCs/>
          <w:sz w:val="18"/>
        </w:rPr>
        <w:t>HH</w:t>
      </w:r>
      <w:r w:rsidRPr="0090361B">
        <w:rPr>
          <w:rFonts w:cstheme="minorHAnsi"/>
          <w:bCs/>
          <w:sz w:val="18"/>
        </w:rPr>
        <w:t xml:space="preserve">, </w:t>
      </w:r>
      <w:r>
        <w:rPr>
          <w:rFonts w:cstheme="minorHAnsi"/>
          <w:bCs/>
          <w:sz w:val="18"/>
        </w:rPr>
        <w:t>CY</w:t>
      </w:r>
      <w:r w:rsidRPr="0090361B">
        <w:rPr>
          <w:rFonts w:cstheme="minorHAnsi"/>
          <w:bCs/>
          <w:sz w:val="18"/>
        </w:rPr>
        <w:t xml:space="preserve"> 201</w:t>
      </w:r>
      <w:r>
        <w:rPr>
          <w:rFonts w:cstheme="minorHAnsi"/>
          <w:bCs/>
          <w:sz w:val="18"/>
        </w:rPr>
        <w:t>5</w:t>
      </w:r>
      <w:r w:rsidRPr="0090361B">
        <w:rPr>
          <w:rFonts w:cstheme="minorHAnsi"/>
          <w:bCs/>
          <w:sz w:val="18"/>
        </w:rPr>
        <w:t>-201</w:t>
      </w:r>
      <w:r>
        <w:rPr>
          <w:rFonts w:cstheme="minorHAnsi"/>
          <w:bCs/>
          <w:sz w:val="18"/>
        </w:rPr>
        <w:t>6.</w:t>
      </w:r>
    </w:p>
    <w:p w14:paraId="1E95BA41" w14:textId="77777777" w:rsidR="001E0E5E" w:rsidRDefault="001E0E5E" w:rsidP="001E0E5E">
      <w:pPr>
        <w:autoSpaceDE w:val="0"/>
        <w:autoSpaceDN w:val="0"/>
        <w:adjustRightInd w:val="0"/>
        <w:spacing w:after="0" w:line="240" w:lineRule="auto"/>
        <w:rPr>
          <w:rFonts w:ascii="Calibri" w:eastAsia="Calibri" w:hAnsi="Calibri" w:cs="Calibri"/>
          <w:b/>
          <w:bCs/>
        </w:rPr>
      </w:pPr>
    </w:p>
    <w:p w14:paraId="67F6EFA6" w14:textId="010B8DC3" w:rsidR="001E0E5E" w:rsidRPr="008C2C1F" w:rsidRDefault="001E0E5E" w:rsidP="001E0E5E">
      <w:pPr>
        <w:autoSpaceDE w:val="0"/>
        <w:autoSpaceDN w:val="0"/>
        <w:adjustRightInd w:val="0"/>
        <w:spacing w:after="0" w:line="240" w:lineRule="auto"/>
        <w:jc w:val="center"/>
        <w:rPr>
          <w:rFonts w:ascii="Calibri" w:eastAsia="Calibri" w:hAnsi="Calibri" w:cs="Calibri"/>
          <w:b/>
          <w:bCs/>
        </w:rPr>
      </w:pPr>
      <w:r>
        <w:rPr>
          <w:rFonts w:ascii="Calibri" w:eastAsia="Calibri" w:hAnsi="Calibri" w:cs="Calibri"/>
          <w:b/>
          <w:bCs/>
        </w:rPr>
        <w:t>Table</w:t>
      </w:r>
      <w:r w:rsidRPr="008C2C1F">
        <w:rPr>
          <w:rFonts w:ascii="Calibri" w:eastAsia="Calibri" w:hAnsi="Calibri" w:cs="Calibri"/>
          <w:b/>
          <w:bCs/>
        </w:rPr>
        <w:t xml:space="preserve"> </w:t>
      </w:r>
      <w:r w:rsidR="00FC40CA">
        <w:rPr>
          <w:rFonts w:ascii="Calibri" w:eastAsia="Calibri" w:hAnsi="Calibri" w:cs="Calibri"/>
          <w:b/>
          <w:bCs/>
        </w:rPr>
        <w:t>18.</w:t>
      </w:r>
      <w:r w:rsidRPr="008C2C1F">
        <w:rPr>
          <w:rFonts w:ascii="Calibri" w:eastAsia="Calibri" w:hAnsi="Calibri" w:cs="Calibri"/>
          <w:b/>
          <w:bCs/>
        </w:rPr>
        <w:t xml:space="preserve"> </w:t>
      </w:r>
      <w:r w:rsidRPr="001904C7">
        <w:rPr>
          <w:rFonts w:ascii="Calibri" w:eastAsia="Calibri" w:hAnsi="Calibri" w:cs="Calibri"/>
          <w:b/>
          <w:bCs/>
        </w:rPr>
        <w:t>HH Model Diagnostics: Comparison of Observed and Predicted Discharges to Community by Predicted Discharge to Community Deciles – CY 2015-2016</w:t>
      </w:r>
    </w:p>
    <w:tbl>
      <w:tblPr>
        <w:tblW w:w="9700" w:type="dxa"/>
        <w:jc w:val="center"/>
        <w:tblLook w:val="04A0" w:firstRow="1" w:lastRow="0" w:firstColumn="1" w:lastColumn="0" w:noHBand="0" w:noVBand="1"/>
      </w:tblPr>
      <w:tblGrid>
        <w:gridCol w:w="1262"/>
        <w:gridCol w:w="1380"/>
        <w:gridCol w:w="940"/>
        <w:gridCol w:w="1011"/>
        <w:gridCol w:w="940"/>
        <w:gridCol w:w="897"/>
        <w:gridCol w:w="909"/>
        <w:gridCol w:w="1205"/>
        <w:gridCol w:w="1607"/>
      </w:tblGrid>
      <w:tr w:rsidR="001E0E5E" w:rsidRPr="000E6E45" w14:paraId="2CAD22F8" w14:textId="77777777" w:rsidTr="00697F68">
        <w:trPr>
          <w:trHeight w:val="990"/>
          <w:jc w:val="center"/>
        </w:trPr>
        <w:tc>
          <w:tcPr>
            <w:tcW w:w="1262" w:type="dxa"/>
            <w:vMerge w:val="restart"/>
            <w:tcBorders>
              <w:left w:val="nil"/>
              <w:bottom w:val="single" w:sz="4" w:space="0" w:color="auto"/>
              <w:right w:val="nil"/>
            </w:tcBorders>
            <w:shd w:val="clear" w:color="000000" w:fill="E7E6E6"/>
            <w:vAlign w:val="bottom"/>
            <w:hideMark/>
          </w:tcPr>
          <w:p w14:paraId="0754AD38" w14:textId="77777777" w:rsidR="001E0E5E" w:rsidRPr="000E6E45" w:rsidRDefault="001E0E5E" w:rsidP="00697F68">
            <w:pPr>
              <w:spacing w:after="0" w:line="240" w:lineRule="auto"/>
              <w:jc w:val="center"/>
              <w:rPr>
                <w:rFonts w:ascii="Calibri" w:eastAsia="Times New Roman" w:hAnsi="Calibri" w:cs="Times New Roman"/>
                <w:b/>
                <w:bCs/>
                <w:color w:val="000000"/>
              </w:rPr>
            </w:pPr>
            <w:r w:rsidRPr="000E6E45">
              <w:rPr>
                <w:rFonts w:ascii="Calibri" w:eastAsia="Times New Roman" w:hAnsi="Calibri" w:cs="Times New Roman"/>
                <w:b/>
                <w:bCs/>
                <w:color w:val="000000"/>
              </w:rPr>
              <w:t xml:space="preserve">Deciles of Predicted Probability of </w:t>
            </w:r>
            <w:r>
              <w:rPr>
                <w:rFonts w:ascii="Calibri" w:eastAsia="Times New Roman" w:hAnsi="Calibri" w:cs="Times New Roman"/>
                <w:b/>
                <w:bCs/>
                <w:color w:val="000000"/>
              </w:rPr>
              <w:t>DTC</w:t>
            </w:r>
          </w:p>
        </w:tc>
        <w:tc>
          <w:tcPr>
            <w:tcW w:w="1380" w:type="dxa"/>
            <w:vMerge w:val="restart"/>
            <w:tcBorders>
              <w:left w:val="nil"/>
              <w:bottom w:val="single" w:sz="4" w:space="0" w:color="auto"/>
              <w:right w:val="nil"/>
            </w:tcBorders>
            <w:shd w:val="clear" w:color="000000" w:fill="E7E6E6"/>
            <w:vAlign w:val="bottom"/>
            <w:hideMark/>
          </w:tcPr>
          <w:p w14:paraId="5685DEC3" w14:textId="77777777" w:rsidR="001E0E5E" w:rsidRPr="000E6E45" w:rsidRDefault="001E0E5E" w:rsidP="00697F68">
            <w:pPr>
              <w:spacing w:after="0" w:line="240" w:lineRule="auto"/>
              <w:jc w:val="center"/>
              <w:rPr>
                <w:rFonts w:ascii="Calibri" w:eastAsia="Times New Roman" w:hAnsi="Calibri" w:cs="Times New Roman"/>
                <w:b/>
                <w:bCs/>
                <w:color w:val="000000"/>
              </w:rPr>
            </w:pPr>
            <w:r w:rsidRPr="000E6E45">
              <w:rPr>
                <w:rFonts w:ascii="Calibri" w:eastAsia="Times New Roman" w:hAnsi="Calibri" w:cs="Times New Roman"/>
                <w:b/>
                <w:bCs/>
                <w:color w:val="000000"/>
              </w:rPr>
              <w:t>Number of HH Discharges</w:t>
            </w:r>
          </w:p>
        </w:tc>
        <w:tc>
          <w:tcPr>
            <w:tcW w:w="1805" w:type="dxa"/>
            <w:gridSpan w:val="2"/>
            <w:tcBorders>
              <w:left w:val="nil"/>
              <w:bottom w:val="single" w:sz="4" w:space="0" w:color="auto"/>
              <w:right w:val="nil"/>
            </w:tcBorders>
            <w:shd w:val="clear" w:color="000000" w:fill="E7E6E6"/>
            <w:vAlign w:val="bottom"/>
            <w:hideMark/>
          </w:tcPr>
          <w:p w14:paraId="68BFB920" w14:textId="77777777" w:rsidR="001E0E5E" w:rsidRPr="000E6E45" w:rsidRDefault="001E0E5E" w:rsidP="00697F68">
            <w:pPr>
              <w:spacing w:after="0" w:line="240" w:lineRule="auto"/>
              <w:jc w:val="center"/>
              <w:rPr>
                <w:rFonts w:ascii="Calibri" w:eastAsia="Times New Roman" w:hAnsi="Calibri" w:cs="Times New Roman"/>
                <w:b/>
                <w:bCs/>
                <w:color w:val="000000"/>
              </w:rPr>
            </w:pPr>
            <w:r w:rsidRPr="000E6E45">
              <w:rPr>
                <w:rFonts w:ascii="Calibri" w:eastAsia="Times New Roman" w:hAnsi="Calibri" w:cs="Times New Roman"/>
                <w:b/>
                <w:bCs/>
                <w:color w:val="000000"/>
              </w:rPr>
              <w:t>Observed Discharges to Community</w:t>
            </w:r>
          </w:p>
        </w:tc>
        <w:tc>
          <w:tcPr>
            <w:tcW w:w="1564" w:type="dxa"/>
            <w:gridSpan w:val="2"/>
            <w:tcBorders>
              <w:left w:val="nil"/>
              <w:bottom w:val="single" w:sz="4" w:space="0" w:color="auto"/>
              <w:right w:val="nil"/>
            </w:tcBorders>
            <w:shd w:val="clear" w:color="000000" w:fill="E7E6E6"/>
            <w:vAlign w:val="bottom"/>
            <w:hideMark/>
          </w:tcPr>
          <w:p w14:paraId="1E2DFC1C" w14:textId="77777777" w:rsidR="001E0E5E" w:rsidRPr="000E6E45" w:rsidRDefault="001E0E5E" w:rsidP="00697F68">
            <w:pPr>
              <w:spacing w:after="0" w:line="240" w:lineRule="auto"/>
              <w:jc w:val="center"/>
              <w:rPr>
                <w:rFonts w:ascii="Calibri" w:eastAsia="Times New Roman" w:hAnsi="Calibri" w:cs="Times New Roman"/>
                <w:b/>
                <w:bCs/>
                <w:color w:val="000000"/>
              </w:rPr>
            </w:pPr>
            <w:r w:rsidRPr="000E6E45">
              <w:rPr>
                <w:rFonts w:ascii="Calibri" w:eastAsia="Times New Roman" w:hAnsi="Calibri" w:cs="Times New Roman"/>
                <w:b/>
                <w:bCs/>
                <w:color w:val="000000"/>
              </w:rPr>
              <w:t>Predicted Discharges to Community</w:t>
            </w:r>
          </w:p>
        </w:tc>
        <w:tc>
          <w:tcPr>
            <w:tcW w:w="2114" w:type="dxa"/>
            <w:gridSpan w:val="2"/>
            <w:tcBorders>
              <w:left w:val="nil"/>
              <w:bottom w:val="single" w:sz="4" w:space="0" w:color="auto"/>
              <w:right w:val="nil"/>
            </w:tcBorders>
            <w:shd w:val="clear" w:color="000000" w:fill="E7E6E6"/>
            <w:vAlign w:val="bottom"/>
            <w:hideMark/>
          </w:tcPr>
          <w:p w14:paraId="652D7ED5" w14:textId="77777777" w:rsidR="001E0E5E" w:rsidRPr="000E6E45" w:rsidRDefault="001E0E5E" w:rsidP="00697F68">
            <w:pPr>
              <w:spacing w:after="0" w:line="240" w:lineRule="auto"/>
              <w:jc w:val="center"/>
              <w:rPr>
                <w:rFonts w:ascii="Calibri" w:eastAsia="Times New Roman" w:hAnsi="Calibri" w:cs="Times New Roman"/>
                <w:b/>
                <w:bCs/>
                <w:color w:val="000000"/>
              </w:rPr>
            </w:pPr>
            <w:r w:rsidRPr="000E6E45">
              <w:rPr>
                <w:rFonts w:ascii="Calibri" w:eastAsia="Times New Roman" w:hAnsi="Calibri" w:cs="Times New Roman"/>
                <w:b/>
                <w:bCs/>
                <w:color w:val="000000"/>
              </w:rPr>
              <w:t>Difference: Observed - Predicted</w:t>
            </w:r>
          </w:p>
        </w:tc>
        <w:tc>
          <w:tcPr>
            <w:tcW w:w="1575" w:type="dxa"/>
            <w:vMerge w:val="restart"/>
            <w:tcBorders>
              <w:left w:val="nil"/>
              <w:bottom w:val="single" w:sz="4" w:space="0" w:color="auto"/>
              <w:right w:val="nil"/>
            </w:tcBorders>
            <w:shd w:val="clear" w:color="000000" w:fill="E7E6E6"/>
            <w:vAlign w:val="bottom"/>
            <w:hideMark/>
          </w:tcPr>
          <w:p w14:paraId="1D67A838" w14:textId="77777777" w:rsidR="001E0E5E" w:rsidRPr="000E6E45" w:rsidRDefault="001E0E5E" w:rsidP="00697F68">
            <w:pPr>
              <w:spacing w:after="0" w:line="240" w:lineRule="auto"/>
              <w:jc w:val="center"/>
              <w:rPr>
                <w:rFonts w:ascii="Calibri" w:eastAsia="Times New Roman" w:hAnsi="Calibri" w:cs="Times New Roman"/>
                <w:b/>
                <w:bCs/>
                <w:color w:val="000000"/>
              </w:rPr>
            </w:pPr>
            <w:r w:rsidRPr="000E6E45">
              <w:rPr>
                <w:rFonts w:ascii="Calibri" w:eastAsia="Times New Roman" w:hAnsi="Calibri" w:cs="Times New Roman"/>
                <w:b/>
                <w:bCs/>
                <w:color w:val="000000"/>
              </w:rPr>
              <w:t>Ratio of Predicted DTC Rate/Observed DTC Rate</w:t>
            </w:r>
          </w:p>
        </w:tc>
      </w:tr>
      <w:tr w:rsidR="001E0E5E" w:rsidRPr="000E6E45" w14:paraId="75F64839" w14:textId="77777777" w:rsidTr="00697F68">
        <w:trPr>
          <w:trHeight w:val="435"/>
          <w:jc w:val="center"/>
        </w:trPr>
        <w:tc>
          <w:tcPr>
            <w:tcW w:w="1262" w:type="dxa"/>
            <w:vMerge/>
            <w:tcBorders>
              <w:top w:val="single" w:sz="4" w:space="0" w:color="auto"/>
              <w:left w:val="nil"/>
              <w:bottom w:val="single" w:sz="4" w:space="0" w:color="000000"/>
              <w:right w:val="nil"/>
            </w:tcBorders>
            <w:vAlign w:val="center"/>
            <w:hideMark/>
          </w:tcPr>
          <w:p w14:paraId="09234788" w14:textId="77777777" w:rsidR="001E0E5E" w:rsidRPr="000E6E45" w:rsidRDefault="001E0E5E" w:rsidP="00697F68">
            <w:pPr>
              <w:spacing w:after="0" w:line="240" w:lineRule="auto"/>
              <w:rPr>
                <w:rFonts w:ascii="Calibri" w:eastAsia="Times New Roman" w:hAnsi="Calibri" w:cs="Times New Roman"/>
                <w:b/>
                <w:bCs/>
                <w:color w:val="000000"/>
              </w:rPr>
            </w:pPr>
          </w:p>
        </w:tc>
        <w:tc>
          <w:tcPr>
            <w:tcW w:w="1380" w:type="dxa"/>
            <w:vMerge/>
            <w:tcBorders>
              <w:top w:val="single" w:sz="4" w:space="0" w:color="auto"/>
              <w:left w:val="nil"/>
              <w:bottom w:val="single" w:sz="4" w:space="0" w:color="000000"/>
              <w:right w:val="nil"/>
            </w:tcBorders>
            <w:vAlign w:val="center"/>
            <w:hideMark/>
          </w:tcPr>
          <w:p w14:paraId="297BF22B" w14:textId="77777777" w:rsidR="001E0E5E" w:rsidRPr="000E6E45" w:rsidRDefault="001E0E5E" w:rsidP="00697F68">
            <w:pPr>
              <w:spacing w:after="0" w:line="240" w:lineRule="auto"/>
              <w:rPr>
                <w:rFonts w:ascii="Calibri" w:eastAsia="Times New Roman" w:hAnsi="Calibri" w:cs="Times New Roman"/>
                <w:b/>
                <w:bCs/>
                <w:color w:val="000000"/>
              </w:rPr>
            </w:pPr>
          </w:p>
        </w:tc>
        <w:tc>
          <w:tcPr>
            <w:tcW w:w="794" w:type="dxa"/>
            <w:tcBorders>
              <w:top w:val="single" w:sz="4" w:space="0" w:color="auto"/>
              <w:left w:val="nil"/>
              <w:bottom w:val="single" w:sz="4" w:space="0" w:color="auto"/>
              <w:right w:val="nil"/>
            </w:tcBorders>
            <w:shd w:val="clear" w:color="000000" w:fill="E7E6E6"/>
            <w:vAlign w:val="bottom"/>
            <w:hideMark/>
          </w:tcPr>
          <w:p w14:paraId="13061339" w14:textId="77777777" w:rsidR="001E0E5E" w:rsidRPr="000E6E45" w:rsidRDefault="001E0E5E" w:rsidP="00697F68">
            <w:pPr>
              <w:spacing w:after="0" w:line="240" w:lineRule="auto"/>
              <w:jc w:val="center"/>
              <w:rPr>
                <w:rFonts w:ascii="Calibri" w:eastAsia="Times New Roman" w:hAnsi="Calibri" w:cs="Times New Roman"/>
                <w:b/>
                <w:bCs/>
                <w:color w:val="000000"/>
              </w:rPr>
            </w:pPr>
            <w:r w:rsidRPr="000E6E45">
              <w:rPr>
                <w:rFonts w:ascii="Calibri" w:eastAsia="Times New Roman" w:hAnsi="Calibri" w:cs="Times New Roman"/>
                <w:b/>
                <w:bCs/>
                <w:color w:val="000000"/>
              </w:rPr>
              <w:t>Count</w:t>
            </w:r>
          </w:p>
        </w:tc>
        <w:tc>
          <w:tcPr>
            <w:tcW w:w="1011" w:type="dxa"/>
            <w:tcBorders>
              <w:top w:val="single" w:sz="4" w:space="0" w:color="auto"/>
              <w:left w:val="nil"/>
              <w:bottom w:val="single" w:sz="4" w:space="0" w:color="auto"/>
              <w:right w:val="nil"/>
            </w:tcBorders>
            <w:shd w:val="clear" w:color="000000" w:fill="E7E6E6"/>
            <w:noWrap/>
            <w:vAlign w:val="bottom"/>
            <w:hideMark/>
          </w:tcPr>
          <w:p w14:paraId="6B1C1CA3" w14:textId="77777777" w:rsidR="001E0E5E" w:rsidRPr="000E6E45" w:rsidRDefault="001E0E5E" w:rsidP="00697F68">
            <w:pPr>
              <w:spacing w:after="0" w:line="240" w:lineRule="auto"/>
              <w:jc w:val="center"/>
              <w:rPr>
                <w:rFonts w:ascii="Calibri" w:eastAsia="Times New Roman" w:hAnsi="Calibri" w:cs="Times New Roman"/>
                <w:b/>
                <w:bCs/>
                <w:color w:val="000000"/>
              </w:rPr>
            </w:pPr>
            <w:r w:rsidRPr="000E6E45">
              <w:rPr>
                <w:rFonts w:ascii="Calibri" w:eastAsia="Times New Roman" w:hAnsi="Calibri" w:cs="Times New Roman"/>
                <w:b/>
                <w:bCs/>
                <w:color w:val="000000"/>
              </w:rPr>
              <w:t>%</w:t>
            </w:r>
          </w:p>
        </w:tc>
        <w:tc>
          <w:tcPr>
            <w:tcW w:w="794" w:type="dxa"/>
            <w:tcBorders>
              <w:top w:val="single" w:sz="4" w:space="0" w:color="auto"/>
              <w:left w:val="nil"/>
              <w:bottom w:val="single" w:sz="4" w:space="0" w:color="auto"/>
              <w:right w:val="nil"/>
            </w:tcBorders>
            <w:shd w:val="clear" w:color="000000" w:fill="E7E6E6"/>
            <w:vAlign w:val="bottom"/>
            <w:hideMark/>
          </w:tcPr>
          <w:p w14:paraId="30839C7E" w14:textId="77777777" w:rsidR="001E0E5E" w:rsidRPr="000E6E45" w:rsidRDefault="001E0E5E" w:rsidP="00697F68">
            <w:pPr>
              <w:spacing w:after="0" w:line="240" w:lineRule="auto"/>
              <w:jc w:val="center"/>
              <w:rPr>
                <w:rFonts w:ascii="Calibri" w:eastAsia="Times New Roman" w:hAnsi="Calibri" w:cs="Times New Roman"/>
                <w:b/>
                <w:bCs/>
                <w:color w:val="000000"/>
              </w:rPr>
            </w:pPr>
            <w:r w:rsidRPr="000E6E45">
              <w:rPr>
                <w:rFonts w:ascii="Calibri" w:eastAsia="Times New Roman" w:hAnsi="Calibri" w:cs="Times New Roman"/>
                <w:b/>
                <w:bCs/>
                <w:color w:val="000000"/>
              </w:rPr>
              <w:t>Count</w:t>
            </w:r>
          </w:p>
        </w:tc>
        <w:tc>
          <w:tcPr>
            <w:tcW w:w="770" w:type="dxa"/>
            <w:tcBorders>
              <w:top w:val="single" w:sz="4" w:space="0" w:color="auto"/>
              <w:left w:val="nil"/>
              <w:bottom w:val="single" w:sz="4" w:space="0" w:color="auto"/>
              <w:right w:val="nil"/>
            </w:tcBorders>
            <w:shd w:val="clear" w:color="000000" w:fill="E7E6E6"/>
            <w:noWrap/>
            <w:vAlign w:val="bottom"/>
            <w:hideMark/>
          </w:tcPr>
          <w:p w14:paraId="44174A3E" w14:textId="77777777" w:rsidR="001E0E5E" w:rsidRPr="000E6E45" w:rsidRDefault="001E0E5E" w:rsidP="00697F68">
            <w:pPr>
              <w:spacing w:after="0" w:line="240" w:lineRule="auto"/>
              <w:jc w:val="center"/>
              <w:rPr>
                <w:rFonts w:ascii="Calibri" w:eastAsia="Times New Roman" w:hAnsi="Calibri" w:cs="Times New Roman"/>
                <w:b/>
                <w:bCs/>
                <w:color w:val="000000"/>
              </w:rPr>
            </w:pPr>
            <w:r w:rsidRPr="000E6E45">
              <w:rPr>
                <w:rFonts w:ascii="Calibri" w:eastAsia="Times New Roman" w:hAnsi="Calibri" w:cs="Times New Roman"/>
                <w:b/>
                <w:bCs/>
                <w:color w:val="000000"/>
              </w:rPr>
              <w:t>%</w:t>
            </w:r>
          </w:p>
        </w:tc>
        <w:tc>
          <w:tcPr>
            <w:tcW w:w="909" w:type="dxa"/>
            <w:tcBorders>
              <w:top w:val="single" w:sz="4" w:space="0" w:color="auto"/>
              <w:left w:val="nil"/>
              <w:bottom w:val="single" w:sz="4" w:space="0" w:color="auto"/>
              <w:right w:val="nil"/>
            </w:tcBorders>
            <w:shd w:val="clear" w:color="000000" w:fill="E7E6E6"/>
            <w:vAlign w:val="bottom"/>
            <w:hideMark/>
          </w:tcPr>
          <w:p w14:paraId="4C87F667" w14:textId="77777777" w:rsidR="001E0E5E" w:rsidRPr="000E6E45" w:rsidRDefault="001E0E5E" w:rsidP="00697F68">
            <w:pPr>
              <w:spacing w:after="0" w:line="240" w:lineRule="auto"/>
              <w:jc w:val="center"/>
              <w:rPr>
                <w:rFonts w:ascii="Calibri" w:eastAsia="Times New Roman" w:hAnsi="Calibri" w:cs="Times New Roman"/>
                <w:b/>
                <w:bCs/>
                <w:color w:val="000000"/>
              </w:rPr>
            </w:pPr>
            <w:r w:rsidRPr="000E6E45">
              <w:rPr>
                <w:rFonts w:ascii="Calibri" w:eastAsia="Times New Roman" w:hAnsi="Calibri" w:cs="Times New Roman"/>
                <w:b/>
                <w:bCs/>
                <w:color w:val="000000"/>
              </w:rPr>
              <w:t>Count</w:t>
            </w:r>
          </w:p>
        </w:tc>
        <w:tc>
          <w:tcPr>
            <w:tcW w:w="1205" w:type="dxa"/>
            <w:tcBorders>
              <w:top w:val="single" w:sz="4" w:space="0" w:color="auto"/>
              <w:left w:val="nil"/>
              <w:bottom w:val="single" w:sz="4" w:space="0" w:color="auto"/>
              <w:right w:val="nil"/>
            </w:tcBorders>
            <w:shd w:val="clear" w:color="000000" w:fill="E7E6E6"/>
            <w:noWrap/>
            <w:vAlign w:val="bottom"/>
            <w:hideMark/>
          </w:tcPr>
          <w:p w14:paraId="1704AB02" w14:textId="77777777" w:rsidR="001E0E5E" w:rsidRPr="000E6E45" w:rsidRDefault="001E0E5E" w:rsidP="00697F68">
            <w:pPr>
              <w:spacing w:after="0" w:line="240" w:lineRule="auto"/>
              <w:jc w:val="center"/>
              <w:rPr>
                <w:rFonts w:ascii="Calibri" w:eastAsia="Times New Roman" w:hAnsi="Calibri" w:cs="Times New Roman"/>
                <w:b/>
                <w:bCs/>
                <w:color w:val="000000"/>
              </w:rPr>
            </w:pPr>
            <w:r w:rsidRPr="000E6E45">
              <w:rPr>
                <w:rFonts w:ascii="Calibri" w:eastAsia="Times New Roman" w:hAnsi="Calibri" w:cs="Times New Roman"/>
                <w:b/>
                <w:bCs/>
                <w:color w:val="000000"/>
              </w:rPr>
              <w:t>% points</w:t>
            </w:r>
          </w:p>
        </w:tc>
        <w:tc>
          <w:tcPr>
            <w:tcW w:w="1575" w:type="dxa"/>
            <w:vMerge/>
            <w:tcBorders>
              <w:top w:val="single" w:sz="4" w:space="0" w:color="auto"/>
              <w:left w:val="nil"/>
              <w:bottom w:val="single" w:sz="4" w:space="0" w:color="000000"/>
              <w:right w:val="nil"/>
            </w:tcBorders>
            <w:vAlign w:val="center"/>
            <w:hideMark/>
          </w:tcPr>
          <w:p w14:paraId="29211A2F" w14:textId="77777777" w:rsidR="001E0E5E" w:rsidRPr="000E6E45" w:rsidRDefault="001E0E5E" w:rsidP="00697F68">
            <w:pPr>
              <w:spacing w:after="0" w:line="240" w:lineRule="auto"/>
              <w:rPr>
                <w:rFonts w:ascii="Calibri" w:eastAsia="Times New Roman" w:hAnsi="Calibri" w:cs="Times New Roman"/>
                <w:b/>
                <w:bCs/>
                <w:color w:val="000000"/>
              </w:rPr>
            </w:pPr>
          </w:p>
        </w:tc>
      </w:tr>
      <w:tr w:rsidR="001E0E5E" w:rsidRPr="000E6E45" w14:paraId="2186B535" w14:textId="77777777" w:rsidTr="00697F68">
        <w:trPr>
          <w:trHeight w:val="300"/>
          <w:jc w:val="center"/>
        </w:trPr>
        <w:tc>
          <w:tcPr>
            <w:tcW w:w="1262" w:type="dxa"/>
            <w:tcBorders>
              <w:top w:val="nil"/>
              <w:left w:val="nil"/>
              <w:bottom w:val="nil"/>
              <w:right w:val="nil"/>
            </w:tcBorders>
            <w:shd w:val="clear" w:color="auto" w:fill="auto"/>
            <w:noWrap/>
            <w:hideMark/>
          </w:tcPr>
          <w:p w14:paraId="043DBA08"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1</w:t>
            </w:r>
          </w:p>
        </w:tc>
        <w:tc>
          <w:tcPr>
            <w:tcW w:w="1380" w:type="dxa"/>
            <w:tcBorders>
              <w:top w:val="nil"/>
              <w:left w:val="nil"/>
              <w:bottom w:val="nil"/>
              <w:right w:val="nil"/>
            </w:tcBorders>
            <w:shd w:val="clear" w:color="auto" w:fill="auto"/>
            <w:noWrap/>
            <w:vAlign w:val="bottom"/>
            <w:hideMark/>
          </w:tcPr>
          <w:p w14:paraId="4F167A2E"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627,929</w:t>
            </w:r>
          </w:p>
        </w:tc>
        <w:tc>
          <w:tcPr>
            <w:tcW w:w="794" w:type="dxa"/>
            <w:tcBorders>
              <w:top w:val="nil"/>
              <w:left w:val="nil"/>
              <w:bottom w:val="nil"/>
              <w:right w:val="nil"/>
            </w:tcBorders>
            <w:shd w:val="clear" w:color="auto" w:fill="auto"/>
            <w:noWrap/>
            <w:vAlign w:val="bottom"/>
            <w:hideMark/>
          </w:tcPr>
          <w:p w14:paraId="2C5A162C" w14:textId="77777777" w:rsidR="001E0E5E" w:rsidRPr="000E6E45" w:rsidRDefault="001E0E5E" w:rsidP="00697F68">
            <w:pPr>
              <w:spacing w:after="0" w:line="240" w:lineRule="auto"/>
              <w:jc w:val="right"/>
              <w:rPr>
                <w:rFonts w:ascii="Calibri" w:eastAsia="Times New Roman" w:hAnsi="Calibri" w:cs="Times New Roman"/>
                <w:color w:val="000000"/>
              </w:rPr>
            </w:pPr>
            <w:r w:rsidRPr="000E6E45">
              <w:rPr>
                <w:rFonts w:ascii="Calibri" w:eastAsia="Times New Roman" w:hAnsi="Calibri" w:cs="Times New Roman"/>
                <w:color w:val="000000"/>
              </w:rPr>
              <w:t>286,540</w:t>
            </w:r>
          </w:p>
        </w:tc>
        <w:tc>
          <w:tcPr>
            <w:tcW w:w="1011" w:type="dxa"/>
            <w:tcBorders>
              <w:top w:val="nil"/>
              <w:left w:val="nil"/>
              <w:bottom w:val="nil"/>
              <w:right w:val="nil"/>
            </w:tcBorders>
            <w:shd w:val="clear" w:color="auto" w:fill="auto"/>
            <w:noWrap/>
            <w:vAlign w:val="center"/>
            <w:hideMark/>
          </w:tcPr>
          <w:p w14:paraId="17115933"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(45.6%)</w:t>
            </w:r>
          </w:p>
        </w:tc>
        <w:tc>
          <w:tcPr>
            <w:tcW w:w="794" w:type="dxa"/>
            <w:tcBorders>
              <w:top w:val="nil"/>
              <w:left w:val="nil"/>
              <w:bottom w:val="nil"/>
              <w:right w:val="nil"/>
            </w:tcBorders>
            <w:shd w:val="clear" w:color="auto" w:fill="auto"/>
            <w:noWrap/>
            <w:vAlign w:val="bottom"/>
            <w:hideMark/>
          </w:tcPr>
          <w:p w14:paraId="0F97AA62" w14:textId="77777777" w:rsidR="001E0E5E" w:rsidRPr="000E6E45" w:rsidRDefault="001E0E5E" w:rsidP="00697F68">
            <w:pPr>
              <w:spacing w:after="0" w:line="240" w:lineRule="auto"/>
              <w:jc w:val="right"/>
              <w:rPr>
                <w:rFonts w:ascii="Calibri" w:eastAsia="Times New Roman" w:hAnsi="Calibri" w:cs="Times New Roman"/>
                <w:color w:val="000000"/>
              </w:rPr>
            </w:pPr>
            <w:r w:rsidRPr="000E6E45">
              <w:rPr>
                <w:rFonts w:ascii="Calibri" w:eastAsia="Times New Roman" w:hAnsi="Calibri" w:cs="Times New Roman"/>
                <w:color w:val="000000"/>
              </w:rPr>
              <w:t>284,654</w:t>
            </w:r>
          </w:p>
        </w:tc>
        <w:tc>
          <w:tcPr>
            <w:tcW w:w="770" w:type="dxa"/>
            <w:tcBorders>
              <w:top w:val="nil"/>
              <w:left w:val="nil"/>
              <w:bottom w:val="nil"/>
              <w:right w:val="nil"/>
            </w:tcBorders>
            <w:shd w:val="clear" w:color="auto" w:fill="auto"/>
            <w:noWrap/>
            <w:vAlign w:val="bottom"/>
            <w:hideMark/>
          </w:tcPr>
          <w:p w14:paraId="48703590" w14:textId="77777777" w:rsidR="001E0E5E" w:rsidRPr="000E6E45" w:rsidRDefault="001E0E5E" w:rsidP="00697F68">
            <w:pPr>
              <w:spacing w:after="0" w:line="240" w:lineRule="auto"/>
              <w:rPr>
                <w:rFonts w:ascii="Calibri" w:eastAsia="Times New Roman" w:hAnsi="Calibri" w:cs="Times New Roman"/>
                <w:color w:val="000000"/>
              </w:rPr>
            </w:pPr>
            <w:r w:rsidRPr="000E6E45">
              <w:rPr>
                <w:rFonts w:ascii="Calibri" w:eastAsia="Times New Roman" w:hAnsi="Calibri" w:cs="Times New Roman"/>
                <w:color w:val="000000"/>
              </w:rPr>
              <w:t>(45.3%)</w:t>
            </w:r>
          </w:p>
        </w:tc>
        <w:tc>
          <w:tcPr>
            <w:tcW w:w="909" w:type="dxa"/>
            <w:tcBorders>
              <w:top w:val="nil"/>
              <w:left w:val="nil"/>
              <w:bottom w:val="nil"/>
              <w:right w:val="nil"/>
            </w:tcBorders>
            <w:shd w:val="clear" w:color="auto" w:fill="auto"/>
            <w:noWrap/>
            <w:vAlign w:val="bottom"/>
            <w:hideMark/>
          </w:tcPr>
          <w:p w14:paraId="13C3A57D"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1,886</w:t>
            </w:r>
          </w:p>
        </w:tc>
        <w:tc>
          <w:tcPr>
            <w:tcW w:w="1205" w:type="dxa"/>
            <w:tcBorders>
              <w:top w:val="nil"/>
              <w:left w:val="nil"/>
              <w:bottom w:val="nil"/>
              <w:right w:val="nil"/>
            </w:tcBorders>
            <w:shd w:val="clear" w:color="auto" w:fill="auto"/>
            <w:noWrap/>
            <w:vAlign w:val="bottom"/>
            <w:hideMark/>
          </w:tcPr>
          <w:p w14:paraId="53B06D86"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(0.3)</w:t>
            </w:r>
          </w:p>
        </w:tc>
        <w:tc>
          <w:tcPr>
            <w:tcW w:w="1575" w:type="dxa"/>
            <w:tcBorders>
              <w:top w:val="nil"/>
              <w:left w:val="nil"/>
              <w:bottom w:val="nil"/>
              <w:right w:val="nil"/>
            </w:tcBorders>
            <w:shd w:val="clear" w:color="auto" w:fill="auto"/>
            <w:noWrap/>
            <w:vAlign w:val="bottom"/>
            <w:hideMark/>
          </w:tcPr>
          <w:p w14:paraId="3266819A" w14:textId="77777777" w:rsidR="001E0E5E" w:rsidRPr="000E6E45" w:rsidRDefault="001E0E5E" w:rsidP="00697F68">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0.99</w:t>
            </w:r>
          </w:p>
        </w:tc>
      </w:tr>
      <w:tr w:rsidR="001E0E5E" w:rsidRPr="000E6E45" w14:paraId="0BFD2083" w14:textId="77777777" w:rsidTr="00697F68">
        <w:trPr>
          <w:trHeight w:val="300"/>
          <w:jc w:val="center"/>
        </w:trPr>
        <w:tc>
          <w:tcPr>
            <w:tcW w:w="1262" w:type="dxa"/>
            <w:tcBorders>
              <w:top w:val="nil"/>
              <w:left w:val="nil"/>
              <w:bottom w:val="nil"/>
              <w:right w:val="nil"/>
            </w:tcBorders>
            <w:shd w:val="clear" w:color="auto" w:fill="auto"/>
            <w:noWrap/>
            <w:hideMark/>
          </w:tcPr>
          <w:p w14:paraId="47E277F0"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2</w:t>
            </w:r>
          </w:p>
        </w:tc>
        <w:tc>
          <w:tcPr>
            <w:tcW w:w="1380" w:type="dxa"/>
            <w:tcBorders>
              <w:top w:val="nil"/>
              <w:left w:val="nil"/>
              <w:bottom w:val="nil"/>
              <w:right w:val="nil"/>
            </w:tcBorders>
            <w:shd w:val="clear" w:color="auto" w:fill="auto"/>
            <w:noWrap/>
            <w:vAlign w:val="bottom"/>
            <w:hideMark/>
          </w:tcPr>
          <w:p w14:paraId="5620092E"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627,928</w:t>
            </w:r>
          </w:p>
        </w:tc>
        <w:tc>
          <w:tcPr>
            <w:tcW w:w="794" w:type="dxa"/>
            <w:tcBorders>
              <w:top w:val="nil"/>
              <w:left w:val="nil"/>
              <w:bottom w:val="nil"/>
              <w:right w:val="nil"/>
            </w:tcBorders>
            <w:shd w:val="clear" w:color="auto" w:fill="auto"/>
            <w:noWrap/>
            <w:vAlign w:val="bottom"/>
            <w:hideMark/>
          </w:tcPr>
          <w:p w14:paraId="260CFF22" w14:textId="77777777" w:rsidR="001E0E5E" w:rsidRPr="000E6E45" w:rsidRDefault="001E0E5E" w:rsidP="00697F68">
            <w:pPr>
              <w:spacing w:after="0" w:line="240" w:lineRule="auto"/>
              <w:jc w:val="right"/>
              <w:rPr>
                <w:rFonts w:ascii="Calibri" w:eastAsia="Times New Roman" w:hAnsi="Calibri" w:cs="Times New Roman"/>
                <w:color w:val="000000"/>
              </w:rPr>
            </w:pPr>
            <w:r w:rsidRPr="000E6E45">
              <w:rPr>
                <w:rFonts w:ascii="Calibri" w:eastAsia="Times New Roman" w:hAnsi="Calibri" w:cs="Times New Roman"/>
                <w:color w:val="000000"/>
              </w:rPr>
              <w:t>404,610</w:t>
            </w:r>
          </w:p>
        </w:tc>
        <w:tc>
          <w:tcPr>
            <w:tcW w:w="1011" w:type="dxa"/>
            <w:tcBorders>
              <w:top w:val="nil"/>
              <w:left w:val="nil"/>
              <w:bottom w:val="nil"/>
              <w:right w:val="nil"/>
            </w:tcBorders>
            <w:shd w:val="clear" w:color="auto" w:fill="auto"/>
            <w:noWrap/>
            <w:vAlign w:val="center"/>
            <w:hideMark/>
          </w:tcPr>
          <w:p w14:paraId="5BA47186"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(64.4%)</w:t>
            </w:r>
          </w:p>
        </w:tc>
        <w:tc>
          <w:tcPr>
            <w:tcW w:w="794" w:type="dxa"/>
            <w:tcBorders>
              <w:top w:val="nil"/>
              <w:left w:val="nil"/>
              <w:bottom w:val="nil"/>
              <w:right w:val="nil"/>
            </w:tcBorders>
            <w:shd w:val="clear" w:color="auto" w:fill="auto"/>
            <w:noWrap/>
            <w:vAlign w:val="bottom"/>
            <w:hideMark/>
          </w:tcPr>
          <w:p w14:paraId="4EA40808" w14:textId="77777777" w:rsidR="001E0E5E" w:rsidRPr="000E6E45" w:rsidRDefault="001E0E5E" w:rsidP="00697F68">
            <w:pPr>
              <w:spacing w:after="0" w:line="240" w:lineRule="auto"/>
              <w:jc w:val="right"/>
              <w:rPr>
                <w:rFonts w:ascii="Calibri" w:eastAsia="Times New Roman" w:hAnsi="Calibri" w:cs="Times New Roman"/>
                <w:color w:val="000000"/>
              </w:rPr>
            </w:pPr>
            <w:r w:rsidRPr="000E6E45">
              <w:rPr>
                <w:rFonts w:ascii="Calibri" w:eastAsia="Times New Roman" w:hAnsi="Calibri" w:cs="Times New Roman"/>
                <w:color w:val="000000"/>
              </w:rPr>
              <w:t>408,378</w:t>
            </w:r>
          </w:p>
        </w:tc>
        <w:tc>
          <w:tcPr>
            <w:tcW w:w="770" w:type="dxa"/>
            <w:tcBorders>
              <w:top w:val="nil"/>
              <w:left w:val="nil"/>
              <w:bottom w:val="nil"/>
              <w:right w:val="nil"/>
            </w:tcBorders>
            <w:shd w:val="clear" w:color="auto" w:fill="auto"/>
            <w:noWrap/>
            <w:vAlign w:val="bottom"/>
            <w:hideMark/>
          </w:tcPr>
          <w:p w14:paraId="05D4F965" w14:textId="77777777" w:rsidR="001E0E5E" w:rsidRPr="000E6E45" w:rsidRDefault="001E0E5E" w:rsidP="00697F68">
            <w:pPr>
              <w:spacing w:after="0" w:line="240" w:lineRule="auto"/>
              <w:rPr>
                <w:rFonts w:ascii="Calibri" w:eastAsia="Times New Roman" w:hAnsi="Calibri" w:cs="Times New Roman"/>
                <w:color w:val="000000"/>
              </w:rPr>
            </w:pPr>
            <w:r w:rsidRPr="000E6E45">
              <w:rPr>
                <w:rFonts w:ascii="Calibri" w:eastAsia="Times New Roman" w:hAnsi="Calibri" w:cs="Times New Roman"/>
                <w:color w:val="000000"/>
              </w:rPr>
              <w:t>(65.0%)</w:t>
            </w:r>
          </w:p>
        </w:tc>
        <w:tc>
          <w:tcPr>
            <w:tcW w:w="909" w:type="dxa"/>
            <w:tcBorders>
              <w:top w:val="nil"/>
              <w:left w:val="nil"/>
              <w:bottom w:val="nil"/>
              <w:right w:val="nil"/>
            </w:tcBorders>
            <w:shd w:val="clear" w:color="auto" w:fill="auto"/>
            <w:noWrap/>
            <w:vAlign w:val="bottom"/>
            <w:hideMark/>
          </w:tcPr>
          <w:p w14:paraId="56704D0A"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-3,768</w:t>
            </w:r>
          </w:p>
        </w:tc>
        <w:tc>
          <w:tcPr>
            <w:tcW w:w="1205" w:type="dxa"/>
            <w:tcBorders>
              <w:top w:val="nil"/>
              <w:left w:val="nil"/>
              <w:bottom w:val="nil"/>
              <w:right w:val="nil"/>
            </w:tcBorders>
            <w:shd w:val="clear" w:color="auto" w:fill="auto"/>
            <w:noWrap/>
            <w:vAlign w:val="bottom"/>
            <w:hideMark/>
          </w:tcPr>
          <w:p w14:paraId="2D485F10"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(-0.6)</w:t>
            </w:r>
          </w:p>
        </w:tc>
        <w:tc>
          <w:tcPr>
            <w:tcW w:w="1575" w:type="dxa"/>
            <w:tcBorders>
              <w:top w:val="nil"/>
              <w:left w:val="nil"/>
              <w:bottom w:val="nil"/>
              <w:right w:val="nil"/>
            </w:tcBorders>
            <w:shd w:val="clear" w:color="auto" w:fill="auto"/>
            <w:noWrap/>
            <w:vAlign w:val="bottom"/>
            <w:hideMark/>
          </w:tcPr>
          <w:p w14:paraId="4C73A7E7" w14:textId="77777777" w:rsidR="001E0E5E" w:rsidRPr="000E6E45" w:rsidRDefault="001E0E5E" w:rsidP="00697F68">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1.01</w:t>
            </w:r>
          </w:p>
        </w:tc>
      </w:tr>
      <w:tr w:rsidR="001E0E5E" w:rsidRPr="000E6E45" w14:paraId="3EC9C488" w14:textId="77777777" w:rsidTr="00697F68">
        <w:trPr>
          <w:trHeight w:val="300"/>
          <w:jc w:val="center"/>
        </w:trPr>
        <w:tc>
          <w:tcPr>
            <w:tcW w:w="1262" w:type="dxa"/>
            <w:tcBorders>
              <w:top w:val="nil"/>
              <w:left w:val="nil"/>
              <w:bottom w:val="nil"/>
              <w:right w:val="nil"/>
            </w:tcBorders>
            <w:shd w:val="clear" w:color="auto" w:fill="auto"/>
            <w:noWrap/>
            <w:hideMark/>
          </w:tcPr>
          <w:p w14:paraId="08D50208"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3</w:t>
            </w:r>
          </w:p>
        </w:tc>
        <w:tc>
          <w:tcPr>
            <w:tcW w:w="1380" w:type="dxa"/>
            <w:tcBorders>
              <w:top w:val="nil"/>
              <w:left w:val="nil"/>
              <w:bottom w:val="nil"/>
              <w:right w:val="nil"/>
            </w:tcBorders>
            <w:shd w:val="clear" w:color="auto" w:fill="auto"/>
            <w:noWrap/>
            <w:vAlign w:val="bottom"/>
            <w:hideMark/>
          </w:tcPr>
          <w:p w14:paraId="6EBBA879"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627,928</w:t>
            </w:r>
          </w:p>
        </w:tc>
        <w:tc>
          <w:tcPr>
            <w:tcW w:w="794" w:type="dxa"/>
            <w:tcBorders>
              <w:top w:val="nil"/>
              <w:left w:val="nil"/>
              <w:bottom w:val="nil"/>
              <w:right w:val="nil"/>
            </w:tcBorders>
            <w:shd w:val="clear" w:color="auto" w:fill="auto"/>
            <w:noWrap/>
            <w:vAlign w:val="bottom"/>
            <w:hideMark/>
          </w:tcPr>
          <w:p w14:paraId="303B134F" w14:textId="77777777" w:rsidR="001E0E5E" w:rsidRPr="000E6E45" w:rsidRDefault="001E0E5E" w:rsidP="00697F68">
            <w:pPr>
              <w:spacing w:after="0" w:line="240" w:lineRule="auto"/>
              <w:jc w:val="right"/>
              <w:rPr>
                <w:rFonts w:ascii="Calibri" w:eastAsia="Times New Roman" w:hAnsi="Calibri" w:cs="Times New Roman"/>
                <w:color w:val="000000"/>
              </w:rPr>
            </w:pPr>
            <w:r w:rsidRPr="000E6E45">
              <w:rPr>
                <w:rFonts w:ascii="Calibri" w:eastAsia="Times New Roman" w:hAnsi="Calibri" w:cs="Times New Roman"/>
                <w:color w:val="000000"/>
              </w:rPr>
              <w:t>450,325</w:t>
            </w:r>
          </w:p>
        </w:tc>
        <w:tc>
          <w:tcPr>
            <w:tcW w:w="1011" w:type="dxa"/>
            <w:tcBorders>
              <w:top w:val="nil"/>
              <w:left w:val="nil"/>
              <w:bottom w:val="nil"/>
              <w:right w:val="nil"/>
            </w:tcBorders>
            <w:shd w:val="clear" w:color="auto" w:fill="auto"/>
            <w:noWrap/>
            <w:vAlign w:val="center"/>
            <w:hideMark/>
          </w:tcPr>
          <w:p w14:paraId="65608029"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(71.7%)</w:t>
            </w:r>
          </w:p>
        </w:tc>
        <w:tc>
          <w:tcPr>
            <w:tcW w:w="794" w:type="dxa"/>
            <w:tcBorders>
              <w:top w:val="nil"/>
              <w:left w:val="nil"/>
              <w:bottom w:val="nil"/>
              <w:right w:val="nil"/>
            </w:tcBorders>
            <w:shd w:val="clear" w:color="auto" w:fill="auto"/>
            <w:noWrap/>
            <w:vAlign w:val="bottom"/>
            <w:hideMark/>
          </w:tcPr>
          <w:p w14:paraId="42218328" w14:textId="77777777" w:rsidR="001E0E5E" w:rsidRPr="000E6E45" w:rsidRDefault="001E0E5E" w:rsidP="00697F68">
            <w:pPr>
              <w:spacing w:after="0" w:line="240" w:lineRule="auto"/>
              <w:jc w:val="right"/>
              <w:rPr>
                <w:rFonts w:ascii="Calibri" w:eastAsia="Times New Roman" w:hAnsi="Calibri" w:cs="Times New Roman"/>
                <w:color w:val="000000"/>
              </w:rPr>
            </w:pPr>
            <w:r w:rsidRPr="000E6E45">
              <w:rPr>
                <w:rFonts w:ascii="Calibri" w:eastAsia="Times New Roman" w:hAnsi="Calibri" w:cs="Times New Roman"/>
                <w:color w:val="000000"/>
              </w:rPr>
              <w:t>454,689</w:t>
            </w:r>
          </w:p>
        </w:tc>
        <w:tc>
          <w:tcPr>
            <w:tcW w:w="770" w:type="dxa"/>
            <w:tcBorders>
              <w:top w:val="nil"/>
              <w:left w:val="nil"/>
              <w:bottom w:val="nil"/>
              <w:right w:val="nil"/>
            </w:tcBorders>
            <w:shd w:val="clear" w:color="auto" w:fill="auto"/>
            <w:noWrap/>
            <w:vAlign w:val="bottom"/>
            <w:hideMark/>
          </w:tcPr>
          <w:p w14:paraId="1AB15C57" w14:textId="77777777" w:rsidR="001E0E5E" w:rsidRPr="000E6E45" w:rsidRDefault="001E0E5E" w:rsidP="00697F68">
            <w:pPr>
              <w:spacing w:after="0" w:line="240" w:lineRule="auto"/>
              <w:rPr>
                <w:rFonts w:ascii="Calibri" w:eastAsia="Times New Roman" w:hAnsi="Calibri" w:cs="Times New Roman"/>
                <w:color w:val="000000"/>
              </w:rPr>
            </w:pPr>
            <w:r w:rsidRPr="000E6E45">
              <w:rPr>
                <w:rFonts w:ascii="Calibri" w:eastAsia="Times New Roman" w:hAnsi="Calibri" w:cs="Times New Roman"/>
                <w:color w:val="000000"/>
              </w:rPr>
              <w:t>(72.4%)</w:t>
            </w:r>
          </w:p>
        </w:tc>
        <w:tc>
          <w:tcPr>
            <w:tcW w:w="909" w:type="dxa"/>
            <w:tcBorders>
              <w:top w:val="nil"/>
              <w:left w:val="nil"/>
              <w:bottom w:val="nil"/>
              <w:right w:val="nil"/>
            </w:tcBorders>
            <w:shd w:val="clear" w:color="auto" w:fill="auto"/>
            <w:noWrap/>
            <w:vAlign w:val="bottom"/>
            <w:hideMark/>
          </w:tcPr>
          <w:p w14:paraId="21304209"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-4,364</w:t>
            </w:r>
          </w:p>
        </w:tc>
        <w:tc>
          <w:tcPr>
            <w:tcW w:w="1205" w:type="dxa"/>
            <w:tcBorders>
              <w:top w:val="nil"/>
              <w:left w:val="nil"/>
              <w:bottom w:val="nil"/>
              <w:right w:val="nil"/>
            </w:tcBorders>
            <w:shd w:val="clear" w:color="auto" w:fill="auto"/>
            <w:noWrap/>
            <w:vAlign w:val="bottom"/>
            <w:hideMark/>
          </w:tcPr>
          <w:p w14:paraId="5362113C"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(-0.7)</w:t>
            </w:r>
          </w:p>
        </w:tc>
        <w:tc>
          <w:tcPr>
            <w:tcW w:w="1575" w:type="dxa"/>
            <w:tcBorders>
              <w:top w:val="nil"/>
              <w:left w:val="nil"/>
              <w:bottom w:val="nil"/>
              <w:right w:val="nil"/>
            </w:tcBorders>
            <w:shd w:val="clear" w:color="auto" w:fill="auto"/>
            <w:noWrap/>
            <w:vAlign w:val="bottom"/>
            <w:hideMark/>
          </w:tcPr>
          <w:p w14:paraId="743C0CF3" w14:textId="77777777" w:rsidR="001E0E5E" w:rsidRPr="000E6E45" w:rsidRDefault="001E0E5E" w:rsidP="00697F68">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1.01</w:t>
            </w:r>
          </w:p>
        </w:tc>
      </w:tr>
      <w:tr w:rsidR="001E0E5E" w:rsidRPr="000E6E45" w14:paraId="1D665E2D" w14:textId="77777777" w:rsidTr="00697F68">
        <w:trPr>
          <w:trHeight w:val="300"/>
          <w:jc w:val="center"/>
        </w:trPr>
        <w:tc>
          <w:tcPr>
            <w:tcW w:w="1262" w:type="dxa"/>
            <w:tcBorders>
              <w:top w:val="nil"/>
              <w:left w:val="nil"/>
              <w:bottom w:val="nil"/>
              <w:right w:val="nil"/>
            </w:tcBorders>
            <w:shd w:val="clear" w:color="auto" w:fill="auto"/>
            <w:noWrap/>
            <w:hideMark/>
          </w:tcPr>
          <w:p w14:paraId="5D8571CB"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4</w:t>
            </w:r>
          </w:p>
        </w:tc>
        <w:tc>
          <w:tcPr>
            <w:tcW w:w="1380" w:type="dxa"/>
            <w:tcBorders>
              <w:top w:val="nil"/>
              <w:left w:val="nil"/>
              <w:bottom w:val="nil"/>
              <w:right w:val="nil"/>
            </w:tcBorders>
            <w:shd w:val="clear" w:color="auto" w:fill="auto"/>
            <w:noWrap/>
            <w:vAlign w:val="bottom"/>
            <w:hideMark/>
          </w:tcPr>
          <w:p w14:paraId="636B5129"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627,929</w:t>
            </w:r>
          </w:p>
        </w:tc>
        <w:tc>
          <w:tcPr>
            <w:tcW w:w="794" w:type="dxa"/>
            <w:tcBorders>
              <w:top w:val="nil"/>
              <w:left w:val="nil"/>
              <w:bottom w:val="nil"/>
              <w:right w:val="nil"/>
            </w:tcBorders>
            <w:shd w:val="clear" w:color="auto" w:fill="auto"/>
            <w:noWrap/>
            <w:vAlign w:val="bottom"/>
            <w:hideMark/>
          </w:tcPr>
          <w:p w14:paraId="271578A0" w14:textId="77777777" w:rsidR="001E0E5E" w:rsidRPr="000E6E45" w:rsidRDefault="001E0E5E" w:rsidP="00697F68">
            <w:pPr>
              <w:spacing w:after="0" w:line="240" w:lineRule="auto"/>
              <w:jc w:val="right"/>
              <w:rPr>
                <w:rFonts w:ascii="Calibri" w:eastAsia="Times New Roman" w:hAnsi="Calibri" w:cs="Times New Roman"/>
                <w:color w:val="000000"/>
              </w:rPr>
            </w:pPr>
            <w:r w:rsidRPr="000E6E45">
              <w:rPr>
                <w:rFonts w:ascii="Calibri" w:eastAsia="Times New Roman" w:hAnsi="Calibri" w:cs="Times New Roman"/>
                <w:color w:val="000000"/>
              </w:rPr>
              <w:t>480,570</w:t>
            </w:r>
          </w:p>
        </w:tc>
        <w:tc>
          <w:tcPr>
            <w:tcW w:w="1011" w:type="dxa"/>
            <w:tcBorders>
              <w:top w:val="nil"/>
              <w:left w:val="nil"/>
              <w:bottom w:val="nil"/>
              <w:right w:val="nil"/>
            </w:tcBorders>
            <w:shd w:val="clear" w:color="auto" w:fill="auto"/>
            <w:noWrap/>
            <w:vAlign w:val="center"/>
            <w:hideMark/>
          </w:tcPr>
          <w:p w14:paraId="7DC146B9"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(76.5%)</w:t>
            </w:r>
          </w:p>
        </w:tc>
        <w:tc>
          <w:tcPr>
            <w:tcW w:w="794" w:type="dxa"/>
            <w:tcBorders>
              <w:top w:val="nil"/>
              <w:left w:val="nil"/>
              <w:bottom w:val="nil"/>
              <w:right w:val="nil"/>
            </w:tcBorders>
            <w:shd w:val="clear" w:color="auto" w:fill="auto"/>
            <w:noWrap/>
            <w:vAlign w:val="bottom"/>
            <w:hideMark/>
          </w:tcPr>
          <w:p w14:paraId="7AC314AD" w14:textId="77777777" w:rsidR="001E0E5E" w:rsidRPr="000E6E45" w:rsidRDefault="001E0E5E" w:rsidP="00697F68">
            <w:pPr>
              <w:spacing w:after="0" w:line="240" w:lineRule="auto"/>
              <w:jc w:val="right"/>
              <w:rPr>
                <w:rFonts w:ascii="Calibri" w:eastAsia="Times New Roman" w:hAnsi="Calibri" w:cs="Times New Roman"/>
                <w:color w:val="000000"/>
              </w:rPr>
            </w:pPr>
            <w:r w:rsidRPr="000E6E45">
              <w:rPr>
                <w:rFonts w:ascii="Calibri" w:eastAsia="Times New Roman" w:hAnsi="Calibri" w:cs="Times New Roman"/>
                <w:color w:val="000000"/>
              </w:rPr>
              <w:t>483,555</w:t>
            </w:r>
          </w:p>
        </w:tc>
        <w:tc>
          <w:tcPr>
            <w:tcW w:w="770" w:type="dxa"/>
            <w:tcBorders>
              <w:top w:val="nil"/>
              <w:left w:val="nil"/>
              <w:bottom w:val="nil"/>
              <w:right w:val="nil"/>
            </w:tcBorders>
            <w:shd w:val="clear" w:color="auto" w:fill="auto"/>
            <w:noWrap/>
            <w:vAlign w:val="bottom"/>
            <w:hideMark/>
          </w:tcPr>
          <w:p w14:paraId="28FD1939" w14:textId="77777777" w:rsidR="001E0E5E" w:rsidRPr="000E6E45" w:rsidRDefault="001E0E5E" w:rsidP="00697F68">
            <w:pPr>
              <w:spacing w:after="0" w:line="240" w:lineRule="auto"/>
              <w:rPr>
                <w:rFonts w:ascii="Calibri" w:eastAsia="Times New Roman" w:hAnsi="Calibri" w:cs="Times New Roman"/>
                <w:color w:val="000000"/>
              </w:rPr>
            </w:pPr>
            <w:r w:rsidRPr="000E6E45">
              <w:rPr>
                <w:rFonts w:ascii="Calibri" w:eastAsia="Times New Roman" w:hAnsi="Calibri" w:cs="Times New Roman"/>
                <w:color w:val="000000"/>
              </w:rPr>
              <w:t>(77.0%)</w:t>
            </w:r>
          </w:p>
        </w:tc>
        <w:tc>
          <w:tcPr>
            <w:tcW w:w="909" w:type="dxa"/>
            <w:tcBorders>
              <w:top w:val="nil"/>
              <w:left w:val="nil"/>
              <w:bottom w:val="nil"/>
              <w:right w:val="nil"/>
            </w:tcBorders>
            <w:shd w:val="clear" w:color="auto" w:fill="auto"/>
            <w:noWrap/>
            <w:vAlign w:val="bottom"/>
            <w:hideMark/>
          </w:tcPr>
          <w:p w14:paraId="10BD7A99"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-2,985</w:t>
            </w:r>
          </w:p>
        </w:tc>
        <w:tc>
          <w:tcPr>
            <w:tcW w:w="1205" w:type="dxa"/>
            <w:tcBorders>
              <w:top w:val="nil"/>
              <w:left w:val="nil"/>
              <w:bottom w:val="nil"/>
              <w:right w:val="nil"/>
            </w:tcBorders>
            <w:shd w:val="clear" w:color="auto" w:fill="auto"/>
            <w:noWrap/>
            <w:vAlign w:val="bottom"/>
            <w:hideMark/>
          </w:tcPr>
          <w:p w14:paraId="5014FFB8"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(-0.5)</w:t>
            </w:r>
          </w:p>
        </w:tc>
        <w:tc>
          <w:tcPr>
            <w:tcW w:w="1575" w:type="dxa"/>
            <w:tcBorders>
              <w:top w:val="nil"/>
              <w:left w:val="nil"/>
              <w:bottom w:val="nil"/>
              <w:right w:val="nil"/>
            </w:tcBorders>
            <w:shd w:val="clear" w:color="auto" w:fill="auto"/>
            <w:noWrap/>
            <w:vAlign w:val="bottom"/>
            <w:hideMark/>
          </w:tcPr>
          <w:p w14:paraId="50A32244" w14:textId="77777777" w:rsidR="001E0E5E" w:rsidRPr="000E6E45" w:rsidRDefault="001E0E5E" w:rsidP="00697F68">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1.01</w:t>
            </w:r>
          </w:p>
        </w:tc>
      </w:tr>
      <w:tr w:rsidR="001E0E5E" w:rsidRPr="000E6E45" w14:paraId="2F31A2A4" w14:textId="77777777" w:rsidTr="00697F68">
        <w:trPr>
          <w:trHeight w:val="300"/>
          <w:jc w:val="center"/>
        </w:trPr>
        <w:tc>
          <w:tcPr>
            <w:tcW w:w="1262" w:type="dxa"/>
            <w:tcBorders>
              <w:top w:val="nil"/>
              <w:left w:val="nil"/>
              <w:bottom w:val="nil"/>
              <w:right w:val="nil"/>
            </w:tcBorders>
            <w:shd w:val="clear" w:color="auto" w:fill="auto"/>
            <w:noWrap/>
            <w:hideMark/>
          </w:tcPr>
          <w:p w14:paraId="7B37A528"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5</w:t>
            </w:r>
          </w:p>
        </w:tc>
        <w:tc>
          <w:tcPr>
            <w:tcW w:w="1380" w:type="dxa"/>
            <w:tcBorders>
              <w:top w:val="nil"/>
              <w:left w:val="nil"/>
              <w:bottom w:val="nil"/>
              <w:right w:val="nil"/>
            </w:tcBorders>
            <w:shd w:val="clear" w:color="auto" w:fill="auto"/>
            <w:noWrap/>
            <w:vAlign w:val="bottom"/>
            <w:hideMark/>
          </w:tcPr>
          <w:p w14:paraId="20C7F44E"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627,929</w:t>
            </w:r>
          </w:p>
        </w:tc>
        <w:tc>
          <w:tcPr>
            <w:tcW w:w="794" w:type="dxa"/>
            <w:tcBorders>
              <w:top w:val="nil"/>
              <w:left w:val="nil"/>
              <w:bottom w:val="nil"/>
              <w:right w:val="nil"/>
            </w:tcBorders>
            <w:shd w:val="clear" w:color="auto" w:fill="auto"/>
            <w:noWrap/>
            <w:vAlign w:val="bottom"/>
            <w:hideMark/>
          </w:tcPr>
          <w:p w14:paraId="31F42915" w14:textId="77777777" w:rsidR="001E0E5E" w:rsidRPr="000E6E45" w:rsidRDefault="001E0E5E" w:rsidP="00697F68">
            <w:pPr>
              <w:spacing w:after="0" w:line="240" w:lineRule="auto"/>
              <w:jc w:val="right"/>
              <w:rPr>
                <w:rFonts w:ascii="Calibri" w:eastAsia="Times New Roman" w:hAnsi="Calibri" w:cs="Times New Roman"/>
                <w:color w:val="000000"/>
              </w:rPr>
            </w:pPr>
            <w:r w:rsidRPr="000E6E45">
              <w:rPr>
                <w:rFonts w:ascii="Calibri" w:eastAsia="Times New Roman" w:hAnsi="Calibri" w:cs="Times New Roman"/>
                <w:color w:val="000000"/>
              </w:rPr>
              <w:t>502,809</w:t>
            </w:r>
          </w:p>
        </w:tc>
        <w:tc>
          <w:tcPr>
            <w:tcW w:w="1011" w:type="dxa"/>
            <w:tcBorders>
              <w:top w:val="nil"/>
              <w:left w:val="nil"/>
              <w:bottom w:val="nil"/>
              <w:right w:val="nil"/>
            </w:tcBorders>
            <w:shd w:val="clear" w:color="auto" w:fill="auto"/>
            <w:noWrap/>
            <w:vAlign w:val="center"/>
            <w:hideMark/>
          </w:tcPr>
          <w:p w14:paraId="7ED8CECF"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(80.1%)</w:t>
            </w:r>
          </w:p>
        </w:tc>
        <w:tc>
          <w:tcPr>
            <w:tcW w:w="794" w:type="dxa"/>
            <w:tcBorders>
              <w:top w:val="nil"/>
              <w:left w:val="nil"/>
              <w:bottom w:val="nil"/>
              <w:right w:val="nil"/>
            </w:tcBorders>
            <w:shd w:val="clear" w:color="auto" w:fill="auto"/>
            <w:noWrap/>
            <w:vAlign w:val="bottom"/>
            <w:hideMark/>
          </w:tcPr>
          <w:p w14:paraId="5E82E6A4" w14:textId="77777777" w:rsidR="001E0E5E" w:rsidRPr="000E6E45" w:rsidRDefault="001E0E5E" w:rsidP="00697F68">
            <w:pPr>
              <w:spacing w:after="0" w:line="240" w:lineRule="auto"/>
              <w:jc w:val="right"/>
              <w:rPr>
                <w:rFonts w:ascii="Calibri" w:eastAsia="Times New Roman" w:hAnsi="Calibri" w:cs="Times New Roman"/>
                <w:color w:val="000000"/>
              </w:rPr>
            </w:pPr>
            <w:r w:rsidRPr="000E6E45">
              <w:rPr>
                <w:rFonts w:ascii="Calibri" w:eastAsia="Times New Roman" w:hAnsi="Calibri" w:cs="Times New Roman"/>
                <w:color w:val="000000"/>
              </w:rPr>
              <w:t>504,861</w:t>
            </w:r>
          </w:p>
        </w:tc>
        <w:tc>
          <w:tcPr>
            <w:tcW w:w="770" w:type="dxa"/>
            <w:tcBorders>
              <w:top w:val="nil"/>
              <w:left w:val="nil"/>
              <w:bottom w:val="nil"/>
              <w:right w:val="nil"/>
            </w:tcBorders>
            <w:shd w:val="clear" w:color="auto" w:fill="auto"/>
            <w:noWrap/>
            <w:vAlign w:val="bottom"/>
            <w:hideMark/>
          </w:tcPr>
          <w:p w14:paraId="5ED6FCC4" w14:textId="77777777" w:rsidR="001E0E5E" w:rsidRPr="000E6E45" w:rsidRDefault="001E0E5E" w:rsidP="00697F68">
            <w:pPr>
              <w:spacing w:after="0" w:line="240" w:lineRule="auto"/>
              <w:rPr>
                <w:rFonts w:ascii="Calibri" w:eastAsia="Times New Roman" w:hAnsi="Calibri" w:cs="Times New Roman"/>
                <w:color w:val="000000"/>
              </w:rPr>
            </w:pPr>
            <w:r w:rsidRPr="000E6E45">
              <w:rPr>
                <w:rFonts w:ascii="Calibri" w:eastAsia="Times New Roman" w:hAnsi="Calibri" w:cs="Times New Roman"/>
                <w:color w:val="000000"/>
              </w:rPr>
              <w:t>(80.4%)</w:t>
            </w:r>
          </w:p>
        </w:tc>
        <w:tc>
          <w:tcPr>
            <w:tcW w:w="909" w:type="dxa"/>
            <w:tcBorders>
              <w:top w:val="nil"/>
              <w:left w:val="nil"/>
              <w:bottom w:val="nil"/>
              <w:right w:val="nil"/>
            </w:tcBorders>
            <w:shd w:val="clear" w:color="auto" w:fill="auto"/>
            <w:noWrap/>
            <w:vAlign w:val="bottom"/>
            <w:hideMark/>
          </w:tcPr>
          <w:p w14:paraId="78ABC736"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-2,052</w:t>
            </w:r>
          </w:p>
        </w:tc>
        <w:tc>
          <w:tcPr>
            <w:tcW w:w="1205" w:type="dxa"/>
            <w:tcBorders>
              <w:top w:val="nil"/>
              <w:left w:val="nil"/>
              <w:bottom w:val="nil"/>
              <w:right w:val="nil"/>
            </w:tcBorders>
            <w:shd w:val="clear" w:color="auto" w:fill="auto"/>
            <w:noWrap/>
            <w:vAlign w:val="bottom"/>
            <w:hideMark/>
          </w:tcPr>
          <w:p w14:paraId="710664EA"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(-0.3)</w:t>
            </w:r>
          </w:p>
        </w:tc>
        <w:tc>
          <w:tcPr>
            <w:tcW w:w="1575" w:type="dxa"/>
            <w:tcBorders>
              <w:top w:val="nil"/>
              <w:left w:val="nil"/>
              <w:bottom w:val="nil"/>
              <w:right w:val="nil"/>
            </w:tcBorders>
            <w:shd w:val="clear" w:color="auto" w:fill="auto"/>
            <w:noWrap/>
            <w:vAlign w:val="bottom"/>
            <w:hideMark/>
          </w:tcPr>
          <w:p w14:paraId="1D5A606B" w14:textId="77777777" w:rsidR="001E0E5E" w:rsidRPr="000E6E45" w:rsidRDefault="001E0E5E" w:rsidP="00697F68">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1.00</w:t>
            </w:r>
          </w:p>
        </w:tc>
      </w:tr>
      <w:tr w:rsidR="001E0E5E" w:rsidRPr="000E6E45" w14:paraId="20161ADC" w14:textId="77777777" w:rsidTr="00697F68">
        <w:trPr>
          <w:trHeight w:val="300"/>
          <w:jc w:val="center"/>
        </w:trPr>
        <w:tc>
          <w:tcPr>
            <w:tcW w:w="1262" w:type="dxa"/>
            <w:tcBorders>
              <w:top w:val="nil"/>
              <w:left w:val="nil"/>
              <w:bottom w:val="nil"/>
              <w:right w:val="nil"/>
            </w:tcBorders>
            <w:shd w:val="clear" w:color="auto" w:fill="auto"/>
            <w:noWrap/>
            <w:hideMark/>
          </w:tcPr>
          <w:p w14:paraId="1E394925"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6</w:t>
            </w:r>
          </w:p>
        </w:tc>
        <w:tc>
          <w:tcPr>
            <w:tcW w:w="1380" w:type="dxa"/>
            <w:tcBorders>
              <w:top w:val="nil"/>
              <w:left w:val="nil"/>
              <w:bottom w:val="nil"/>
              <w:right w:val="nil"/>
            </w:tcBorders>
            <w:shd w:val="clear" w:color="auto" w:fill="auto"/>
            <w:noWrap/>
            <w:vAlign w:val="bottom"/>
            <w:hideMark/>
          </w:tcPr>
          <w:p w14:paraId="16B7C292"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627,929</w:t>
            </w:r>
          </w:p>
        </w:tc>
        <w:tc>
          <w:tcPr>
            <w:tcW w:w="794" w:type="dxa"/>
            <w:tcBorders>
              <w:top w:val="nil"/>
              <w:left w:val="nil"/>
              <w:bottom w:val="nil"/>
              <w:right w:val="nil"/>
            </w:tcBorders>
            <w:shd w:val="clear" w:color="auto" w:fill="auto"/>
            <w:noWrap/>
            <w:vAlign w:val="bottom"/>
            <w:hideMark/>
          </w:tcPr>
          <w:p w14:paraId="22B0225F" w14:textId="77777777" w:rsidR="001E0E5E" w:rsidRPr="000E6E45" w:rsidRDefault="001E0E5E" w:rsidP="00697F68">
            <w:pPr>
              <w:spacing w:after="0" w:line="240" w:lineRule="auto"/>
              <w:jc w:val="right"/>
              <w:rPr>
                <w:rFonts w:ascii="Calibri" w:eastAsia="Times New Roman" w:hAnsi="Calibri" w:cs="Times New Roman"/>
                <w:color w:val="000000"/>
              </w:rPr>
            </w:pPr>
            <w:r w:rsidRPr="000E6E45">
              <w:rPr>
                <w:rFonts w:ascii="Calibri" w:eastAsia="Times New Roman" w:hAnsi="Calibri" w:cs="Times New Roman"/>
                <w:color w:val="000000"/>
              </w:rPr>
              <w:t>522,380</w:t>
            </w:r>
          </w:p>
        </w:tc>
        <w:tc>
          <w:tcPr>
            <w:tcW w:w="1011" w:type="dxa"/>
            <w:tcBorders>
              <w:top w:val="nil"/>
              <w:left w:val="nil"/>
              <w:bottom w:val="nil"/>
              <w:right w:val="nil"/>
            </w:tcBorders>
            <w:shd w:val="clear" w:color="auto" w:fill="auto"/>
            <w:noWrap/>
            <w:vAlign w:val="center"/>
            <w:hideMark/>
          </w:tcPr>
          <w:p w14:paraId="5A236D5A"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(83.2%)</w:t>
            </w:r>
          </w:p>
        </w:tc>
        <w:tc>
          <w:tcPr>
            <w:tcW w:w="794" w:type="dxa"/>
            <w:tcBorders>
              <w:top w:val="nil"/>
              <w:left w:val="nil"/>
              <w:bottom w:val="nil"/>
              <w:right w:val="nil"/>
            </w:tcBorders>
            <w:shd w:val="clear" w:color="auto" w:fill="auto"/>
            <w:noWrap/>
            <w:vAlign w:val="bottom"/>
            <w:hideMark/>
          </w:tcPr>
          <w:p w14:paraId="1C27038B" w14:textId="77777777" w:rsidR="001E0E5E" w:rsidRPr="000E6E45" w:rsidRDefault="001E0E5E" w:rsidP="00697F68">
            <w:pPr>
              <w:spacing w:after="0" w:line="240" w:lineRule="auto"/>
              <w:jc w:val="right"/>
              <w:rPr>
                <w:rFonts w:ascii="Calibri" w:eastAsia="Times New Roman" w:hAnsi="Calibri" w:cs="Times New Roman"/>
                <w:color w:val="000000"/>
              </w:rPr>
            </w:pPr>
            <w:r w:rsidRPr="000E6E45">
              <w:rPr>
                <w:rFonts w:ascii="Calibri" w:eastAsia="Times New Roman" w:hAnsi="Calibri" w:cs="Times New Roman"/>
                <w:color w:val="000000"/>
              </w:rPr>
              <w:t>522,490</w:t>
            </w:r>
          </w:p>
        </w:tc>
        <w:tc>
          <w:tcPr>
            <w:tcW w:w="770" w:type="dxa"/>
            <w:tcBorders>
              <w:top w:val="nil"/>
              <w:left w:val="nil"/>
              <w:bottom w:val="nil"/>
              <w:right w:val="nil"/>
            </w:tcBorders>
            <w:shd w:val="clear" w:color="auto" w:fill="auto"/>
            <w:noWrap/>
            <w:vAlign w:val="bottom"/>
            <w:hideMark/>
          </w:tcPr>
          <w:p w14:paraId="1FBFA9EA" w14:textId="77777777" w:rsidR="001E0E5E" w:rsidRPr="000E6E45" w:rsidRDefault="001E0E5E" w:rsidP="00697F68">
            <w:pPr>
              <w:spacing w:after="0" w:line="240" w:lineRule="auto"/>
              <w:rPr>
                <w:rFonts w:ascii="Calibri" w:eastAsia="Times New Roman" w:hAnsi="Calibri" w:cs="Times New Roman"/>
                <w:color w:val="000000"/>
              </w:rPr>
            </w:pPr>
            <w:r w:rsidRPr="000E6E45">
              <w:rPr>
                <w:rFonts w:ascii="Calibri" w:eastAsia="Times New Roman" w:hAnsi="Calibri" w:cs="Times New Roman"/>
                <w:color w:val="000000"/>
              </w:rPr>
              <w:t>(83.2%)</w:t>
            </w:r>
          </w:p>
        </w:tc>
        <w:tc>
          <w:tcPr>
            <w:tcW w:w="909" w:type="dxa"/>
            <w:tcBorders>
              <w:top w:val="nil"/>
              <w:left w:val="nil"/>
              <w:bottom w:val="nil"/>
              <w:right w:val="nil"/>
            </w:tcBorders>
            <w:shd w:val="clear" w:color="auto" w:fill="auto"/>
            <w:noWrap/>
            <w:vAlign w:val="bottom"/>
            <w:hideMark/>
          </w:tcPr>
          <w:p w14:paraId="16E63540"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-110</w:t>
            </w:r>
          </w:p>
        </w:tc>
        <w:tc>
          <w:tcPr>
            <w:tcW w:w="1205" w:type="dxa"/>
            <w:tcBorders>
              <w:top w:val="nil"/>
              <w:left w:val="nil"/>
              <w:bottom w:val="nil"/>
              <w:right w:val="nil"/>
            </w:tcBorders>
            <w:shd w:val="clear" w:color="auto" w:fill="auto"/>
            <w:noWrap/>
            <w:vAlign w:val="bottom"/>
            <w:hideMark/>
          </w:tcPr>
          <w:p w14:paraId="1895976B"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(0.0)</w:t>
            </w:r>
          </w:p>
        </w:tc>
        <w:tc>
          <w:tcPr>
            <w:tcW w:w="1575" w:type="dxa"/>
            <w:tcBorders>
              <w:top w:val="nil"/>
              <w:left w:val="nil"/>
              <w:bottom w:val="nil"/>
              <w:right w:val="nil"/>
            </w:tcBorders>
            <w:shd w:val="clear" w:color="auto" w:fill="auto"/>
            <w:noWrap/>
            <w:vAlign w:val="bottom"/>
            <w:hideMark/>
          </w:tcPr>
          <w:p w14:paraId="3DDE9C11" w14:textId="77777777" w:rsidR="001E0E5E" w:rsidRPr="000E6E45" w:rsidRDefault="001E0E5E" w:rsidP="00697F68">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1.00</w:t>
            </w:r>
          </w:p>
        </w:tc>
      </w:tr>
      <w:tr w:rsidR="001E0E5E" w:rsidRPr="000E6E45" w14:paraId="18D58134" w14:textId="77777777" w:rsidTr="00697F68">
        <w:trPr>
          <w:trHeight w:val="300"/>
          <w:jc w:val="center"/>
        </w:trPr>
        <w:tc>
          <w:tcPr>
            <w:tcW w:w="1262" w:type="dxa"/>
            <w:tcBorders>
              <w:top w:val="nil"/>
              <w:left w:val="nil"/>
              <w:bottom w:val="nil"/>
              <w:right w:val="nil"/>
            </w:tcBorders>
            <w:shd w:val="clear" w:color="auto" w:fill="auto"/>
            <w:noWrap/>
            <w:hideMark/>
          </w:tcPr>
          <w:p w14:paraId="0B1125DE"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7</w:t>
            </w:r>
          </w:p>
        </w:tc>
        <w:tc>
          <w:tcPr>
            <w:tcW w:w="1380" w:type="dxa"/>
            <w:tcBorders>
              <w:top w:val="nil"/>
              <w:left w:val="nil"/>
              <w:bottom w:val="nil"/>
              <w:right w:val="nil"/>
            </w:tcBorders>
            <w:shd w:val="clear" w:color="auto" w:fill="auto"/>
            <w:noWrap/>
            <w:vAlign w:val="bottom"/>
            <w:hideMark/>
          </w:tcPr>
          <w:p w14:paraId="2BE6751D"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627,927</w:t>
            </w:r>
          </w:p>
        </w:tc>
        <w:tc>
          <w:tcPr>
            <w:tcW w:w="794" w:type="dxa"/>
            <w:tcBorders>
              <w:top w:val="nil"/>
              <w:left w:val="nil"/>
              <w:bottom w:val="nil"/>
              <w:right w:val="nil"/>
            </w:tcBorders>
            <w:shd w:val="clear" w:color="auto" w:fill="auto"/>
            <w:noWrap/>
            <w:vAlign w:val="bottom"/>
            <w:hideMark/>
          </w:tcPr>
          <w:p w14:paraId="4327AD9B" w14:textId="77777777" w:rsidR="001E0E5E" w:rsidRPr="000E6E45" w:rsidRDefault="001E0E5E" w:rsidP="00697F68">
            <w:pPr>
              <w:spacing w:after="0" w:line="240" w:lineRule="auto"/>
              <w:jc w:val="right"/>
              <w:rPr>
                <w:rFonts w:ascii="Calibri" w:eastAsia="Times New Roman" w:hAnsi="Calibri" w:cs="Times New Roman"/>
                <w:color w:val="000000"/>
              </w:rPr>
            </w:pPr>
            <w:r w:rsidRPr="000E6E45">
              <w:rPr>
                <w:rFonts w:ascii="Calibri" w:eastAsia="Times New Roman" w:hAnsi="Calibri" w:cs="Times New Roman"/>
                <w:color w:val="000000"/>
              </w:rPr>
              <w:t>540,361</w:t>
            </w:r>
          </w:p>
        </w:tc>
        <w:tc>
          <w:tcPr>
            <w:tcW w:w="1011" w:type="dxa"/>
            <w:tcBorders>
              <w:top w:val="nil"/>
              <w:left w:val="nil"/>
              <w:bottom w:val="nil"/>
              <w:right w:val="nil"/>
            </w:tcBorders>
            <w:shd w:val="clear" w:color="auto" w:fill="auto"/>
            <w:noWrap/>
            <w:vAlign w:val="center"/>
            <w:hideMark/>
          </w:tcPr>
          <w:p w14:paraId="643BE581"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(86.1%)</w:t>
            </w:r>
          </w:p>
        </w:tc>
        <w:tc>
          <w:tcPr>
            <w:tcW w:w="794" w:type="dxa"/>
            <w:tcBorders>
              <w:top w:val="nil"/>
              <w:left w:val="nil"/>
              <w:bottom w:val="nil"/>
              <w:right w:val="nil"/>
            </w:tcBorders>
            <w:shd w:val="clear" w:color="auto" w:fill="auto"/>
            <w:noWrap/>
            <w:vAlign w:val="bottom"/>
            <w:hideMark/>
          </w:tcPr>
          <w:p w14:paraId="68E069AA" w14:textId="77777777" w:rsidR="001E0E5E" w:rsidRPr="000E6E45" w:rsidRDefault="001E0E5E" w:rsidP="00697F68">
            <w:pPr>
              <w:spacing w:after="0" w:line="240" w:lineRule="auto"/>
              <w:jc w:val="right"/>
              <w:rPr>
                <w:rFonts w:ascii="Calibri" w:eastAsia="Times New Roman" w:hAnsi="Calibri" w:cs="Times New Roman"/>
                <w:color w:val="000000"/>
              </w:rPr>
            </w:pPr>
            <w:r w:rsidRPr="000E6E45">
              <w:rPr>
                <w:rFonts w:ascii="Calibri" w:eastAsia="Times New Roman" w:hAnsi="Calibri" w:cs="Times New Roman"/>
                <w:color w:val="000000"/>
              </w:rPr>
              <w:t>538,481</w:t>
            </w:r>
          </w:p>
        </w:tc>
        <w:tc>
          <w:tcPr>
            <w:tcW w:w="770" w:type="dxa"/>
            <w:tcBorders>
              <w:top w:val="nil"/>
              <w:left w:val="nil"/>
              <w:bottom w:val="nil"/>
              <w:right w:val="nil"/>
            </w:tcBorders>
            <w:shd w:val="clear" w:color="auto" w:fill="auto"/>
            <w:noWrap/>
            <w:vAlign w:val="bottom"/>
            <w:hideMark/>
          </w:tcPr>
          <w:p w14:paraId="04429CDE" w14:textId="77777777" w:rsidR="001E0E5E" w:rsidRPr="000E6E45" w:rsidRDefault="001E0E5E" w:rsidP="00697F68">
            <w:pPr>
              <w:spacing w:after="0" w:line="240" w:lineRule="auto"/>
              <w:rPr>
                <w:rFonts w:ascii="Calibri" w:eastAsia="Times New Roman" w:hAnsi="Calibri" w:cs="Times New Roman"/>
                <w:color w:val="000000"/>
              </w:rPr>
            </w:pPr>
            <w:r w:rsidRPr="000E6E45">
              <w:rPr>
                <w:rFonts w:ascii="Calibri" w:eastAsia="Times New Roman" w:hAnsi="Calibri" w:cs="Times New Roman"/>
                <w:color w:val="000000"/>
              </w:rPr>
              <w:t>(85.8%)</w:t>
            </w:r>
          </w:p>
        </w:tc>
        <w:tc>
          <w:tcPr>
            <w:tcW w:w="909" w:type="dxa"/>
            <w:tcBorders>
              <w:top w:val="nil"/>
              <w:left w:val="nil"/>
              <w:bottom w:val="nil"/>
              <w:right w:val="nil"/>
            </w:tcBorders>
            <w:shd w:val="clear" w:color="auto" w:fill="auto"/>
            <w:noWrap/>
            <w:vAlign w:val="bottom"/>
            <w:hideMark/>
          </w:tcPr>
          <w:p w14:paraId="0A8898AA"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1,880</w:t>
            </w:r>
          </w:p>
        </w:tc>
        <w:tc>
          <w:tcPr>
            <w:tcW w:w="1205" w:type="dxa"/>
            <w:tcBorders>
              <w:top w:val="nil"/>
              <w:left w:val="nil"/>
              <w:bottom w:val="nil"/>
              <w:right w:val="nil"/>
            </w:tcBorders>
            <w:shd w:val="clear" w:color="auto" w:fill="auto"/>
            <w:noWrap/>
            <w:vAlign w:val="bottom"/>
            <w:hideMark/>
          </w:tcPr>
          <w:p w14:paraId="35556516"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(0.1)</w:t>
            </w:r>
          </w:p>
        </w:tc>
        <w:tc>
          <w:tcPr>
            <w:tcW w:w="1575" w:type="dxa"/>
            <w:tcBorders>
              <w:top w:val="nil"/>
              <w:left w:val="nil"/>
              <w:bottom w:val="nil"/>
              <w:right w:val="nil"/>
            </w:tcBorders>
            <w:shd w:val="clear" w:color="auto" w:fill="auto"/>
            <w:noWrap/>
            <w:vAlign w:val="bottom"/>
            <w:hideMark/>
          </w:tcPr>
          <w:p w14:paraId="2813C0BB" w14:textId="77777777" w:rsidR="001E0E5E" w:rsidRPr="000E6E45" w:rsidRDefault="001E0E5E" w:rsidP="00697F68">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1.00</w:t>
            </w:r>
          </w:p>
        </w:tc>
      </w:tr>
      <w:tr w:rsidR="001E0E5E" w:rsidRPr="000E6E45" w14:paraId="090B2D74" w14:textId="77777777" w:rsidTr="00697F68">
        <w:trPr>
          <w:trHeight w:val="300"/>
          <w:jc w:val="center"/>
        </w:trPr>
        <w:tc>
          <w:tcPr>
            <w:tcW w:w="1262" w:type="dxa"/>
            <w:tcBorders>
              <w:top w:val="nil"/>
              <w:left w:val="nil"/>
              <w:bottom w:val="nil"/>
              <w:right w:val="nil"/>
            </w:tcBorders>
            <w:shd w:val="clear" w:color="auto" w:fill="auto"/>
            <w:noWrap/>
            <w:hideMark/>
          </w:tcPr>
          <w:p w14:paraId="51CA755E"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8</w:t>
            </w:r>
          </w:p>
        </w:tc>
        <w:tc>
          <w:tcPr>
            <w:tcW w:w="1380" w:type="dxa"/>
            <w:tcBorders>
              <w:top w:val="nil"/>
              <w:left w:val="nil"/>
              <w:bottom w:val="nil"/>
              <w:right w:val="nil"/>
            </w:tcBorders>
            <w:shd w:val="clear" w:color="auto" w:fill="auto"/>
            <w:noWrap/>
            <w:vAlign w:val="bottom"/>
            <w:hideMark/>
          </w:tcPr>
          <w:p w14:paraId="5F0569F1"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627,928</w:t>
            </w:r>
          </w:p>
        </w:tc>
        <w:tc>
          <w:tcPr>
            <w:tcW w:w="794" w:type="dxa"/>
            <w:tcBorders>
              <w:top w:val="nil"/>
              <w:left w:val="nil"/>
              <w:bottom w:val="nil"/>
              <w:right w:val="nil"/>
            </w:tcBorders>
            <w:shd w:val="clear" w:color="auto" w:fill="auto"/>
            <w:noWrap/>
            <w:vAlign w:val="bottom"/>
            <w:hideMark/>
          </w:tcPr>
          <w:p w14:paraId="6DBE37BC" w14:textId="77777777" w:rsidR="001E0E5E" w:rsidRPr="000E6E45" w:rsidRDefault="001E0E5E" w:rsidP="00697F68">
            <w:pPr>
              <w:spacing w:after="0" w:line="240" w:lineRule="auto"/>
              <w:jc w:val="right"/>
              <w:rPr>
                <w:rFonts w:ascii="Calibri" w:eastAsia="Times New Roman" w:hAnsi="Calibri" w:cs="Times New Roman"/>
                <w:color w:val="000000"/>
              </w:rPr>
            </w:pPr>
            <w:r w:rsidRPr="000E6E45">
              <w:rPr>
                <w:rFonts w:ascii="Calibri" w:eastAsia="Times New Roman" w:hAnsi="Calibri" w:cs="Times New Roman"/>
                <w:color w:val="000000"/>
              </w:rPr>
              <w:t>557,634</w:t>
            </w:r>
          </w:p>
        </w:tc>
        <w:tc>
          <w:tcPr>
            <w:tcW w:w="1011" w:type="dxa"/>
            <w:tcBorders>
              <w:top w:val="nil"/>
              <w:left w:val="nil"/>
              <w:bottom w:val="nil"/>
              <w:right w:val="nil"/>
            </w:tcBorders>
            <w:shd w:val="clear" w:color="auto" w:fill="auto"/>
            <w:noWrap/>
            <w:vAlign w:val="center"/>
            <w:hideMark/>
          </w:tcPr>
          <w:p w14:paraId="356D2ACC"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(88.8%)</w:t>
            </w:r>
          </w:p>
        </w:tc>
        <w:tc>
          <w:tcPr>
            <w:tcW w:w="794" w:type="dxa"/>
            <w:tcBorders>
              <w:top w:val="nil"/>
              <w:left w:val="nil"/>
              <w:bottom w:val="nil"/>
              <w:right w:val="nil"/>
            </w:tcBorders>
            <w:shd w:val="clear" w:color="auto" w:fill="auto"/>
            <w:noWrap/>
            <w:vAlign w:val="bottom"/>
            <w:hideMark/>
          </w:tcPr>
          <w:p w14:paraId="380FA58F" w14:textId="77777777" w:rsidR="001E0E5E" w:rsidRPr="000E6E45" w:rsidRDefault="001E0E5E" w:rsidP="00697F68">
            <w:pPr>
              <w:spacing w:after="0" w:line="240" w:lineRule="auto"/>
              <w:jc w:val="right"/>
              <w:rPr>
                <w:rFonts w:ascii="Calibri" w:eastAsia="Times New Roman" w:hAnsi="Calibri" w:cs="Times New Roman"/>
                <w:color w:val="000000"/>
              </w:rPr>
            </w:pPr>
            <w:r w:rsidRPr="000E6E45">
              <w:rPr>
                <w:rFonts w:ascii="Calibri" w:eastAsia="Times New Roman" w:hAnsi="Calibri" w:cs="Times New Roman"/>
                <w:color w:val="000000"/>
              </w:rPr>
              <w:t>554,359</w:t>
            </w:r>
          </w:p>
        </w:tc>
        <w:tc>
          <w:tcPr>
            <w:tcW w:w="770" w:type="dxa"/>
            <w:tcBorders>
              <w:top w:val="nil"/>
              <w:left w:val="nil"/>
              <w:bottom w:val="nil"/>
              <w:right w:val="nil"/>
            </w:tcBorders>
            <w:shd w:val="clear" w:color="auto" w:fill="auto"/>
            <w:noWrap/>
            <w:vAlign w:val="bottom"/>
            <w:hideMark/>
          </w:tcPr>
          <w:p w14:paraId="4B4F236F" w14:textId="77777777" w:rsidR="001E0E5E" w:rsidRPr="000E6E45" w:rsidRDefault="001E0E5E" w:rsidP="00697F68">
            <w:pPr>
              <w:spacing w:after="0" w:line="240" w:lineRule="auto"/>
              <w:rPr>
                <w:rFonts w:ascii="Calibri" w:eastAsia="Times New Roman" w:hAnsi="Calibri" w:cs="Times New Roman"/>
                <w:color w:val="000000"/>
              </w:rPr>
            </w:pPr>
            <w:r w:rsidRPr="000E6E45">
              <w:rPr>
                <w:rFonts w:ascii="Calibri" w:eastAsia="Times New Roman" w:hAnsi="Calibri" w:cs="Times New Roman"/>
                <w:color w:val="000000"/>
              </w:rPr>
              <w:t>(88.3%)</w:t>
            </w:r>
          </w:p>
        </w:tc>
        <w:tc>
          <w:tcPr>
            <w:tcW w:w="909" w:type="dxa"/>
            <w:tcBorders>
              <w:top w:val="nil"/>
              <w:left w:val="nil"/>
              <w:bottom w:val="nil"/>
              <w:right w:val="nil"/>
            </w:tcBorders>
            <w:shd w:val="clear" w:color="auto" w:fill="auto"/>
            <w:noWrap/>
            <w:vAlign w:val="bottom"/>
            <w:hideMark/>
          </w:tcPr>
          <w:p w14:paraId="360F33EA"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3,275</w:t>
            </w:r>
          </w:p>
        </w:tc>
        <w:tc>
          <w:tcPr>
            <w:tcW w:w="1205" w:type="dxa"/>
            <w:tcBorders>
              <w:top w:val="nil"/>
              <w:left w:val="nil"/>
              <w:bottom w:val="nil"/>
              <w:right w:val="nil"/>
            </w:tcBorders>
            <w:shd w:val="clear" w:color="auto" w:fill="auto"/>
            <w:noWrap/>
            <w:vAlign w:val="bottom"/>
            <w:hideMark/>
          </w:tcPr>
          <w:p w14:paraId="004762A4"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(0.5)</w:t>
            </w:r>
          </w:p>
        </w:tc>
        <w:tc>
          <w:tcPr>
            <w:tcW w:w="1575" w:type="dxa"/>
            <w:tcBorders>
              <w:top w:val="nil"/>
              <w:left w:val="nil"/>
              <w:bottom w:val="nil"/>
              <w:right w:val="nil"/>
            </w:tcBorders>
            <w:shd w:val="clear" w:color="auto" w:fill="auto"/>
            <w:noWrap/>
            <w:vAlign w:val="bottom"/>
            <w:hideMark/>
          </w:tcPr>
          <w:p w14:paraId="4D9FDDC2" w14:textId="77777777" w:rsidR="001E0E5E" w:rsidRPr="000E6E45" w:rsidRDefault="001E0E5E" w:rsidP="00697F68">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0.99</w:t>
            </w:r>
          </w:p>
        </w:tc>
      </w:tr>
      <w:tr w:rsidR="001E0E5E" w:rsidRPr="000E6E45" w14:paraId="15B9E5B2" w14:textId="77777777" w:rsidTr="00697F68">
        <w:trPr>
          <w:trHeight w:val="300"/>
          <w:jc w:val="center"/>
        </w:trPr>
        <w:tc>
          <w:tcPr>
            <w:tcW w:w="1262" w:type="dxa"/>
            <w:tcBorders>
              <w:top w:val="nil"/>
              <w:left w:val="nil"/>
              <w:bottom w:val="nil"/>
              <w:right w:val="nil"/>
            </w:tcBorders>
            <w:shd w:val="clear" w:color="auto" w:fill="auto"/>
            <w:noWrap/>
            <w:hideMark/>
          </w:tcPr>
          <w:p w14:paraId="0CDB7211"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9</w:t>
            </w:r>
          </w:p>
        </w:tc>
        <w:tc>
          <w:tcPr>
            <w:tcW w:w="1380" w:type="dxa"/>
            <w:tcBorders>
              <w:top w:val="nil"/>
              <w:left w:val="nil"/>
              <w:bottom w:val="nil"/>
              <w:right w:val="nil"/>
            </w:tcBorders>
            <w:shd w:val="clear" w:color="auto" w:fill="auto"/>
            <w:noWrap/>
            <w:vAlign w:val="bottom"/>
            <w:hideMark/>
          </w:tcPr>
          <w:p w14:paraId="59B3AF1F"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627,930</w:t>
            </w:r>
          </w:p>
        </w:tc>
        <w:tc>
          <w:tcPr>
            <w:tcW w:w="794" w:type="dxa"/>
            <w:tcBorders>
              <w:top w:val="nil"/>
              <w:left w:val="nil"/>
              <w:bottom w:val="nil"/>
              <w:right w:val="nil"/>
            </w:tcBorders>
            <w:shd w:val="clear" w:color="auto" w:fill="auto"/>
            <w:noWrap/>
            <w:vAlign w:val="bottom"/>
            <w:hideMark/>
          </w:tcPr>
          <w:p w14:paraId="5D5213E6" w14:textId="77777777" w:rsidR="001E0E5E" w:rsidRPr="000E6E45" w:rsidRDefault="001E0E5E" w:rsidP="00697F68">
            <w:pPr>
              <w:spacing w:after="0" w:line="240" w:lineRule="auto"/>
              <w:jc w:val="right"/>
              <w:rPr>
                <w:rFonts w:ascii="Calibri" w:eastAsia="Times New Roman" w:hAnsi="Calibri" w:cs="Times New Roman"/>
                <w:color w:val="000000"/>
              </w:rPr>
            </w:pPr>
            <w:r w:rsidRPr="000E6E45">
              <w:rPr>
                <w:rFonts w:ascii="Calibri" w:eastAsia="Times New Roman" w:hAnsi="Calibri" w:cs="Times New Roman"/>
                <w:color w:val="000000"/>
              </w:rPr>
              <w:t>577,747</w:t>
            </w:r>
          </w:p>
        </w:tc>
        <w:tc>
          <w:tcPr>
            <w:tcW w:w="1011" w:type="dxa"/>
            <w:tcBorders>
              <w:top w:val="nil"/>
              <w:left w:val="nil"/>
              <w:bottom w:val="nil"/>
              <w:right w:val="nil"/>
            </w:tcBorders>
            <w:shd w:val="clear" w:color="auto" w:fill="auto"/>
            <w:noWrap/>
            <w:vAlign w:val="center"/>
            <w:hideMark/>
          </w:tcPr>
          <w:p w14:paraId="30D23E04"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(92.0%)</w:t>
            </w:r>
          </w:p>
        </w:tc>
        <w:tc>
          <w:tcPr>
            <w:tcW w:w="794" w:type="dxa"/>
            <w:tcBorders>
              <w:top w:val="nil"/>
              <w:left w:val="nil"/>
              <w:bottom w:val="nil"/>
              <w:right w:val="nil"/>
            </w:tcBorders>
            <w:shd w:val="clear" w:color="auto" w:fill="auto"/>
            <w:noWrap/>
            <w:vAlign w:val="bottom"/>
            <w:hideMark/>
          </w:tcPr>
          <w:p w14:paraId="0CA1E2AB" w14:textId="77777777" w:rsidR="001E0E5E" w:rsidRPr="000E6E45" w:rsidRDefault="001E0E5E" w:rsidP="00697F68">
            <w:pPr>
              <w:spacing w:after="0" w:line="240" w:lineRule="auto"/>
              <w:jc w:val="right"/>
              <w:rPr>
                <w:rFonts w:ascii="Calibri" w:eastAsia="Times New Roman" w:hAnsi="Calibri" w:cs="Times New Roman"/>
                <w:color w:val="000000"/>
              </w:rPr>
            </w:pPr>
            <w:r w:rsidRPr="000E6E45">
              <w:rPr>
                <w:rFonts w:ascii="Calibri" w:eastAsia="Times New Roman" w:hAnsi="Calibri" w:cs="Times New Roman"/>
                <w:color w:val="000000"/>
              </w:rPr>
              <w:t>573,567</w:t>
            </w:r>
          </w:p>
        </w:tc>
        <w:tc>
          <w:tcPr>
            <w:tcW w:w="770" w:type="dxa"/>
            <w:tcBorders>
              <w:top w:val="nil"/>
              <w:left w:val="nil"/>
              <w:bottom w:val="nil"/>
              <w:right w:val="nil"/>
            </w:tcBorders>
            <w:shd w:val="clear" w:color="auto" w:fill="auto"/>
            <w:noWrap/>
            <w:vAlign w:val="bottom"/>
            <w:hideMark/>
          </w:tcPr>
          <w:p w14:paraId="39816AFA" w14:textId="77777777" w:rsidR="001E0E5E" w:rsidRPr="000E6E45" w:rsidRDefault="001E0E5E" w:rsidP="00697F68">
            <w:pPr>
              <w:spacing w:after="0" w:line="240" w:lineRule="auto"/>
              <w:rPr>
                <w:rFonts w:ascii="Calibri" w:eastAsia="Times New Roman" w:hAnsi="Calibri" w:cs="Times New Roman"/>
                <w:color w:val="000000"/>
              </w:rPr>
            </w:pPr>
            <w:r w:rsidRPr="000E6E45">
              <w:rPr>
                <w:rFonts w:ascii="Calibri" w:eastAsia="Times New Roman" w:hAnsi="Calibri" w:cs="Times New Roman"/>
                <w:color w:val="000000"/>
              </w:rPr>
              <w:t>(91.3%)</w:t>
            </w:r>
          </w:p>
        </w:tc>
        <w:tc>
          <w:tcPr>
            <w:tcW w:w="909" w:type="dxa"/>
            <w:tcBorders>
              <w:top w:val="nil"/>
              <w:left w:val="nil"/>
              <w:bottom w:val="nil"/>
              <w:right w:val="nil"/>
            </w:tcBorders>
            <w:shd w:val="clear" w:color="auto" w:fill="auto"/>
            <w:noWrap/>
            <w:vAlign w:val="bottom"/>
            <w:hideMark/>
          </w:tcPr>
          <w:p w14:paraId="34F1BCC8"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4,180</w:t>
            </w:r>
          </w:p>
        </w:tc>
        <w:tc>
          <w:tcPr>
            <w:tcW w:w="1205" w:type="dxa"/>
            <w:tcBorders>
              <w:top w:val="nil"/>
              <w:left w:val="nil"/>
              <w:bottom w:val="nil"/>
              <w:right w:val="nil"/>
            </w:tcBorders>
            <w:shd w:val="clear" w:color="auto" w:fill="auto"/>
            <w:noWrap/>
            <w:vAlign w:val="bottom"/>
            <w:hideMark/>
          </w:tcPr>
          <w:p w14:paraId="38E414D5"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(0.7)</w:t>
            </w:r>
          </w:p>
        </w:tc>
        <w:tc>
          <w:tcPr>
            <w:tcW w:w="1575" w:type="dxa"/>
            <w:tcBorders>
              <w:top w:val="nil"/>
              <w:left w:val="nil"/>
              <w:bottom w:val="nil"/>
              <w:right w:val="nil"/>
            </w:tcBorders>
            <w:shd w:val="clear" w:color="auto" w:fill="auto"/>
            <w:noWrap/>
            <w:vAlign w:val="bottom"/>
            <w:hideMark/>
          </w:tcPr>
          <w:p w14:paraId="20FFF07E" w14:textId="77777777" w:rsidR="001E0E5E" w:rsidRPr="000E6E45" w:rsidRDefault="001E0E5E" w:rsidP="00697F68">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0.99</w:t>
            </w:r>
          </w:p>
        </w:tc>
      </w:tr>
      <w:tr w:rsidR="001E0E5E" w:rsidRPr="000E6E45" w14:paraId="42FF3DE7" w14:textId="77777777" w:rsidTr="00697F68">
        <w:trPr>
          <w:trHeight w:val="300"/>
          <w:jc w:val="center"/>
        </w:trPr>
        <w:tc>
          <w:tcPr>
            <w:tcW w:w="1262" w:type="dxa"/>
            <w:tcBorders>
              <w:top w:val="nil"/>
              <w:left w:val="nil"/>
              <w:bottom w:val="single" w:sz="4" w:space="0" w:color="auto"/>
              <w:right w:val="nil"/>
            </w:tcBorders>
            <w:shd w:val="clear" w:color="auto" w:fill="auto"/>
            <w:noWrap/>
            <w:hideMark/>
          </w:tcPr>
          <w:p w14:paraId="17ADA1ED"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10</w:t>
            </w:r>
          </w:p>
        </w:tc>
        <w:tc>
          <w:tcPr>
            <w:tcW w:w="1380" w:type="dxa"/>
            <w:tcBorders>
              <w:top w:val="nil"/>
              <w:left w:val="nil"/>
              <w:bottom w:val="single" w:sz="4" w:space="0" w:color="auto"/>
              <w:right w:val="nil"/>
            </w:tcBorders>
            <w:shd w:val="clear" w:color="auto" w:fill="auto"/>
            <w:noWrap/>
            <w:vAlign w:val="bottom"/>
            <w:hideMark/>
          </w:tcPr>
          <w:p w14:paraId="7B29C6C7"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627,929</w:t>
            </w:r>
          </w:p>
        </w:tc>
        <w:tc>
          <w:tcPr>
            <w:tcW w:w="794" w:type="dxa"/>
            <w:tcBorders>
              <w:top w:val="nil"/>
              <w:left w:val="nil"/>
              <w:bottom w:val="single" w:sz="4" w:space="0" w:color="auto"/>
              <w:right w:val="nil"/>
            </w:tcBorders>
            <w:shd w:val="clear" w:color="auto" w:fill="auto"/>
            <w:noWrap/>
            <w:vAlign w:val="bottom"/>
            <w:hideMark/>
          </w:tcPr>
          <w:p w14:paraId="0CBBBDA7" w14:textId="77777777" w:rsidR="001E0E5E" w:rsidRPr="000E6E45" w:rsidRDefault="001E0E5E" w:rsidP="00697F68">
            <w:pPr>
              <w:spacing w:after="0" w:line="240" w:lineRule="auto"/>
              <w:jc w:val="right"/>
              <w:rPr>
                <w:rFonts w:ascii="Calibri" w:eastAsia="Times New Roman" w:hAnsi="Calibri" w:cs="Times New Roman"/>
                <w:color w:val="000000"/>
              </w:rPr>
            </w:pPr>
            <w:r w:rsidRPr="000E6E45">
              <w:rPr>
                <w:rFonts w:ascii="Calibri" w:eastAsia="Times New Roman" w:hAnsi="Calibri" w:cs="Times New Roman"/>
                <w:color w:val="000000"/>
              </w:rPr>
              <w:t>603,431</w:t>
            </w:r>
          </w:p>
        </w:tc>
        <w:tc>
          <w:tcPr>
            <w:tcW w:w="1011" w:type="dxa"/>
            <w:tcBorders>
              <w:top w:val="nil"/>
              <w:left w:val="nil"/>
              <w:bottom w:val="single" w:sz="4" w:space="0" w:color="auto"/>
              <w:right w:val="nil"/>
            </w:tcBorders>
            <w:shd w:val="clear" w:color="auto" w:fill="auto"/>
            <w:noWrap/>
            <w:vAlign w:val="center"/>
            <w:hideMark/>
          </w:tcPr>
          <w:p w14:paraId="19675ECD"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(96.1%)</w:t>
            </w:r>
          </w:p>
        </w:tc>
        <w:tc>
          <w:tcPr>
            <w:tcW w:w="794" w:type="dxa"/>
            <w:tcBorders>
              <w:top w:val="nil"/>
              <w:left w:val="nil"/>
              <w:bottom w:val="single" w:sz="4" w:space="0" w:color="auto"/>
              <w:right w:val="nil"/>
            </w:tcBorders>
            <w:shd w:val="clear" w:color="auto" w:fill="auto"/>
            <w:noWrap/>
            <w:vAlign w:val="bottom"/>
            <w:hideMark/>
          </w:tcPr>
          <w:p w14:paraId="2DAC9B9E" w14:textId="77777777" w:rsidR="001E0E5E" w:rsidRPr="000E6E45" w:rsidRDefault="001E0E5E" w:rsidP="00697F68">
            <w:pPr>
              <w:spacing w:after="0" w:line="240" w:lineRule="auto"/>
              <w:jc w:val="right"/>
              <w:rPr>
                <w:rFonts w:ascii="Calibri" w:eastAsia="Times New Roman" w:hAnsi="Calibri" w:cs="Times New Roman"/>
                <w:color w:val="000000"/>
              </w:rPr>
            </w:pPr>
            <w:r w:rsidRPr="000E6E45">
              <w:rPr>
                <w:rFonts w:ascii="Calibri" w:eastAsia="Times New Roman" w:hAnsi="Calibri" w:cs="Times New Roman"/>
                <w:color w:val="000000"/>
              </w:rPr>
              <w:t>601,501</w:t>
            </w:r>
          </w:p>
        </w:tc>
        <w:tc>
          <w:tcPr>
            <w:tcW w:w="770" w:type="dxa"/>
            <w:tcBorders>
              <w:top w:val="nil"/>
              <w:left w:val="nil"/>
              <w:bottom w:val="single" w:sz="4" w:space="0" w:color="auto"/>
              <w:right w:val="nil"/>
            </w:tcBorders>
            <w:shd w:val="clear" w:color="auto" w:fill="auto"/>
            <w:noWrap/>
            <w:vAlign w:val="bottom"/>
            <w:hideMark/>
          </w:tcPr>
          <w:p w14:paraId="51DAB844" w14:textId="77777777" w:rsidR="001E0E5E" w:rsidRPr="000E6E45" w:rsidRDefault="001E0E5E" w:rsidP="00697F68">
            <w:pPr>
              <w:spacing w:after="0" w:line="240" w:lineRule="auto"/>
              <w:rPr>
                <w:rFonts w:ascii="Calibri" w:eastAsia="Times New Roman" w:hAnsi="Calibri" w:cs="Times New Roman"/>
                <w:color w:val="000000"/>
              </w:rPr>
            </w:pPr>
            <w:r w:rsidRPr="000E6E45">
              <w:rPr>
                <w:rFonts w:ascii="Calibri" w:eastAsia="Times New Roman" w:hAnsi="Calibri" w:cs="Times New Roman"/>
                <w:color w:val="000000"/>
              </w:rPr>
              <w:t>(95.8%)</w:t>
            </w:r>
          </w:p>
        </w:tc>
        <w:tc>
          <w:tcPr>
            <w:tcW w:w="909" w:type="dxa"/>
            <w:tcBorders>
              <w:top w:val="nil"/>
              <w:left w:val="nil"/>
              <w:bottom w:val="single" w:sz="4" w:space="0" w:color="auto"/>
              <w:right w:val="nil"/>
            </w:tcBorders>
            <w:shd w:val="clear" w:color="auto" w:fill="auto"/>
            <w:noWrap/>
            <w:vAlign w:val="bottom"/>
            <w:hideMark/>
          </w:tcPr>
          <w:p w14:paraId="4EDBE790"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1,930</w:t>
            </w:r>
          </w:p>
        </w:tc>
        <w:tc>
          <w:tcPr>
            <w:tcW w:w="1205" w:type="dxa"/>
            <w:tcBorders>
              <w:top w:val="nil"/>
              <w:left w:val="nil"/>
              <w:bottom w:val="single" w:sz="4" w:space="0" w:color="auto"/>
              <w:right w:val="nil"/>
            </w:tcBorders>
            <w:shd w:val="clear" w:color="auto" w:fill="auto"/>
            <w:noWrap/>
            <w:vAlign w:val="bottom"/>
            <w:hideMark/>
          </w:tcPr>
          <w:p w14:paraId="654F5780" w14:textId="77777777" w:rsidR="001E0E5E" w:rsidRPr="000E6E45" w:rsidRDefault="001E0E5E" w:rsidP="00697F68">
            <w:pPr>
              <w:spacing w:after="0" w:line="240" w:lineRule="auto"/>
              <w:jc w:val="center"/>
              <w:rPr>
                <w:rFonts w:ascii="Calibri" w:eastAsia="Times New Roman" w:hAnsi="Calibri" w:cs="Times New Roman"/>
                <w:color w:val="000000"/>
              </w:rPr>
            </w:pPr>
            <w:r w:rsidRPr="000E6E45">
              <w:rPr>
                <w:rFonts w:ascii="Calibri" w:eastAsia="Times New Roman" w:hAnsi="Calibri" w:cs="Times New Roman"/>
                <w:color w:val="000000"/>
              </w:rPr>
              <w:t>(0.3)</w:t>
            </w:r>
          </w:p>
        </w:tc>
        <w:tc>
          <w:tcPr>
            <w:tcW w:w="1575" w:type="dxa"/>
            <w:tcBorders>
              <w:top w:val="nil"/>
              <w:left w:val="nil"/>
              <w:bottom w:val="single" w:sz="4" w:space="0" w:color="auto"/>
              <w:right w:val="nil"/>
            </w:tcBorders>
            <w:shd w:val="clear" w:color="auto" w:fill="auto"/>
            <w:noWrap/>
            <w:vAlign w:val="bottom"/>
            <w:hideMark/>
          </w:tcPr>
          <w:p w14:paraId="2FDCC1B0" w14:textId="77777777" w:rsidR="001E0E5E" w:rsidRPr="000E6E45" w:rsidRDefault="001E0E5E" w:rsidP="00697F68">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1.00</w:t>
            </w:r>
          </w:p>
        </w:tc>
      </w:tr>
    </w:tbl>
    <w:p w14:paraId="54F68CE6" w14:textId="77777777" w:rsidR="001E0E5E" w:rsidRPr="00DB52B4" w:rsidRDefault="001E0E5E" w:rsidP="001E0E5E">
      <w:pPr>
        <w:autoSpaceDE w:val="0"/>
        <w:autoSpaceDN w:val="0"/>
        <w:adjustRightInd w:val="0"/>
        <w:spacing w:after="0" w:line="240" w:lineRule="auto"/>
        <w:ind w:firstLine="720"/>
        <w:rPr>
          <w:rFonts w:cstheme="minorHAnsi"/>
          <w:bCs/>
        </w:rPr>
      </w:pPr>
      <w:r>
        <w:rPr>
          <w:rFonts w:cstheme="minorHAnsi"/>
          <w:bCs/>
          <w:sz w:val="18"/>
        </w:rPr>
        <w:t>Acumen</w:t>
      </w:r>
      <w:r w:rsidRPr="0090361B">
        <w:rPr>
          <w:rFonts w:cstheme="minorHAnsi"/>
          <w:bCs/>
          <w:sz w:val="18"/>
        </w:rPr>
        <w:t xml:space="preserve"> Analysis of Medicare Claims File for </w:t>
      </w:r>
      <w:r>
        <w:rPr>
          <w:rFonts w:cstheme="minorHAnsi"/>
          <w:bCs/>
          <w:sz w:val="18"/>
        </w:rPr>
        <w:t>HH</w:t>
      </w:r>
      <w:r w:rsidRPr="0090361B">
        <w:rPr>
          <w:rFonts w:cstheme="minorHAnsi"/>
          <w:bCs/>
          <w:sz w:val="18"/>
        </w:rPr>
        <w:t xml:space="preserve">, </w:t>
      </w:r>
      <w:r>
        <w:rPr>
          <w:rFonts w:cstheme="minorHAnsi"/>
          <w:bCs/>
          <w:sz w:val="18"/>
        </w:rPr>
        <w:t>CY</w:t>
      </w:r>
      <w:r w:rsidRPr="0090361B">
        <w:rPr>
          <w:rFonts w:cstheme="minorHAnsi"/>
          <w:bCs/>
          <w:sz w:val="18"/>
        </w:rPr>
        <w:t xml:space="preserve"> 201</w:t>
      </w:r>
      <w:r>
        <w:rPr>
          <w:rFonts w:cstheme="minorHAnsi"/>
          <w:bCs/>
          <w:sz w:val="18"/>
        </w:rPr>
        <w:t>5</w:t>
      </w:r>
      <w:r w:rsidRPr="0090361B">
        <w:rPr>
          <w:rFonts w:cstheme="minorHAnsi"/>
          <w:bCs/>
          <w:sz w:val="18"/>
        </w:rPr>
        <w:t>-201</w:t>
      </w:r>
      <w:r>
        <w:rPr>
          <w:rFonts w:cstheme="minorHAnsi"/>
          <w:bCs/>
          <w:sz w:val="18"/>
        </w:rPr>
        <w:t>6.</w:t>
      </w:r>
    </w:p>
    <w:p w14:paraId="1188466C" w14:textId="77777777" w:rsidR="001E0E5E" w:rsidRDefault="001E0E5E" w:rsidP="001E0E5E">
      <w:pPr>
        <w:autoSpaceDE w:val="0"/>
        <w:autoSpaceDN w:val="0"/>
        <w:adjustRightInd w:val="0"/>
        <w:spacing w:after="0" w:line="240" w:lineRule="auto"/>
        <w:rPr>
          <w:rFonts w:cstheme="minorHAnsi"/>
          <w:b/>
          <w:bCs/>
        </w:rPr>
      </w:pPr>
    </w:p>
    <w:p w14:paraId="4E2CE54E" w14:textId="16B5495D" w:rsidR="00DA3D36" w:rsidRDefault="009C7513" w:rsidP="001E0E5E">
      <w:pPr>
        <w:autoSpaceDE w:val="0"/>
        <w:autoSpaceDN w:val="0"/>
        <w:adjustRightInd w:val="0"/>
        <w:spacing w:after="0" w:line="240" w:lineRule="auto"/>
        <w:rPr>
          <w:rFonts w:cstheme="minorHAnsi"/>
          <w:bCs/>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4633F0">
        <w:rPr>
          <w:rFonts w:cstheme="minorHAnsi"/>
          <w:bCs/>
        </w:rPr>
        <w:t xml:space="preserve"> </w:t>
      </w:r>
    </w:p>
    <w:p w14:paraId="2B65B628" w14:textId="5D4DFFD1" w:rsidR="00743E46" w:rsidRDefault="00F76ABB" w:rsidP="00092566">
      <w:pPr>
        <w:autoSpaceDE w:val="0"/>
        <w:autoSpaceDN w:val="0"/>
        <w:adjustRightInd w:val="0"/>
        <w:spacing w:after="0" w:line="240" w:lineRule="auto"/>
        <w:rPr>
          <w:rFonts w:cstheme="minorHAnsi"/>
          <w:b/>
          <w:bCs/>
        </w:rPr>
      </w:pPr>
      <w:r>
        <w:rPr>
          <w:rFonts w:ascii="Calibri" w:eastAsia="Calibri" w:hAnsi="Calibri" w:cs="Calibri"/>
        </w:rPr>
        <w:lastRenderedPageBreak/>
        <w:t>The results of our analysis</w:t>
      </w:r>
      <w:r w:rsidRPr="00E84B23">
        <w:rPr>
          <w:rFonts w:cstheme="minorHAnsi"/>
          <w:b/>
          <w:bCs/>
        </w:rPr>
        <w:t xml:space="preserve"> </w:t>
      </w:r>
      <w:r w:rsidRPr="005B776B">
        <w:rPr>
          <w:rFonts w:cstheme="minorHAnsi"/>
          <w:bCs/>
        </w:rPr>
        <w:t xml:space="preserve">comparing </w:t>
      </w:r>
      <w:r>
        <w:rPr>
          <w:rFonts w:cstheme="minorHAnsi"/>
          <w:bCs/>
        </w:rPr>
        <w:t xml:space="preserve">the observed and predicted DTC rates by deciles of DTC risk are displayed in </w:t>
      </w:r>
      <w:r>
        <w:rPr>
          <w:rFonts w:cstheme="minorHAnsi"/>
          <w:b/>
          <w:bCs/>
        </w:rPr>
        <w:t xml:space="preserve">Figure </w:t>
      </w:r>
      <w:r w:rsidR="00CE1A67">
        <w:rPr>
          <w:rFonts w:cstheme="minorHAnsi"/>
          <w:b/>
          <w:bCs/>
        </w:rPr>
        <w:t>3</w:t>
      </w:r>
      <w:r w:rsidR="00D02248">
        <w:rPr>
          <w:rFonts w:cstheme="minorHAnsi"/>
          <w:bCs/>
        </w:rPr>
        <w:t xml:space="preserve"> a</w:t>
      </w:r>
      <w:r>
        <w:rPr>
          <w:rFonts w:cstheme="minorHAnsi"/>
          <w:bCs/>
        </w:rPr>
        <w:t xml:space="preserve">nd </w:t>
      </w:r>
      <w:r>
        <w:rPr>
          <w:rFonts w:cstheme="minorHAnsi"/>
          <w:b/>
          <w:bCs/>
        </w:rPr>
        <w:t xml:space="preserve">Table </w:t>
      </w:r>
      <w:r w:rsidR="00CE1A67">
        <w:rPr>
          <w:rFonts w:cstheme="minorHAnsi"/>
          <w:b/>
          <w:bCs/>
        </w:rPr>
        <w:t>18</w:t>
      </w:r>
      <w:r w:rsidRPr="004478E0">
        <w:rPr>
          <w:rFonts w:cstheme="minorHAnsi"/>
          <w:bCs/>
        </w:rPr>
        <w:t xml:space="preserve"> above in section</w:t>
      </w:r>
      <w:r>
        <w:rPr>
          <w:rFonts w:cstheme="minorHAnsi"/>
          <w:b/>
          <w:bCs/>
        </w:rPr>
        <w:t xml:space="preserve"> 2</w:t>
      </w:r>
      <w:r w:rsidRPr="00E84B23">
        <w:rPr>
          <w:rFonts w:cstheme="minorHAnsi"/>
          <w:b/>
          <w:bCs/>
        </w:rPr>
        <w:t>b3.7</w:t>
      </w:r>
      <w:r>
        <w:rPr>
          <w:rFonts w:cstheme="minorHAnsi"/>
          <w:b/>
          <w:bCs/>
        </w:rPr>
        <w:t>.</w:t>
      </w:r>
    </w:p>
    <w:p w14:paraId="1BC61383" w14:textId="77777777" w:rsidR="00F76ABB" w:rsidRDefault="00F76ABB" w:rsidP="00092566">
      <w:pPr>
        <w:autoSpaceDE w:val="0"/>
        <w:autoSpaceDN w:val="0"/>
        <w:adjustRightInd w:val="0"/>
        <w:spacing w:after="0" w:line="240" w:lineRule="auto"/>
        <w:rPr>
          <w:rFonts w:cstheme="minorHAnsi"/>
          <w:b/>
        </w:rPr>
      </w:pPr>
    </w:p>
    <w:p w14:paraId="7809E7AE" w14:textId="77777777" w:rsidR="00092566" w:rsidRDefault="009C7513" w:rsidP="00092566">
      <w:pPr>
        <w:autoSpaceDE w:val="0"/>
        <w:autoSpaceDN w:val="0"/>
        <w:adjustRightInd w:val="0"/>
        <w:spacing w:after="0" w:line="240" w:lineRule="auto"/>
        <w:rPr>
          <w:rFonts w:cstheme="minorHAnsi"/>
          <w:bCs/>
        </w:rPr>
      </w:pPr>
      <w:bookmarkStart w:id="21" w:name="question2b49"/>
      <w:bookmarkEnd w:id="21"/>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45E7503B" w14:textId="47F558DD" w:rsidR="002A0E15" w:rsidRPr="00A25024" w:rsidRDefault="002A0E15" w:rsidP="00092566">
      <w:pPr>
        <w:autoSpaceDE w:val="0"/>
        <w:autoSpaceDN w:val="0"/>
        <w:adjustRightInd w:val="0"/>
        <w:spacing w:after="0" w:line="240" w:lineRule="auto"/>
        <w:rPr>
          <w:rFonts w:cstheme="minorHAnsi"/>
          <w:bCs/>
        </w:rPr>
      </w:pPr>
      <w:r>
        <w:rPr>
          <w:rFonts w:cstheme="minorHAnsi"/>
          <w:bCs/>
        </w:rPr>
        <w:t xml:space="preserve">Not applicable. </w:t>
      </w:r>
    </w:p>
    <w:p w14:paraId="2F0A0588" w14:textId="77777777" w:rsidR="00092566" w:rsidRPr="00A25024" w:rsidRDefault="00092566" w:rsidP="00092566">
      <w:pPr>
        <w:pStyle w:val="ListParagraph"/>
        <w:rPr>
          <w:rFonts w:cstheme="minorHAnsi"/>
          <w:bCs/>
        </w:rPr>
      </w:pPr>
    </w:p>
    <w:p w14:paraId="2E830E0C" w14:textId="77777777" w:rsidR="00092566" w:rsidRPr="00A25024"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14:paraId="6193C163" w14:textId="77777777" w:rsidR="00F76ABB" w:rsidRPr="005029B4" w:rsidRDefault="00F76ABB" w:rsidP="00F76ABB">
      <w:pPr>
        <w:spacing w:after="0" w:line="240" w:lineRule="auto"/>
        <w:rPr>
          <w:rFonts w:cstheme="minorHAnsi"/>
        </w:rPr>
      </w:pPr>
      <w:r w:rsidRPr="005029B4">
        <w:rPr>
          <w:rFonts w:eastAsia="Calibri" w:cstheme="minorHAnsi"/>
        </w:rPr>
        <w:t>The model discrimination and calibration results demonstrate good model fit and predictive ability across the full range of patients, from low to high risk of successful discharge to community. There was no evidence of extreme under- or over-</w:t>
      </w:r>
      <w:r>
        <w:rPr>
          <w:rFonts w:eastAsia="Calibri" w:cstheme="minorHAnsi"/>
        </w:rPr>
        <w:t>estimation</w:t>
      </w:r>
      <w:r w:rsidRPr="005029B4">
        <w:rPr>
          <w:rFonts w:eastAsia="Calibri" w:cstheme="minorHAnsi"/>
        </w:rPr>
        <w:t xml:space="preserve"> at the extremes of patient risk. </w:t>
      </w:r>
    </w:p>
    <w:p w14:paraId="7C6EE647" w14:textId="77777777" w:rsidR="00F76ABB" w:rsidRDefault="00F76ABB" w:rsidP="00F76ABB">
      <w:pPr>
        <w:spacing w:after="0" w:line="240" w:lineRule="auto"/>
      </w:pPr>
    </w:p>
    <w:p w14:paraId="45852089" w14:textId="43C68849" w:rsidR="00F76ABB" w:rsidRPr="00A03F20" w:rsidRDefault="00F76ABB" w:rsidP="00F76ABB">
      <w:pPr>
        <w:spacing w:after="0" w:line="240" w:lineRule="auto"/>
      </w:pPr>
      <w:r w:rsidRPr="005029B4">
        <w:rPr>
          <w:rFonts w:cstheme="minorHAnsi"/>
          <w:bCs/>
          <w:iCs/>
        </w:rPr>
        <w:t xml:space="preserve">The distribution of facility-level observed, and risk-standardized DTC rates is shown in </w:t>
      </w:r>
      <w:r w:rsidRPr="005029B4">
        <w:rPr>
          <w:rFonts w:cstheme="minorHAnsi"/>
          <w:b/>
          <w:bCs/>
          <w:iCs/>
        </w:rPr>
        <w:t xml:space="preserve">Table </w:t>
      </w:r>
      <w:r w:rsidR="00D02248">
        <w:rPr>
          <w:rFonts w:cstheme="minorHAnsi"/>
          <w:b/>
          <w:bCs/>
          <w:iCs/>
        </w:rPr>
        <w:t>19</w:t>
      </w:r>
      <w:r w:rsidRPr="005029B4">
        <w:rPr>
          <w:rFonts w:cstheme="minorHAnsi"/>
          <w:bCs/>
          <w:iCs/>
        </w:rPr>
        <w:t xml:space="preserve"> and </w:t>
      </w:r>
      <w:r w:rsidRPr="005029B4">
        <w:rPr>
          <w:rFonts w:cstheme="minorHAnsi"/>
          <w:b/>
          <w:bCs/>
          <w:iCs/>
        </w:rPr>
        <w:t xml:space="preserve">Figure </w:t>
      </w:r>
      <w:r w:rsidR="00D02248">
        <w:rPr>
          <w:rFonts w:cstheme="minorHAnsi"/>
          <w:b/>
          <w:bCs/>
          <w:iCs/>
        </w:rPr>
        <w:t>4</w:t>
      </w:r>
      <w:r w:rsidRPr="005029B4">
        <w:rPr>
          <w:rFonts w:cstheme="minorHAnsi"/>
          <w:b/>
          <w:bCs/>
          <w:iCs/>
        </w:rPr>
        <w:t>.</w:t>
      </w:r>
      <w:r w:rsidRPr="005029B4">
        <w:rPr>
          <w:rFonts w:cstheme="minorHAnsi"/>
        </w:rPr>
        <w:t xml:space="preserve"> </w:t>
      </w:r>
      <w:r w:rsidRPr="00F97DD7">
        <w:t>By taking into account beneficiary characteristics that are outside the provider’s control, the model changes some pro</w:t>
      </w:r>
      <w:r>
        <w:t xml:space="preserve">viders’ relative ranks of DTC rates. </w:t>
      </w:r>
      <w:r w:rsidRPr="00F97DD7">
        <w:t>Risk adjustment compresses the distributi</w:t>
      </w:r>
      <w:r>
        <w:t xml:space="preserve">on of DTC </w:t>
      </w:r>
      <w:r w:rsidRPr="00F97DD7">
        <w:t>rates and decreases their variability</w:t>
      </w:r>
      <w:r>
        <w:t>.</w:t>
      </w:r>
      <w:r w:rsidRPr="005029B4">
        <w:rPr>
          <w:rFonts w:cstheme="minorHAnsi"/>
        </w:rPr>
        <w:t xml:space="preserve"> The narrower distribution of the risk-standardized rates compared with the observed rates is expected based on our risk adjustment methodology with shrinkage towards the mean for low-volume providers.</w:t>
      </w:r>
    </w:p>
    <w:p w14:paraId="1F3E1398" w14:textId="77777777" w:rsidR="00F76ABB" w:rsidRDefault="00F76ABB" w:rsidP="00F76ABB">
      <w:pPr>
        <w:spacing w:after="0" w:line="240" w:lineRule="auto"/>
      </w:pPr>
    </w:p>
    <w:p w14:paraId="2B82704F" w14:textId="3DEB2D15" w:rsidR="00F76ABB" w:rsidRPr="002470F7" w:rsidRDefault="00F76ABB" w:rsidP="00F76ABB">
      <w:pPr>
        <w:spacing w:after="0" w:line="240" w:lineRule="auto"/>
        <w:jc w:val="center"/>
        <w:rPr>
          <w:rFonts w:ascii="Calibri" w:eastAsia="Calibri" w:hAnsi="Calibri" w:cs="Calibri"/>
        </w:rPr>
      </w:pPr>
      <w:r w:rsidRPr="002470F7">
        <w:rPr>
          <w:rFonts w:ascii="Calibri" w:eastAsia="Calibri" w:hAnsi="Calibri" w:cs="Calibri"/>
          <w:b/>
          <w:bCs/>
        </w:rPr>
        <w:t xml:space="preserve">Table </w:t>
      </w:r>
      <w:r w:rsidR="00FC40CA">
        <w:rPr>
          <w:rFonts w:ascii="Calibri" w:eastAsia="Calibri" w:hAnsi="Calibri" w:cs="Calibri"/>
          <w:b/>
          <w:bCs/>
        </w:rPr>
        <w:t>19.</w:t>
      </w:r>
      <w:r w:rsidRPr="002470F7">
        <w:rPr>
          <w:rFonts w:ascii="Calibri" w:eastAsia="Calibri" w:hAnsi="Calibri" w:cs="Calibri"/>
          <w:b/>
          <w:bCs/>
        </w:rPr>
        <w:t xml:space="preserve"> </w:t>
      </w:r>
      <w:r w:rsidRPr="001904C7">
        <w:rPr>
          <w:rFonts w:ascii="Calibri" w:eastAsia="Calibri" w:hAnsi="Calibri" w:cs="Calibri"/>
          <w:b/>
          <w:bCs/>
        </w:rPr>
        <w:t>Observed and Risk-standardized Discharge to Community Rates (%) among HHAs, CY 2015-2016</w:t>
      </w:r>
    </w:p>
    <w:tbl>
      <w:tblPr>
        <w:tblStyle w:val="CMSTable"/>
        <w:tblW w:w="5000" w:type="pct"/>
        <w:jc w:val="center"/>
        <w:tblLook w:val="06A0" w:firstRow="1" w:lastRow="0" w:firstColumn="1" w:lastColumn="0" w:noHBand="1" w:noVBand="1"/>
      </w:tblPr>
      <w:tblGrid>
        <w:gridCol w:w="2106"/>
        <w:gridCol w:w="837"/>
        <w:gridCol w:w="1191"/>
        <w:gridCol w:w="1117"/>
        <w:gridCol w:w="812"/>
        <w:gridCol w:w="1119"/>
        <w:gridCol w:w="1016"/>
        <w:gridCol w:w="1429"/>
        <w:gridCol w:w="1115"/>
      </w:tblGrid>
      <w:tr w:rsidR="00F76ABB" w:rsidRPr="002470F7" w14:paraId="2472A4DB" w14:textId="77777777" w:rsidTr="00697F68">
        <w:trPr>
          <w:cnfStyle w:val="100000000000" w:firstRow="1" w:lastRow="0" w:firstColumn="0" w:lastColumn="0" w:oddVBand="0" w:evenVBand="0" w:oddHBand="0" w:evenHBand="0" w:firstRowFirstColumn="0" w:firstRowLastColumn="0" w:lastRowFirstColumn="0" w:lastRowLastColumn="0"/>
          <w:jc w:val="center"/>
        </w:trPr>
        <w:tc>
          <w:tcPr>
            <w:tcW w:w="980" w:type="pct"/>
            <w:shd w:val="clear" w:color="auto" w:fill="D9D9D9" w:themeFill="background1" w:themeFillShade="D9"/>
          </w:tcPr>
          <w:p w14:paraId="461B421E" w14:textId="77777777" w:rsidR="00F76ABB" w:rsidRPr="004A5C84" w:rsidRDefault="00F76ABB" w:rsidP="00697F68">
            <w:pPr>
              <w:rPr>
                <w:rFonts w:ascii="Calibri" w:eastAsia="Calibri" w:hAnsi="Calibri" w:cs="Calibri"/>
                <w:b/>
                <w:szCs w:val="22"/>
              </w:rPr>
            </w:pPr>
          </w:p>
        </w:tc>
        <w:tc>
          <w:tcPr>
            <w:tcW w:w="389" w:type="pct"/>
            <w:shd w:val="clear" w:color="auto" w:fill="D9D9D9" w:themeFill="background1" w:themeFillShade="D9"/>
          </w:tcPr>
          <w:p w14:paraId="1EC45450" w14:textId="42323C40" w:rsidR="00F76ABB" w:rsidRPr="004A5C84" w:rsidRDefault="00F308F2" w:rsidP="00697F68">
            <w:pPr>
              <w:rPr>
                <w:rFonts w:ascii="Calibri" w:eastAsia="Calibri" w:hAnsi="Calibri" w:cs="Calibri"/>
                <w:b/>
                <w:szCs w:val="22"/>
              </w:rPr>
            </w:pPr>
            <w:r>
              <w:rPr>
                <w:rFonts w:ascii="Calibri" w:eastAsia="Calibri" w:hAnsi="Calibri" w:cs="Calibri"/>
                <w:b/>
                <w:szCs w:val="22"/>
              </w:rPr>
              <w:t>K</w:t>
            </w:r>
          </w:p>
        </w:tc>
        <w:tc>
          <w:tcPr>
            <w:tcW w:w="554" w:type="pct"/>
            <w:shd w:val="clear" w:color="auto" w:fill="D9D9D9" w:themeFill="background1" w:themeFillShade="D9"/>
          </w:tcPr>
          <w:p w14:paraId="6CE34B9D" w14:textId="77777777" w:rsidR="00F76ABB" w:rsidRPr="004A5C84" w:rsidRDefault="00F76ABB" w:rsidP="00697F68">
            <w:pPr>
              <w:rPr>
                <w:rFonts w:ascii="Calibri" w:eastAsia="Calibri" w:hAnsi="Calibri" w:cs="Calibri"/>
                <w:b/>
                <w:szCs w:val="22"/>
              </w:rPr>
            </w:pPr>
            <w:r w:rsidRPr="004A5C84">
              <w:rPr>
                <w:rFonts w:ascii="Calibri" w:eastAsia="Calibri" w:hAnsi="Calibri" w:cs="Calibri"/>
                <w:b/>
                <w:szCs w:val="22"/>
              </w:rPr>
              <w:t>Mean</w:t>
            </w:r>
          </w:p>
        </w:tc>
        <w:tc>
          <w:tcPr>
            <w:tcW w:w="520" w:type="pct"/>
            <w:shd w:val="clear" w:color="auto" w:fill="D9D9D9" w:themeFill="background1" w:themeFillShade="D9"/>
          </w:tcPr>
          <w:p w14:paraId="66D8BBF8" w14:textId="77777777" w:rsidR="00F76ABB" w:rsidRPr="004A5C84" w:rsidRDefault="00F76ABB" w:rsidP="00697F68">
            <w:pPr>
              <w:rPr>
                <w:rFonts w:ascii="Calibri" w:eastAsia="Calibri" w:hAnsi="Calibri" w:cs="Calibri"/>
                <w:b/>
                <w:szCs w:val="22"/>
              </w:rPr>
            </w:pPr>
            <w:r w:rsidRPr="004A5C84">
              <w:rPr>
                <w:rFonts w:ascii="Calibri" w:eastAsia="Calibri" w:hAnsi="Calibri" w:cs="Calibri"/>
                <w:b/>
                <w:szCs w:val="22"/>
              </w:rPr>
              <w:t>SD</w:t>
            </w:r>
          </w:p>
        </w:tc>
        <w:tc>
          <w:tcPr>
            <w:tcW w:w="378" w:type="pct"/>
            <w:shd w:val="clear" w:color="auto" w:fill="D9D9D9" w:themeFill="background1" w:themeFillShade="D9"/>
          </w:tcPr>
          <w:p w14:paraId="23B015B4" w14:textId="77777777" w:rsidR="00F76ABB" w:rsidRPr="004A5C84" w:rsidRDefault="00F76ABB" w:rsidP="00697F68">
            <w:pPr>
              <w:rPr>
                <w:rFonts w:ascii="Calibri" w:eastAsia="Calibri" w:hAnsi="Calibri" w:cs="Calibri"/>
                <w:b/>
                <w:szCs w:val="22"/>
              </w:rPr>
            </w:pPr>
            <w:r w:rsidRPr="004A5C84">
              <w:rPr>
                <w:rFonts w:ascii="Calibri" w:eastAsia="Calibri" w:hAnsi="Calibri" w:cs="Calibri"/>
                <w:b/>
                <w:szCs w:val="22"/>
              </w:rPr>
              <w:t>Min</w:t>
            </w:r>
          </w:p>
        </w:tc>
        <w:tc>
          <w:tcPr>
            <w:tcW w:w="521" w:type="pct"/>
            <w:shd w:val="clear" w:color="auto" w:fill="D9D9D9" w:themeFill="background1" w:themeFillShade="D9"/>
          </w:tcPr>
          <w:p w14:paraId="353D507D" w14:textId="77777777" w:rsidR="00F76ABB" w:rsidRPr="004A5C84" w:rsidRDefault="00F76ABB" w:rsidP="00697F68">
            <w:pPr>
              <w:rPr>
                <w:rFonts w:ascii="Calibri" w:eastAsia="Calibri" w:hAnsi="Calibri" w:cs="Calibri"/>
                <w:b/>
                <w:szCs w:val="22"/>
              </w:rPr>
            </w:pPr>
            <w:r w:rsidRPr="004A5C84">
              <w:rPr>
                <w:rFonts w:ascii="Calibri" w:eastAsia="Calibri" w:hAnsi="Calibri" w:cs="Calibri"/>
                <w:b/>
                <w:szCs w:val="22"/>
              </w:rPr>
              <w:t>25</w:t>
            </w:r>
            <w:r w:rsidRPr="004A5C84">
              <w:rPr>
                <w:rFonts w:ascii="Calibri" w:eastAsia="Calibri" w:hAnsi="Calibri" w:cs="Calibri"/>
                <w:b/>
                <w:szCs w:val="22"/>
                <w:vertAlign w:val="superscript"/>
              </w:rPr>
              <w:t>th</w:t>
            </w:r>
            <w:r w:rsidRPr="004A5C84">
              <w:rPr>
                <w:rFonts w:ascii="Calibri" w:eastAsia="Calibri" w:hAnsi="Calibri" w:cs="Calibri"/>
                <w:b/>
                <w:szCs w:val="22"/>
              </w:rPr>
              <w:t xml:space="preserve"> Pct</w:t>
            </w:r>
            <w:r>
              <w:rPr>
                <w:rFonts w:ascii="Calibri" w:eastAsia="Calibri" w:hAnsi="Calibri" w:cs="Calibri"/>
                <w:b/>
                <w:szCs w:val="22"/>
              </w:rPr>
              <w:t>*</w:t>
            </w:r>
          </w:p>
        </w:tc>
        <w:tc>
          <w:tcPr>
            <w:tcW w:w="473" w:type="pct"/>
            <w:shd w:val="clear" w:color="auto" w:fill="D9D9D9" w:themeFill="background1" w:themeFillShade="D9"/>
          </w:tcPr>
          <w:p w14:paraId="0C45AACC" w14:textId="77777777" w:rsidR="00F76ABB" w:rsidRPr="004A5C84" w:rsidRDefault="00F76ABB" w:rsidP="00697F68">
            <w:pPr>
              <w:rPr>
                <w:rFonts w:ascii="Calibri" w:eastAsia="Calibri" w:hAnsi="Calibri" w:cs="Calibri"/>
                <w:b/>
                <w:szCs w:val="22"/>
              </w:rPr>
            </w:pPr>
            <w:r w:rsidRPr="004A5C84">
              <w:rPr>
                <w:rFonts w:ascii="Calibri" w:eastAsia="Calibri" w:hAnsi="Calibri" w:cs="Calibri"/>
                <w:b/>
                <w:szCs w:val="22"/>
              </w:rPr>
              <w:t>50</w:t>
            </w:r>
            <w:r w:rsidRPr="004A5C84">
              <w:rPr>
                <w:rFonts w:ascii="Calibri" w:eastAsia="Calibri" w:hAnsi="Calibri" w:cs="Calibri"/>
                <w:b/>
                <w:szCs w:val="22"/>
                <w:vertAlign w:val="superscript"/>
              </w:rPr>
              <w:t>th</w:t>
            </w:r>
            <w:r w:rsidRPr="004A5C84">
              <w:rPr>
                <w:rFonts w:ascii="Calibri" w:eastAsia="Calibri" w:hAnsi="Calibri" w:cs="Calibri"/>
                <w:b/>
                <w:szCs w:val="22"/>
              </w:rPr>
              <w:t xml:space="preserve"> Pct</w:t>
            </w:r>
          </w:p>
        </w:tc>
        <w:tc>
          <w:tcPr>
            <w:tcW w:w="665" w:type="pct"/>
            <w:shd w:val="clear" w:color="auto" w:fill="D9D9D9" w:themeFill="background1" w:themeFillShade="D9"/>
          </w:tcPr>
          <w:p w14:paraId="67B6105A" w14:textId="77777777" w:rsidR="00F76ABB" w:rsidRPr="004A5C84" w:rsidRDefault="00F76ABB" w:rsidP="00697F68">
            <w:pPr>
              <w:rPr>
                <w:rFonts w:ascii="Calibri" w:eastAsia="Calibri" w:hAnsi="Calibri" w:cs="Calibri"/>
                <w:b/>
                <w:szCs w:val="22"/>
              </w:rPr>
            </w:pPr>
            <w:r w:rsidRPr="004A5C84">
              <w:rPr>
                <w:rFonts w:ascii="Calibri" w:eastAsia="Calibri" w:hAnsi="Calibri" w:cs="Calibri"/>
                <w:b/>
                <w:szCs w:val="22"/>
              </w:rPr>
              <w:t>75</w:t>
            </w:r>
            <w:r w:rsidRPr="004A5C84">
              <w:rPr>
                <w:rFonts w:ascii="Calibri" w:eastAsia="Calibri" w:hAnsi="Calibri" w:cs="Calibri"/>
                <w:b/>
                <w:szCs w:val="22"/>
                <w:vertAlign w:val="superscript"/>
              </w:rPr>
              <w:t>th</w:t>
            </w:r>
            <w:r w:rsidRPr="004A5C84">
              <w:rPr>
                <w:rFonts w:ascii="Calibri" w:eastAsia="Calibri" w:hAnsi="Calibri" w:cs="Calibri"/>
                <w:b/>
                <w:szCs w:val="22"/>
              </w:rPr>
              <w:t xml:space="preserve"> Pct</w:t>
            </w:r>
          </w:p>
        </w:tc>
        <w:tc>
          <w:tcPr>
            <w:tcW w:w="519" w:type="pct"/>
            <w:shd w:val="clear" w:color="auto" w:fill="D9D9D9" w:themeFill="background1" w:themeFillShade="D9"/>
          </w:tcPr>
          <w:p w14:paraId="4E9E2808" w14:textId="77777777" w:rsidR="00F76ABB" w:rsidRPr="004A5C84" w:rsidRDefault="00F76ABB" w:rsidP="00697F68">
            <w:pPr>
              <w:rPr>
                <w:rFonts w:ascii="Calibri" w:eastAsia="Calibri" w:hAnsi="Calibri" w:cs="Calibri"/>
                <w:b/>
                <w:szCs w:val="22"/>
              </w:rPr>
            </w:pPr>
            <w:r w:rsidRPr="004A5C84">
              <w:rPr>
                <w:rFonts w:ascii="Calibri" w:eastAsia="Calibri" w:hAnsi="Calibri" w:cs="Calibri"/>
                <w:b/>
                <w:szCs w:val="22"/>
              </w:rPr>
              <w:t>Max</w:t>
            </w:r>
          </w:p>
        </w:tc>
      </w:tr>
      <w:tr w:rsidR="00F76ABB" w:rsidRPr="002470F7" w14:paraId="5FFC31DD" w14:textId="77777777" w:rsidTr="00697F68">
        <w:trPr>
          <w:jc w:val="center"/>
        </w:trPr>
        <w:tc>
          <w:tcPr>
            <w:tcW w:w="980" w:type="pct"/>
          </w:tcPr>
          <w:p w14:paraId="5D2B3941" w14:textId="77777777" w:rsidR="00F76ABB" w:rsidRPr="002470F7" w:rsidRDefault="00F76ABB" w:rsidP="00697F68">
            <w:pPr>
              <w:rPr>
                <w:rFonts w:ascii="Calibri" w:eastAsia="Calibri" w:hAnsi="Calibri" w:cs="Calibri"/>
                <w:szCs w:val="22"/>
              </w:rPr>
            </w:pPr>
            <w:r w:rsidRPr="002470F7">
              <w:rPr>
                <w:rFonts w:ascii="Calibri" w:eastAsia="Calibri" w:hAnsi="Calibri" w:cs="Calibri"/>
                <w:szCs w:val="22"/>
              </w:rPr>
              <w:t>Observed DTC rate</w:t>
            </w:r>
          </w:p>
        </w:tc>
        <w:tc>
          <w:tcPr>
            <w:tcW w:w="389" w:type="pct"/>
            <w:vAlign w:val="bottom"/>
          </w:tcPr>
          <w:p w14:paraId="5E404854" w14:textId="77777777" w:rsidR="00F76ABB" w:rsidRPr="00AC5CE6" w:rsidRDefault="00F76ABB" w:rsidP="00697F68">
            <w:pPr>
              <w:jc w:val="right"/>
              <w:rPr>
                <w:rFonts w:asciiTheme="minorHAnsi" w:eastAsia="Calibri" w:hAnsiTheme="minorHAnsi" w:cstheme="minorHAnsi"/>
                <w:szCs w:val="22"/>
              </w:rPr>
            </w:pPr>
            <w:r>
              <w:rPr>
                <w:rFonts w:ascii="Calibri" w:hAnsi="Calibri"/>
                <w:color w:val="000000"/>
                <w:szCs w:val="22"/>
              </w:rPr>
              <w:t>10,131</w:t>
            </w:r>
          </w:p>
        </w:tc>
        <w:tc>
          <w:tcPr>
            <w:tcW w:w="554" w:type="pct"/>
            <w:vAlign w:val="bottom"/>
          </w:tcPr>
          <w:p w14:paraId="6323B6EC" w14:textId="77777777" w:rsidR="00F76ABB" w:rsidRPr="00AC5CE6" w:rsidRDefault="00F76ABB" w:rsidP="00697F68">
            <w:pPr>
              <w:jc w:val="right"/>
              <w:rPr>
                <w:rFonts w:asciiTheme="minorHAnsi" w:eastAsia="Calibri" w:hAnsiTheme="minorHAnsi" w:cstheme="minorHAnsi"/>
                <w:szCs w:val="22"/>
              </w:rPr>
            </w:pPr>
            <w:r>
              <w:rPr>
                <w:rFonts w:ascii="Calibri" w:hAnsi="Calibri"/>
                <w:color w:val="000000"/>
                <w:szCs w:val="22"/>
              </w:rPr>
              <w:t>71.8%</w:t>
            </w:r>
          </w:p>
        </w:tc>
        <w:tc>
          <w:tcPr>
            <w:tcW w:w="520" w:type="pct"/>
            <w:vAlign w:val="bottom"/>
          </w:tcPr>
          <w:p w14:paraId="6C2D77F7" w14:textId="77777777" w:rsidR="00F76ABB" w:rsidRPr="00AC5CE6" w:rsidRDefault="00F76ABB" w:rsidP="00697F68">
            <w:pPr>
              <w:jc w:val="right"/>
              <w:rPr>
                <w:rFonts w:asciiTheme="minorHAnsi" w:eastAsia="Calibri" w:hAnsiTheme="minorHAnsi" w:cstheme="minorHAnsi"/>
                <w:szCs w:val="22"/>
              </w:rPr>
            </w:pPr>
            <w:r>
              <w:rPr>
                <w:rFonts w:ascii="Calibri" w:hAnsi="Calibri"/>
                <w:color w:val="000000"/>
                <w:szCs w:val="22"/>
              </w:rPr>
              <w:t>17.6%</w:t>
            </w:r>
          </w:p>
        </w:tc>
        <w:tc>
          <w:tcPr>
            <w:tcW w:w="378" w:type="pct"/>
            <w:vAlign w:val="bottom"/>
          </w:tcPr>
          <w:p w14:paraId="27601EB7" w14:textId="77777777" w:rsidR="00F76ABB" w:rsidRPr="00AC5CE6" w:rsidRDefault="00F76ABB" w:rsidP="00697F68">
            <w:pPr>
              <w:jc w:val="right"/>
              <w:rPr>
                <w:rFonts w:asciiTheme="minorHAnsi" w:eastAsia="Calibri" w:hAnsiTheme="minorHAnsi" w:cstheme="minorHAnsi"/>
                <w:szCs w:val="22"/>
              </w:rPr>
            </w:pPr>
            <w:r>
              <w:rPr>
                <w:rFonts w:ascii="Calibri" w:hAnsi="Calibri"/>
                <w:color w:val="000000"/>
                <w:szCs w:val="22"/>
              </w:rPr>
              <w:t>0.0%</w:t>
            </w:r>
          </w:p>
        </w:tc>
        <w:tc>
          <w:tcPr>
            <w:tcW w:w="521" w:type="pct"/>
            <w:vAlign w:val="bottom"/>
          </w:tcPr>
          <w:p w14:paraId="2D87202F" w14:textId="77777777" w:rsidR="00F76ABB" w:rsidRPr="00AC5CE6" w:rsidRDefault="00F76ABB" w:rsidP="00697F68">
            <w:pPr>
              <w:jc w:val="right"/>
              <w:rPr>
                <w:rFonts w:asciiTheme="minorHAnsi" w:eastAsia="Calibri" w:hAnsiTheme="minorHAnsi" w:cstheme="minorHAnsi"/>
                <w:szCs w:val="22"/>
              </w:rPr>
            </w:pPr>
            <w:r>
              <w:rPr>
                <w:rFonts w:ascii="Calibri" w:hAnsi="Calibri"/>
                <w:color w:val="000000"/>
                <w:szCs w:val="22"/>
              </w:rPr>
              <w:t>65.5%</w:t>
            </w:r>
          </w:p>
        </w:tc>
        <w:tc>
          <w:tcPr>
            <w:tcW w:w="473" w:type="pct"/>
            <w:vAlign w:val="bottom"/>
          </w:tcPr>
          <w:p w14:paraId="33EA6C6A" w14:textId="77777777" w:rsidR="00F76ABB" w:rsidRPr="00AC5CE6" w:rsidRDefault="00F76ABB" w:rsidP="00697F68">
            <w:pPr>
              <w:jc w:val="right"/>
              <w:rPr>
                <w:rFonts w:asciiTheme="minorHAnsi" w:eastAsia="Calibri" w:hAnsiTheme="minorHAnsi" w:cstheme="minorHAnsi"/>
                <w:szCs w:val="22"/>
              </w:rPr>
            </w:pPr>
            <w:r>
              <w:rPr>
                <w:rFonts w:ascii="Calibri" w:hAnsi="Calibri"/>
                <w:color w:val="000000"/>
                <w:szCs w:val="22"/>
              </w:rPr>
              <w:t>77.0%</w:t>
            </w:r>
          </w:p>
        </w:tc>
        <w:tc>
          <w:tcPr>
            <w:tcW w:w="665" w:type="pct"/>
            <w:vAlign w:val="bottom"/>
          </w:tcPr>
          <w:p w14:paraId="434DE0F8" w14:textId="77777777" w:rsidR="00F76ABB" w:rsidRPr="00AC5CE6" w:rsidRDefault="00F76ABB" w:rsidP="00697F68">
            <w:pPr>
              <w:jc w:val="right"/>
              <w:rPr>
                <w:rFonts w:asciiTheme="minorHAnsi" w:eastAsia="Calibri" w:hAnsiTheme="minorHAnsi" w:cstheme="minorHAnsi"/>
                <w:szCs w:val="22"/>
              </w:rPr>
            </w:pPr>
            <w:r>
              <w:rPr>
                <w:rFonts w:ascii="Calibri" w:hAnsi="Calibri"/>
                <w:color w:val="000000"/>
                <w:szCs w:val="22"/>
              </w:rPr>
              <w:t>83.5%</w:t>
            </w:r>
          </w:p>
        </w:tc>
        <w:tc>
          <w:tcPr>
            <w:tcW w:w="519" w:type="pct"/>
            <w:vAlign w:val="bottom"/>
          </w:tcPr>
          <w:p w14:paraId="1DBC685B" w14:textId="77777777" w:rsidR="00F76ABB" w:rsidRPr="00AC5CE6" w:rsidRDefault="00F76ABB" w:rsidP="00697F68">
            <w:pPr>
              <w:jc w:val="right"/>
              <w:rPr>
                <w:rFonts w:asciiTheme="minorHAnsi" w:eastAsia="Calibri" w:hAnsiTheme="minorHAnsi" w:cstheme="minorHAnsi"/>
                <w:szCs w:val="22"/>
              </w:rPr>
            </w:pPr>
            <w:r>
              <w:rPr>
                <w:rFonts w:ascii="Calibri" w:hAnsi="Calibri"/>
                <w:color w:val="000000"/>
                <w:szCs w:val="22"/>
              </w:rPr>
              <w:t>100.0%</w:t>
            </w:r>
          </w:p>
        </w:tc>
      </w:tr>
      <w:tr w:rsidR="00F76ABB" w:rsidRPr="002470F7" w14:paraId="14490FED" w14:textId="77777777" w:rsidTr="00697F68">
        <w:trPr>
          <w:trHeight w:val="297"/>
          <w:jc w:val="center"/>
        </w:trPr>
        <w:tc>
          <w:tcPr>
            <w:tcW w:w="980" w:type="pct"/>
            <w:tcBorders>
              <w:bottom w:val="single" w:sz="4" w:space="0" w:color="auto"/>
            </w:tcBorders>
          </w:tcPr>
          <w:p w14:paraId="6911DE13" w14:textId="616B34BC" w:rsidR="00F76ABB" w:rsidRPr="002470F7" w:rsidRDefault="009A2E58" w:rsidP="00697F68">
            <w:pPr>
              <w:rPr>
                <w:rFonts w:ascii="Calibri" w:eastAsia="Calibri" w:hAnsi="Calibri" w:cs="Calibri"/>
                <w:szCs w:val="22"/>
              </w:rPr>
            </w:pPr>
            <w:r>
              <w:rPr>
                <w:rFonts w:ascii="Calibri" w:eastAsia="Calibri" w:hAnsi="Calibri" w:cs="Calibri"/>
                <w:szCs w:val="22"/>
              </w:rPr>
              <w:t>Risk Standardized</w:t>
            </w:r>
            <w:r w:rsidR="00F76ABB" w:rsidRPr="002470F7">
              <w:rPr>
                <w:rFonts w:ascii="Calibri" w:eastAsia="Calibri" w:hAnsi="Calibri" w:cs="Calibri"/>
                <w:szCs w:val="22"/>
              </w:rPr>
              <w:t xml:space="preserve"> </w:t>
            </w:r>
          </w:p>
        </w:tc>
        <w:tc>
          <w:tcPr>
            <w:tcW w:w="389" w:type="pct"/>
            <w:tcBorders>
              <w:bottom w:val="single" w:sz="4" w:space="0" w:color="auto"/>
            </w:tcBorders>
            <w:vAlign w:val="bottom"/>
          </w:tcPr>
          <w:p w14:paraId="6D81633B" w14:textId="77777777" w:rsidR="00F76ABB" w:rsidRPr="00AC5CE6" w:rsidRDefault="00F76ABB" w:rsidP="00697F68">
            <w:pPr>
              <w:jc w:val="right"/>
              <w:rPr>
                <w:rFonts w:asciiTheme="minorHAnsi" w:eastAsia="Calibri" w:hAnsiTheme="minorHAnsi" w:cstheme="minorHAnsi"/>
                <w:szCs w:val="22"/>
              </w:rPr>
            </w:pPr>
            <w:r>
              <w:rPr>
                <w:rFonts w:ascii="Calibri" w:hAnsi="Calibri"/>
                <w:color w:val="000000"/>
                <w:szCs w:val="22"/>
              </w:rPr>
              <w:t>10,131</w:t>
            </w:r>
          </w:p>
        </w:tc>
        <w:tc>
          <w:tcPr>
            <w:tcW w:w="554" w:type="pct"/>
            <w:tcBorders>
              <w:bottom w:val="single" w:sz="4" w:space="0" w:color="auto"/>
            </w:tcBorders>
            <w:vAlign w:val="bottom"/>
          </w:tcPr>
          <w:p w14:paraId="17C8B098" w14:textId="77777777" w:rsidR="00F76ABB" w:rsidRPr="00AC5CE6" w:rsidRDefault="00F76ABB" w:rsidP="00697F68">
            <w:pPr>
              <w:jc w:val="right"/>
              <w:rPr>
                <w:rFonts w:asciiTheme="minorHAnsi" w:eastAsia="Calibri" w:hAnsiTheme="minorHAnsi" w:cstheme="minorHAnsi"/>
                <w:szCs w:val="22"/>
              </w:rPr>
            </w:pPr>
            <w:r>
              <w:rPr>
                <w:rFonts w:ascii="Calibri" w:hAnsi="Calibri"/>
                <w:color w:val="000000"/>
                <w:szCs w:val="22"/>
              </w:rPr>
              <w:t>77.5%</w:t>
            </w:r>
          </w:p>
        </w:tc>
        <w:tc>
          <w:tcPr>
            <w:tcW w:w="520" w:type="pct"/>
            <w:tcBorders>
              <w:bottom w:val="single" w:sz="4" w:space="0" w:color="auto"/>
            </w:tcBorders>
            <w:vAlign w:val="bottom"/>
          </w:tcPr>
          <w:p w14:paraId="092B68E6" w14:textId="77777777" w:rsidR="00F76ABB" w:rsidRPr="00AC5CE6" w:rsidRDefault="00F76ABB" w:rsidP="00697F68">
            <w:pPr>
              <w:jc w:val="right"/>
              <w:rPr>
                <w:rFonts w:asciiTheme="minorHAnsi" w:eastAsia="Calibri" w:hAnsiTheme="minorHAnsi" w:cstheme="minorHAnsi"/>
                <w:szCs w:val="22"/>
              </w:rPr>
            </w:pPr>
            <w:r>
              <w:rPr>
                <w:rFonts w:ascii="Calibri" w:hAnsi="Calibri"/>
                <w:color w:val="000000"/>
                <w:szCs w:val="22"/>
              </w:rPr>
              <w:t>16.8%</w:t>
            </w:r>
          </w:p>
        </w:tc>
        <w:tc>
          <w:tcPr>
            <w:tcW w:w="378" w:type="pct"/>
            <w:tcBorders>
              <w:bottom w:val="single" w:sz="4" w:space="0" w:color="auto"/>
            </w:tcBorders>
            <w:vAlign w:val="bottom"/>
          </w:tcPr>
          <w:p w14:paraId="61640370" w14:textId="77777777" w:rsidR="00F76ABB" w:rsidRPr="00AC5CE6" w:rsidRDefault="00F76ABB" w:rsidP="00697F68">
            <w:pPr>
              <w:jc w:val="right"/>
              <w:rPr>
                <w:rFonts w:asciiTheme="minorHAnsi" w:eastAsia="Calibri" w:hAnsiTheme="minorHAnsi" w:cstheme="minorHAnsi"/>
                <w:szCs w:val="22"/>
              </w:rPr>
            </w:pPr>
            <w:r>
              <w:rPr>
                <w:rFonts w:ascii="Calibri" w:hAnsi="Calibri"/>
                <w:color w:val="000000"/>
                <w:szCs w:val="22"/>
              </w:rPr>
              <w:t>1.7%</w:t>
            </w:r>
          </w:p>
        </w:tc>
        <w:tc>
          <w:tcPr>
            <w:tcW w:w="521" w:type="pct"/>
            <w:tcBorders>
              <w:bottom w:val="single" w:sz="4" w:space="0" w:color="auto"/>
            </w:tcBorders>
            <w:vAlign w:val="bottom"/>
          </w:tcPr>
          <w:p w14:paraId="54E4CF41" w14:textId="77777777" w:rsidR="00F76ABB" w:rsidRPr="00AC5CE6" w:rsidRDefault="00F76ABB" w:rsidP="00697F68">
            <w:pPr>
              <w:jc w:val="right"/>
              <w:rPr>
                <w:rFonts w:asciiTheme="minorHAnsi" w:eastAsia="Calibri" w:hAnsiTheme="minorHAnsi" w:cstheme="minorHAnsi"/>
                <w:szCs w:val="22"/>
              </w:rPr>
            </w:pPr>
            <w:r>
              <w:rPr>
                <w:rFonts w:ascii="Calibri" w:hAnsi="Calibri"/>
                <w:color w:val="000000"/>
                <w:szCs w:val="22"/>
              </w:rPr>
              <w:t>71.6%</w:t>
            </w:r>
          </w:p>
        </w:tc>
        <w:tc>
          <w:tcPr>
            <w:tcW w:w="473" w:type="pct"/>
            <w:tcBorders>
              <w:bottom w:val="single" w:sz="4" w:space="0" w:color="auto"/>
            </w:tcBorders>
            <w:vAlign w:val="bottom"/>
          </w:tcPr>
          <w:p w14:paraId="68EFDC35" w14:textId="77777777" w:rsidR="00F76ABB" w:rsidRPr="00AC5CE6" w:rsidRDefault="00F76ABB" w:rsidP="00697F68">
            <w:pPr>
              <w:jc w:val="right"/>
              <w:rPr>
                <w:rFonts w:asciiTheme="minorHAnsi" w:eastAsia="Calibri" w:hAnsiTheme="minorHAnsi" w:cstheme="minorHAnsi"/>
                <w:szCs w:val="22"/>
              </w:rPr>
            </w:pPr>
            <w:r>
              <w:rPr>
                <w:rFonts w:ascii="Calibri" w:hAnsi="Calibri"/>
                <w:color w:val="000000"/>
                <w:szCs w:val="22"/>
              </w:rPr>
              <w:t>82.9%</w:t>
            </w:r>
          </w:p>
        </w:tc>
        <w:tc>
          <w:tcPr>
            <w:tcW w:w="665" w:type="pct"/>
            <w:tcBorders>
              <w:bottom w:val="single" w:sz="4" w:space="0" w:color="auto"/>
            </w:tcBorders>
            <w:vAlign w:val="bottom"/>
          </w:tcPr>
          <w:p w14:paraId="54DFD729" w14:textId="77777777" w:rsidR="00F76ABB" w:rsidRPr="00AC5CE6" w:rsidRDefault="00F76ABB" w:rsidP="00697F68">
            <w:pPr>
              <w:jc w:val="right"/>
              <w:rPr>
                <w:rFonts w:asciiTheme="minorHAnsi" w:eastAsia="Calibri" w:hAnsiTheme="minorHAnsi" w:cstheme="minorHAnsi"/>
                <w:szCs w:val="22"/>
              </w:rPr>
            </w:pPr>
            <w:r>
              <w:rPr>
                <w:rFonts w:ascii="Calibri" w:hAnsi="Calibri"/>
                <w:color w:val="000000"/>
                <w:szCs w:val="22"/>
              </w:rPr>
              <w:t>88.8%</w:t>
            </w:r>
          </w:p>
        </w:tc>
        <w:tc>
          <w:tcPr>
            <w:tcW w:w="519" w:type="pct"/>
            <w:tcBorders>
              <w:bottom w:val="single" w:sz="4" w:space="0" w:color="auto"/>
            </w:tcBorders>
            <w:vAlign w:val="bottom"/>
          </w:tcPr>
          <w:p w14:paraId="2A4E2E0A" w14:textId="77777777" w:rsidR="00F76ABB" w:rsidRPr="00AC5CE6" w:rsidRDefault="00F76ABB" w:rsidP="00697F68">
            <w:pPr>
              <w:jc w:val="right"/>
              <w:rPr>
                <w:rFonts w:asciiTheme="minorHAnsi" w:eastAsia="Calibri" w:hAnsiTheme="minorHAnsi" w:cstheme="minorHAnsi"/>
                <w:szCs w:val="22"/>
              </w:rPr>
            </w:pPr>
            <w:r>
              <w:rPr>
                <w:rFonts w:ascii="Calibri" w:hAnsi="Calibri"/>
                <w:color w:val="000000"/>
                <w:szCs w:val="22"/>
              </w:rPr>
              <w:t>100.0%</w:t>
            </w:r>
          </w:p>
        </w:tc>
      </w:tr>
    </w:tbl>
    <w:p w14:paraId="51F4A5DA" w14:textId="77777777" w:rsidR="00F76ABB" w:rsidRDefault="00F76ABB" w:rsidP="00F76ABB">
      <w:pPr>
        <w:autoSpaceDE w:val="0"/>
        <w:autoSpaceDN w:val="0"/>
        <w:adjustRightInd w:val="0"/>
        <w:spacing w:after="0" w:line="240" w:lineRule="auto"/>
        <w:rPr>
          <w:rFonts w:cstheme="minorHAnsi"/>
          <w:bCs/>
          <w:sz w:val="18"/>
        </w:rPr>
      </w:pPr>
      <w:r>
        <w:rPr>
          <w:rFonts w:cstheme="minorHAnsi"/>
          <w:bCs/>
          <w:sz w:val="18"/>
        </w:rPr>
        <w:t>*  Pct = percentile</w:t>
      </w:r>
    </w:p>
    <w:p w14:paraId="318B8339" w14:textId="77777777" w:rsidR="00F76ABB" w:rsidRPr="00DB52B4" w:rsidRDefault="00F76ABB" w:rsidP="00F76ABB">
      <w:pPr>
        <w:autoSpaceDE w:val="0"/>
        <w:autoSpaceDN w:val="0"/>
        <w:adjustRightInd w:val="0"/>
        <w:spacing w:after="0" w:line="240" w:lineRule="auto"/>
        <w:rPr>
          <w:rFonts w:cstheme="minorHAnsi"/>
          <w:bCs/>
        </w:rPr>
      </w:pPr>
      <w:r>
        <w:rPr>
          <w:rFonts w:cstheme="minorHAnsi"/>
          <w:bCs/>
          <w:sz w:val="18"/>
        </w:rPr>
        <w:t>Acumen</w:t>
      </w:r>
      <w:r w:rsidRPr="0090361B">
        <w:rPr>
          <w:rFonts w:cstheme="minorHAnsi"/>
          <w:bCs/>
          <w:sz w:val="18"/>
        </w:rPr>
        <w:t xml:space="preserve"> Analysis of Medicare Claims File for </w:t>
      </w:r>
      <w:r>
        <w:rPr>
          <w:rFonts w:cstheme="minorHAnsi"/>
          <w:bCs/>
          <w:sz w:val="18"/>
        </w:rPr>
        <w:t>HH</w:t>
      </w:r>
      <w:r w:rsidRPr="0090361B">
        <w:rPr>
          <w:rFonts w:cstheme="minorHAnsi"/>
          <w:bCs/>
          <w:sz w:val="18"/>
        </w:rPr>
        <w:t xml:space="preserve">, </w:t>
      </w:r>
      <w:r>
        <w:rPr>
          <w:rFonts w:cstheme="minorHAnsi"/>
          <w:bCs/>
          <w:sz w:val="18"/>
        </w:rPr>
        <w:t>CY</w:t>
      </w:r>
      <w:r w:rsidRPr="0090361B">
        <w:rPr>
          <w:rFonts w:cstheme="minorHAnsi"/>
          <w:bCs/>
          <w:sz w:val="18"/>
        </w:rPr>
        <w:t xml:space="preserve"> 201</w:t>
      </w:r>
      <w:r>
        <w:rPr>
          <w:rFonts w:cstheme="minorHAnsi"/>
          <w:bCs/>
          <w:sz w:val="18"/>
        </w:rPr>
        <w:t>5</w:t>
      </w:r>
      <w:r w:rsidRPr="0090361B">
        <w:rPr>
          <w:rFonts w:cstheme="minorHAnsi"/>
          <w:bCs/>
          <w:sz w:val="18"/>
        </w:rPr>
        <w:t>-201</w:t>
      </w:r>
      <w:r>
        <w:rPr>
          <w:rFonts w:cstheme="minorHAnsi"/>
          <w:bCs/>
          <w:sz w:val="18"/>
        </w:rPr>
        <w:t>6.</w:t>
      </w:r>
    </w:p>
    <w:p w14:paraId="5035F22E" w14:textId="77777777" w:rsidR="00F76ABB" w:rsidRDefault="00F76ABB" w:rsidP="00F76ABB">
      <w:pPr>
        <w:spacing w:after="0" w:line="240" w:lineRule="auto"/>
        <w:rPr>
          <w:rFonts w:cstheme="minorHAnsi"/>
        </w:rPr>
      </w:pPr>
    </w:p>
    <w:p w14:paraId="4098ABB2" w14:textId="212A8F6C" w:rsidR="00F76ABB" w:rsidRPr="00CD129C" w:rsidRDefault="00F76ABB" w:rsidP="00F76ABB">
      <w:pPr>
        <w:spacing w:after="0" w:line="240" w:lineRule="auto"/>
        <w:jc w:val="center"/>
        <w:rPr>
          <w:b/>
          <w:bCs/>
        </w:rPr>
      </w:pPr>
      <w:r>
        <w:rPr>
          <w:b/>
          <w:bCs/>
        </w:rPr>
        <w:t xml:space="preserve">Figure </w:t>
      </w:r>
      <w:r w:rsidR="00FC40CA">
        <w:rPr>
          <w:b/>
          <w:bCs/>
        </w:rPr>
        <w:t>4</w:t>
      </w:r>
      <w:r>
        <w:rPr>
          <w:b/>
          <w:bCs/>
        </w:rPr>
        <w:t xml:space="preserve">. </w:t>
      </w:r>
      <w:r w:rsidRPr="00A03F20">
        <w:rPr>
          <w:rFonts w:ascii="Calibri" w:eastAsia="Calibri" w:hAnsi="Calibri" w:cs="Calibri"/>
          <w:b/>
          <w:bCs/>
        </w:rPr>
        <w:t>Observed and risk-adjusted discharge to community rates (%) among HHAs, CY 2015-2016</w:t>
      </w:r>
    </w:p>
    <w:p w14:paraId="3BFFB577" w14:textId="77777777" w:rsidR="00F76ABB" w:rsidRDefault="00F76ABB" w:rsidP="00F76ABB">
      <w:pPr>
        <w:spacing w:after="0" w:line="240" w:lineRule="auto"/>
        <w:jc w:val="center"/>
        <w:rPr>
          <w:b/>
          <w:bCs/>
        </w:rPr>
      </w:pPr>
      <w:r>
        <w:rPr>
          <w:b/>
          <w:bCs/>
          <w:noProof/>
        </w:rPr>
        <w:drawing>
          <wp:inline distT="0" distB="0" distL="0" distR="0" wp14:anchorId="6F92D6DE" wp14:editId="6F49FA4E">
            <wp:extent cx="5943600" cy="3562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rate_historgram_2.PNG"/>
                    <pic:cNvPicPr/>
                  </pic:nvPicPr>
                  <pic:blipFill>
                    <a:blip r:embed="rId30">
                      <a:extLst>
                        <a:ext uri="{28A0092B-C50C-407E-A947-70E740481C1C}">
                          <a14:useLocalDpi xmlns:a14="http://schemas.microsoft.com/office/drawing/2010/main" val="0"/>
                        </a:ext>
                      </a:extLst>
                    </a:blip>
                    <a:stretch>
                      <a:fillRect/>
                    </a:stretch>
                  </pic:blipFill>
                  <pic:spPr>
                    <a:xfrm>
                      <a:off x="0" y="0"/>
                      <a:ext cx="5943600" cy="3562350"/>
                    </a:xfrm>
                    <a:prstGeom prst="rect">
                      <a:avLst/>
                    </a:prstGeom>
                  </pic:spPr>
                </pic:pic>
              </a:graphicData>
            </a:graphic>
          </wp:inline>
        </w:drawing>
      </w:r>
    </w:p>
    <w:p w14:paraId="5BE15BFD" w14:textId="77777777" w:rsidR="00F76ABB" w:rsidRDefault="00F76ABB" w:rsidP="00F76ABB">
      <w:pPr>
        <w:spacing w:after="0" w:line="240" w:lineRule="auto"/>
        <w:rPr>
          <w:rFonts w:cstheme="minorHAnsi"/>
        </w:rPr>
      </w:pPr>
    </w:p>
    <w:p w14:paraId="4F5E9AB7" w14:textId="77777777" w:rsidR="00021170" w:rsidRPr="009B1A15" w:rsidRDefault="009C7513" w:rsidP="009B1A15">
      <w:pPr>
        <w:spacing w:after="0" w:line="240" w:lineRule="auto"/>
        <w:rPr>
          <w:rFonts w:cstheme="minorHAnsi"/>
        </w:rPr>
      </w:pPr>
      <w:r>
        <w:rPr>
          <w:rFonts w:cstheme="minorHAnsi"/>
          <w:b/>
          <w:highlight w:val="green"/>
        </w:rPr>
        <w:t>2b3</w:t>
      </w:r>
      <w:r w:rsidR="009B1A15" w:rsidRPr="009B1A15">
        <w:rPr>
          <w:rFonts w:cstheme="minorHAnsi"/>
          <w:b/>
          <w:highlight w:val="green"/>
        </w:rPr>
        <w:t>.11.</w:t>
      </w:r>
      <w:r w:rsidR="009B1A15">
        <w:rPr>
          <w:rFonts w:cstheme="minorHAnsi"/>
          <w:highlight w:val="green"/>
        </w:rPr>
        <w:t xml:space="preserve"> </w:t>
      </w:r>
      <w:r w:rsidR="00092566"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7B6235C5" w14:textId="77777777" w:rsidR="003755CB" w:rsidRDefault="003755CB" w:rsidP="00D61410">
      <w:pPr>
        <w:autoSpaceDE w:val="0"/>
        <w:autoSpaceDN w:val="0"/>
        <w:adjustRightInd w:val="0"/>
        <w:spacing w:after="0" w:line="240" w:lineRule="auto"/>
        <w:rPr>
          <w:rFonts w:cstheme="minorHAnsi"/>
          <w:b/>
          <w:bCs/>
        </w:rPr>
      </w:pPr>
    </w:p>
    <w:p w14:paraId="01B5B7DD"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335B3EFA" w14:textId="77777777" w:rsidR="00D61410" w:rsidRPr="00A25024" w:rsidRDefault="009C7513" w:rsidP="00D61410">
      <w:pPr>
        <w:autoSpaceDE w:val="0"/>
        <w:autoSpaceDN w:val="0"/>
        <w:adjustRightInd w:val="0"/>
        <w:spacing w:after="0" w:line="240" w:lineRule="auto"/>
        <w:rPr>
          <w:rFonts w:cstheme="minorHAnsi"/>
          <w:b/>
          <w:bCs/>
        </w:rPr>
      </w:pPr>
      <w:bookmarkStart w:id="22" w:name="section2b5"/>
      <w:bookmarkEnd w:id="22"/>
      <w:r>
        <w:rPr>
          <w:rFonts w:cstheme="minorHAnsi"/>
          <w:b/>
          <w:bCs/>
        </w:rPr>
        <w:t>2b4</w:t>
      </w:r>
      <w:r w:rsidR="00D61410" w:rsidRPr="00A25024">
        <w:rPr>
          <w:rFonts w:cstheme="minorHAnsi"/>
          <w:b/>
          <w:bCs/>
        </w:rPr>
        <w:t>. IDENTIFICATION OF STATISTICALLY SIGNIFICANT &amp; MEANINGFUL DIFFERENCES IN PERFORMANCE</w:t>
      </w:r>
    </w:p>
    <w:p w14:paraId="61E2C1F8" w14:textId="79ACE344" w:rsidR="00340BD7" w:rsidRDefault="009C7513" w:rsidP="00D61410">
      <w:pPr>
        <w:autoSpaceDE w:val="0"/>
        <w:autoSpaceDN w:val="0"/>
        <w:adjustRightInd w:val="0"/>
        <w:spacing w:after="0" w:line="240" w:lineRule="auto"/>
        <w:rPr>
          <w:rFonts w:cstheme="minorHAnsi"/>
          <w:bCs/>
          <w:color w:val="C00000"/>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t xml:space="preserve"> </w:t>
      </w:r>
    </w:p>
    <w:p w14:paraId="3868AF5B" w14:textId="77777777" w:rsidR="00172621" w:rsidRDefault="00172621" w:rsidP="00172621">
      <w:pPr>
        <w:autoSpaceDE w:val="0"/>
        <w:autoSpaceDN w:val="0"/>
        <w:spacing w:after="0" w:line="240" w:lineRule="auto"/>
        <w:rPr>
          <w:rFonts w:eastAsiaTheme="minorHAnsi"/>
        </w:rPr>
      </w:pPr>
      <w:r>
        <w:t>We used re-sampling and simulation techniques to assess the ability of the DTC rates to identify statistically significant differences in provider performance. This analysis was restricted to providers with 20 or more stays during CY 2015-2016 to align with the minimum sample size criterion for public reporting of the measure. More specifically, we used bootstrapping procedures to derive a confidence interval to determine if a HHA is performing better than, worse than, or no different than expected. Our bootstrapping approach aligns with that used in the all-caused hospital wide measure (HWR) measures.</w:t>
      </w:r>
      <w:r>
        <w:rPr>
          <w:rStyle w:val="FootnoteReference"/>
        </w:rPr>
        <w:footnoteReference w:id="50"/>
      </w:r>
      <w:r>
        <w:t xml:space="preserve"> We use bootstrapping methods across 500 bootstraps, sampling at the agency-level with replacement to generate the distribution of RSRs for each agency</w:t>
      </w:r>
      <w:r>
        <w:rPr>
          <w:rStyle w:val="FootnoteReference"/>
        </w:rPr>
        <w:footnoteReference w:id="51"/>
      </w:r>
      <w:r>
        <w:t>. The 95% confidence interval (CI) is the range between the 2.5</w:t>
      </w:r>
      <w:r>
        <w:rPr>
          <w:vertAlign w:val="superscript"/>
        </w:rPr>
        <w:t>th</w:t>
      </w:r>
      <w:r>
        <w:t xml:space="preserve"> and 97.5</w:t>
      </w:r>
      <w:r>
        <w:rPr>
          <w:vertAlign w:val="superscript"/>
        </w:rPr>
        <w:t>th</w:t>
      </w:r>
      <w:r>
        <w:t xml:space="preserve"> percentile of each agency’s distribution. We compared each agency’s 95% CI to the national stay-level observed DTC rate (78.5%) to determine if the provider’s performance was significantly different from the national rate. HHAs whose 95% CI was entirely below the national rate were considered to be significantly worse than the national rate; HHAs whose CI was entirely above the national rate were significantly better than the national rate; and HHAs whose CI overlapped the national rate were no different than the national rate. </w:t>
      </w:r>
    </w:p>
    <w:p w14:paraId="53F96396" w14:textId="1384F505" w:rsidR="00340BD7" w:rsidRDefault="00340BD7" w:rsidP="00DC352C">
      <w:pPr>
        <w:pStyle w:val="BodyText"/>
        <w:rPr>
          <w:rFonts w:asciiTheme="minorHAnsi" w:eastAsia="Trebuchet MS" w:hAnsiTheme="minorHAnsi"/>
          <w:sz w:val="22"/>
          <w:szCs w:val="22"/>
        </w:rPr>
      </w:pPr>
    </w:p>
    <w:p w14:paraId="2021D687" w14:textId="77777777" w:rsidR="00FF0881" w:rsidRDefault="00FF0881" w:rsidP="00DC352C">
      <w:pPr>
        <w:pStyle w:val="BodyText"/>
        <w:rPr>
          <w:rFonts w:asciiTheme="minorHAnsi" w:eastAsia="Trebuchet MS" w:hAnsiTheme="minorHAnsi"/>
          <w:sz w:val="22"/>
          <w:szCs w:val="22"/>
        </w:rPr>
      </w:pPr>
    </w:p>
    <w:p w14:paraId="06769F70" w14:textId="77777777"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p>
    <w:p w14:paraId="6BC96FAD" w14:textId="79967ACC" w:rsidR="00DD4986" w:rsidRDefault="00DD4986" w:rsidP="00DD4986">
      <w:pPr>
        <w:autoSpaceDE w:val="0"/>
        <w:autoSpaceDN w:val="0"/>
        <w:adjustRightInd w:val="0"/>
        <w:spacing w:after="0" w:line="240" w:lineRule="auto"/>
        <w:rPr>
          <w:b/>
          <w:szCs w:val="18"/>
        </w:rPr>
      </w:pPr>
      <w:r w:rsidRPr="00DC352C">
        <w:rPr>
          <w:rFonts w:cstheme="minorHAnsi"/>
          <w:bCs/>
        </w:rPr>
        <w:t>To determine if statistically significant and clinically/practically meaningful differences in performance measure scores among the measured entities can be identified</w:t>
      </w:r>
      <w:r>
        <w:rPr>
          <w:rFonts w:cstheme="minorHAnsi"/>
          <w:bCs/>
        </w:rPr>
        <w:t xml:space="preserve">, we calculated the </w:t>
      </w:r>
      <w:r>
        <w:t>p</w:t>
      </w:r>
      <w:r w:rsidRPr="009E0432">
        <w:t xml:space="preserve">roportions of </w:t>
      </w:r>
      <w:r>
        <w:t>HHAs</w:t>
      </w:r>
      <w:r w:rsidRPr="009E0432">
        <w:t xml:space="preserve"> with scores that are significantly different from the national DTC rate</w:t>
      </w:r>
      <w:r w:rsidR="002041FB">
        <w:t xml:space="preserve"> (</w:t>
      </w:r>
      <w:r w:rsidR="002041FB" w:rsidRPr="002041FB">
        <w:rPr>
          <w:b/>
        </w:rPr>
        <w:t>Table 20</w:t>
      </w:r>
      <w:r w:rsidR="002041FB">
        <w:t>)</w:t>
      </w:r>
      <w:r>
        <w:t>.</w:t>
      </w:r>
      <w:r>
        <w:rPr>
          <w:rFonts w:cstheme="minorHAnsi"/>
          <w:bCs/>
        </w:rPr>
        <w:t xml:space="preserve"> </w:t>
      </w:r>
    </w:p>
    <w:p w14:paraId="29CE27B3" w14:textId="77777777" w:rsidR="00DD4986" w:rsidRDefault="00DD4986" w:rsidP="00DD4986">
      <w:pPr>
        <w:autoSpaceDE w:val="0"/>
        <w:autoSpaceDN w:val="0"/>
        <w:adjustRightInd w:val="0"/>
        <w:spacing w:after="0" w:line="240" w:lineRule="auto"/>
        <w:rPr>
          <w:rFonts w:cstheme="minorHAnsi"/>
          <w:bCs/>
        </w:rPr>
      </w:pPr>
    </w:p>
    <w:p w14:paraId="64D5CE93" w14:textId="6649431E" w:rsidR="00DD4986" w:rsidRPr="00514842" w:rsidRDefault="00DD4986" w:rsidP="00DD4986">
      <w:pPr>
        <w:autoSpaceDE w:val="0"/>
        <w:autoSpaceDN w:val="0"/>
        <w:adjustRightInd w:val="0"/>
        <w:spacing w:after="0" w:line="240" w:lineRule="auto"/>
        <w:jc w:val="center"/>
      </w:pPr>
      <w:r>
        <w:rPr>
          <w:b/>
        </w:rPr>
        <w:t xml:space="preserve">Table </w:t>
      </w:r>
      <w:r w:rsidR="00FC40CA">
        <w:rPr>
          <w:b/>
        </w:rPr>
        <w:t>20</w:t>
      </w:r>
      <w:r>
        <w:rPr>
          <w:b/>
        </w:rPr>
        <w:t xml:space="preserve">. </w:t>
      </w:r>
      <w:r w:rsidRPr="009E0432">
        <w:t xml:space="preserve">Proportions of </w:t>
      </w:r>
      <w:r>
        <w:t>HHAs with S</w:t>
      </w:r>
      <w:r w:rsidRPr="009E0432">
        <w:t xml:space="preserve">cores </w:t>
      </w:r>
      <w:r>
        <w:t>that are S</w:t>
      </w:r>
      <w:r w:rsidRPr="009E0432">
        <w:t xml:space="preserve">ignificantly </w:t>
      </w:r>
      <w:r>
        <w:t>Different from the N</w:t>
      </w:r>
      <w:r w:rsidRPr="009E0432">
        <w:t>ation</w:t>
      </w:r>
      <w:r>
        <w:t>al DTC Rate</w:t>
      </w:r>
    </w:p>
    <w:tbl>
      <w:tblPr>
        <w:tblW w:w="6963" w:type="dxa"/>
        <w:jc w:val="center"/>
        <w:tblLook w:val="04A0" w:firstRow="1" w:lastRow="0" w:firstColumn="1" w:lastColumn="0" w:noHBand="0" w:noVBand="1"/>
      </w:tblPr>
      <w:tblGrid>
        <w:gridCol w:w="829"/>
        <w:gridCol w:w="993"/>
        <w:gridCol w:w="1001"/>
        <w:gridCol w:w="1089"/>
        <w:gridCol w:w="1097"/>
        <w:gridCol w:w="973"/>
        <w:gridCol w:w="981"/>
      </w:tblGrid>
      <w:tr w:rsidR="00DD4986" w:rsidRPr="00514842" w14:paraId="357DD705" w14:textId="77777777" w:rsidTr="005160F0">
        <w:trPr>
          <w:cantSplit/>
          <w:trHeight w:val="1035"/>
          <w:jc w:val="center"/>
        </w:trPr>
        <w:tc>
          <w:tcPr>
            <w:tcW w:w="829" w:type="dxa"/>
            <w:tcBorders>
              <w:top w:val="single" w:sz="12" w:space="0" w:color="auto"/>
              <w:left w:val="nil"/>
              <w:bottom w:val="single" w:sz="8" w:space="0" w:color="auto"/>
              <w:right w:val="nil"/>
            </w:tcBorders>
            <w:shd w:val="clear" w:color="auto" w:fill="D9D9D9" w:themeFill="background1" w:themeFillShade="D9"/>
            <w:vAlign w:val="center"/>
            <w:hideMark/>
          </w:tcPr>
          <w:p w14:paraId="7962C15A" w14:textId="5D6E8EE5" w:rsidR="00DD4986" w:rsidRPr="00F308F2" w:rsidRDefault="00F308F2" w:rsidP="005160F0">
            <w:pPr>
              <w:autoSpaceDE w:val="0"/>
              <w:autoSpaceDN w:val="0"/>
              <w:adjustRightInd w:val="0"/>
              <w:spacing w:after="0" w:line="240" w:lineRule="auto"/>
              <w:jc w:val="center"/>
              <w:rPr>
                <w:rFonts w:cstheme="minorHAnsi"/>
                <w:bCs/>
              </w:rPr>
            </w:pPr>
            <w:r>
              <w:rPr>
                <w:rFonts w:cstheme="minorHAnsi"/>
                <w:bCs/>
              </w:rPr>
              <w:t>HHA Total</w:t>
            </w:r>
          </w:p>
        </w:tc>
        <w:tc>
          <w:tcPr>
            <w:tcW w:w="1994" w:type="dxa"/>
            <w:gridSpan w:val="2"/>
            <w:tcBorders>
              <w:top w:val="single" w:sz="12" w:space="0" w:color="auto"/>
              <w:left w:val="nil"/>
              <w:bottom w:val="single" w:sz="4" w:space="0" w:color="auto"/>
              <w:right w:val="nil"/>
            </w:tcBorders>
            <w:shd w:val="clear" w:color="auto" w:fill="D9D9D9" w:themeFill="background1" w:themeFillShade="D9"/>
            <w:vAlign w:val="center"/>
            <w:hideMark/>
          </w:tcPr>
          <w:p w14:paraId="5CA0A5BC" w14:textId="77777777" w:rsidR="00DD4986" w:rsidRPr="00514842" w:rsidRDefault="00DD4986" w:rsidP="005160F0">
            <w:pPr>
              <w:autoSpaceDE w:val="0"/>
              <w:autoSpaceDN w:val="0"/>
              <w:adjustRightInd w:val="0"/>
              <w:spacing w:after="0" w:line="240" w:lineRule="auto"/>
              <w:jc w:val="center"/>
              <w:rPr>
                <w:rFonts w:cstheme="minorHAnsi"/>
                <w:bCs/>
              </w:rPr>
            </w:pPr>
            <w:r w:rsidRPr="00514842">
              <w:rPr>
                <w:rFonts w:cstheme="minorHAnsi"/>
                <w:bCs/>
              </w:rPr>
              <w:t>Number of facilities with 95% confidence interval lower than national mean (%)</w:t>
            </w:r>
          </w:p>
        </w:tc>
        <w:tc>
          <w:tcPr>
            <w:tcW w:w="2186" w:type="dxa"/>
            <w:gridSpan w:val="2"/>
            <w:tcBorders>
              <w:top w:val="single" w:sz="12" w:space="0" w:color="auto"/>
              <w:left w:val="nil"/>
              <w:bottom w:val="single" w:sz="8" w:space="0" w:color="auto"/>
              <w:right w:val="nil"/>
            </w:tcBorders>
            <w:shd w:val="clear" w:color="auto" w:fill="D9D9D9" w:themeFill="background1" w:themeFillShade="D9"/>
            <w:vAlign w:val="center"/>
            <w:hideMark/>
          </w:tcPr>
          <w:p w14:paraId="1A0309DF" w14:textId="77777777" w:rsidR="00DD4986" w:rsidRPr="00514842" w:rsidRDefault="00DD4986" w:rsidP="005160F0">
            <w:pPr>
              <w:autoSpaceDE w:val="0"/>
              <w:autoSpaceDN w:val="0"/>
              <w:adjustRightInd w:val="0"/>
              <w:spacing w:after="0" w:line="240" w:lineRule="auto"/>
              <w:jc w:val="center"/>
              <w:rPr>
                <w:rFonts w:cstheme="minorHAnsi"/>
                <w:bCs/>
              </w:rPr>
            </w:pPr>
            <w:r w:rsidRPr="00514842">
              <w:rPr>
                <w:rFonts w:cstheme="minorHAnsi"/>
                <w:bCs/>
              </w:rPr>
              <w:t>Number of facilities with 95% confidence interval higher than national mean (%)</w:t>
            </w:r>
          </w:p>
        </w:tc>
        <w:tc>
          <w:tcPr>
            <w:tcW w:w="1954" w:type="dxa"/>
            <w:gridSpan w:val="2"/>
            <w:tcBorders>
              <w:top w:val="single" w:sz="12" w:space="0" w:color="auto"/>
              <w:left w:val="nil"/>
              <w:bottom w:val="single" w:sz="8" w:space="0" w:color="auto"/>
              <w:right w:val="nil"/>
            </w:tcBorders>
            <w:shd w:val="clear" w:color="auto" w:fill="D9D9D9" w:themeFill="background1" w:themeFillShade="D9"/>
            <w:vAlign w:val="center"/>
            <w:hideMark/>
          </w:tcPr>
          <w:p w14:paraId="019E6B0F" w14:textId="77777777" w:rsidR="00DD4986" w:rsidRPr="00514842" w:rsidRDefault="00DD4986" w:rsidP="005160F0">
            <w:pPr>
              <w:autoSpaceDE w:val="0"/>
              <w:autoSpaceDN w:val="0"/>
              <w:adjustRightInd w:val="0"/>
              <w:spacing w:after="0" w:line="240" w:lineRule="auto"/>
              <w:jc w:val="center"/>
              <w:rPr>
                <w:rFonts w:cstheme="minorHAnsi"/>
                <w:bCs/>
              </w:rPr>
            </w:pPr>
            <w:r w:rsidRPr="00514842">
              <w:rPr>
                <w:rFonts w:cstheme="minorHAnsi"/>
                <w:bCs/>
              </w:rPr>
              <w:t xml:space="preserve">Total number of facilities with scores </w:t>
            </w:r>
            <w:r>
              <w:rPr>
                <w:rFonts w:cstheme="minorHAnsi"/>
                <w:bCs/>
              </w:rPr>
              <w:t>no</w:t>
            </w:r>
            <w:r w:rsidRPr="00514842">
              <w:rPr>
                <w:rFonts w:cstheme="minorHAnsi"/>
                <w:bCs/>
              </w:rPr>
              <w:t xml:space="preserve"> different from mean (%)</w:t>
            </w:r>
          </w:p>
        </w:tc>
      </w:tr>
      <w:tr w:rsidR="00DD4986" w:rsidRPr="00514842" w14:paraId="75371CA7" w14:textId="77777777" w:rsidTr="005160F0">
        <w:trPr>
          <w:cantSplit/>
          <w:trHeight w:val="75"/>
          <w:jc w:val="center"/>
        </w:trPr>
        <w:tc>
          <w:tcPr>
            <w:tcW w:w="829" w:type="dxa"/>
            <w:tcBorders>
              <w:top w:val="nil"/>
              <w:left w:val="nil"/>
              <w:bottom w:val="single" w:sz="8" w:space="0" w:color="auto"/>
              <w:right w:val="nil"/>
            </w:tcBorders>
            <w:shd w:val="clear" w:color="auto" w:fill="auto"/>
          </w:tcPr>
          <w:p w14:paraId="37AEB9FA" w14:textId="77777777" w:rsidR="00DD4986" w:rsidRPr="00514842" w:rsidRDefault="00DD4986" w:rsidP="005160F0">
            <w:pPr>
              <w:autoSpaceDE w:val="0"/>
              <w:autoSpaceDN w:val="0"/>
              <w:adjustRightInd w:val="0"/>
              <w:spacing w:after="0" w:line="240" w:lineRule="auto"/>
              <w:jc w:val="center"/>
              <w:rPr>
                <w:rFonts w:cstheme="minorHAnsi"/>
              </w:rPr>
            </w:pPr>
          </w:p>
        </w:tc>
        <w:tc>
          <w:tcPr>
            <w:tcW w:w="993" w:type="dxa"/>
            <w:tcBorders>
              <w:top w:val="single" w:sz="4" w:space="0" w:color="auto"/>
              <w:left w:val="nil"/>
              <w:bottom w:val="single" w:sz="4" w:space="0" w:color="auto"/>
              <w:right w:val="nil"/>
            </w:tcBorders>
            <w:shd w:val="clear" w:color="auto" w:fill="auto"/>
            <w:vAlign w:val="bottom"/>
          </w:tcPr>
          <w:p w14:paraId="452184FC" w14:textId="4F06917D" w:rsidR="00DD4986" w:rsidRPr="00514842" w:rsidRDefault="00F308F2" w:rsidP="005160F0">
            <w:pPr>
              <w:autoSpaceDE w:val="0"/>
              <w:autoSpaceDN w:val="0"/>
              <w:adjustRightInd w:val="0"/>
              <w:spacing w:after="0" w:line="240" w:lineRule="auto"/>
              <w:jc w:val="center"/>
              <w:rPr>
                <w:rFonts w:cstheme="minorHAnsi"/>
                <w:bCs/>
              </w:rPr>
            </w:pPr>
            <w:r>
              <w:rPr>
                <w:rFonts w:cstheme="minorHAnsi"/>
                <w:bCs/>
              </w:rPr>
              <w:t>K</w:t>
            </w:r>
          </w:p>
        </w:tc>
        <w:tc>
          <w:tcPr>
            <w:tcW w:w="1001" w:type="dxa"/>
            <w:tcBorders>
              <w:top w:val="single" w:sz="4" w:space="0" w:color="auto"/>
              <w:left w:val="nil"/>
              <w:bottom w:val="single" w:sz="4" w:space="0" w:color="auto"/>
              <w:right w:val="nil"/>
            </w:tcBorders>
            <w:shd w:val="clear" w:color="auto" w:fill="auto"/>
            <w:vAlign w:val="bottom"/>
          </w:tcPr>
          <w:p w14:paraId="31F7973B" w14:textId="77777777" w:rsidR="00DD4986" w:rsidRPr="00514842" w:rsidRDefault="00DD4986" w:rsidP="005160F0">
            <w:pPr>
              <w:autoSpaceDE w:val="0"/>
              <w:autoSpaceDN w:val="0"/>
              <w:adjustRightInd w:val="0"/>
              <w:spacing w:after="0" w:line="240" w:lineRule="auto"/>
              <w:jc w:val="center"/>
              <w:rPr>
                <w:rFonts w:cstheme="minorHAnsi"/>
                <w:bCs/>
              </w:rPr>
            </w:pPr>
            <w:r w:rsidRPr="00514842">
              <w:rPr>
                <w:rFonts w:cstheme="minorHAnsi"/>
                <w:bCs/>
              </w:rPr>
              <w:t>%</w:t>
            </w:r>
          </w:p>
        </w:tc>
        <w:tc>
          <w:tcPr>
            <w:tcW w:w="1089" w:type="dxa"/>
            <w:tcBorders>
              <w:top w:val="nil"/>
              <w:left w:val="nil"/>
              <w:bottom w:val="single" w:sz="8" w:space="0" w:color="auto"/>
              <w:right w:val="nil"/>
            </w:tcBorders>
            <w:shd w:val="clear" w:color="auto" w:fill="auto"/>
            <w:vAlign w:val="bottom"/>
          </w:tcPr>
          <w:p w14:paraId="02718A8E" w14:textId="3BDF2C08" w:rsidR="00DD4986" w:rsidRPr="00514842" w:rsidRDefault="00F308F2" w:rsidP="005160F0">
            <w:pPr>
              <w:autoSpaceDE w:val="0"/>
              <w:autoSpaceDN w:val="0"/>
              <w:adjustRightInd w:val="0"/>
              <w:spacing w:after="0" w:line="240" w:lineRule="auto"/>
              <w:jc w:val="center"/>
              <w:rPr>
                <w:rFonts w:cstheme="minorHAnsi"/>
                <w:bCs/>
              </w:rPr>
            </w:pPr>
            <w:r>
              <w:rPr>
                <w:rFonts w:cstheme="minorHAnsi"/>
                <w:bCs/>
              </w:rPr>
              <w:t>K</w:t>
            </w:r>
          </w:p>
        </w:tc>
        <w:tc>
          <w:tcPr>
            <w:tcW w:w="1097" w:type="dxa"/>
            <w:tcBorders>
              <w:top w:val="nil"/>
              <w:left w:val="nil"/>
              <w:bottom w:val="single" w:sz="8" w:space="0" w:color="auto"/>
              <w:right w:val="nil"/>
            </w:tcBorders>
            <w:shd w:val="clear" w:color="auto" w:fill="auto"/>
            <w:vAlign w:val="bottom"/>
          </w:tcPr>
          <w:p w14:paraId="58DD0E13" w14:textId="77777777" w:rsidR="00DD4986" w:rsidRPr="00514842" w:rsidRDefault="00DD4986" w:rsidP="005160F0">
            <w:pPr>
              <w:autoSpaceDE w:val="0"/>
              <w:autoSpaceDN w:val="0"/>
              <w:adjustRightInd w:val="0"/>
              <w:spacing w:after="0" w:line="240" w:lineRule="auto"/>
              <w:jc w:val="center"/>
              <w:rPr>
                <w:rFonts w:cstheme="minorHAnsi"/>
                <w:bCs/>
              </w:rPr>
            </w:pPr>
            <w:r w:rsidRPr="00514842">
              <w:rPr>
                <w:rFonts w:cstheme="minorHAnsi"/>
                <w:bCs/>
              </w:rPr>
              <w:t>%</w:t>
            </w:r>
          </w:p>
        </w:tc>
        <w:tc>
          <w:tcPr>
            <w:tcW w:w="973" w:type="dxa"/>
            <w:tcBorders>
              <w:top w:val="nil"/>
              <w:left w:val="nil"/>
              <w:bottom w:val="single" w:sz="8" w:space="0" w:color="auto"/>
              <w:right w:val="nil"/>
            </w:tcBorders>
            <w:shd w:val="clear" w:color="auto" w:fill="auto"/>
            <w:vAlign w:val="bottom"/>
          </w:tcPr>
          <w:p w14:paraId="3371DA5A" w14:textId="4DDF6C91" w:rsidR="00DD4986" w:rsidRPr="00514842" w:rsidRDefault="00F308F2" w:rsidP="005160F0">
            <w:pPr>
              <w:autoSpaceDE w:val="0"/>
              <w:autoSpaceDN w:val="0"/>
              <w:adjustRightInd w:val="0"/>
              <w:spacing w:after="0" w:line="240" w:lineRule="auto"/>
              <w:jc w:val="center"/>
              <w:rPr>
                <w:rFonts w:cstheme="minorHAnsi"/>
                <w:bCs/>
              </w:rPr>
            </w:pPr>
            <w:r>
              <w:rPr>
                <w:rFonts w:cstheme="minorHAnsi"/>
                <w:bCs/>
              </w:rPr>
              <w:t>K</w:t>
            </w:r>
          </w:p>
        </w:tc>
        <w:tc>
          <w:tcPr>
            <w:tcW w:w="981" w:type="dxa"/>
            <w:tcBorders>
              <w:top w:val="nil"/>
              <w:left w:val="nil"/>
              <w:bottom w:val="single" w:sz="8" w:space="0" w:color="auto"/>
              <w:right w:val="nil"/>
            </w:tcBorders>
            <w:shd w:val="clear" w:color="auto" w:fill="auto"/>
            <w:vAlign w:val="bottom"/>
          </w:tcPr>
          <w:p w14:paraId="31D28B4F" w14:textId="77777777" w:rsidR="00DD4986" w:rsidRPr="00514842" w:rsidRDefault="00DD4986" w:rsidP="005160F0">
            <w:pPr>
              <w:autoSpaceDE w:val="0"/>
              <w:autoSpaceDN w:val="0"/>
              <w:adjustRightInd w:val="0"/>
              <w:spacing w:after="0" w:line="240" w:lineRule="auto"/>
              <w:jc w:val="center"/>
              <w:rPr>
                <w:rFonts w:cstheme="minorHAnsi"/>
                <w:bCs/>
              </w:rPr>
            </w:pPr>
            <w:r w:rsidRPr="00514842">
              <w:rPr>
                <w:rFonts w:cstheme="minorHAnsi"/>
                <w:bCs/>
              </w:rPr>
              <w:t>%</w:t>
            </w:r>
          </w:p>
        </w:tc>
      </w:tr>
      <w:tr w:rsidR="00DD4986" w:rsidRPr="00514842" w14:paraId="70FF81C8" w14:textId="77777777" w:rsidTr="005160F0">
        <w:trPr>
          <w:cantSplit/>
          <w:trHeight w:val="50"/>
          <w:jc w:val="center"/>
        </w:trPr>
        <w:tc>
          <w:tcPr>
            <w:tcW w:w="829" w:type="dxa"/>
            <w:tcBorders>
              <w:top w:val="nil"/>
              <w:left w:val="nil"/>
              <w:bottom w:val="single" w:sz="12" w:space="0" w:color="auto"/>
              <w:right w:val="nil"/>
            </w:tcBorders>
            <w:shd w:val="clear" w:color="auto" w:fill="auto"/>
            <w:vAlign w:val="center"/>
          </w:tcPr>
          <w:p w14:paraId="5E533365" w14:textId="77777777" w:rsidR="00DD4986" w:rsidRPr="00983AC4" w:rsidRDefault="00DD4986" w:rsidP="005160F0">
            <w:pPr>
              <w:autoSpaceDE w:val="0"/>
              <w:autoSpaceDN w:val="0"/>
              <w:adjustRightInd w:val="0"/>
              <w:spacing w:after="0" w:line="240" w:lineRule="auto"/>
              <w:jc w:val="center"/>
              <w:rPr>
                <w:rFonts w:cstheme="minorHAnsi"/>
                <w:bCs/>
                <w:highlight w:val="yellow"/>
              </w:rPr>
            </w:pPr>
            <w:r w:rsidRPr="00983AC4">
              <w:rPr>
                <w:rFonts w:cstheme="minorHAnsi"/>
              </w:rPr>
              <w:lastRenderedPageBreak/>
              <w:t>10,131</w:t>
            </w:r>
          </w:p>
        </w:tc>
        <w:tc>
          <w:tcPr>
            <w:tcW w:w="993" w:type="dxa"/>
            <w:tcBorders>
              <w:top w:val="single" w:sz="4" w:space="0" w:color="auto"/>
              <w:left w:val="nil"/>
              <w:bottom w:val="single" w:sz="12" w:space="0" w:color="auto"/>
              <w:right w:val="nil"/>
            </w:tcBorders>
            <w:shd w:val="clear" w:color="auto" w:fill="auto"/>
            <w:vAlign w:val="center"/>
          </w:tcPr>
          <w:p w14:paraId="38E785EE" w14:textId="77777777" w:rsidR="00DD4986" w:rsidRPr="00983AC4" w:rsidRDefault="00DD4986" w:rsidP="005160F0">
            <w:pPr>
              <w:autoSpaceDE w:val="0"/>
              <w:autoSpaceDN w:val="0"/>
              <w:adjustRightInd w:val="0"/>
              <w:spacing w:after="0" w:line="240" w:lineRule="auto"/>
              <w:jc w:val="center"/>
              <w:rPr>
                <w:rFonts w:cstheme="minorHAnsi"/>
                <w:bCs/>
                <w:color w:val="000000" w:themeColor="text1"/>
                <w:highlight w:val="yellow"/>
              </w:rPr>
            </w:pPr>
            <w:r w:rsidRPr="00983AC4">
              <w:rPr>
                <w:color w:val="000000"/>
              </w:rPr>
              <w:t>2,434</w:t>
            </w:r>
          </w:p>
        </w:tc>
        <w:tc>
          <w:tcPr>
            <w:tcW w:w="1001" w:type="dxa"/>
            <w:tcBorders>
              <w:top w:val="single" w:sz="4" w:space="0" w:color="auto"/>
              <w:left w:val="nil"/>
              <w:bottom w:val="single" w:sz="12" w:space="0" w:color="auto"/>
              <w:right w:val="nil"/>
            </w:tcBorders>
            <w:shd w:val="clear" w:color="auto" w:fill="auto"/>
            <w:vAlign w:val="center"/>
          </w:tcPr>
          <w:p w14:paraId="2509C5F1" w14:textId="77777777" w:rsidR="00DD4986" w:rsidRPr="00983AC4" w:rsidRDefault="00DD4986" w:rsidP="005160F0">
            <w:pPr>
              <w:autoSpaceDE w:val="0"/>
              <w:autoSpaceDN w:val="0"/>
              <w:adjustRightInd w:val="0"/>
              <w:spacing w:after="0" w:line="240" w:lineRule="auto"/>
              <w:jc w:val="center"/>
              <w:rPr>
                <w:rFonts w:cstheme="minorHAnsi"/>
                <w:bCs/>
                <w:color w:val="000000" w:themeColor="text1"/>
                <w:highlight w:val="yellow"/>
              </w:rPr>
            </w:pPr>
            <w:r w:rsidRPr="00983AC4">
              <w:rPr>
                <w:color w:val="000000"/>
              </w:rPr>
              <w:t>24.0%</w:t>
            </w:r>
          </w:p>
        </w:tc>
        <w:tc>
          <w:tcPr>
            <w:tcW w:w="1089" w:type="dxa"/>
            <w:tcBorders>
              <w:top w:val="nil"/>
              <w:left w:val="nil"/>
              <w:bottom w:val="single" w:sz="12" w:space="0" w:color="auto"/>
              <w:right w:val="nil"/>
            </w:tcBorders>
            <w:shd w:val="clear" w:color="auto" w:fill="auto"/>
            <w:vAlign w:val="center"/>
          </w:tcPr>
          <w:p w14:paraId="02FB7729" w14:textId="77777777" w:rsidR="00DD4986" w:rsidRPr="00983AC4" w:rsidRDefault="00DD4986" w:rsidP="005160F0">
            <w:pPr>
              <w:autoSpaceDE w:val="0"/>
              <w:autoSpaceDN w:val="0"/>
              <w:adjustRightInd w:val="0"/>
              <w:spacing w:after="0" w:line="240" w:lineRule="auto"/>
              <w:jc w:val="center"/>
              <w:rPr>
                <w:rFonts w:cstheme="minorHAnsi"/>
                <w:bCs/>
                <w:color w:val="000000" w:themeColor="text1"/>
                <w:highlight w:val="yellow"/>
              </w:rPr>
            </w:pPr>
            <w:r w:rsidRPr="00983AC4">
              <w:rPr>
                <w:color w:val="000000"/>
              </w:rPr>
              <w:t>4,657</w:t>
            </w:r>
          </w:p>
        </w:tc>
        <w:tc>
          <w:tcPr>
            <w:tcW w:w="1097" w:type="dxa"/>
            <w:tcBorders>
              <w:top w:val="nil"/>
              <w:left w:val="nil"/>
              <w:bottom w:val="single" w:sz="12" w:space="0" w:color="auto"/>
              <w:right w:val="nil"/>
            </w:tcBorders>
            <w:shd w:val="clear" w:color="auto" w:fill="auto"/>
            <w:vAlign w:val="center"/>
          </w:tcPr>
          <w:p w14:paraId="041713C0" w14:textId="77777777" w:rsidR="00DD4986" w:rsidRPr="00983AC4" w:rsidRDefault="00DD4986" w:rsidP="005160F0">
            <w:pPr>
              <w:autoSpaceDE w:val="0"/>
              <w:autoSpaceDN w:val="0"/>
              <w:adjustRightInd w:val="0"/>
              <w:spacing w:after="0" w:line="240" w:lineRule="auto"/>
              <w:jc w:val="center"/>
              <w:rPr>
                <w:rFonts w:cstheme="minorHAnsi"/>
                <w:bCs/>
                <w:color w:val="000000" w:themeColor="text1"/>
                <w:highlight w:val="yellow"/>
              </w:rPr>
            </w:pPr>
            <w:r w:rsidRPr="00983AC4">
              <w:rPr>
                <w:color w:val="000000"/>
              </w:rPr>
              <w:t>46.0%</w:t>
            </w:r>
          </w:p>
        </w:tc>
        <w:tc>
          <w:tcPr>
            <w:tcW w:w="973" w:type="dxa"/>
            <w:tcBorders>
              <w:top w:val="nil"/>
              <w:left w:val="nil"/>
              <w:bottom w:val="single" w:sz="12" w:space="0" w:color="auto"/>
              <w:right w:val="nil"/>
            </w:tcBorders>
            <w:shd w:val="clear" w:color="auto" w:fill="auto"/>
            <w:vAlign w:val="center"/>
          </w:tcPr>
          <w:p w14:paraId="045D548B" w14:textId="77777777" w:rsidR="00DD4986" w:rsidRPr="00983AC4" w:rsidRDefault="00DD4986" w:rsidP="005160F0">
            <w:pPr>
              <w:autoSpaceDE w:val="0"/>
              <w:autoSpaceDN w:val="0"/>
              <w:adjustRightInd w:val="0"/>
              <w:spacing w:after="0" w:line="240" w:lineRule="auto"/>
              <w:jc w:val="center"/>
              <w:rPr>
                <w:rFonts w:cstheme="minorHAnsi"/>
                <w:bCs/>
                <w:color w:val="000000" w:themeColor="text1"/>
                <w:highlight w:val="yellow"/>
              </w:rPr>
            </w:pPr>
            <w:r w:rsidRPr="00983AC4">
              <w:rPr>
                <w:color w:val="000000"/>
              </w:rPr>
              <w:t>3,040</w:t>
            </w:r>
          </w:p>
        </w:tc>
        <w:tc>
          <w:tcPr>
            <w:tcW w:w="981" w:type="dxa"/>
            <w:tcBorders>
              <w:top w:val="nil"/>
              <w:left w:val="nil"/>
              <w:bottom w:val="single" w:sz="12" w:space="0" w:color="auto"/>
              <w:right w:val="nil"/>
            </w:tcBorders>
            <w:shd w:val="clear" w:color="auto" w:fill="auto"/>
            <w:vAlign w:val="center"/>
          </w:tcPr>
          <w:p w14:paraId="0B810DEA" w14:textId="77777777" w:rsidR="00DD4986" w:rsidRPr="00983AC4" w:rsidRDefault="00DD4986" w:rsidP="005160F0">
            <w:pPr>
              <w:autoSpaceDE w:val="0"/>
              <w:autoSpaceDN w:val="0"/>
              <w:adjustRightInd w:val="0"/>
              <w:spacing w:after="0" w:line="240" w:lineRule="auto"/>
              <w:jc w:val="center"/>
              <w:rPr>
                <w:rFonts w:cstheme="minorHAnsi"/>
                <w:bCs/>
                <w:color w:val="000000" w:themeColor="text1"/>
                <w:highlight w:val="yellow"/>
              </w:rPr>
            </w:pPr>
            <w:r w:rsidRPr="00983AC4">
              <w:rPr>
                <w:color w:val="000000"/>
              </w:rPr>
              <w:t>30.0%</w:t>
            </w:r>
          </w:p>
        </w:tc>
      </w:tr>
    </w:tbl>
    <w:p w14:paraId="38FB98D4" w14:textId="77777777"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p>
    <w:p w14:paraId="20DB513A" w14:textId="6EB5326D" w:rsidR="003E4F80" w:rsidRDefault="003E4F80" w:rsidP="003E4F80">
      <w:pPr>
        <w:autoSpaceDE w:val="0"/>
        <w:autoSpaceDN w:val="0"/>
        <w:adjustRightInd w:val="0"/>
        <w:spacing w:after="0" w:line="240" w:lineRule="auto"/>
      </w:pPr>
      <w:r>
        <w:rPr>
          <w:rFonts w:cstheme="minorHAnsi"/>
          <w:bCs/>
        </w:rPr>
        <w:t xml:space="preserve">The predicted Discharge to Community rates of the model range from </w:t>
      </w:r>
      <w:r>
        <w:rPr>
          <w:rFonts w:cstheme="minorHAnsi"/>
          <w:color w:val="000000"/>
        </w:rPr>
        <w:t>1.7%</w:t>
      </w:r>
      <w:r>
        <w:rPr>
          <w:rFonts w:cstheme="minorHAnsi"/>
          <w:bCs/>
        </w:rPr>
        <w:t xml:space="preserve"> to </w:t>
      </w:r>
      <w:r>
        <w:rPr>
          <w:rFonts w:cstheme="minorHAnsi"/>
          <w:color w:val="000000"/>
        </w:rPr>
        <w:t>100%, indicating that this model has a range of predictions and can predict both high and low scores, given the distribution in the observed sample as well.</w:t>
      </w:r>
      <w:r>
        <w:rPr>
          <w:rFonts w:cstheme="minorHAnsi"/>
          <w:bCs/>
        </w:rPr>
        <w:t xml:space="preserve"> These results regarding</w:t>
      </w:r>
      <w:r>
        <w:t xml:space="preserve"> distribution and model discrimination indicated that this measure shows meaningful difference in our DTC </w:t>
      </w:r>
      <w:r w:rsidR="00261AC4">
        <w:t>risk standardized</w:t>
      </w:r>
      <w:r>
        <w:t xml:space="preserve"> rate for individuals.</w:t>
      </w:r>
    </w:p>
    <w:p w14:paraId="18C7E422" w14:textId="77777777" w:rsidR="003E4F80" w:rsidRDefault="003E4F80" w:rsidP="003E4F80">
      <w:pPr>
        <w:autoSpaceDE w:val="0"/>
        <w:autoSpaceDN w:val="0"/>
        <w:adjustRightInd w:val="0"/>
        <w:spacing w:after="0" w:line="240" w:lineRule="auto"/>
      </w:pPr>
    </w:p>
    <w:p w14:paraId="47879975" w14:textId="63B7C30A" w:rsidR="003E4F80" w:rsidRDefault="003E4F80" w:rsidP="003E4F80">
      <w:pPr>
        <w:autoSpaceDE w:val="0"/>
        <w:autoSpaceDN w:val="0"/>
        <w:adjustRightInd w:val="0"/>
        <w:spacing w:after="0" w:line="240" w:lineRule="auto"/>
        <w:rPr>
          <w:rFonts w:cstheme="minorHAnsi"/>
          <w:bCs/>
        </w:rPr>
      </w:pPr>
      <w:r>
        <w:t xml:space="preserve">Of the 10,131 HHAs, </w:t>
      </w:r>
      <w:r>
        <w:rPr>
          <w:rFonts w:cstheme="minorHAnsi"/>
          <w:bCs/>
        </w:rPr>
        <w:t>we found that most HHA’s (</w:t>
      </w:r>
      <w:r>
        <w:rPr>
          <w:rFonts w:ascii="Calibri" w:hAnsi="Calibri" w:cs="Calibri"/>
          <w:color w:val="000000"/>
        </w:rPr>
        <w:t xml:space="preserve">70.0%) </w:t>
      </w:r>
      <w:r w:rsidRPr="006229B8">
        <w:rPr>
          <w:rFonts w:cstheme="minorHAnsi"/>
          <w:bCs/>
        </w:rPr>
        <w:t>have scores for this measure that are significantly different</w:t>
      </w:r>
      <w:r>
        <w:rPr>
          <w:rFonts w:cstheme="minorHAnsi"/>
          <w:bCs/>
        </w:rPr>
        <w:t xml:space="preserve"> from the national mean (</w:t>
      </w:r>
      <w:r>
        <w:rPr>
          <w:rFonts w:cstheme="minorHAnsi"/>
          <w:b/>
          <w:bCs/>
        </w:rPr>
        <w:t xml:space="preserve">Table </w:t>
      </w:r>
      <w:r w:rsidR="00A844C9">
        <w:rPr>
          <w:rFonts w:cstheme="minorHAnsi"/>
          <w:b/>
          <w:bCs/>
        </w:rPr>
        <w:t>20</w:t>
      </w:r>
      <w:r>
        <w:rPr>
          <w:rFonts w:cstheme="minorHAnsi"/>
          <w:bCs/>
        </w:rPr>
        <w:t xml:space="preserve">). This supports the conclusions that </w:t>
      </w:r>
      <w:r w:rsidRPr="006229B8">
        <w:rPr>
          <w:rFonts w:cstheme="minorHAnsi"/>
          <w:bCs/>
        </w:rPr>
        <w:t>there are meaningful differences in facility-level scores for this measure.</w:t>
      </w:r>
    </w:p>
    <w:p w14:paraId="6277D796" w14:textId="77777777" w:rsidR="00245142" w:rsidRPr="00A25024" w:rsidRDefault="00245142" w:rsidP="00D61410">
      <w:pPr>
        <w:autoSpaceDE w:val="0"/>
        <w:autoSpaceDN w:val="0"/>
        <w:adjustRightInd w:val="0"/>
        <w:spacing w:after="0" w:line="240" w:lineRule="auto"/>
        <w:rPr>
          <w:rFonts w:cstheme="minorHAnsi"/>
          <w:bCs/>
        </w:rPr>
      </w:pPr>
    </w:p>
    <w:p w14:paraId="2722D7AE" w14:textId="77777777" w:rsidR="0086464B" w:rsidRDefault="0086464B" w:rsidP="0086464B">
      <w:pPr>
        <w:spacing w:after="0" w:line="240" w:lineRule="auto"/>
        <w:rPr>
          <w:rFonts w:cstheme="minorHAnsi"/>
          <w:b/>
          <w:bCs/>
        </w:rPr>
      </w:pPr>
      <w:r>
        <w:rPr>
          <w:rFonts w:cstheme="minorHAnsi"/>
          <w:b/>
          <w:bCs/>
        </w:rPr>
        <w:t>_______________________________________</w:t>
      </w:r>
    </w:p>
    <w:p w14:paraId="7EB8FFCE"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1A3A7A9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507EF81B" w14:textId="77777777" w:rsidR="00567D12" w:rsidRPr="00A25024" w:rsidRDefault="00567D12" w:rsidP="00DB3627">
      <w:pPr>
        <w:autoSpaceDE w:val="0"/>
        <w:autoSpaceDN w:val="0"/>
        <w:adjustRightInd w:val="0"/>
        <w:spacing w:after="0" w:line="240" w:lineRule="auto"/>
        <w:rPr>
          <w:rFonts w:cstheme="minorHAnsi"/>
          <w:b/>
          <w:bCs/>
        </w:rPr>
      </w:pPr>
    </w:p>
    <w:p w14:paraId="3201158D" w14:textId="77777777"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6EA491B8" w14:textId="77777777" w:rsidR="000F06B5" w:rsidRPr="00A25024" w:rsidRDefault="000F06B5" w:rsidP="00DB3627">
      <w:pPr>
        <w:autoSpaceDE w:val="0"/>
        <w:autoSpaceDN w:val="0"/>
        <w:adjustRightInd w:val="0"/>
        <w:spacing w:after="0" w:line="240" w:lineRule="auto"/>
        <w:rPr>
          <w:rFonts w:cstheme="minorHAnsi"/>
          <w:bCs/>
        </w:rPr>
      </w:pPr>
    </w:p>
    <w:p w14:paraId="3A773555" w14:textId="613AFF69" w:rsidR="000F06B5" w:rsidRPr="009D3882" w:rsidRDefault="009C7513" w:rsidP="00DB3627">
      <w:pPr>
        <w:autoSpaceDE w:val="0"/>
        <w:autoSpaceDN w:val="0"/>
        <w:adjustRightInd w:val="0"/>
        <w:spacing w:after="0" w:line="240" w:lineRule="auto"/>
        <w:rPr>
          <w:rFonts w:cstheme="minorHAnsi"/>
          <w:bCs/>
          <w:sz w:val="14"/>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r w:rsidR="006D478E">
        <w:rPr>
          <w:rFonts w:cstheme="minorHAnsi"/>
          <w:bCs/>
        </w:rPr>
        <w:t>Not Applicable</w:t>
      </w:r>
      <w:r w:rsidR="00230BA5">
        <w:rPr>
          <w:rFonts w:cstheme="minorHAnsi"/>
          <w:bCs/>
        </w:rPr>
        <w:t xml:space="preserve">, have only one set of specifications. </w:t>
      </w:r>
    </w:p>
    <w:p w14:paraId="0A45D087"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748025E2" w14:textId="77777777" w:rsidR="00230BA5" w:rsidRPr="009D3882" w:rsidRDefault="009C7513" w:rsidP="00230BA5">
      <w:pPr>
        <w:autoSpaceDE w:val="0"/>
        <w:autoSpaceDN w:val="0"/>
        <w:adjustRightInd w:val="0"/>
        <w:spacing w:after="0" w:line="240" w:lineRule="auto"/>
        <w:rPr>
          <w:rFonts w:cstheme="minorHAnsi"/>
          <w:bCs/>
          <w:sz w:val="14"/>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230BA5">
        <w:rPr>
          <w:rFonts w:cstheme="minorHAnsi"/>
          <w:bCs/>
        </w:rPr>
        <w:t xml:space="preserve">Not Applicable, have only one set of specifications. </w:t>
      </w:r>
    </w:p>
    <w:p w14:paraId="26CE0ED7" w14:textId="1DD0F628" w:rsidR="00E1508F" w:rsidRPr="00E1508F" w:rsidRDefault="00E1508F" w:rsidP="00E1508F">
      <w:pPr>
        <w:autoSpaceDE w:val="0"/>
        <w:autoSpaceDN w:val="0"/>
        <w:adjustRightInd w:val="0"/>
        <w:spacing w:after="0" w:line="240" w:lineRule="auto"/>
        <w:rPr>
          <w:rFonts w:cstheme="minorHAnsi"/>
          <w:bCs/>
        </w:rPr>
      </w:pPr>
    </w:p>
    <w:p w14:paraId="4F59B04A" w14:textId="156531B2" w:rsidR="006D478E" w:rsidRDefault="009C7513" w:rsidP="00DB362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w:t>
      </w:r>
      <w:r w:rsidR="00C445E8" w:rsidRPr="00A25024">
        <w:rPr>
          <w:rFonts w:cstheme="minorHAnsi"/>
          <w:b/>
          <w:bCs/>
        </w:rPr>
        <w:t>results</w:t>
      </w:r>
      <w:r w:rsidR="002B0C3A" w:rsidRPr="00A25024">
        <w:rPr>
          <w:rFonts w:cstheme="minorHAnsi"/>
          <w:b/>
          <w:bCs/>
        </w:rPr>
        <w:t xml:space="preserve">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p>
    <w:p w14:paraId="1E0160AC" w14:textId="77777777" w:rsidR="00230BA5" w:rsidRPr="009D3882" w:rsidRDefault="00230BA5" w:rsidP="00230BA5">
      <w:pPr>
        <w:autoSpaceDE w:val="0"/>
        <w:autoSpaceDN w:val="0"/>
        <w:adjustRightInd w:val="0"/>
        <w:spacing w:after="0" w:line="240" w:lineRule="auto"/>
        <w:rPr>
          <w:rFonts w:cstheme="minorHAnsi"/>
          <w:bCs/>
          <w:sz w:val="14"/>
        </w:rPr>
      </w:pPr>
      <w:r>
        <w:rPr>
          <w:rFonts w:cstheme="minorHAnsi"/>
          <w:bCs/>
        </w:rPr>
        <w:t xml:space="preserve">Not Applicable, have only one set of specifications. </w:t>
      </w:r>
    </w:p>
    <w:p w14:paraId="33D3B07E" w14:textId="77777777" w:rsidR="008F7E67" w:rsidRDefault="008F7E67" w:rsidP="008F7E67">
      <w:pPr>
        <w:spacing w:after="0" w:line="240" w:lineRule="auto"/>
        <w:rPr>
          <w:rFonts w:cstheme="minorHAnsi"/>
          <w:b/>
          <w:bCs/>
        </w:rPr>
      </w:pPr>
      <w:r>
        <w:rPr>
          <w:rFonts w:cstheme="minorHAnsi"/>
          <w:b/>
          <w:bCs/>
        </w:rPr>
        <w:t>_______________________________________</w:t>
      </w:r>
    </w:p>
    <w:p w14:paraId="5B26B354" w14:textId="77777777"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76BA8A62" w14:textId="77777777" w:rsidR="008F7E67" w:rsidRDefault="008F7E67" w:rsidP="008F7E67">
      <w:pPr>
        <w:autoSpaceDE w:val="0"/>
        <w:autoSpaceDN w:val="0"/>
        <w:adjustRightInd w:val="0"/>
        <w:spacing w:after="0" w:line="240" w:lineRule="auto"/>
        <w:rPr>
          <w:rFonts w:cstheme="minorHAnsi"/>
          <w:bCs/>
        </w:rPr>
      </w:pPr>
    </w:p>
    <w:p w14:paraId="24E98F75" w14:textId="5E33C2D4" w:rsidR="00EB35F8"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EB35F8">
        <w:rPr>
          <w:rFonts w:cstheme="minorHAnsi"/>
          <w:bCs/>
        </w:rPr>
        <w:t xml:space="preserve"> </w:t>
      </w:r>
    </w:p>
    <w:p w14:paraId="6D5BCEE1" w14:textId="6A8D0CDB" w:rsidR="008F7E67" w:rsidRPr="00A25024" w:rsidRDefault="00EB35F8" w:rsidP="008F7E67">
      <w:pPr>
        <w:autoSpaceDE w:val="0"/>
        <w:autoSpaceDN w:val="0"/>
        <w:adjustRightInd w:val="0"/>
        <w:spacing w:after="0" w:line="240" w:lineRule="auto"/>
        <w:rPr>
          <w:rFonts w:cstheme="minorHAnsi"/>
          <w:bCs/>
        </w:rPr>
      </w:pPr>
      <w:r>
        <w:rPr>
          <w:rFonts w:cstheme="minorHAnsi"/>
          <w:bCs/>
        </w:rPr>
        <w:br/>
      </w:r>
      <w:r w:rsidR="00F24139" w:rsidRPr="005029B4">
        <w:rPr>
          <w:rFonts w:cstheme="minorHAnsi"/>
          <w:bCs/>
        </w:rPr>
        <w:t>This measure is calculated using</w:t>
      </w:r>
      <w:r w:rsidR="00F24139">
        <w:rPr>
          <w:rFonts w:cstheme="minorHAnsi"/>
          <w:bCs/>
        </w:rPr>
        <w:t xml:space="preserve"> Medicare FFS</w:t>
      </w:r>
      <w:r w:rsidR="00F24139" w:rsidRPr="005029B4">
        <w:rPr>
          <w:rFonts w:cstheme="minorHAnsi"/>
          <w:bCs/>
        </w:rPr>
        <w:t xml:space="preserve"> claims data; because submission and c</w:t>
      </w:r>
      <w:r w:rsidR="00F24139">
        <w:rPr>
          <w:rFonts w:cstheme="minorHAnsi"/>
          <w:bCs/>
        </w:rPr>
        <w:t xml:space="preserve">ompletion of claims is tied to </w:t>
      </w:r>
      <w:r w:rsidR="00F24139">
        <w:rPr>
          <w:rFonts w:cstheme="minorHAnsi"/>
          <w:bCs/>
        </w:rPr>
        <w:lastRenderedPageBreak/>
        <w:t>provider</w:t>
      </w:r>
      <w:r w:rsidR="00F24139" w:rsidRPr="005029B4">
        <w:rPr>
          <w:rFonts w:cstheme="minorHAnsi"/>
          <w:bCs/>
        </w:rPr>
        <w:t xml:space="preserve"> reimbursement, missing data are rare. Our measure excludes stays that are missing key measure specification data, under the exclusion criterion of </w:t>
      </w:r>
      <w:r w:rsidR="00F24139">
        <w:rPr>
          <w:rFonts w:cstheme="minorHAnsi"/>
          <w:bCs/>
        </w:rPr>
        <w:t xml:space="preserve">claims </w:t>
      </w:r>
      <w:r w:rsidR="00F24139" w:rsidRPr="005029B4">
        <w:rPr>
          <w:rFonts w:cstheme="minorHAnsi"/>
          <w:bCs/>
        </w:rPr>
        <w:t xml:space="preserve">with data that are problematic. </w:t>
      </w:r>
      <w:r w:rsidR="00F24139">
        <w:rPr>
          <w:rFonts w:cstheme="minorHAnsi"/>
          <w:bCs/>
        </w:rPr>
        <w:t>0.2% of stays were excluded from our measure due to problematic claims data (</w:t>
      </w:r>
      <w:r w:rsidR="00F24139" w:rsidRPr="00DC352C">
        <w:rPr>
          <w:rStyle w:val="Style1"/>
          <w:rFonts w:eastAsia="Trebuchet MS" w:cstheme="minorHAnsi"/>
          <w:color w:val="auto"/>
        </w:rPr>
        <w:t>e.g.</w:t>
      </w:r>
      <w:r w:rsidR="00F24139">
        <w:rPr>
          <w:rStyle w:val="Style1"/>
          <w:rFonts w:eastAsia="Trebuchet MS" w:cstheme="minorHAnsi"/>
          <w:color w:val="auto"/>
        </w:rPr>
        <w:t>,</w:t>
      </w:r>
      <w:r w:rsidR="00F24139" w:rsidRPr="00DC352C">
        <w:rPr>
          <w:rStyle w:val="Style1"/>
          <w:rFonts w:eastAsia="Trebuchet MS" w:cstheme="minorHAnsi"/>
          <w:color w:val="auto"/>
        </w:rPr>
        <w:t xml:space="preserve"> anomalous records for stays that overlap wholly or in part, or are otherwise erroneous or contradictory</w:t>
      </w:r>
      <w:r w:rsidR="00F24139">
        <w:rPr>
          <w:rStyle w:val="Style1"/>
          <w:rFonts w:eastAsia="Trebuchet MS" w:cstheme="minorHAnsi"/>
          <w:color w:val="auto"/>
        </w:rPr>
        <w:t>)</w:t>
      </w:r>
      <w:r w:rsidR="00F24139" w:rsidRPr="005029B4">
        <w:rPr>
          <w:rFonts w:cstheme="minorHAnsi"/>
          <w:bCs/>
        </w:rPr>
        <w:t>. Thus, missing data are rare and do not have an impact on the measure.</w:t>
      </w:r>
      <w:r w:rsidR="00F24139">
        <w:rPr>
          <w:rFonts w:cstheme="minorHAnsi"/>
          <w:bCs/>
        </w:rPr>
        <w:t xml:space="preserve"> </w:t>
      </w:r>
      <w:r w:rsidRPr="00EB35F8">
        <w:t xml:space="preserve"> </w:t>
      </w:r>
      <w:r w:rsidRPr="00EB35F8">
        <w:rPr>
          <w:rFonts w:cstheme="minorHAnsi"/>
          <w:bCs/>
        </w:rPr>
        <w:t>Consequently, we do not perform any formal missing data analyses.</w:t>
      </w:r>
    </w:p>
    <w:p w14:paraId="3EC93BF5"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490DECA9" w14:textId="77777777" w:rsidR="008F7E67"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p>
    <w:p w14:paraId="777D8466" w14:textId="0C7CCA29" w:rsidR="001928DB" w:rsidRDefault="004D3337" w:rsidP="008F7E67">
      <w:pPr>
        <w:autoSpaceDE w:val="0"/>
        <w:autoSpaceDN w:val="0"/>
        <w:adjustRightInd w:val="0"/>
        <w:spacing w:after="0" w:line="240" w:lineRule="auto"/>
        <w:rPr>
          <w:rFonts w:cstheme="minorHAnsi"/>
          <w:bCs/>
        </w:rPr>
      </w:pPr>
      <w:r w:rsidRPr="005029B4">
        <w:rPr>
          <w:rFonts w:cstheme="minorHAnsi"/>
          <w:bCs/>
        </w:rPr>
        <w:t>This measure is calculated using</w:t>
      </w:r>
      <w:r>
        <w:rPr>
          <w:rFonts w:cstheme="minorHAnsi"/>
          <w:bCs/>
        </w:rPr>
        <w:t xml:space="preserve"> Medicare FFS</w:t>
      </w:r>
      <w:r w:rsidRPr="005029B4">
        <w:rPr>
          <w:rFonts w:cstheme="minorHAnsi"/>
          <w:bCs/>
        </w:rPr>
        <w:t xml:space="preserve"> claims data; because submission and c</w:t>
      </w:r>
      <w:r>
        <w:rPr>
          <w:rFonts w:cstheme="minorHAnsi"/>
          <w:bCs/>
        </w:rPr>
        <w:t>ompletion of claims is tied to provider</w:t>
      </w:r>
      <w:r w:rsidRPr="005029B4">
        <w:rPr>
          <w:rFonts w:cstheme="minorHAnsi"/>
          <w:bCs/>
        </w:rPr>
        <w:t xml:space="preserve"> reimbursement, missing data are rare. Our measure excludes stays that are missing key measure specification data, under the exclusion criterion of </w:t>
      </w:r>
      <w:r>
        <w:rPr>
          <w:rFonts w:cstheme="minorHAnsi"/>
          <w:bCs/>
        </w:rPr>
        <w:t xml:space="preserve">claims </w:t>
      </w:r>
      <w:r w:rsidRPr="005029B4">
        <w:rPr>
          <w:rFonts w:cstheme="minorHAnsi"/>
          <w:bCs/>
        </w:rPr>
        <w:t xml:space="preserve">with data that are problematic. </w:t>
      </w:r>
      <w:r>
        <w:rPr>
          <w:rFonts w:cstheme="minorHAnsi"/>
          <w:bCs/>
        </w:rPr>
        <w:t>0.2% of stays were excluded from our measure due to problematic claims data (</w:t>
      </w:r>
      <w:r w:rsidRPr="00DC352C">
        <w:rPr>
          <w:rStyle w:val="Style1"/>
          <w:rFonts w:eastAsia="Trebuchet MS" w:cstheme="minorHAnsi"/>
          <w:color w:val="auto"/>
        </w:rPr>
        <w:t>e.g.</w:t>
      </w:r>
      <w:r>
        <w:rPr>
          <w:rStyle w:val="Style1"/>
          <w:rFonts w:eastAsia="Trebuchet MS" w:cstheme="minorHAnsi"/>
          <w:color w:val="auto"/>
        </w:rPr>
        <w:t>,</w:t>
      </w:r>
      <w:r w:rsidRPr="00DC352C">
        <w:rPr>
          <w:rStyle w:val="Style1"/>
          <w:rFonts w:eastAsia="Trebuchet MS" w:cstheme="minorHAnsi"/>
          <w:color w:val="auto"/>
        </w:rPr>
        <w:t xml:space="preserve"> anomalous records for stays that overlap wholly or in part, or are otherwise erroneous or contradictory</w:t>
      </w:r>
      <w:r>
        <w:rPr>
          <w:rStyle w:val="Style1"/>
          <w:rFonts w:eastAsia="Trebuchet MS" w:cstheme="minorHAnsi"/>
          <w:color w:val="auto"/>
        </w:rPr>
        <w:t>)</w:t>
      </w:r>
      <w:r w:rsidRPr="005029B4">
        <w:rPr>
          <w:rFonts w:cstheme="minorHAnsi"/>
          <w:bCs/>
        </w:rPr>
        <w:t>. Thus, missing data are rare and do not have an impact on the measure.</w:t>
      </w:r>
      <w:r>
        <w:rPr>
          <w:rFonts w:cstheme="minorHAnsi"/>
          <w:bCs/>
        </w:rPr>
        <w:t xml:space="preserve"> </w:t>
      </w:r>
      <w:r w:rsidRPr="00EB35F8">
        <w:t xml:space="preserve"> </w:t>
      </w:r>
      <w:r w:rsidRPr="00EB35F8">
        <w:rPr>
          <w:rFonts w:cstheme="minorHAnsi"/>
          <w:bCs/>
        </w:rPr>
        <w:t>Consequently, we do not perform any formal missing data analyses.</w:t>
      </w:r>
    </w:p>
    <w:p w14:paraId="0D978926" w14:textId="77777777" w:rsidR="004D3337" w:rsidRPr="00E1508F" w:rsidRDefault="004D3337" w:rsidP="008F7E67">
      <w:pPr>
        <w:autoSpaceDE w:val="0"/>
        <w:autoSpaceDN w:val="0"/>
        <w:adjustRightInd w:val="0"/>
        <w:spacing w:after="0" w:line="240" w:lineRule="auto"/>
        <w:rPr>
          <w:rFonts w:cstheme="minorHAnsi"/>
          <w:bCs/>
        </w:rPr>
      </w:pPr>
    </w:p>
    <w:p w14:paraId="5B730175" w14:textId="77777777"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5D0AADC1" w14:textId="72229873" w:rsidR="00EB35F8" w:rsidRDefault="004D3337">
      <w:pPr>
        <w:autoSpaceDE w:val="0"/>
        <w:autoSpaceDN w:val="0"/>
        <w:adjustRightInd w:val="0"/>
        <w:spacing w:after="0" w:line="240" w:lineRule="auto"/>
        <w:rPr>
          <w:rFonts w:cstheme="minorHAnsi"/>
          <w:bCs/>
        </w:rPr>
      </w:pPr>
      <w:r>
        <w:rPr>
          <w:rFonts w:cstheme="minorHAnsi"/>
          <w:bCs/>
        </w:rPr>
        <w:t>Not applicable</w:t>
      </w:r>
    </w:p>
    <w:sectPr w:rsidR="00EB35F8" w:rsidSect="00AD0C91">
      <w:footerReference w:type="even" r:id="rId31"/>
      <w:footerReference w:type="default" r:id="rId32"/>
      <w:pgSz w:w="12240" w:h="15840"/>
      <w:pgMar w:top="1498" w:right="1080" w:bottom="878" w:left="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9F3F89" w14:textId="77777777" w:rsidR="0038706E" w:rsidRDefault="0038706E" w:rsidP="005C73CA">
      <w:pPr>
        <w:spacing w:after="0" w:line="240" w:lineRule="auto"/>
      </w:pPr>
      <w:r>
        <w:separator/>
      </w:r>
    </w:p>
  </w:endnote>
  <w:endnote w:type="continuationSeparator" w:id="0">
    <w:p w14:paraId="5B8C4DF9" w14:textId="77777777" w:rsidR="0038706E" w:rsidRDefault="0038706E"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SymbolMT">
    <w:altName w:val="MS Mincho"/>
    <w:panose1 w:val="00000000000000000000"/>
    <w:charset w:val="80"/>
    <w:family w:val="auto"/>
    <w:notTrueType/>
    <w:pitch w:val="default"/>
    <w:sig w:usb0="00000000" w:usb1="08070000" w:usb2="00000010" w:usb3="00000000" w:csb0="00020000"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5F9AB7" w14:textId="77777777" w:rsidR="0038706E" w:rsidRDefault="0038706E">
    <w:pPr>
      <w:pStyle w:val="Footer"/>
    </w:pPr>
    <w:r>
      <w:t>Version 7.1 9/6/2017</w:t>
    </w:r>
    <w:r>
      <w:ptab w:relativeTo="margin" w:alignment="right" w:leader="none"/>
    </w:r>
    <w:r>
      <w:fldChar w:fldCharType="begin"/>
    </w:r>
    <w:r>
      <w:instrText xml:space="preserve"> PAGE   \* MERGEFORMAT </w:instrText>
    </w:r>
    <w:r>
      <w:fldChar w:fldCharType="separate"/>
    </w:r>
    <w:r w:rsidR="00436D6A">
      <w:rPr>
        <w:noProof/>
      </w:rPr>
      <w:t>17</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E9626A" w14:textId="7C0C5462" w:rsidR="0038706E" w:rsidRDefault="0038706E">
    <w:pPr>
      <w:pStyle w:val="Footer"/>
    </w:pPr>
    <w:r>
      <w:t>Version 7.1 8/1/2018</w:t>
    </w:r>
    <w:r>
      <w:ptab w:relativeTo="margin" w:alignment="right" w:leader="none"/>
    </w:r>
    <w:r>
      <w:fldChar w:fldCharType="begin"/>
    </w:r>
    <w:r>
      <w:instrText xml:space="preserve"> PAGE   \* MERGEFORMAT </w:instrText>
    </w:r>
    <w:r>
      <w:fldChar w:fldCharType="separate"/>
    </w:r>
    <w:r w:rsidR="00436D6A">
      <w:rPr>
        <w:noProof/>
      </w:rPr>
      <w:t>29</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E3267" w14:textId="77777777" w:rsidR="0038706E" w:rsidRDefault="0038706E">
    <w:pPr>
      <w:pStyle w:val="BodyText"/>
      <w:spacing w:line="14" w:lineRule="auto"/>
      <w:rPr>
        <w:sz w:val="20"/>
      </w:rPr>
    </w:pPr>
    <w:r>
      <w:pict w14:anchorId="3678F49B">
        <v:line id="_x0000_s2049" style="position:absolute;z-index:-251657216;mso-position-horizontal-relative:page;mso-position-vertical-relative:page" from="70.55pt,743.3pt" to="541.45pt,743.3pt" strokeweight=".16931mm">
          <w10:wrap anchorx="page" anchory="page"/>
        </v:line>
      </w:pict>
    </w:r>
    <w:r>
      <w:pict w14:anchorId="594CA078">
        <v:shapetype id="_x0000_t202" coordsize="21600,21600" o:spt="202" path="m,l,21600r21600,l21600,xe">
          <v:stroke joinstyle="miter"/>
          <v:path gradientshapeok="t" o:connecttype="rect"/>
        </v:shapetype>
        <v:shape id="_x0000_s2050" type="#_x0000_t202" style="position:absolute;margin-left:70pt;margin-top:743.65pt;width:200.55pt;height:13.1pt;z-index:-251656192;mso-position-horizontal-relative:page;mso-position-vertical-relative:page" filled="f" stroked="f">
          <v:textbox inset="0,0,0,0">
            <w:txbxContent>
              <w:p w14:paraId="01A98459" w14:textId="77777777" w:rsidR="0038706E" w:rsidRDefault="0038706E">
                <w:pPr>
                  <w:spacing w:before="11"/>
                  <w:ind w:left="40"/>
                  <w:rPr>
                    <w:sz w:val="20"/>
                  </w:rPr>
                </w:pPr>
                <w:r>
                  <w:fldChar w:fldCharType="begin"/>
                </w:r>
                <w:r>
                  <w:rPr>
                    <w:sz w:val="20"/>
                  </w:rPr>
                  <w:instrText xml:space="preserve"> PAGE </w:instrText>
                </w:r>
                <w:r>
                  <w:fldChar w:fldCharType="separate"/>
                </w:r>
                <w:r>
                  <w:rPr>
                    <w:noProof/>
                    <w:sz w:val="20"/>
                  </w:rPr>
                  <w:t>28</w:t>
                </w:r>
                <w:r>
                  <w:fldChar w:fldCharType="end"/>
                </w:r>
                <w:r>
                  <w:rPr>
                    <w:sz w:val="20"/>
                  </w:rPr>
                  <w:t xml:space="preserve"> </w:t>
                </w:r>
                <w:r>
                  <w:rPr>
                    <w:b/>
                    <w:sz w:val="20"/>
                  </w:rPr>
                  <w:t xml:space="preserve">Acumen, LLC </w:t>
                </w:r>
                <w:r>
                  <w:rPr>
                    <w:sz w:val="20"/>
                  </w:rPr>
                  <w:t>| Section 3: Variable Selection</w:t>
                </w:r>
              </w:p>
            </w:txbxContent>
          </v:textbox>
          <w10:wrap anchorx="page" anchory="page"/>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28749C" w14:textId="77777777" w:rsidR="0038706E" w:rsidRDefault="0038706E" w:rsidP="001A7D64">
    <w:pPr>
      <w:pStyle w:val="Footer"/>
    </w:pPr>
    <w:r>
      <w:t>Version 7.1 8/1/2018</w:t>
    </w:r>
    <w:r>
      <w:ptab w:relativeTo="margin" w:alignment="right" w:leader="none"/>
    </w:r>
    <w:r>
      <w:fldChar w:fldCharType="begin"/>
    </w:r>
    <w:r>
      <w:instrText xml:space="preserve"> PAGE   \* MERGEFORMAT </w:instrText>
    </w:r>
    <w:r>
      <w:fldChar w:fldCharType="separate"/>
    </w:r>
    <w:r w:rsidR="00436D6A">
      <w:rPr>
        <w:noProof/>
      </w:rPr>
      <w:t>37</w:t>
    </w:r>
    <w:r>
      <w:rPr>
        <w:noProof/>
      </w:rPr>
      <w:fldChar w:fldCharType="end"/>
    </w:r>
  </w:p>
  <w:p w14:paraId="026D182F" w14:textId="08A00DE2" w:rsidR="0038706E" w:rsidRDefault="0038706E">
    <w:pPr>
      <w:pStyle w:val="BodyText"/>
      <w:spacing w:line="14" w:lineRule="auto"/>
      <w:rPr>
        <w:sz w:val="20"/>
      </w:rPr>
    </w:pPr>
    <w:r>
      <w:pict w14:anchorId="1A747B43">
        <v:shapetype id="_x0000_t202" coordsize="21600,21600" o:spt="202" path="m,l,21600r21600,l21600,xe">
          <v:stroke joinstyle="miter"/>
          <v:path gradientshapeok="t" o:connecttype="rect"/>
        </v:shapetype>
        <v:shape id="_x0000_s2052" type="#_x0000_t202" style="position:absolute;margin-left:200.6pt;margin-top:746.65pt;width:343.85pt;height:17.6pt;z-index:-251654144;mso-position-horizontal-relative:page;mso-position-vertical-relative:page" filled="f" stroked="f">
          <v:textbox inset="0,0,0,0">
            <w:txbxContent>
              <w:p w14:paraId="407E2BA4" w14:textId="0EBE9A0C" w:rsidR="0038706E" w:rsidRDefault="0038706E" w:rsidP="001A7D64">
                <w:pPr>
                  <w:spacing w:before="11"/>
                  <w:ind w:left="20"/>
                  <w:jc w:val="right"/>
                  <w:rPr>
                    <w:sz w:val="20"/>
                  </w:rPr>
                </w:pP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4F623" w14:textId="77777777" w:rsidR="0038706E" w:rsidRDefault="0038706E" w:rsidP="005C73CA">
      <w:pPr>
        <w:spacing w:after="0" w:line="240" w:lineRule="auto"/>
      </w:pPr>
      <w:r>
        <w:separator/>
      </w:r>
    </w:p>
  </w:footnote>
  <w:footnote w:type="continuationSeparator" w:id="0">
    <w:p w14:paraId="228C96FC" w14:textId="77777777" w:rsidR="0038706E" w:rsidRDefault="0038706E" w:rsidP="005C73CA">
      <w:pPr>
        <w:spacing w:after="0" w:line="240" w:lineRule="auto"/>
      </w:pPr>
      <w:r>
        <w:continuationSeparator/>
      </w:r>
    </w:p>
  </w:footnote>
  <w:footnote w:id="1">
    <w:p w14:paraId="7966D85B" w14:textId="77777777" w:rsidR="0038706E" w:rsidRDefault="0038706E" w:rsidP="00FB7588">
      <w:pPr>
        <w:shd w:val="clear" w:color="auto" w:fill="FFFFFF"/>
        <w:spacing w:after="90" w:line="240" w:lineRule="auto"/>
        <w:outlineLvl w:val="1"/>
        <w:rPr>
          <w:szCs w:val="20"/>
        </w:rPr>
      </w:pPr>
      <w:r>
        <w:rPr>
          <w:rStyle w:val="FootnoteReference"/>
        </w:rPr>
        <w:footnoteRef/>
      </w:r>
      <w:r>
        <w:t xml:space="preserve"> </w:t>
      </w:r>
      <w:r>
        <w:rPr>
          <w:sz w:val="20"/>
        </w:rPr>
        <w:t>Goodridge et al.  Socioeconomic disparities in home health care service access and utilization: A scoping review</w:t>
      </w:r>
      <w:r>
        <w:rPr>
          <w:color w:val="2E2E2E"/>
          <w:sz w:val="20"/>
        </w:rPr>
        <w:t xml:space="preserve">  2012: </w:t>
      </w:r>
      <w:r>
        <w:rPr>
          <w:i/>
          <w:color w:val="2E2E2E"/>
          <w:sz w:val="20"/>
        </w:rPr>
        <w:t xml:space="preserve">International J. Nursing Studies </w:t>
      </w:r>
      <w:r>
        <w:rPr>
          <w:color w:val="2E2E2E"/>
          <w:sz w:val="20"/>
        </w:rPr>
        <w:t>49(10); 1310-19</w:t>
      </w:r>
    </w:p>
  </w:footnote>
  <w:footnote w:id="2">
    <w:p w14:paraId="5727FEEF" w14:textId="77777777" w:rsidR="0038706E" w:rsidRDefault="0038706E" w:rsidP="00C8542F">
      <w:pPr>
        <w:pStyle w:val="FootnoteText"/>
      </w:pPr>
      <w:r>
        <w:rPr>
          <w:rStyle w:val="FootnoteReference"/>
        </w:rPr>
        <w:footnoteRef/>
      </w:r>
      <w:r>
        <w:t xml:space="preserve"> Reliability: NQF’s Current Definition of Reliability and Related Concepts – May 16, 2018. Available at: </w:t>
      </w:r>
      <w:hyperlink r:id="rId1" w:history="1">
        <w:r w:rsidRPr="00EB3432">
          <w:rPr>
            <w:rStyle w:val="Hyperlink"/>
          </w:rPr>
          <w:t>http://www.qualityforum.org/Calendar/2018/05/Scientific_Methods_Panel_In-person_05162018.aspx</w:t>
        </w:r>
      </w:hyperlink>
      <w:r>
        <w:t xml:space="preserve">  </w:t>
      </w:r>
      <w:hyperlink r:id="rId2" w:history="1">
        <w:r>
          <w:rPr>
            <w:rStyle w:val="Hyperlink"/>
            <w:rFonts w:ascii="Arial Rounded MT Bold" w:hAnsi="Arial Rounded MT Bold"/>
          </w:rPr>
          <w:t xml:space="preserve"> </w:t>
        </w:r>
      </w:hyperlink>
    </w:p>
  </w:footnote>
  <w:footnote w:id="3">
    <w:p w14:paraId="346BE979" w14:textId="77777777" w:rsidR="0038706E" w:rsidRDefault="0038706E" w:rsidP="00C8542F">
      <w:pPr>
        <w:pStyle w:val="footnotetext0"/>
      </w:pPr>
      <w:r>
        <w:rPr>
          <w:rStyle w:val="FootnoteReference"/>
        </w:rPr>
        <w:footnoteRef/>
      </w:r>
      <w:r>
        <w:rPr>
          <w:rStyle w:val="FootnoteReference"/>
        </w:rPr>
        <w:t xml:space="preserve"> </w:t>
      </w:r>
      <w:r>
        <w:tab/>
        <w:t xml:space="preserve">Hospital-Wide All-Cause Readmission Measure (HWR) (CMS/Yale) (NQF #1789).  </w:t>
      </w:r>
      <w:hyperlink r:id="rId3" w:history="1">
        <w:r>
          <w:rPr>
            <w:rStyle w:val="Hyperlink"/>
          </w:rPr>
          <w:t>www.qualityforum.org/QPS/1789</w:t>
        </w:r>
      </w:hyperlink>
    </w:p>
  </w:footnote>
  <w:footnote w:id="4">
    <w:p w14:paraId="2AE887D9" w14:textId="77777777" w:rsidR="0038706E" w:rsidRDefault="0038706E" w:rsidP="00C8542F">
      <w:pPr>
        <w:pStyle w:val="footnotetext0"/>
      </w:pPr>
      <w:r>
        <w:rPr>
          <w:rStyle w:val="FootnoteReference"/>
        </w:rPr>
        <w:footnoteRef/>
      </w:r>
      <w:r>
        <w:rPr>
          <w:rStyle w:val="FootnoteReference"/>
        </w:rPr>
        <w:t xml:space="preserve"> </w:t>
      </w:r>
      <w:r>
        <w:tab/>
        <w:t xml:space="preserve">Skilled Nursing Facility 30-Day All-Cause Readmission Measure (SNFRM) (NQF #2510). </w:t>
      </w:r>
      <w:hyperlink r:id="rId4" w:history="1">
        <w:r>
          <w:rPr>
            <w:rStyle w:val="Hyperlink"/>
          </w:rPr>
          <w:t>http://www.qualityforum.org/QPS/2510</w:t>
        </w:r>
      </w:hyperlink>
    </w:p>
  </w:footnote>
  <w:footnote w:id="5">
    <w:p w14:paraId="35B04ED9" w14:textId="77777777" w:rsidR="0038706E" w:rsidRDefault="0038706E" w:rsidP="00C8542F">
      <w:pPr>
        <w:pStyle w:val="footnotetext0"/>
      </w:pPr>
      <w:r>
        <w:rPr>
          <w:rStyle w:val="FootnoteReference"/>
        </w:rPr>
        <w:footnoteRef/>
      </w:r>
      <w:r>
        <w:rPr>
          <w:rStyle w:val="FootnoteReference"/>
        </w:rPr>
        <w:t xml:space="preserve"> </w:t>
      </w:r>
      <w:r>
        <w:rPr>
          <w:vertAlign w:val="superscript"/>
        </w:rPr>
        <w:tab/>
      </w:r>
      <w:r>
        <w:t xml:space="preserve">All-Cause Unplanned Readmission Measure for 30 Days Post Discharge from Inpatient Rehabilitation Facilities (NQF #2502).  </w:t>
      </w:r>
      <w:hyperlink r:id="rId5" w:history="1">
        <w:r>
          <w:rPr>
            <w:rStyle w:val="Hyperlink"/>
          </w:rPr>
          <w:t>http://www.qualityforum.org/QPS/2502</w:t>
        </w:r>
      </w:hyperlink>
    </w:p>
  </w:footnote>
  <w:footnote w:id="6">
    <w:p w14:paraId="47CDAB74" w14:textId="77777777" w:rsidR="0038706E" w:rsidRDefault="0038706E" w:rsidP="00C8542F">
      <w:pPr>
        <w:pStyle w:val="footnotetext0"/>
      </w:pPr>
      <w:r>
        <w:rPr>
          <w:rStyle w:val="FootnoteReference"/>
        </w:rPr>
        <w:footnoteRef/>
      </w:r>
      <w:r>
        <w:rPr>
          <w:rStyle w:val="FootnoteReference"/>
        </w:rPr>
        <w:t xml:space="preserve"> </w:t>
      </w:r>
      <w:r>
        <w:tab/>
        <w:t xml:space="preserve">All-Cause Unplanned Readmission Measure for 30 Days Post Discharge from Long Term Care Hospitals (NQF #2512). </w:t>
      </w:r>
      <w:hyperlink r:id="rId6" w:history="1">
        <w:r>
          <w:rPr>
            <w:rStyle w:val="Hyperlink"/>
          </w:rPr>
          <w:t>http://www.qualityforum.org/QPS/2512</w:t>
        </w:r>
      </w:hyperlink>
    </w:p>
  </w:footnote>
  <w:footnote w:id="7">
    <w:p w14:paraId="38376C10" w14:textId="77777777" w:rsidR="0038706E" w:rsidRDefault="0038706E" w:rsidP="00C8542F">
      <w:pPr>
        <w:pStyle w:val="footnotetext0"/>
      </w:pPr>
      <w:r>
        <w:rPr>
          <w:rStyle w:val="FootnoteReference"/>
        </w:rPr>
        <w:footnoteRef/>
      </w:r>
      <w:r>
        <w:rPr>
          <w:rStyle w:val="FootnoteReference"/>
        </w:rPr>
        <w:t xml:space="preserve"> </w:t>
      </w:r>
      <w:r>
        <w:tab/>
        <w:t xml:space="preserve">Rehospitalization During the First 30 Days of Home Health (NQF #2380).  </w:t>
      </w:r>
      <w:hyperlink r:id="rId7" w:history="1">
        <w:r>
          <w:rPr>
            <w:rStyle w:val="Hyperlink"/>
          </w:rPr>
          <w:t>http://www.qualityforum.org/QPS/2380</w:t>
        </w:r>
      </w:hyperlink>
    </w:p>
  </w:footnote>
  <w:footnote w:id="8">
    <w:p w14:paraId="4A28E6C1" w14:textId="77777777" w:rsidR="0038706E" w:rsidRPr="00DE4ECD" w:rsidRDefault="0038706E" w:rsidP="00C8542F">
      <w:pPr>
        <w:pStyle w:val="FootnoteText"/>
        <w:rPr>
          <w:rFonts w:asciiTheme="minorHAnsi" w:hAnsiTheme="minorHAnsi" w:cstheme="minorHAnsi"/>
        </w:rPr>
      </w:pPr>
      <w:r w:rsidRPr="00DE4ECD">
        <w:rPr>
          <w:rStyle w:val="FootnoteReference"/>
          <w:rFonts w:asciiTheme="minorHAnsi" w:hAnsiTheme="minorHAnsi" w:cstheme="minorHAnsi"/>
        </w:rPr>
        <w:footnoteRef/>
      </w:r>
      <w:r w:rsidRPr="00DE4ECD">
        <w:rPr>
          <w:rFonts w:asciiTheme="minorHAnsi" w:hAnsiTheme="minorHAnsi" w:cstheme="minorHAnsi"/>
        </w:rPr>
        <w:t xml:space="preserve"> McGraw, K. O., &amp; Wong, S. P. (1996). Forming inferences about some intraclass correlation coefficients. </w:t>
      </w:r>
      <w:r w:rsidRPr="00DE4ECD">
        <w:rPr>
          <w:rFonts w:asciiTheme="minorHAnsi" w:hAnsiTheme="minorHAnsi" w:cstheme="minorHAnsi"/>
          <w:i/>
          <w:iCs/>
        </w:rPr>
        <w:t>Psychological methods</w:t>
      </w:r>
      <w:r w:rsidRPr="00DE4ECD">
        <w:rPr>
          <w:rFonts w:asciiTheme="minorHAnsi" w:hAnsiTheme="minorHAnsi" w:cstheme="minorHAnsi"/>
        </w:rPr>
        <w:t>, </w:t>
      </w:r>
      <w:r w:rsidRPr="00DE4ECD">
        <w:rPr>
          <w:rFonts w:asciiTheme="minorHAnsi" w:hAnsiTheme="minorHAnsi" w:cstheme="minorHAnsi"/>
          <w:i/>
          <w:iCs/>
        </w:rPr>
        <w:t>1</w:t>
      </w:r>
      <w:r w:rsidRPr="00DE4ECD">
        <w:rPr>
          <w:rFonts w:asciiTheme="minorHAnsi" w:hAnsiTheme="minorHAnsi" w:cstheme="minorHAnsi"/>
        </w:rPr>
        <w:t>(1), 30.</w:t>
      </w:r>
    </w:p>
  </w:footnote>
  <w:footnote w:id="9">
    <w:p w14:paraId="3D99D987" w14:textId="77777777" w:rsidR="0038706E" w:rsidRDefault="0038706E" w:rsidP="005D66DB">
      <w:pPr>
        <w:pStyle w:val="FootnoteText"/>
      </w:pPr>
      <w:r>
        <w:rPr>
          <w:rStyle w:val="FootnoteReference"/>
        </w:rPr>
        <w:footnoteRef/>
      </w:r>
      <w:r>
        <w:t xml:space="preserve"> </w:t>
      </w:r>
      <w:r w:rsidRPr="00DE4ECD">
        <w:rPr>
          <w:rFonts w:asciiTheme="minorHAnsi" w:hAnsiTheme="minorHAnsi" w:cstheme="minorHAnsi"/>
        </w:rPr>
        <w:t>McGraw, K. O., &amp; Wong, S. P. (1996). Forming inferences about some intraclass correlation coefficients. </w:t>
      </w:r>
      <w:r w:rsidRPr="00DE4ECD">
        <w:rPr>
          <w:rFonts w:asciiTheme="minorHAnsi" w:hAnsiTheme="minorHAnsi" w:cstheme="minorHAnsi"/>
          <w:i/>
          <w:iCs/>
        </w:rPr>
        <w:t>Psychological methods</w:t>
      </w:r>
      <w:r w:rsidRPr="00DE4ECD">
        <w:rPr>
          <w:rFonts w:asciiTheme="minorHAnsi" w:hAnsiTheme="minorHAnsi" w:cstheme="minorHAnsi"/>
        </w:rPr>
        <w:t>, </w:t>
      </w:r>
      <w:r w:rsidRPr="00DE4ECD">
        <w:rPr>
          <w:rFonts w:asciiTheme="minorHAnsi" w:hAnsiTheme="minorHAnsi" w:cstheme="minorHAnsi"/>
          <w:i/>
          <w:iCs/>
        </w:rPr>
        <w:t>1</w:t>
      </w:r>
      <w:r w:rsidRPr="00DE4ECD">
        <w:rPr>
          <w:rFonts w:asciiTheme="minorHAnsi" w:hAnsiTheme="minorHAnsi" w:cstheme="minorHAnsi"/>
        </w:rPr>
        <w:t>(1), 30.</w:t>
      </w:r>
    </w:p>
  </w:footnote>
  <w:footnote w:id="10">
    <w:p w14:paraId="6CD4CF0B" w14:textId="77777777" w:rsidR="0038706E" w:rsidRDefault="0038706E" w:rsidP="004D704F">
      <w:pPr>
        <w:pStyle w:val="FootnoteText"/>
      </w:pPr>
      <w:r>
        <w:rPr>
          <w:rStyle w:val="FootnoteReference"/>
        </w:rPr>
        <w:footnoteRef/>
      </w:r>
      <w:r>
        <w:t xml:space="preserve"> Validity: NQF’s Current Definition of Validity and Related Concepts – May 16, 2018. Available at: </w:t>
      </w:r>
      <w:hyperlink r:id="rId8" w:history="1">
        <w:r w:rsidRPr="00EB3432">
          <w:rPr>
            <w:rStyle w:val="Hyperlink"/>
          </w:rPr>
          <w:t>http://www.qualityforum.org/Calendar/2018/05/Scientific_Methods_Panel_In-person_05162018.aspx</w:t>
        </w:r>
      </w:hyperlink>
      <w:r>
        <w:rPr>
          <w:rStyle w:val="Hyperlink"/>
        </w:rPr>
        <w:t xml:space="preserve"> </w:t>
      </w:r>
    </w:p>
  </w:footnote>
  <w:footnote w:id="11">
    <w:p w14:paraId="3B17CAE3" w14:textId="77777777" w:rsidR="0038706E" w:rsidRDefault="0038706E" w:rsidP="004D704F">
      <w:pPr>
        <w:pStyle w:val="FootnoteText"/>
      </w:pPr>
      <w:r>
        <w:rPr>
          <w:rStyle w:val="FootnoteReference"/>
        </w:rPr>
        <w:footnoteRef/>
      </w:r>
      <w:r>
        <w:t xml:space="preserve"> National Uniform Billing Committee Official UB-04 Data Specifications Manual 2018, Version 12, July 2017, Copyright 2017, American Hospital Association.</w:t>
      </w:r>
    </w:p>
  </w:footnote>
  <w:footnote w:id="12">
    <w:p w14:paraId="74923BDB" w14:textId="3324BDCB" w:rsidR="0038706E" w:rsidRDefault="0038706E">
      <w:pPr>
        <w:pStyle w:val="FootnoteText"/>
      </w:pPr>
      <w:r>
        <w:rPr>
          <w:rStyle w:val="FootnoteReference"/>
        </w:rPr>
        <w:footnoteRef/>
      </w:r>
      <w:r>
        <w:t xml:space="preserve"> M0100 Discharge from Agency also includes home health episodes ending with discharge to a home/community hospice. Discharge to hospice is an exclusion criterion for the measure denominator.</w:t>
      </w:r>
    </w:p>
  </w:footnote>
  <w:footnote w:id="13">
    <w:p w14:paraId="1ACF43E7" w14:textId="77777777" w:rsidR="0038706E" w:rsidRDefault="0038706E" w:rsidP="004D704F">
      <w:pPr>
        <w:pStyle w:val="footnotetext0"/>
      </w:pPr>
      <w:r>
        <w:rPr>
          <w:rStyle w:val="FootnoteReference"/>
        </w:rPr>
        <w:footnoteRef/>
      </w:r>
      <w:r>
        <w:rPr>
          <w:rStyle w:val="FootnoteReference"/>
        </w:rPr>
        <w:t xml:space="preserve"> </w:t>
      </w:r>
      <w:r>
        <w:tab/>
        <w:t xml:space="preserve">Hospital-Wide All-Cause Readmission Measure (HWR) (CMS/Yale) (NQF #1789).  </w:t>
      </w:r>
      <w:hyperlink r:id="rId9" w:history="1">
        <w:r>
          <w:rPr>
            <w:rStyle w:val="Hyperlink"/>
          </w:rPr>
          <w:t>www.qualityforum.org/QPS/1789</w:t>
        </w:r>
      </w:hyperlink>
    </w:p>
  </w:footnote>
  <w:footnote w:id="14">
    <w:p w14:paraId="1C6CBBCD" w14:textId="77777777" w:rsidR="0038706E" w:rsidRDefault="0038706E" w:rsidP="004D704F">
      <w:pPr>
        <w:pStyle w:val="footnotetext0"/>
      </w:pPr>
      <w:r>
        <w:rPr>
          <w:rStyle w:val="FootnoteReference"/>
        </w:rPr>
        <w:footnoteRef/>
      </w:r>
      <w:r>
        <w:rPr>
          <w:rStyle w:val="FootnoteReference"/>
        </w:rPr>
        <w:t xml:space="preserve"> </w:t>
      </w:r>
      <w:r>
        <w:rPr>
          <w:vertAlign w:val="superscript"/>
        </w:rPr>
        <w:tab/>
      </w:r>
      <w:r>
        <w:t xml:space="preserve">All-Cause Unplanned Readmission Measure for 30 Days Post Discharge from Inpatient Rehabilitation Facilities (NQF #2502).  </w:t>
      </w:r>
      <w:hyperlink r:id="rId10" w:history="1">
        <w:r>
          <w:rPr>
            <w:rStyle w:val="Hyperlink"/>
          </w:rPr>
          <w:t>http://www.qualityforum.org/QPS/2502</w:t>
        </w:r>
      </w:hyperlink>
    </w:p>
  </w:footnote>
  <w:footnote w:id="15">
    <w:p w14:paraId="126D7ADF" w14:textId="77777777" w:rsidR="0038706E" w:rsidRDefault="0038706E" w:rsidP="004D704F">
      <w:pPr>
        <w:pStyle w:val="footnotetext0"/>
      </w:pPr>
      <w:r>
        <w:rPr>
          <w:rStyle w:val="FootnoteReference"/>
        </w:rPr>
        <w:footnoteRef/>
      </w:r>
      <w:r>
        <w:rPr>
          <w:rStyle w:val="FootnoteReference"/>
        </w:rPr>
        <w:t xml:space="preserve"> </w:t>
      </w:r>
      <w:r>
        <w:tab/>
        <w:t xml:space="preserve">All-Cause Unplanned Readmission Measure for 30 Days Post Discharge from Long Term Care Hospitals (NQF #2512). </w:t>
      </w:r>
      <w:hyperlink r:id="rId11" w:history="1">
        <w:r>
          <w:rPr>
            <w:rStyle w:val="Hyperlink"/>
          </w:rPr>
          <w:t>http://www.qualityforum.org/QPS/2512</w:t>
        </w:r>
      </w:hyperlink>
    </w:p>
  </w:footnote>
  <w:footnote w:id="16">
    <w:p w14:paraId="0D0F76DC" w14:textId="77777777" w:rsidR="0038706E" w:rsidRDefault="0038706E" w:rsidP="004D704F">
      <w:pPr>
        <w:pStyle w:val="FootnoteText"/>
      </w:pPr>
      <w:r>
        <w:rPr>
          <w:rStyle w:val="FootnoteReference"/>
        </w:rPr>
        <w:footnoteRef/>
      </w:r>
      <w:r>
        <w:t xml:space="preserve"> </w:t>
      </w:r>
      <w:r w:rsidRPr="00BE777B">
        <w:t>Portney, L. G., &amp; Watkins, M. P. (1993). Foundations of clinical research: application to practice. </w:t>
      </w:r>
      <w:r w:rsidRPr="00BE777B">
        <w:rPr>
          <w:i/>
          <w:iCs/>
        </w:rPr>
        <w:t>Stamford, USA: Appleton &amp; Lange</w:t>
      </w:r>
      <w:r w:rsidRPr="00BE777B">
        <w:t>.</w:t>
      </w:r>
    </w:p>
  </w:footnote>
  <w:footnote w:id="17">
    <w:p w14:paraId="6D0E40B9" w14:textId="77777777" w:rsidR="0038706E" w:rsidRDefault="0038706E" w:rsidP="00CB123A">
      <w:pPr>
        <w:pStyle w:val="FootnoteText"/>
      </w:pPr>
      <w:r>
        <w:rPr>
          <w:rStyle w:val="FootnoteReference"/>
        </w:rPr>
        <w:footnoteRef/>
      </w:r>
      <w:r>
        <w:t xml:space="preserve"> </w:t>
      </w:r>
      <w:r w:rsidRPr="00F96B56">
        <w:rPr>
          <w:rFonts w:asciiTheme="minorHAnsi" w:hAnsiTheme="minorHAnsi" w:cstheme="minorHAnsi"/>
          <w:bCs/>
          <w:szCs w:val="22"/>
        </w:rPr>
        <w:t>Patients who did not seek emergent care because of a fall or did not fall.</w:t>
      </w:r>
    </w:p>
  </w:footnote>
  <w:footnote w:id="18">
    <w:p w14:paraId="0B2B3887" w14:textId="77777777" w:rsidR="0038706E" w:rsidRPr="001C4E83" w:rsidRDefault="0038706E" w:rsidP="008E54AA">
      <w:pPr>
        <w:pStyle w:val="FootnoteText"/>
        <w:rPr>
          <w:rFonts w:asciiTheme="minorHAnsi" w:hAnsiTheme="minorHAnsi"/>
        </w:rPr>
      </w:pPr>
      <w:r w:rsidRPr="001C4E83">
        <w:rPr>
          <w:rStyle w:val="FootnoteReference"/>
          <w:rFonts w:asciiTheme="minorHAnsi" w:hAnsiTheme="minorHAnsi"/>
        </w:rPr>
        <w:footnoteRef/>
      </w:r>
      <w:r w:rsidRPr="001C4E83">
        <w:rPr>
          <w:rFonts w:asciiTheme="minorHAnsi" w:hAnsiTheme="minorHAnsi"/>
        </w:rPr>
        <w:t xml:space="preserve"> Chang PF, Ostir GV, Kuo YF, Granger CV, Ottenbacher KJ. Ethnic differences in discharge destination among older patients with traumatic brain injury. </w:t>
      </w:r>
      <w:r w:rsidRPr="001C4E83">
        <w:rPr>
          <w:rFonts w:asciiTheme="minorHAnsi" w:hAnsiTheme="minorHAnsi"/>
          <w:i/>
        </w:rPr>
        <w:t xml:space="preserve">Archives of physical medicine and rehabilitation. </w:t>
      </w:r>
      <w:r w:rsidRPr="001C4E83">
        <w:rPr>
          <w:rFonts w:asciiTheme="minorHAnsi" w:hAnsiTheme="minorHAnsi"/>
        </w:rPr>
        <w:t>2008;89(2):231-236.</w:t>
      </w:r>
    </w:p>
  </w:footnote>
  <w:footnote w:id="19">
    <w:p w14:paraId="14244B78" w14:textId="77777777" w:rsidR="0038706E" w:rsidRPr="001C4E83" w:rsidRDefault="0038706E" w:rsidP="008E54AA">
      <w:pPr>
        <w:pStyle w:val="FootnoteText"/>
        <w:rPr>
          <w:rFonts w:asciiTheme="minorHAnsi" w:hAnsiTheme="minorHAnsi"/>
        </w:rPr>
      </w:pPr>
      <w:r w:rsidRPr="001C4E83">
        <w:rPr>
          <w:rStyle w:val="FootnoteReference"/>
          <w:rFonts w:asciiTheme="minorHAnsi" w:hAnsiTheme="minorHAnsi"/>
        </w:rPr>
        <w:footnoteRef/>
      </w:r>
      <w:r w:rsidRPr="001C4E83">
        <w:rPr>
          <w:rFonts w:asciiTheme="minorHAnsi" w:hAnsiTheme="minorHAnsi"/>
        </w:rPr>
        <w:t xml:space="preserve"> El-Solh AA, Saltzman SK, Ramadan FH, Naughton BJ. Validity of an artificial neural network in predicting discharge destination from a postacute geriatric rehabilitation unit. </w:t>
      </w:r>
      <w:r w:rsidRPr="001C4E83">
        <w:rPr>
          <w:rFonts w:asciiTheme="minorHAnsi" w:hAnsiTheme="minorHAnsi"/>
          <w:i/>
        </w:rPr>
        <w:t xml:space="preserve">Archives of physical medicine and rehabilitation. </w:t>
      </w:r>
      <w:r w:rsidRPr="001C4E83">
        <w:rPr>
          <w:rFonts w:asciiTheme="minorHAnsi" w:hAnsiTheme="minorHAnsi"/>
        </w:rPr>
        <w:t>2000;81(10):1388-1393.</w:t>
      </w:r>
    </w:p>
  </w:footnote>
  <w:footnote w:id="20">
    <w:p w14:paraId="4F6FFC72" w14:textId="77777777" w:rsidR="0038706E" w:rsidRPr="001C4E83" w:rsidRDefault="0038706E" w:rsidP="008E54AA">
      <w:pPr>
        <w:pStyle w:val="FootnoteText"/>
        <w:rPr>
          <w:rFonts w:asciiTheme="minorHAnsi" w:hAnsiTheme="minorHAnsi"/>
        </w:rPr>
      </w:pPr>
      <w:r w:rsidRPr="001C4E83">
        <w:rPr>
          <w:rStyle w:val="FootnoteReference"/>
          <w:rFonts w:asciiTheme="minorHAnsi" w:hAnsiTheme="minorHAnsi"/>
        </w:rPr>
        <w:footnoteRef/>
      </w:r>
      <w:r w:rsidRPr="001C4E83">
        <w:rPr>
          <w:rFonts w:asciiTheme="minorHAnsi" w:hAnsiTheme="minorHAnsi"/>
        </w:rPr>
        <w:t xml:space="preserve"> Tanwir S, Montgomery K, Chari V, Nesathurai S. Stroke rehabilitation: availability of a family member as caregiver and discharge destination. </w:t>
      </w:r>
      <w:r w:rsidRPr="001C4E83">
        <w:rPr>
          <w:rFonts w:asciiTheme="minorHAnsi" w:hAnsiTheme="minorHAnsi"/>
          <w:i/>
        </w:rPr>
        <w:t xml:space="preserve">European journal of physical and rehabilitation medicine. </w:t>
      </w:r>
      <w:r w:rsidRPr="001C4E83">
        <w:rPr>
          <w:rFonts w:asciiTheme="minorHAnsi" w:hAnsiTheme="minorHAnsi"/>
        </w:rPr>
        <w:t>2014;50(3):355-362.</w:t>
      </w:r>
    </w:p>
  </w:footnote>
  <w:footnote w:id="21">
    <w:p w14:paraId="16348569" w14:textId="77777777" w:rsidR="0038706E" w:rsidRPr="001C4E83" w:rsidRDefault="0038706E" w:rsidP="008E54AA">
      <w:pPr>
        <w:pStyle w:val="FootnoteText"/>
        <w:rPr>
          <w:rFonts w:asciiTheme="minorHAnsi" w:hAnsiTheme="minorHAnsi"/>
        </w:rPr>
      </w:pPr>
      <w:r w:rsidRPr="001C4E83">
        <w:rPr>
          <w:rStyle w:val="FootnoteReference"/>
          <w:rFonts w:asciiTheme="minorHAnsi" w:hAnsiTheme="minorHAnsi"/>
        </w:rPr>
        <w:footnoteRef/>
      </w:r>
      <w:r w:rsidRPr="001C4E83">
        <w:rPr>
          <w:rFonts w:asciiTheme="minorHAnsi" w:hAnsiTheme="minorHAnsi"/>
        </w:rPr>
        <w:t xml:space="preserve"> Nehra D, Nixon ZA, Lengenfelder C, et al. Acute Rehabilitation after Trauma: Does it Really Matter? </w:t>
      </w:r>
      <w:r w:rsidRPr="001C4E83">
        <w:rPr>
          <w:rFonts w:asciiTheme="minorHAnsi" w:hAnsiTheme="minorHAnsi"/>
          <w:i/>
        </w:rPr>
        <w:t xml:space="preserve">J Am Coll Surg. </w:t>
      </w:r>
      <w:r w:rsidRPr="001C4E83">
        <w:rPr>
          <w:rFonts w:asciiTheme="minorHAnsi" w:hAnsiTheme="minorHAnsi"/>
        </w:rPr>
        <w:t>2016;223(6):755-763.</w:t>
      </w:r>
    </w:p>
  </w:footnote>
  <w:footnote w:id="22">
    <w:p w14:paraId="77EEBCCC" w14:textId="77777777" w:rsidR="0038706E" w:rsidRPr="001C4E83" w:rsidRDefault="0038706E" w:rsidP="008E54AA">
      <w:pPr>
        <w:pStyle w:val="FootnoteText"/>
        <w:rPr>
          <w:rFonts w:asciiTheme="minorHAnsi" w:hAnsiTheme="minorHAnsi"/>
        </w:rPr>
      </w:pPr>
      <w:r w:rsidRPr="001C4E83">
        <w:rPr>
          <w:rStyle w:val="FootnoteReference"/>
          <w:rFonts w:asciiTheme="minorHAnsi" w:hAnsiTheme="minorHAnsi"/>
        </w:rPr>
        <w:footnoteRef/>
      </w:r>
      <w:r w:rsidRPr="001C4E83">
        <w:rPr>
          <w:rFonts w:asciiTheme="minorHAnsi" w:hAnsiTheme="minorHAnsi"/>
        </w:rPr>
        <w:t xml:space="preserve"> Dobrez D, Heinemann AW, Deutsch A, Manheim L, Mallinson T. Impact of Medicare's prospective payment system for inpatient rehabilitation facilities on stroke patient outcomes. </w:t>
      </w:r>
      <w:r w:rsidRPr="001C4E83">
        <w:rPr>
          <w:rFonts w:asciiTheme="minorHAnsi" w:hAnsiTheme="minorHAnsi"/>
          <w:i/>
        </w:rPr>
        <w:t xml:space="preserve">American journal of physical medicine &amp; rehabilitation / Association of Academic Physiatrists. </w:t>
      </w:r>
      <w:r w:rsidRPr="001C4E83">
        <w:rPr>
          <w:rFonts w:asciiTheme="minorHAnsi" w:hAnsiTheme="minorHAnsi"/>
        </w:rPr>
        <w:t>2010;89(3):198-204.</w:t>
      </w:r>
    </w:p>
  </w:footnote>
  <w:footnote w:id="23">
    <w:p w14:paraId="1CCDCC08" w14:textId="77777777" w:rsidR="0038706E" w:rsidRDefault="0038706E" w:rsidP="008E54AA">
      <w:pPr>
        <w:pStyle w:val="FootnoteText"/>
      </w:pPr>
      <w:r w:rsidRPr="001C4E83">
        <w:rPr>
          <w:rStyle w:val="FootnoteReference"/>
          <w:rFonts w:asciiTheme="minorHAnsi" w:hAnsiTheme="minorHAnsi"/>
        </w:rPr>
        <w:footnoteRef/>
      </w:r>
      <w:r w:rsidRPr="001C4E83">
        <w:rPr>
          <w:rFonts w:asciiTheme="minorHAnsi" w:hAnsiTheme="minorHAnsi"/>
        </w:rPr>
        <w:t xml:space="preserve"> Gage B, Morley M, Spain P, Ingber M. </w:t>
      </w:r>
      <w:r w:rsidRPr="001C4E83">
        <w:rPr>
          <w:rFonts w:asciiTheme="minorHAnsi" w:hAnsiTheme="minorHAnsi"/>
          <w:i/>
        </w:rPr>
        <w:t>Examining Post Acute Care Relationships in an Integrated Hospital System Final Report.</w:t>
      </w:r>
      <w:r w:rsidRPr="001C4E83">
        <w:rPr>
          <w:rFonts w:asciiTheme="minorHAnsi" w:hAnsiTheme="minorHAnsi"/>
        </w:rPr>
        <w:t xml:space="preserve"> RTI International;2009.</w:t>
      </w:r>
    </w:p>
  </w:footnote>
  <w:footnote w:id="24">
    <w:p w14:paraId="1E19145E" w14:textId="77777777" w:rsidR="0038706E" w:rsidRPr="001C4E83" w:rsidRDefault="0038706E" w:rsidP="008E54AA">
      <w:pPr>
        <w:pStyle w:val="FootnoteText"/>
        <w:rPr>
          <w:rFonts w:asciiTheme="minorHAnsi" w:hAnsiTheme="minorHAnsi"/>
        </w:rPr>
      </w:pPr>
      <w:r w:rsidRPr="001C4E83">
        <w:rPr>
          <w:rStyle w:val="FootnoteReference"/>
          <w:rFonts w:asciiTheme="minorHAnsi" w:hAnsiTheme="minorHAnsi"/>
        </w:rPr>
        <w:footnoteRef/>
      </w:r>
      <w:r w:rsidRPr="001C4E83">
        <w:rPr>
          <w:rFonts w:asciiTheme="minorHAnsi" w:hAnsiTheme="minorHAnsi"/>
        </w:rPr>
        <w:t xml:space="preserve"> </w:t>
      </w:r>
      <w:hyperlink r:id="rId12" w:history="1">
        <w:hyperlink r:id="rId13" w:history="1">
          <w:r w:rsidRPr="001C4E83">
            <w:rPr>
              <w:rStyle w:val="Hyperlink"/>
              <w:rFonts w:asciiTheme="minorHAnsi" w:hAnsiTheme="minorHAnsi"/>
            </w:rPr>
            <w:t>https://www.cms.gov/Medicare/Quality-Initiatives-Patient-Assessment-Instruments/Post-Acute-Care-Quality-Initiatives/Downloads/Technical-Expert-Panel_-Discharge-to-Community-Quality-Measure.pdf</w:t>
          </w:r>
        </w:hyperlink>
      </w:hyperlink>
    </w:p>
  </w:footnote>
  <w:footnote w:id="25">
    <w:p w14:paraId="6127B81C" w14:textId="77777777" w:rsidR="0038706E" w:rsidRDefault="0038706E" w:rsidP="00C857D8">
      <w:pPr>
        <w:pStyle w:val="FootnoteText"/>
      </w:pPr>
      <w:r>
        <w:rPr>
          <w:rStyle w:val="FootnoteReference"/>
        </w:rPr>
        <w:footnoteRef/>
      </w:r>
      <w:r>
        <w:t xml:space="preserve"> </w:t>
      </w:r>
      <w:r w:rsidRPr="00DC352C">
        <w:rPr>
          <w:rFonts w:asciiTheme="minorHAnsi" w:hAnsiTheme="minorHAnsi" w:cstheme="minorHAnsi"/>
          <w:bCs/>
          <w:szCs w:val="22"/>
        </w:rPr>
        <w:t>Patients who did not seek emergent care because of a fall or did not fall.</w:t>
      </w:r>
    </w:p>
  </w:footnote>
  <w:footnote w:id="26">
    <w:p w14:paraId="44DFB2DD" w14:textId="77777777" w:rsidR="0038706E" w:rsidRPr="006752A0" w:rsidRDefault="0038706E" w:rsidP="004206CA">
      <w:pPr>
        <w:pStyle w:val="FootnoteText"/>
        <w:tabs>
          <w:tab w:val="left" w:pos="5490"/>
        </w:tabs>
        <w:rPr>
          <w:rFonts w:asciiTheme="minorHAnsi" w:hAnsiTheme="minorHAnsi" w:cstheme="minorHAnsi"/>
        </w:rPr>
      </w:pPr>
      <w:r w:rsidRPr="006752A0">
        <w:rPr>
          <w:rStyle w:val="FootnoteReference"/>
          <w:rFonts w:asciiTheme="minorHAnsi" w:hAnsiTheme="minorHAnsi" w:cstheme="minorHAnsi"/>
        </w:rPr>
        <w:footnoteRef/>
      </w:r>
      <w:r w:rsidRPr="006752A0">
        <w:rPr>
          <w:rFonts w:asciiTheme="minorHAnsi" w:hAnsiTheme="minorHAnsi" w:cstheme="minorHAnsi"/>
        </w:rPr>
        <w:t xml:space="preserve"> Chang PF, Ostir GV, Kuo YF, Granger CV, Ottenbacher KJ. Ethnic differences in discharge destination among older patients with traumatic brain injury. </w:t>
      </w:r>
      <w:r w:rsidRPr="006752A0">
        <w:rPr>
          <w:rFonts w:asciiTheme="minorHAnsi" w:hAnsiTheme="minorHAnsi" w:cstheme="minorHAnsi"/>
          <w:i/>
        </w:rPr>
        <w:t xml:space="preserve">Archives of physical medicine and rehabilitation. </w:t>
      </w:r>
      <w:r w:rsidRPr="006752A0">
        <w:rPr>
          <w:rFonts w:asciiTheme="minorHAnsi" w:hAnsiTheme="minorHAnsi" w:cstheme="minorHAnsi"/>
        </w:rPr>
        <w:t>2008;89(2):231-236.</w:t>
      </w:r>
    </w:p>
  </w:footnote>
  <w:footnote w:id="27">
    <w:p w14:paraId="54DDA8F1" w14:textId="77777777" w:rsidR="0038706E" w:rsidRPr="006143AE" w:rsidRDefault="0038706E" w:rsidP="004206CA">
      <w:pPr>
        <w:pStyle w:val="FootnoteText"/>
        <w:rPr>
          <w:rFonts w:asciiTheme="minorHAnsi" w:hAnsiTheme="minorHAnsi" w:cstheme="minorHAnsi"/>
        </w:rPr>
      </w:pPr>
      <w:r w:rsidRPr="006752A0">
        <w:rPr>
          <w:rStyle w:val="FootnoteReference"/>
          <w:rFonts w:asciiTheme="minorHAnsi" w:hAnsiTheme="minorHAnsi" w:cstheme="minorHAnsi"/>
        </w:rPr>
        <w:footnoteRef/>
      </w:r>
      <w:r w:rsidRPr="006752A0">
        <w:rPr>
          <w:rFonts w:asciiTheme="minorHAnsi" w:hAnsiTheme="minorHAnsi" w:cstheme="minorHAnsi"/>
        </w:rPr>
        <w:t xml:space="preserve"> El-Solh AA, Saltzman SK, Ramadan FH, Naughton BJ. Validity of an artificial neural network in predicting discharge destination from a postacute geriatric rehabilitation unit. </w:t>
      </w:r>
      <w:r w:rsidRPr="006752A0">
        <w:rPr>
          <w:rFonts w:asciiTheme="minorHAnsi" w:hAnsiTheme="minorHAnsi" w:cstheme="minorHAnsi"/>
          <w:i/>
        </w:rPr>
        <w:t xml:space="preserve">Archives of physical medicine and </w:t>
      </w:r>
      <w:r w:rsidRPr="006143AE">
        <w:rPr>
          <w:rFonts w:asciiTheme="minorHAnsi" w:hAnsiTheme="minorHAnsi" w:cstheme="minorHAnsi"/>
          <w:i/>
        </w:rPr>
        <w:t xml:space="preserve">rehabilitation. </w:t>
      </w:r>
      <w:r w:rsidRPr="006143AE">
        <w:rPr>
          <w:rFonts w:asciiTheme="minorHAnsi" w:hAnsiTheme="minorHAnsi" w:cstheme="minorHAnsi"/>
        </w:rPr>
        <w:t>2000;81(10):1388-1393.</w:t>
      </w:r>
    </w:p>
  </w:footnote>
  <w:footnote w:id="28">
    <w:p w14:paraId="56A70B87" w14:textId="77777777" w:rsidR="0038706E" w:rsidRPr="006143AE" w:rsidRDefault="0038706E" w:rsidP="004206CA">
      <w:pPr>
        <w:pStyle w:val="FootnoteText"/>
        <w:rPr>
          <w:rFonts w:asciiTheme="minorHAnsi" w:hAnsiTheme="minorHAnsi" w:cstheme="minorHAnsi"/>
        </w:rPr>
      </w:pPr>
      <w:r w:rsidRPr="006143AE">
        <w:rPr>
          <w:rStyle w:val="FootnoteReference"/>
          <w:rFonts w:asciiTheme="minorHAnsi" w:hAnsiTheme="minorHAnsi" w:cstheme="minorHAnsi"/>
        </w:rPr>
        <w:footnoteRef/>
      </w:r>
      <w:r w:rsidRPr="006143AE">
        <w:rPr>
          <w:rFonts w:asciiTheme="minorHAnsi" w:hAnsiTheme="minorHAnsi" w:cstheme="minorHAnsi"/>
        </w:rPr>
        <w:t xml:space="preserve"> Tanwir S, Montgomery K, Chari V, Nesathurai S. Stroke rehabilitation: availability of a family member as caregiver and discharge destination. </w:t>
      </w:r>
      <w:r w:rsidRPr="006143AE">
        <w:rPr>
          <w:rFonts w:asciiTheme="minorHAnsi" w:hAnsiTheme="minorHAnsi" w:cstheme="minorHAnsi"/>
          <w:i/>
        </w:rPr>
        <w:t xml:space="preserve">European journal of physical and rehabilitation medicine. </w:t>
      </w:r>
      <w:r w:rsidRPr="006143AE">
        <w:rPr>
          <w:rFonts w:asciiTheme="minorHAnsi" w:hAnsiTheme="minorHAnsi" w:cstheme="minorHAnsi"/>
        </w:rPr>
        <w:t>2014;50(3):355-362.</w:t>
      </w:r>
    </w:p>
  </w:footnote>
  <w:footnote w:id="29">
    <w:p w14:paraId="61721C0C" w14:textId="77777777" w:rsidR="0038706E" w:rsidRDefault="0038706E" w:rsidP="004206CA">
      <w:pPr>
        <w:pStyle w:val="FootnoteText"/>
      </w:pPr>
      <w:r>
        <w:rPr>
          <w:rStyle w:val="FootnoteReference"/>
        </w:rPr>
        <w:footnoteRef/>
      </w:r>
      <w:r>
        <w:t xml:space="preserve"> </w:t>
      </w:r>
      <w:r w:rsidRPr="00C71E22">
        <w:rPr>
          <w:rFonts w:asciiTheme="minorHAnsi" w:hAnsiTheme="minorHAnsi"/>
        </w:rPr>
        <w:t>Scheinhorn, D. J., Hassenpflug, M. S., Votto, J. J., Chao, D. C., Epstein, S. K., Doig, G. S., ... &amp; Ventilation Outcomes Study Group. (2007). Post-ICU mechanical ventilation at 23 long-term care hospitals: a multicenter outcomes study. </w:t>
      </w:r>
      <w:r w:rsidRPr="00C71E22">
        <w:rPr>
          <w:rFonts w:asciiTheme="minorHAnsi" w:hAnsiTheme="minorHAnsi"/>
          <w:i/>
          <w:iCs/>
        </w:rPr>
        <w:t>Chest</w:t>
      </w:r>
      <w:r w:rsidRPr="00C71E22">
        <w:rPr>
          <w:rFonts w:asciiTheme="minorHAnsi" w:hAnsiTheme="minorHAnsi"/>
        </w:rPr>
        <w:t>, </w:t>
      </w:r>
      <w:r w:rsidRPr="00C71E22">
        <w:rPr>
          <w:rFonts w:asciiTheme="minorHAnsi" w:hAnsiTheme="minorHAnsi"/>
          <w:i/>
          <w:iCs/>
        </w:rPr>
        <w:t>131</w:t>
      </w:r>
      <w:r w:rsidRPr="00C71E22">
        <w:rPr>
          <w:rFonts w:asciiTheme="minorHAnsi" w:hAnsiTheme="minorHAnsi"/>
        </w:rPr>
        <w:t>(1), 85-93.</w:t>
      </w:r>
    </w:p>
  </w:footnote>
  <w:footnote w:id="30">
    <w:p w14:paraId="71AAE8AD" w14:textId="77777777" w:rsidR="0038706E" w:rsidRPr="006143AE" w:rsidRDefault="0038706E" w:rsidP="004206CA">
      <w:pPr>
        <w:pStyle w:val="FootnoteText"/>
        <w:rPr>
          <w:rFonts w:asciiTheme="minorHAnsi" w:hAnsiTheme="minorHAnsi" w:cstheme="minorHAnsi"/>
        </w:rPr>
      </w:pPr>
      <w:r w:rsidRPr="006143AE">
        <w:rPr>
          <w:rStyle w:val="FootnoteReference"/>
          <w:rFonts w:asciiTheme="minorHAnsi" w:hAnsiTheme="minorHAnsi" w:cstheme="minorHAnsi"/>
        </w:rPr>
        <w:footnoteRef/>
      </w:r>
      <w:r w:rsidRPr="006143AE">
        <w:rPr>
          <w:rFonts w:asciiTheme="minorHAnsi" w:hAnsiTheme="minorHAnsi" w:cstheme="minorHAnsi"/>
        </w:rPr>
        <w:t xml:space="preserve"> Nehra D, Nixon ZA, Lengenfelder C, et al. Acute Rehabilitation after Trauma: Does it Really Matter? </w:t>
      </w:r>
      <w:r w:rsidRPr="006143AE">
        <w:rPr>
          <w:rFonts w:asciiTheme="minorHAnsi" w:hAnsiTheme="minorHAnsi" w:cstheme="minorHAnsi"/>
          <w:i/>
        </w:rPr>
        <w:t xml:space="preserve">J Am Coll Surg. </w:t>
      </w:r>
      <w:r w:rsidRPr="006143AE">
        <w:rPr>
          <w:rFonts w:asciiTheme="minorHAnsi" w:hAnsiTheme="minorHAnsi" w:cstheme="minorHAnsi"/>
        </w:rPr>
        <w:t>2016;223(6):755-763.</w:t>
      </w:r>
    </w:p>
  </w:footnote>
  <w:footnote w:id="31">
    <w:p w14:paraId="44AD1967" w14:textId="77777777" w:rsidR="0038706E" w:rsidRPr="006143AE" w:rsidRDefault="0038706E" w:rsidP="004206CA">
      <w:pPr>
        <w:pStyle w:val="FootnoteText"/>
        <w:rPr>
          <w:rFonts w:asciiTheme="minorHAnsi" w:hAnsiTheme="minorHAnsi" w:cstheme="minorHAnsi"/>
        </w:rPr>
      </w:pPr>
      <w:r w:rsidRPr="006143AE">
        <w:rPr>
          <w:rStyle w:val="FootnoteReference"/>
          <w:rFonts w:asciiTheme="minorHAnsi" w:hAnsiTheme="minorHAnsi" w:cstheme="minorHAnsi"/>
        </w:rPr>
        <w:footnoteRef/>
      </w:r>
      <w:r w:rsidRPr="006143AE">
        <w:rPr>
          <w:rFonts w:asciiTheme="minorHAnsi" w:hAnsiTheme="minorHAnsi" w:cstheme="minorHAnsi"/>
        </w:rPr>
        <w:t xml:space="preserve"> Dobrez D, Heinemann AW, Deutsch A, Manheim L, Mallinson T. Impact of Medicare's prospective payment system for inpatient rehabilitation facilities on stroke patient outcomes. </w:t>
      </w:r>
      <w:r w:rsidRPr="006143AE">
        <w:rPr>
          <w:rFonts w:asciiTheme="minorHAnsi" w:hAnsiTheme="minorHAnsi" w:cstheme="minorHAnsi"/>
          <w:i/>
        </w:rPr>
        <w:t xml:space="preserve">American journal of physical medicine &amp; rehabilitation / Association of Academic Physiatrists. </w:t>
      </w:r>
      <w:r w:rsidRPr="006143AE">
        <w:rPr>
          <w:rFonts w:asciiTheme="minorHAnsi" w:hAnsiTheme="minorHAnsi" w:cstheme="minorHAnsi"/>
        </w:rPr>
        <w:t>2010;89(3):198-204.</w:t>
      </w:r>
    </w:p>
  </w:footnote>
  <w:footnote w:id="32">
    <w:p w14:paraId="3FB45544" w14:textId="77777777" w:rsidR="0038706E" w:rsidRPr="006143AE" w:rsidRDefault="0038706E" w:rsidP="004206CA">
      <w:pPr>
        <w:pStyle w:val="FootnoteText"/>
        <w:rPr>
          <w:rFonts w:asciiTheme="minorHAnsi" w:hAnsiTheme="minorHAnsi" w:cstheme="minorHAnsi"/>
        </w:rPr>
      </w:pPr>
      <w:r w:rsidRPr="006143AE">
        <w:rPr>
          <w:rStyle w:val="FootnoteReference"/>
          <w:rFonts w:asciiTheme="minorHAnsi" w:hAnsiTheme="minorHAnsi" w:cstheme="minorHAnsi"/>
        </w:rPr>
        <w:footnoteRef/>
      </w:r>
      <w:r w:rsidRPr="006143AE">
        <w:rPr>
          <w:rFonts w:asciiTheme="minorHAnsi" w:hAnsiTheme="minorHAnsi" w:cstheme="minorHAnsi"/>
        </w:rPr>
        <w:t xml:space="preserve"> Gage B, Morley M, Spain P, Ingber M. </w:t>
      </w:r>
      <w:r w:rsidRPr="006143AE">
        <w:rPr>
          <w:rFonts w:asciiTheme="minorHAnsi" w:hAnsiTheme="minorHAnsi" w:cstheme="minorHAnsi"/>
          <w:i/>
        </w:rPr>
        <w:t>Examining Post Acute Care Relationships in an Integrated Hospital System Final Report.</w:t>
      </w:r>
      <w:r w:rsidRPr="006143AE">
        <w:rPr>
          <w:rFonts w:asciiTheme="minorHAnsi" w:hAnsiTheme="minorHAnsi" w:cstheme="minorHAnsi"/>
        </w:rPr>
        <w:t xml:space="preserve"> RTI International;2009.</w:t>
      </w:r>
    </w:p>
  </w:footnote>
  <w:footnote w:id="33">
    <w:p w14:paraId="0437EB2C" w14:textId="77777777" w:rsidR="0038706E" w:rsidRPr="006143AE" w:rsidRDefault="0038706E" w:rsidP="004206CA">
      <w:pPr>
        <w:pStyle w:val="FootnoteText"/>
        <w:rPr>
          <w:rFonts w:asciiTheme="minorHAnsi" w:hAnsiTheme="minorHAnsi" w:cstheme="minorHAnsi"/>
        </w:rPr>
      </w:pPr>
      <w:r w:rsidRPr="006143AE">
        <w:rPr>
          <w:rStyle w:val="FootnoteReference"/>
          <w:rFonts w:asciiTheme="minorHAnsi" w:hAnsiTheme="minorHAnsi" w:cstheme="minorHAnsi"/>
        </w:rPr>
        <w:footnoteRef/>
      </w:r>
      <w:r w:rsidRPr="006143AE">
        <w:rPr>
          <w:rFonts w:asciiTheme="minorHAnsi" w:hAnsiTheme="minorHAnsi" w:cstheme="minorHAnsi"/>
        </w:rPr>
        <w:t xml:space="preserve"> </w:t>
      </w:r>
      <w:hyperlink r:id="rId14" w:history="1">
        <w:hyperlink r:id="rId15" w:history="1">
          <w:r w:rsidRPr="006143AE">
            <w:rPr>
              <w:rStyle w:val="Hyperlink"/>
              <w:rFonts w:asciiTheme="minorHAnsi" w:hAnsiTheme="minorHAnsi" w:cstheme="minorHAnsi"/>
            </w:rPr>
            <w:t>https://www.cms.gov/Medicare/Quality-Initiatives-Patient-Assessment-Instruments/Post-Acute-Care-Quality-Initiatives/Downloads/Technical-Expert-Panel_-Discharge-to-Community-Quality-Measure.pdf</w:t>
          </w:r>
        </w:hyperlink>
      </w:hyperlink>
    </w:p>
  </w:footnote>
  <w:footnote w:id="34">
    <w:p w14:paraId="7045A5D0" w14:textId="77777777" w:rsidR="0038706E" w:rsidRPr="006143AE" w:rsidRDefault="0038706E" w:rsidP="004206CA">
      <w:pPr>
        <w:pStyle w:val="FootnoteText"/>
        <w:rPr>
          <w:rFonts w:asciiTheme="minorHAnsi" w:hAnsiTheme="minorHAnsi" w:cstheme="minorHAnsi"/>
        </w:rPr>
      </w:pPr>
      <w:r w:rsidRPr="006143AE">
        <w:rPr>
          <w:rStyle w:val="FootnoteReference"/>
          <w:rFonts w:asciiTheme="minorHAnsi" w:hAnsiTheme="minorHAnsi" w:cstheme="minorHAnsi"/>
        </w:rPr>
        <w:footnoteRef/>
      </w:r>
      <w:r w:rsidRPr="006143AE">
        <w:rPr>
          <w:rFonts w:asciiTheme="minorHAnsi" w:hAnsiTheme="minorHAnsi" w:cstheme="minorHAnsi"/>
        </w:rPr>
        <w:t xml:space="preserve"> </w:t>
      </w:r>
      <w:hyperlink r:id="rId16" w:history="1">
        <w:r w:rsidRPr="006143AE">
          <w:rPr>
            <w:rStyle w:val="Hyperlink"/>
            <w:rFonts w:asciiTheme="minorHAnsi" w:hAnsiTheme="minorHAnsi" w:cstheme="minorHAnsi"/>
          </w:rPr>
          <w:t>https://www.cms.gov/Medicare/Quality-Initiatives-Patient-Assessment-Instruments/Post-Acute-Care-Quality-Initiatives/Downloads/Public-Comment-Summary-Report-for-the-Development-of-a-Discharge-to-Community-Measure.pdf</w:t>
        </w:r>
      </w:hyperlink>
    </w:p>
  </w:footnote>
  <w:footnote w:id="35">
    <w:p w14:paraId="3AF70A8F" w14:textId="1B992B90" w:rsidR="0038706E" w:rsidRDefault="0038706E" w:rsidP="004206CA">
      <w:pPr>
        <w:pStyle w:val="FootnoteText"/>
      </w:pPr>
      <w:r w:rsidRPr="006143AE">
        <w:rPr>
          <w:rStyle w:val="FootnoteReference"/>
          <w:rFonts w:asciiTheme="minorHAnsi" w:hAnsiTheme="minorHAnsi" w:cstheme="minorHAnsi"/>
        </w:rPr>
        <w:footnoteRef/>
      </w:r>
      <w:r w:rsidRPr="006143AE">
        <w:rPr>
          <w:rFonts w:asciiTheme="minorHAnsi" w:hAnsiTheme="minorHAnsi" w:cstheme="minorHAnsi"/>
        </w:rPr>
        <w:t xml:space="preserve"> </w:t>
      </w:r>
      <w:r w:rsidRPr="00E47993">
        <w:rPr>
          <w:rFonts w:asciiTheme="minorHAnsi" w:hAnsiTheme="minorHAnsi" w:cstheme="minorHAnsi"/>
        </w:rPr>
        <w:t xml:space="preserve">Medicare Program; </w:t>
      </w:r>
      <w:r w:rsidRPr="00E47993">
        <w:rPr>
          <w:rFonts w:asciiTheme="minorHAnsi" w:hAnsiTheme="minorHAnsi"/>
        </w:rPr>
        <w:t>CY 2017 Home Health Prospective Payment System Rate Update; Home Health Value-Based Purchasing Model; and Home Health Quality Reporting Requirements, 76702–76797</w:t>
      </w:r>
      <w:r w:rsidRPr="00E47993">
        <w:rPr>
          <w:rFonts w:asciiTheme="minorHAnsi" w:hAnsiTheme="minorHAnsi" w:cstheme="minorHAnsi"/>
        </w:rPr>
        <w:t xml:space="preserve"> Available at</w:t>
      </w:r>
      <w:r>
        <w:rPr>
          <w:rFonts w:asciiTheme="minorHAnsi" w:hAnsiTheme="minorHAnsi" w:cstheme="minorHAnsi"/>
        </w:rPr>
        <w:t xml:space="preserve">: </w:t>
      </w:r>
      <w:hyperlink r:id="rId17" w:history="1">
        <w:r w:rsidRPr="00FB446E">
          <w:rPr>
            <w:rStyle w:val="Hyperlink"/>
            <w:rFonts w:asciiTheme="minorHAnsi" w:hAnsiTheme="minorHAnsi" w:cstheme="minorHAnsi"/>
          </w:rPr>
          <w:t>https://www.gpo.gov/fdsys/pkg/FR-2016-11-03/pdf/FR-2016-11-03.pdf</w:t>
        </w:r>
      </w:hyperlink>
      <w:r>
        <w:rPr>
          <w:rFonts w:asciiTheme="minorHAnsi" w:hAnsiTheme="minorHAnsi" w:cstheme="minorHAnsi"/>
        </w:rPr>
        <w:t xml:space="preserve"> </w:t>
      </w:r>
    </w:p>
  </w:footnote>
  <w:footnote w:id="36">
    <w:p w14:paraId="2FD275A0" w14:textId="77777777" w:rsidR="0038706E" w:rsidRPr="006752A0" w:rsidRDefault="0038706E" w:rsidP="008F3477">
      <w:pPr>
        <w:pStyle w:val="FootnoteText"/>
        <w:rPr>
          <w:rFonts w:asciiTheme="minorHAnsi" w:hAnsiTheme="minorHAnsi" w:cstheme="minorHAnsi"/>
        </w:rPr>
      </w:pPr>
      <w:r w:rsidRPr="006752A0">
        <w:rPr>
          <w:rStyle w:val="FootnoteReference"/>
          <w:rFonts w:asciiTheme="minorHAnsi" w:hAnsiTheme="minorHAnsi" w:cstheme="minorHAnsi"/>
        </w:rPr>
        <w:footnoteRef/>
      </w:r>
      <w:r w:rsidRPr="006752A0">
        <w:rPr>
          <w:rFonts w:asciiTheme="minorHAnsi" w:hAnsiTheme="minorHAnsi" w:cstheme="minorHAnsi"/>
        </w:rPr>
        <w:t xml:space="preserve"> Reistetter TA, Graham JE, Deutsch A, Granger CV, Markello S, Ottenbacher KJ. Utility of functional status for classifying community versus institutional discharges after inpatient rehabilitation for stroke. </w:t>
      </w:r>
      <w:r w:rsidRPr="006752A0">
        <w:rPr>
          <w:rFonts w:asciiTheme="minorHAnsi" w:hAnsiTheme="minorHAnsi" w:cstheme="minorHAnsi"/>
          <w:i/>
          <w:iCs/>
        </w:rPr>
        <w:t xml:space="preserve">Archives of physical medicine and rehabilitation. </w:t>
      </w:r>
      <w:r w:rsidRPr="006752A0">
        <w:rPr>
          <w:rFonts w:asciiTheme="minorHAnsi" w:hAnsiTheme="minorHAnsi" w:cstheme="minorHAnsi"/>
        </w:rPr>
        <w:t>2010;91(3):345-350.</w:t>
      </w:r>
    </w:p>
  </w:footnote>
  <w:footnote w:id="37">
    <w:p w14:paraId="37F74AA0" w14:textId="77777777" w:rsidR="0038706E" w:rsidRPr="006752A0" w:rsidRDefault="0038706E" w:rsidP="008F3477">
      <w:pPr>
        <w:pStyle w:val="FootnoteText"/>
        <w:rPr>
          <w:rFonts w:asciiTheme="minorHAnsi" w:hAnsiTheme="minorHAnsi" w:cstheme="minorHAnsi"/>
        </w:rPr>
      </w:pPr>
      <w:r w:rsidRPr="006752A0">
        <w:rPr>
          <w:rStyle w:val="FootnoteReference"/>
          <w:rFonts w:asciiTheme="minorHAnsi" w:hAnsiTheme="minorHAnsi" w:cstheme="minorHAnsi"/>
        </w:rPr>
        <w:footnoteRef/>
      </w:r>
      <w:r w:rsidRPr="006752A0">
        <w:rPr>
          <w:rFonts w:asciiTheme="minorHAnsi" w:hAnsiTheme="minorHAnsi" w:cstheme="minorHAnsi"/>
        </w:rPr>
        <w:t xml:space="preserve"> Corrigan JD, Horn SD, Barrett RS, et al. Effects of Patient Preinjury and Injury Characteristics on Acute Rehabilitation Outcomes for Traumatic Brain Injury. </w:t>
      </w:r>
      <w:r w:rsidRPr="006752A0">
        <w:rPr>
          <w:rFonts w:asciiTheme="minorHAnsi" w:hAnsiTheme="minorHAnsi" w:cstheme="minorHAnsi"/>
          <w:i/>
          <w:iCs/>
        </w:rPr>
        <w:t xml:space="preserve">Archives of Physical Medicine and Rehabilitation. </w:t>
      </w:r>
      <w:r w:rsidRPr="006752A0">
        <w:rPr>
          <w:rFonts w:asciiTheme="minorHAnsi" w:hAnsiTheme="minorHAnsi" w:cstheme="minorHAnsi"/>
        </w:rPr>
        <w:t>2015;96(8 Suppl):S209-221.e206.</w:t>
      </w:r>
    </w:p>
  </w:footnote>
  <w:footnote w:id="38">
    <w:p w14:paraId="24F6AB40" w14:textId="77777777" w:rsidR="0038706E" w:rsidRPr="006752A0" w:rsidRDefault="0038706E" w:rsidP="008F3477">
      <w:pPr>
        <w:pStyle w:val="FootnoteText"/>
        <w:rPr>
          <w:rFonts w:asciiTheme="minorHAnsi" w:hAnsiTheme="minorHAnsi" w:cstheme="minorHAnsi"/>
        </w:rPr>
      </w:pPr>
      <w:r w:rsidRPr="006752A0">
        <w:rPr>
          <w:rStyle w:val="FootnoteReference"/>
          <w:rFonts w:asciiTheme="minorHAnsi" w:hAnsiTheme="minorHAnsi" w:cstheme="minorHAnsi"/>
        </w:rPr>
        <w:footnoteRef/>
      </w:r>
      <w:r w:rsidRPr="006752A0">
        <w:rPr>
          <w:rFonts w:asciiTheme="minorHAnsi" w:hAnsiTheme="minorHAnsi" w:cstheme="minorHAnsi"/>
        </w:rPr>
        <w:t xml:space="preserve"> Arling G, Kane RL, Cooke V, Lewis T. Targeting residents for transitions from nursing home to community. </w:t>
      </w:r>
      <w:r w:rsidRPr="006752A0">
        <w:rPr>
          <w:rFonts w:asciiTheme="minorHAnsi" w:hAnsiTheme="minorHAnsi" w:cstheme="minorHAnsi"/>
          <w:i/>
          <w:iCs/>
        </w:rPr>
        <w:t xml:space="preserve">Health services research. </w:t>
      </w:r>
      <w:r w:rsidRPr="006752A0">
        <w:rPr>
          <w:rFonts w:asciiTheme="minorHAnsi" w:hAnsiTheme="minorHAnsi" w:cstheme="minorHAnsi"/>
        </w:rPr>
        <w:t>2010;45(3):691-711.</w:t>
      </w:r>
    </w:p>
  </w:footnote>
  <w:footnote w:id="39">
    <w:p w14:paraId="261488E6" w14:textId="77777777" w:rsidR="0038706E" w:rsidRPr="006752A0" w:rsidRDefault="0038706E" w:rsidP="008F3477">
      <w:pPr>
        <w:pStyle w:val="FootnoteText"/>
        <w:rPr>
          <w:rFonts w:asciiTheme="minorHAnsi" w:hAnsiTheme="minorHAnsi" w:cstheme="minorHAnsi"/>
        </w:rPr>
      </w:pPr>
      <w:r w:rsidRPr="006752A0">
        <w:rPr>
          <w:rStyle w:val="FootnoteReference"/>
          <w:rFonts w:asciiTheme="minorHAnsi" w:hAnsiTheme="minorHAnsi" w:cstheme="minorHAnsi"/>
        </w:rPr>
        <w:footnoteRef/>
      </w:r>
      <w:r w:rsidRPr="006752A0">
        <w:rPr>
          <w:rFonts w:asciiTheme="minorHAnsi" w:hAnsiTheme="minorHAnsi" w:cstheme="minorHAnsi"/>
        </w:rPr>
        <w:t xml:space="preserve"> Chang PF, Ostir GV, Kuo YF, Granger CV, Ottenbacher KJ. Ethnic differences in discharge destination among older patients with traumatic brain injury. </w:t>
      </w:r>
      <w:r w:rsidRPr="006752A0">
        <w:rPr>
          <w:rFonts w:asciiTheme="minorHAnsi" w:hAnsiTheme="minorHAnsi" w:cstheme="minorHAnsi"/>
          <w:i/>
          <w:iCs/>
        </w:rPr>
        <w:t xml:space="preserve">Archives of physical medicine and rehabilitation. </w:t>
      </w:r>
      <w:r w:rsidRPr="006752A0">
        <w:rPr>
          <w:rFonts w:asciiTheme="minorHAnsi" w:hAnsiTheme="minorHAnsi" w:cstheme="minorHAnsi"/>
        </w:rPr>
        <w:t>2008;89(2):231-236.</w:t>
      </w:r>
    </w:p>
  </w:footnote>
  <w:footnote w:id="40">
    <w:p w14:paraId="7CD4A070" w14:textId="77777777" w:rsidR="0038706E" w:rsidRPr="006752A0" w:rsidRDefault="0038706E" w:rsidP="008F3477">
      <w:pPr>
        <w:pStyle w:val="FootnoteText"/>
        <w:rPr>
          <w:rFonts w:asciiTheme="minorHAnsi" w:hAnsiTheme="minorHAnsi" w:cstheme="minorHAnsi"/>
        </w:rPr>
      </w:pPr>
      <w:r w:rsidRPr="006752A0">
        <w:rPr>
          <w:rStyle w:val="FootnoteReference"/>
          <w:rFonts w:asciiTheme="minorHAnsi" w:hAnsiTheme="minorHAnsi" w:cstheme="minorHAnsi"/>
        </w:rPr>
        <w:footnoteRef/>
      </w:r>
      <w:r w:rsidRPr="006752A0">
        <w:rPr>
          <w:rFonts w:asciiTheme="minorHAnsi" w:hAnsiTheme="minorHAnsi" w:cstheme="minorHAnsi"/>
        </w:rPr>
        <w:t xml:space="preserve"> Leland NE, Gozalo P, Christian TJ, et al. An Examination of the First 30 Days After Patients are Discharged to the Community From Hip Fracture Postacute Care. </w:t>
      </w:r>
      <w:r w:rsidRPr="006752A0">
        <w:rPr>
          <w:rFonts w:asciiTheme="minorHAnsi" w:hAnsiTheme="minorHAnsi" w:cstheme="minorHAnsi"/>
          <w:i/>
          <w:iCs/>
        </w:rPr>
        <w:t xml:space="preserve">Medical Care. </w:t>
      </w:r>
      <w:r w:rsidRPr="006752A0">
        <w:rPr>
          <w:rFonts w:asciiTheme="minorHAnsi" w:hAnsiTheme="minorHAnsi" w:cstheme="minorHAnsi"/>
        </w:rPr>
        <w:t>2015;53(10):879-887</w:t>
      </w:r>
    </w:p>
  </w:footnote>
  <w:footnote w:id="41">
    <w:p w14:paraId="041BF46F" w14:textId="77777777" w:rsidR="0038706E" w:rsidRPr="006752A0" w:rsidRDefault="0038706E" w:rsidP="008F3477">
      <w:pPr>
        <w:pStyle w:val="FootnoteText"/>
        <w:rPr>
          <w:rFonts w:asciiTheme="minorHAnsi" w:hAnsiTheme="minorHAnsi" w:cstheme="minorHAnsi"/>
        </w:rPr>
      </w:pPr>
      <w:r w:rsidRPr="006752A0">
        <w:rPr>
          <w:rStyle w:val="FootnoteReference"/>
          <w:rFonts w:asciiTheme="minorHAnsi" w:hAnsiTheme="minorHAnsi" w:cstheme="minorHAnsi"/>
        </w:rPr>
        <w:footnoteRef/>
      </w:r>
      <w:r w:rsidRPr="006752A0">
        <w:rPr>
          <w:rFonts w:asciiTheme="minorHAnsi" w:hAnsiTheme="minorHAnsi" w:cstheme="minorHAnsi"/>
        </w:rPr>
        <w:t xml:space="preserve"> Berges IM, Kuo YF, Ostir GV, Granger CV, Graham JE, Ottenbacher KJ. Gender and ethnic differences in rehabilitation outcomes after hip-replacement surgery. </w:t>
      </w:r>
      <w:r w:rsidRPr="006752A0">
        <w:rPr>
          <w:rFonts w:asciiTheme="minorHAnsi" w:hAnsiTheme="minorHAnsi" w:cstheme="minorHAnsi"/>
          <w:i/>
          <w:iCs/>
        </w:rPr>
        <w:t xml:space="preserve">American journal of physical medicine &amp; rehabilitation / Association of Academic Physiatrists. </w:t>
      </w:r>
      <w:r w:rsidRPr="006752A0">
        <w:rPr>
          <w:rFonts w:asciiTheme="minorHAnsi" w:hAnsiTheme="minorHAnsi" w:cstheme="minorHAnsi"/>
        </w:rPr>
        <w:t>2008;87(7):567-572.</w:t>
      </w:r>
    </w:p>
  </w:footnote>
  <w:footnote w:id="42">
    <w:p w14:paraId="3F7CF0A9" w14:textId="77777777" w:rsidR="0038706E" w:rsidRPr="006752A0" w:rsidRDefault="0038706E" w:rsidP="008F3477">
      <w:pPr>
        <w:pStyle w:val="FootnoteText"/>
        <w:rPr>
          <w:rFonts w:asciiTheme="minorHAnsi" w:hAnsiTheme="minorHAnsi" w:cstheme="minorHAnsi"/>
        </w:rPr>
      </w:pPr>
      <w:r w:rsidRPr="006752A0">
        <w:rPr>
          <w:rStyle w:val="FootnoteReference"/>
          <w:rFonts w:asciiTheme="minorHAnsi" w:hAnsiTheme="minorHAnsi" w:cstheme="minorHAnsi"/>
        </w:rPr>
        <w:footnoteRef/>
      </w:r>
      <w:r w:rsidRPr="006752A0">
        <w:rPr>
          <w:rFonts w:asciiTheme="minorHAnsi" w:hAnsiTheme="minorHAnsi" w:cstheme="minorHAnsi"/>
        </w:rPr>
        <w:t xml:space="preserve"> Arling G, Kane RL, Cooke V, Lewis T. Targeting residents for transitions from nursing home to community. </w:t>
      </w:r>
      <w:r w:rsidRPr="006752A0">
        <w:rPr>
          <w:rFonts w:asciiTheme="minorHAnsi" w:hAnsiTheme="minorHAnsi" w:cstheme="minorHAnsi"/>
          <w:i/>
        </w:rPr>
        <w:t>Health services research</w:t>
      </w:r>
      <w:r w:rsidRPr="006752A0">
        <w:rPr>
          <w:rFonts w:asciiTheme="minorHAnsi" w:hAnsiTheme="minorHAnsi" w:cstheme="minorHAnsi"/>
        </w:rPr>
        <w:t>. 2010;45(3):691-711.</w:t>
      </w:r>
    </w:p>
  </w:footnote>
  <w:footnote w:id="43">
    <w:p w14:paraId="37294EEC" w14:textId="77777777" w:rsidR="0038706E" w:rsidRPr="006752A0" w:rsidRDefault="0038706E" w:rsidP="008F3477">
      <w:pPr>
        <w:pStyle w:val="FootnoteText"/>
        <w:rPr>
          <w:rFonts w:asciiTheme="minorHAnsi" w:hAnsiTheme="minorHAnsi" w:cstheme="minorHAnsi"/>
        </w:rPr>
      </w:pPr>
      <w:r w:rsidRPr="006752A0">
        <w:rPr>
          <w:rStyle w:val="FootnoteReference"/>
          <w:rFonts w:asciiTheme="minorHAnsi" w:hAnsiTheme="minorHAnsi" w:cstheme="minorHAnsi"/>
        </w:rPr>
        <w:footnoteRef/>
      </w:r>
      <w:r w:rsidRPr="006752A0">
        <w:rPr>
          <w:rFonts w:asciiTheme="minorHAnsi" w:hAnsiTheme="minorHAnsi" w:cstheme="minorHAnsi"/>
        </w:rPr>
        <w:t xml:space="preserve"> Arling G, Williams AR, Kopp D. Therapy Use and Discharge Outcomes for Elderly Nursing Home Residents. </w:t>
      </w:r>
      <w:r w:rsidRPr="006752A0">
        <w:rPr>
          <w:rFonts w:asciiTheme="minorHAnsi" w:hAnsiTheme="minorHAnsi" w:cstheme="minorHAnsi"/>
          <w:i/>
        </w:rPr>
        <w:t>Gerontologist</w:t>
      </w:r>
      <w:r w:rsidRPr="006752A0">
        <w:rPr>
          <w:rFonts w:asciiTheme="minorHAnsi" w:hAnsiTheme="minorHAnsi" w:cstheme="minorHAnsi"/>
        </w:rPr>
        <w:t>. 2000;40(5):587-595.</w:t>
      </w:r>
    </w:p>
  </w:footnote>
  <w:footnote w:id="44">
    <w:p w14:paraId="46C5912B" w14:textId="77777777" w:rsidR="0038706E" w:rsidRPr="006752A0" w:rsidRDefault="0038706E" w:rsidP="008F3477">
      <w:pPr>
        <w:pStyle w:val="FootnoteText"/>
        <w:rPr>
          <w:rFonts w:asciiTheme="minorHAnsi" w:hAnsiTheme="minorHAnsi" w:cstheme="minorHAnsi"/>
        </w:rPr>
      </w:pPr>
      <w:r w:rsidRPr="006752A0">
        <w:rPr>
          <w:rStyle w:val="FootnoteReference"/>
          <w:rFonts w:asciiTheme="minorHAnsi" w:hAnsiTheme="minorHAnsi" w:cstheme="minorHAnsi"/>
        </w:rPr>
        <w:footnoteRef/>
      </w:r>
      <w:r w:rsidRPr="006752A0">
        <w:rPr>
          <w:rFonts w:asciiTheme="minorHAnsi" w:hAnsiTheme="minorHAnsi" w:cstheme="minorHAnsi"/>
        </w:rPr>
        <w:t xml:space="preserve"> Thakar CV, Quate-Operacz M, Leonard AC, Eckman MH. Outcomes of hemodialysis patients in a long-term care hospital setting: a single-center study. </w:t>
      </w:r>
      <w:r w:rsidRPr="006752A0">
        <w:rPr>
          <w:rFonts w:asciiTheme="minorHAnsi" w:hAnsiTheme="minorHAnsi" w:cstheme="minorHAnsi"/>
          <w:i/>
        </w:rPr>
        <w:t>American journal of kidney diseases</w:t>
      </w:r>
      <w:r w:rsidRPr="006752A0">
        <w:rPr>
          <w:rFonts w:asciiTheme="minorHAnsi" w:hAnsiTheme="minorHAnsi" w:cstheme="minorHAnsi"/>
        </w:rPr>
        <w:t xml:space="preserve"> : the official journal of the National Kidney Foundation. 2010;55(2):300-306</w:t>
      </w:r>
    </w:p>
  </w:footnote>
  <w:footnote w:id="45">
    <w:p w14:paraId="245F0BDE" w14:textId="77777777" w:rsidR="0038706E" w:rsidRPr="006752A0" w:rsidRDefault="0038706E" w:rsidP="008F3477">
      <w:pPr>
        <w:pStyle w:val="FootnoteText"/>
        <w:rPr>
          <w:rFonts w:asciiTheme="minorHAnsi" w:hAnsiTheme="minorHAnsi" w:cstheme="minorHAnsi"/>
        </w:rPr>
      </w:pPr>
      <w:r w:rsidRPr="006752A0">
        <w:rPr>
          <w:rStyle w:val="FootnoteReference"/>
          <w:rFonts w:asciiTheme="minorHAnsi" w:hAnsiTheme="minorHAnsi" w:cstheme="minorHAnsi"/>
        </w:rPr>
        <w:footnoteRef/>
      </w:r>
      <w:r w:rsidRPr="006752A0">
        <w:rPr>
          <w:rFonts w:asciiTheme="minorHAnsi" w:hAnsiTheme="minorHAnsi" w:cstheme="minorHAnsi"/>
        </w:rPr>
        <w:t xml:space="preserve"> Jackson JP, Whisner S, Wang EW. A predictor model for discharge destination in inpatient rehabilitation patients. </w:t>
      </w:r>
      <w:r w:rsidRPr="006752A0">
        <w:rPr>
          <w:rFonts w:asciiTheme="minorHAnsi" w:hAnsiTheme="minorHAnsi" w:cstheme="minorHAnsi"/>
          <w:i/>
        </w:rPr>
        <w:t>American journal of physical medicine &amp; rehabilitation</w:t>
      </w:r>
      <w:r w:rsidRPr="006752A0">
        <w:rPr>
          <w:rFonts w:asciiTheme="minorHAnsi" w:hAnsiTheme="minorHAnsi" w:cstheme="minorHAnsi"/>
        </w:rPr>
        <w:t xml:space="preserve"> / Association of Academic Physiatrists. 2013;92(4):343-350.</w:t>
      </w:r>
    </w:p>
  </w:footnote>
  <w:footnote w:id="46">
    <w:p w14:paraId="6D57170B" w14:textId="77777777" w:rsidR="0038706E" w:rsidRPr="006752A0" w:rsidRDefault="0038706E" w:rsidP="008F3477">
      <w:pPr>
        <w:spacing w:after="0" w:line="240" w:lineRule="auto"/>
        <w:rPr>
          <w:rFonts w:cstheme="minorHAnsi"/>
          <w:sz w:val="20"/>
          <w:szCs w:val="20"/>
        </w:rPr>
      </w:pPr>
      <w:r w:rsidRPr="006752A0">
        <w:rPr>
          <w:rStyle w:val="FootnoteReference"/>
          <w:rFonts w:cstheme="minorHAnsi"/>
          <w:sz w:val="20"/>
          <w:szCs w:val="20"/>
        </w:rPr>
        <w:footnoteRef/>
      </w:r>
      <w:r w:rsidRPr="006752A0">
        <w:rPr>
          <w:rFonts w:cstheme="minorHAnsi"/>
          <w:sz w:val="20"/>
          <w:szCs w:val="20"/>
        </w:rPr>
        <w:t xml:space="preserve"> </w:t>
      </w:r>
      <w:r w:rsidRPr="006752A0">
        <w:rPr>
          <w:rFonts w:eastAsia="Calibri" w:cstheme="minorHAnsi"/>
          <w:sz w:val="20"/>
          <w:szCs w:val="20"/>
        </w:rPr>
        <w:t xml:space="preserve">Wang H, Niewczyk P, Divita M, et al. Impact of pressure ulcers on outcomes in inpatient rehabilitation facilities. </w:t>
      </w:r>
      <w:r w:rsidRPr="006752A0">
        <w:rPr>
          <w:rFonts w:eastAsia="Calibri" w:cstheme="minorHAnsi"/>
          <w:i/>
          <w:sz w:val="20"/>
          <w:szCs w:val="20"/>
        </w:rPr>
        <w:t xml:space="preserve">American journal of physical medicine &amp; rehabilitation / Association of Academic Physiatrists. </w:t>
      </w:r>
      <w:r w:rsidRPr="006752A0">
        <w:rPr>
          <w:rFonts w:eastAsia="Calibri" w:cstheme="minorHAnsi"/>
          <w:sz w:val="20"/>
          <w:szCs w:val="20"/>
        </w:rPr>
        <w:t>2014;93(3):207-216.</w:t>
      </w:r>
    </w:p>
  </w:footnote>
  <w:footnote w:id="47">
    <w:p w14:paraId="411BE134" w14:textId="77777777" w:rsidR="0038706E" w:rsidRPr="006752A0" w:rsidRDefault="0038706E" w:rsidP="008F3477">
      <w:pPr>
        <w:pStyle w:val="FootnoteText"/>
        <w:rPr>
          <w:rFonts w:asciiTheme="minorHAnsi" w:hAnsiTheme="minorHAnsi" w:cstheme="minorHAnsi"/>
        </w:rPr>
      </w:pPr>
      <w:r w:rsidRPr="006752A0">
        <w:rPr>
          <w:rStyle w:val="FootnoteReference"/>
          <w:rFonts w:asciiTheme="minorHAnsi" w:hAnsiTheme="minorHAnsi" w:cstheme="minorHAnsi"/>
        </w:rPr>
        <w:footnoteRef/>
      </w:r>
      <w:r w:rsidRPr="006752A0">
        <w:rPr>
          <w:rFonts w:asciiTheme="minorHAnsi" w:hAnsiTheme="minorHAnsi" w:cstheme="minorHAnsi"/>
        </w:rPr>
        <w:t xml:space="preserve"> Roberts PS, DiVita MA, Riggs RV, Niewczyk P, Bergquist B, Granger CV. Risk Factors for Discharge to an Acute Care Hospital From Inpatient Rehabilitation Among Stroke Patients. </w:t>
      </w:r>
      <w:r w:rsidRPr="006752A0">
        <w:rPr>
          <w:rFonts w:asciiTheme="minorHAnsi" w:hAnsiTheme="minorHAnsi" w:cstheme="minorHAnsi"/>
          <w:i/>
          <w:iCs/>
        </w:rPr>
        <w:t xml:space="preserve">PM&amp;R. </w:t>
      </w:r>
      <w:r w:rsidRPr="006752A0">
        <w:rPr>
          <w:rFonts w:asciiTheme="minorHAnsi" w:hAnsiTheme="minorHAnsi" w:cstheme="minorHAnsi"/>
        </w:rPr>
        <w:t xml:space="preserve">2014;6(1):50-55 </w:t>
      </w:r>
    </w:p>
  </w:footnote>
  <w:footnote w:id="48">
    <w:p w14:paraId="659B6A6B" w14:textId="77777777" w:rsidR="0038706E" w:rsidRPr="006752A0" w:rsidRDefault="0038706E" w:rsidP="008F3477">
      <w:pPr>
        <w:pStyle w:val="FootnoteText"/>
        <w:rPr>
          <w:rFonts w:asciiTheme="minorHAnsi" w:hAnsiTheme="minorHAnsi" w:cstheme="minorHAnsi"/>
        </w:rPr>
      </w:pPr>
      <w:r w:rsidRPr="006752A0">
        <w:rPr>
          <w:rStyle w:val="FootnoteReference"/>
          <w:rFonts w:asciiTheme="minorHAnsi" w:hAnsiTheme="minorHAnsi" w:cstheme="minorHAnsi"/>
        </w:rPr>
        <w:footnoteRef/>
      </w:r>
      <w:r w:rsidRPr="006752A0">
        <w:rPr>
          <w:rFonts w:asciiTheme="minorHAnsi" w:hAnsiTheme="minorHAnsi" w:cstheme="minorHAnsi"/>
        </w:rPr>
        <w:t xml:space="preserve"> Spruit-Van Eijk M, Zuidema SU, Buijck BI, Koopmans RTcm, Geurts ACH. Determinants of rehabilitation outcome in geriatric patients admitted to skilled nursing facilities after stroke: a Dutch multi-centre cohort study. </w:t>
      </w:r>
      <w:r w:rsidRPr="006752A0">
        <w:rPr>
          <w:rFonts w:asciiTheme="minorHAnsi" w:hAnsiTheme="minorHAnsi" w:cstheme="minorHAnsi"/>
          <w:i/>
          <w:iCs/>
        </w:rPr>
        <w:t xml:space="preserve">Age &amp; Ageing. </w:t>
      </w:r>
      <w:r w:rsidRPr="006752A0">
        <w:rPr>
          <w:rFonts w:asciiTheme="minorHAnsi" w:hAnsiTheme="minorHAnsi" w:cstheme="minorHAnsi"/>
        </w:rPr>
        <w:t>2012;41(6):746-752</w:t>
      </w:r>
    </w:p>
  </w:footnote>
  <w:footnote w:id="49">
    <w:p w14:paraId="1B4EA9E0" w14:textId="77777777" w:rsidR="0038706E" w:rsidRDefault="0038706E" w:rsidP="00697F68">
      <w:pPr>
        <w:shd w:val="clear" w:color="auto" w:fill="FFFFFF"/>
        <w:spacing w:after="90" w:line="240" w:lineRule="auto"/>
        <w:outlineLvl w:val="1"/>
        <w:rPr>
          <w:szCs w:val="20"/>
        </w:rPr>
      </w:pPr>
      <w:r>
        <w:rPr>
          <w:rStyle w:val="FootnoteReference"/>
        </w:rPr>
        <w:footnoteRef/>
      </w:r>
      <w:r>
        <w:t xml:space="preserve"> </w:t>
      </w:r>
      <w:r>
        <w:rPr>
          <w:sz w:val="20"/>
        </w:rPr>
        <w:t>Goodridge et al.  Socioeconomic disparities in home health care service access and utilization: A scoping review</w:t>
      </w:r>
      <w:r>
        <w:rPr>
          <w:color w:val="2E2E2E"/>
          <w:sz w:val="20"/>
        </w:rPr>
        <w:t xml:space="preserve">  2012: </w:t>
      </w:r>
      <w:r>
        <w:rPr>
          <w:i/>
          <w:color w:val="2E2E2E"/>
          <w:sz w:val="20"/>
        </w:rPr>
        <w:t xml:space="preserve">International J. Nursing Studies </w:t>
      </w:r>
      <w:r>
        <w:rPr>
          <w:color w:val="2E2E2E"/>
          <w:sz w:val="20"/>
        </w:rPr>
        <w:t>49(10); 1310-19</w:t>
      </w:r>
    </w:p>
  </w:footnote>
  <w:footnote w:id="50">
    <w:p w14:paraId="231BFAC5" w14:textId="514A6AFE" w:rsidR="0038706E" w:rsidRDefault="0038706E" w:rsidP="00172621">
      <w:pPr>
        <w:pStyle w:val="FootnoteText"/>
      </w:pPr>
      <w:r>
        <w:rPr>
          <w:rStyle w:val="FootnoteReference"/>
        </w:rPr>
        <w:footnoteRef/>
      </w:r>
      <w:r>
        <w:t xml:space="preserve">  </w:t>
      </w:r>
      <w:r w:rsidRPr="00D84AA4">
        <w:t>Hospital-Wide All-Cause Readmission Measure (HWR) (CMS/Yale)</w:t>
      </w:r>
      <w:r>
        <w:t xml:space="preserve"> (</w:t>
      </w:r>
      <w:r w:rsidRPr="00D84AA4">
        <w:t>NQF #1789</w:t>
      </w:r>
      <w:r>
        <w:t xml:space="preserve">) Version7.0_Readmission_Hospital-Wide_Report_3-19-2018.pdf </w:t>
      </w:r>
    </w:p>
    <w:p w14:paraId="037020B3" w14:textId="77777777" w:rsidR="0038706E" w:rsidRDefault="0038706E" w:rsidP="00172621">
      <w:pPr>
        <w:pStyle w:val="FootnoteText"/>
      </w:pPr>
      <w:hyperlink r:id="rId18" w:history="1">
        <w:r w:rsidRPr="007C22FD">
          <w:rPr>
            <w:rStyle w:val="Hyperlink"/>
          </w:rPr>
          <w:t>https://www.cms.gov/Medicare/Quality-Initiatives-Patient-Assessment-Instruments/HospitalQualityInits/Downloads/Hospital-Wide-All-Cause-Readmission-Updates.zip</w:t>
        </w:r>
      </w:hyperlink>
      <w:r>
        <w:t xml:space="preserve"> </w:t>
      </w:r>
    </w:p>
  </w:footnote>
  <w:footnote w:id="51">
    <w:p w14:paraId="7FA3314A" w14:textId="5D09132E" w:rsidR="0038706E" w:rsidRDefault="0038706E" w:rsidP="00172621">
      <w:pPr>
        <w:pStyle w:val="FootnoteText"/>
      </w:pPr>
      <w:r>
        <w:rPr>
          <w:rStyle w:val="FootnoteReference"/>
        </w:rPr>
        <w:footnoteRef/>
      </w:r>
      <w:r>
        <w:t xml:space="preserve"> Consistent with the 2017 SAS pack for the 30-day hospital-wide readmission (HWR) measure, the calculation of the predicted rate within each bootstrap includes the addition of normally distributed noise proportional to the standard error of the provider-specific effect estimate.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995B91" w14:textId="77777777" w:rsidR="0038706E" w:rsidRPr="00105D8B" w:rsidRDefault="0038706E" w:rsidP="00095F89">
    <w:pPr>
      <w:pStyle w:val="Header"/>
      <w:jc w:val="center"/>
      <w:rPr>
        <w:color w:val="808080" w:themeColor="background1" w:themeShade="8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37959" w14:textId="77777777" w:rsidR="0038706E" w:rsidRPr="00105D8B" w:rsidRDefault="0038706E"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07"/>
    <w:multiLevelType w:val="multilevel"/>
    <w:tmpl w:val="0000088A"/>
    <w:lvl w:ilvl="0">
      <w:start w:val="15"/>
      <w:numFmt w:val="decimal"/>
      <w:lvlText w:val="%1"/>
      <w:lvlJc w:val="left"/>
      <w:pPr>
        <w:ind w:left="391" w:hanging="272"/>
      </w:pPr>
      <w:rPr>
        <w:rFonts w:cs="Times New Roman"/>
        <w:b w:val="0"/>
        <w:bCs w:val="0"/>
        <w:spacing w:val="0"/>
        <w:w w:val="100"/>
        <w:position w:val="6"/>
      </w:rPr>
    </w:lvl>
    <w:lvl w:ilvl="1">
      <w:numFmt w:val="bullet"/>
      <w:lvlText w:val=""/>
      <w:lvlJc w:val="left"/>
      <w:pPr>
        <w:ind w:left="840" w:hanging="360"/>
      </w:pPr>
      <w:rPr>
        <w:rFonts w:ascii="Symbol" w:hAnsi="Symbol"/>
        <w:b w:val="0"/>
        <w:w w:val="100"/>
        <w:sz w:val="24"/>
      </w:rPr>
    </w:lvl>
    <w:lvl w:ilvl="2">
      <w:numFmt w:val="bullet"/>
      <w:lvlText w:val="o"/>
      <w:lvlJc w:val="left"/>
      <w:pPr>
        <w:ind w:left="1560" w:hanging="360"/>
      </w:pPr>
      <w:rPr>
        <w:rFonts w:ascii="Courier New" w:hAnsi="Courier New"/>
        <w:b w:val="0"/>
        <w:w w:val="100"/>
        <w:sz w:val="24"/>
      </w:rPr>
    </w:lvl>
    <w:lvl w:ilvl="3">
      <w:numFmt w:val="bullet"/>
      <w:lvlText w:val="•"/>
      <w:lvlJc w:val="left"/>
      <w:pPr>
        <w:ind w:left="2565" w:hanging="360"/>
      </w:pPr>
    </w:lvl>
    <w:lvl w:ilvl="4">
      <w:numFmt w:val="bullet"/>
      <w:lvlText w:val="•"/>
      <w:lvlJc w:val="left"/>
      <w:pPr>
        <w:ind w:left="3570" w:hanging="360"/>
      </w:pPr>
    </w:lvl>
    <w:lvl w:ilvl="5">
      <w:numFmt w:val="bullet"/>
      <w:lvlText w:val="•"/>
      <w:lvlJc w:val="left"/>
      <w:pPr>
        <w:ind w:left="4575" w:hanging="360"/>
      </w:pPr>
    </w:lvl>
    <w:lvl w:ilvl="6">
      <w:numFmt w:val="bullet"/>
      <w:lvlText w:val="•"/>
      <w:lvlJc w:val="left"/>
      <w:pPr>
        <w:ind w:left="5580" w:hanging="360"/>
      </w:pPr>
    </w:lvl>
    <w:lvl w:ilvl="7">
      <w:numFmt w:val="bullet"/>
      <w:lvlText w:val="•"/>
      <w:lvlJc w:val="left"/>
      <w:pPr>
        <w:ind w:left="6585" w:hanging="360"/>
      </w:pPr>
    </w:lvl>
    <w:lvl w:ilvl="8">
      <w:numFmt w:val="bullet"/>
      <w:lvlText w:val="•"/>
      <w:lvlJc w:val="left"/>
      <w:pPr>
        <w:ind w:left="7590" w:hanging="360"/>
      </w:pPr>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B845DD"/>
    <w:multiLevelType w:val="hybridMultilevel"/>
    <w:tmpl w:val="B9488F50"/>
    <w:lvl w:ilvl="0" w:tplc="ABB81FBA">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1116938"/>
    <w:multiLevelType w:val="hybridMultilevel"/>
    <w:tmpl w:val="2ED27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242F5A"/>
    <w:multiLevelType w:val="hybridMultilevel"/>
    <w:tmpl w:val="7DCC5D12"/>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15:restartNumberingAfterBreak="0">
    <w:nsid w:val="13955F29"/>
    <w:multiLevelType w:val="hybridMultilevel"/>
    <w:tmpl w:val="902C59F2"/>
    <w:lvl w:ilvl="0" w:tplc="ED56C09E">
      <w:start w:val="1"/>
      <w:numFmt w:val="bullet"/>
      <w:lvlText w:val=""/>
      <w:lvlJc w:val="left"/>
      <w:pPr>
        <w:ind w:left="720" w:hanging="360"/>
      </w:pPr>
      <w:rPr>
        <w:rFonts w:ascii="Symbol" w:hAnsi="Symbol" w:hint="default"/>
        <w:color w:val="auto"/>
      </w:rPr>
    </w:lvl>
    <w:lvl w:ilvl="1" w:tplc="637E3E0C">
      <w:start w:val="1"/>
      <w:numFmt w:val="bullet"/>
      <w:lvlText w:val="o"/>
      <w:lvlJc w:val="left"/>
      <w:pPr>
        <w:ind w:left="1440" w:hanging="360"/>
      </w:pPr>
      <w:rPr>
        <w:rFonts w:ascii="Courier New" w:hAnsi="Courier New" w:hint="default"/>
      </w:rPr>
    </w:lvl>
    <w:lvl w:ilvl="2" w:tplc="A33CE3C8">
      <w:start w:val="1"/>
      <w:numFmt w:val="bullet"/>
      <w:lvlText w:val=""/>
      <w:lvlJc w:val="left"/>
      <w:pPr>
        <w:ind w:left="2160" w:hanging="360"/>
      </w:pPr>
      <w:rPr>
        <w:rFonts w:ascii="Wingdings" w:hAnsi="Wingdings" w:hint="default"/>
      </w:rPr>
    </w:lvl>
    <w:lvl w:ilvl="3" w:tplc="FE8E1D0A">
      <w:start w:val="1"/>
      <w:numFmt w:val="bullet"/>
      <w:lvlText w:val=""/>
      <w:lvlJc w:val="left"/>
      <w:pPr>
        <w:ind w:left="2880" w:hanging="360"/>
      </w:pPr>
      <w:rPr>
        <w:rFonts w:ascii="Symbol" w:hAnsi="Symbol" w:hint="default"/>
      </w:rPr>
    </w:lvl>
    <w:lvl w:ilvl="4" w:tplc="86DE8B18">
      <w:start w:val="1"/>
      <w:numFmt w:val="bullet"/>
      <w:lvlText w:val="o"/>
      <w:lvlJc w:val="left"/>
      <w:pPr>
        <w:ind w:left="3600" w:hanging="360"/>
      </w:pPr>
      <w:rPr>
        <w:rFonts w:ascii="Courier New" w:hAnsi="Courier New" w:hint="default"/>
      </w:rPr>
    </w:lvl>
    <w:lvl w:ilvl="5" w:tplc="B074E386">
      <w:start w:val="1"/>
      <w:numFmt w:val="bullet"/>
      <w:lvlText w:val=""/>
      <w:lvlJc w:val="left"/>
      <w:pPr>
        <w:ind w:left="4320" w:hanging="360"/>
      </w:pPr>
      <w:rPr>
        <w:rFonts w:ascii="Wingdings" w:hAnsi="Wingdings" w:hint="default"/>
      </w:rPr>
    </w:lvl>
    <w:lvl w:ilvl="6" w:tplc="3DF2D60E">
      <w:start w:val="1"/>
      <w:numFmt w:val="bullet"/>
      <w:lvlText w:val=""/>
      <w:lvlJc w:val="left"/>
      <w:pPr>
        <w:ind w:left="5040" w:hanging="360"/>
      </w:pPr>
      <w:rPr>
        <w:rFonts w:ascii="Symbol" w:hAnsi="Symbol" w:hint="default"/>
      </w:rPr>
    </w:lvl>
    <w:lvl w:ilvl="7" w:tplc="913E6476">
      <w:start w:val="1"/>
      <w:numFmt w:val="bullet"/>
      <w:lvlText w:val="o"/>
      <w:lvlJc w:val="left"/>
      <w:pPr>
        <w:ind w:left="5760" w:hanging="360"/>
      </w:pPr>
      <w:rPr>
        <w:rFonts w:ascii="Courier New" w:hAnsi="Courier New" w:hint="default"/>
      </w:rPr>
    </w:lvl>
    <w:lvl w:ilvl="8" w:tplc="5FCA2330">
      <w:start w:val="1"/>
      <w:numFmt w:val="bullet"/>
      <w:lvlText w:val=""/>
      <w:lvlJc w:val="left"/>
      <w:pPr>
        <w:ind w:left="6480" w:hanging="360"/>
      </w:pPr>
      <w:rPr>
        <w:rFonts w:ascii="Wingdings" w:hAnsi="Wingdings" w:hint="default"/>
      </w:rPr>
    </w:lvl>
  </w:abstractNum>
  <w:abstractNum w:abstractNumId="6" w15:restartNumberingAfterBreak="0">
    <w:nsid w:val="231F2103"/>
    <w:multiLevelType w:val="hybridMultilevel"/>
    <w:tmpl w:val="B2E210E8"/>
    <w:lvl w:ilvl="0" w:tplc="0409000F">
      <w:start w:val="1"/>
      <w:numFmt w:val="decimal"/>
      <w:lvlText w:val="%1."/>
      <w:lvlJc w:val="left"/>
      <w:pPr>
        <w:ind w:left="720" w:hanging="360"/>
      </w:pPr>
      <w:rPr>
        <w:rFonts w:hint="default"/>
      </w:rPr>
    </w:lvl>
    <w:lvl w:ilvl="1" w:tplc="EC68D19A">
      <w:start w:val="1"/>
      <w:numFmt w:val="lowerLetter"/>
      <w:lvlText w:val="%2."/>
      <w:lvlJc w:val="left"/>
      <w:pPr>
        <w:ind w:left="1260" w:hanging="360"/>
      </w:pPr>
      <w:rPr>
        <w:b/>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864780"/>
    <w:multiLevelType w:val="hybridMultilevel"/>
    <w:tmpl w:val="341EEDE6"/>
    <w:lvl w:ilvl="0" w:tplc="C786194E">
      <w:start w:val="1"/>
      <w:numFmt w:val="decimal"/>
      <w:lvlText w:val="(%1)"/>
      <w:lvlJc w:val="left"/>
      <w:pPr>
        <w:ind w:left="1726" w:hanging="347"/>
      </w:pPr>
      <w:rPr>
        <w:rFonts w:asciiTheme="minorHAnsi" w:eastAsia="Times New Roman" w:hAnsiTheme="minorHAnsi" w:cs="Times New Roman" w:hint="default"/>
        <w:w w:val="99"/>
        <w:sz w:val="22"/>
        <w:szCs w:val="22"/>
        <w:lang w:val="en-US" w:eastAsia="en-US" w:bidi="en-US"/>
      </w:rPr>
    </w:lvl>
    <w:lvl w:ilvl="1" w:tplc="439E6D2E">
      <w:start w:val="1"/>
      <w:numFmt w:val="lowerLetter"/>
      <w:lvlText w:val="(%2)"/>
      <w:lvlJc w:val="left"/>
      <w:pPr>
        <w:ind w:left="2145" w:hanging="334"/>
      </w:pPr>
      <w:rPr>
        <w:rFonts w:asciiTheme="minorHAnsi" w:eastAsia="Times New Roman" w:hAnsiTheme="minorHAnsi" w:cs="Times New Roman" w:hint="default"/>
        <w:w w:val="99"/>
        <w:sz w:val="22"/>
        <w:szCs w:val="22"/>
        <w:lang w:val="en-US" w:eastAsia="en-US" w:bidi="en-US"/>
      </w:rPr>
    </w:lvl>
    <w:lvl w:ilvl="2" w:tplc="4F783FDA">
      <w:numFmt w:val="bullet"/>
      <w:lvlText w:val="•"/>
      <w:lvlJc w:val="left"/>
      <w:pPr>
        <w:ind w:left="2240" w:hanging="334"/>
      </w:pPr>
      <w:rPr>
        <w:rFonts w:hint="default"/>
        <w:lang w:val="en-US" w:eastAsia="en-US" w:bidi="en-US"/>
      </w:rPr>
    </w:lvl>
    <w:lvl w:ilvl="3" w:tplc="EF38DF46">
      <w:numFmt w:val="bullet"/>
      <w:lvlText w:val="•"/>
      <w:lvlJc w:val="left"/>
      <w:pPr>
        <w:ind w:left="3302" w:hanging="334"/>
      </w:pPr>
      <w:rPr>
        <w:rFonts w:hint="default"/>
        <w:lang w:val="en-US" w:eastAsia="en-US" w:bidi="en-US"/>
      </w:rPr>
    </w:lvl>
    <w:lvl w:ilvl="4" w:tplc="414C95D0">
      <w:numFmt w:val="bullet"/>
      <w:lvlText w:val="•"/>
      <w:lvlJc w:val="left"/>
      <w:pPr>
        <w:ind w:left="4365" w:hanging="334"/>
      </w:pPr>
      <w:rPr>
        <w:rFonts w:hint="default"/>
        <w:lang w:val="en-US" w:eastAsia="en-US" w:bidi="en-US"/>
      </w:rPr>
    </w:lvl>
    <w:lvl w:ilvl="5" w:tplc="E9D64CCE">
      <w:numFmt w:val="bullet"/>
      <w:lvlText w:val="•"/>
      <w:lvlJc w:val="left"/>
      <w:pPr>
        <w:ind w:left="5427" w:hanging="334"/>
      </w:pPr>
      <w:rPr>
        <w:rFonts w:hint="default"/>
        <w:lang w:val="en-US" w:eastAsia="en-US" w:bidi="en-US"/>
      </w:rPr>
    </w:lvl>
    <w:lvl w:ilvl="6" w:tplc="042C6F5E">
      <w:numFmt w:val="bullet"/>
      <w:lvlText w:val="•"/>
      <w:lvlJc w:val="left"/>
      <w:pPr>
        <w:ind w:left="6490" w:hanging="334"/>
      </w:pPr>
      <w:rPr>
        <w:rFonts w:hint="default"/>
        <w:lang w:val="en-US" w:eastAsia="en-US" w:bidi="en-US"/>
      </w:rPr>
    </w:lvl>
    <w:lvl w:ilvl="7" w:tplc="CC846E7E">
      <w:numFmt w:val="bullet"/>
      <w:lvlText w:val="•"/>
      <w:lvlJc w:val="left"/>
      <w:pPr>
        <w:ind w:left="7552" w:hanging="334"/>
      </w:pPr>
      <w:rPr>
        <w:rFonts w:hint="default"/>
        <w:lang w:val="en-US" w:eastAsia="en-US" w:bidi="en-US"/>
      </w:rPr>
    </w:lvl>
    <w:lvl w:ilvl="8" w:tplc="51DE49A2">
      <w:numFmt w:val="bullet"/>
      <w:lvlText w:val="•"/>
      <w:lvlJc w:val="left"/>
      <w:pPr>
        <w:ind w:left="8615" w:hanging="334"/>
      </w:pPr>
      <w:rPr>
        <w:rFonts w:hint="default"/>
        <w:lang w:val="en-US" w:eastAsia="en-US" w:bidi="en-US"/>
      </w:rPr>
    </w:lvl>
  </w:abstractNum>
  <w:abstractNum w:abstractNumId="8" w15:restartNumberingAfterBreak="0">
    <w:nsid w:val="293928D8"/>
    <w:multiLevelType w:val="hybridMultilevel"/>
    <w:tmpl w:val="25BE4BA0"/>
    <w:lvl w:ilvl="0" w:tplc="B950E7D2">
      <w:start w:val="1"/>
      <w:numFmt w:val="decimal"/>
      <w:lvlText w:val="%1."/>
      <w:lvlJc w:val="left"/>
      <w:pPr>
        <w:ind w:left="720" w:hanging="360"/>
      </w:pPr>
      <w:rPr>
        <w:rFonts w:hint="default"/>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0A0F8F"/>
    <w:multiLevelType w:val="hybridMultilevel"/>
    <w:tmpl w:val="C93EFD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5C4CE6"/>
    <w:multiLevelType w:val="hybridMultilevel"/>
    <w:tmpl w:val="B9A804DC"/>
    <w:lvl w:ilvl="0" w:tplc="CF3CC092">
      <w:start w:val="1"/>
      <w:numFmt w:val="decimal"/>
      <w:lvlText w:val="%1"/>
      <w:lvlJc w:val="left"/>
      <w:pPr>
        <w:ind w:left="1420" w:hanging="401"/>
      </w:pPr>
      <w:rPr>
        <w:rFonts w:ascii="Arial" w:eastAsia="Arial" w:hAnsi="Arial" w:cs="Arial" w:hint="default"/>
        <w:b/>
        <w:bCs/>
        <w:w w:val="99"/>
        <w:sz w:val="28"/>
        <w:szCs w:val="28"/>
        <w:lang w:val="en-US" w:eastAsia="en-US" w:bidi="en-US"/>
      </w:rPr>
    </w:lvl>
    <w:lvl w:ilvl="1" w:tplc="2E4457C2">
      <w:start w:val="1"/>
      <w:numFmt w:val="decimal"/>
      <w:lvlText w:val="(%2)"/>
      <w:lvlJc w:val="left"/>
      <w:pPr>
        <w:ind w:left="1726" w:hanging="347"/>
      </w:pPr>
      <w:rPr>
        <w:rFonts w:ascii="Times New Roman" w:eastAsia="Times New Roman" w:hAnsi="Times New Roman" w:cs="Times New Roman" w:hint="default"/>
        <w:w w:val="99"/>
        <w:sz w:val="24"/>
        <w:szCs w:val="24"/>
        <w:lang w:val="en-US" w:eastAsia="en-US" w:bidi="en-US"/>
      </w:rPr>
    </w:lvl>
    <w:lvl w:ilvl="2" w:tplc="42762B20">
      <w:numFmt w:val="bullet"/>
      <w:lvlText w:val="•"/>
      <w:lvlJc w:val="left"/>
      <w:pPr>
        <w:ind w:left="2722" w:hanging="347"/>
      </w:pPr>
      <w:rPr>
        <w:rFonts w:hint="default"/>
        <w:lang w:val="en-US" w:eastAsia="en-US" w:bidi="en-US"/>
      </w:rPr>
    </w:lvl>
    <w:lvl w:ilvl="3" w:tplc="D564E408">
      <w:numFmt w:val="bullet"/>
      <w:lvlText w:val="•"/>
      <w:lvlJc w:val="left"/>
      <w:pPr>
        <w:ind w:left="3724" w:hanging="347"/>
      </w:pPr>
      <w:rPr>
        <w:rFonts w:hint="default"/>
        <w:lang w:val="en-US" w:eastAsia="en-US" w:bidi="en-US"/>
      </w:rPr>
    </w:lvl>
    <w:lvl w:ilvl="4" w:tplc="B8EA7404">
      <w:numFmt w:val="bullet"/>
      <w:lvlText w:val="•"/>
      <w:lvlJc w:val="left"/>
      <w:pPr>
        <w:ind w:left="4726" w:hanging="347"/>
      </w:pPr>
      <w:rPr>
        <w:rFonts w:hint="default"/>
        <w:lang w:val="en-US" w:eastAsia="en-US" w:bidi="en-US"/>
      </w:rPr>
    </w:lvl>
    <w:lvl w:ilvl="5" w:tplc="39EEDB92">
      <w:numFmt w:val="bullet"/>
      <w:lvlText w:val="•"/>
      <w:lvlJc w:val="left"/>
      <w:pPr>
        <w:ind w:left="5728" w:hanging="347"/>
      </w:pPr>
      <w:rPr>
        <w:rFonts w:hint="default"/>
        <w:lang w:val="en-US" w:eastAsia="en-US" w:bidi="en-US"/>
      </w:rPr>
    </w:lvl>
    <w:lvl w:ilvl="6" w:tplc="EAF66F46">
      <w:numFmt w:val="bullet"/>
      <w:lvlText w:val="•"/>
      <w:lvlJc w:val="left"/>
      <w:pPr>
        <w:ind w:left="6731" w:hanging="347"/>
      </w:pPr>
      <w:rPr>
        <w:rFonts w:hint="default"/>
        <w:lang w:val="en-US" w:eastAsia="en-US" w:bidi="en-US"/>
      </w:rPr>
    </w:lvl>
    <w:lvl w:ilvl="7" w:tplc="3A4E28F2">
      <w:numFmt w:val="bullet"/>
      <w:lvlText w:val="•"/>
      <w:lvlJc w:val="left"/>
      <w:pPr>
        <w:ind w:left="7733" w:hanging="347"/>
      </w:pPr>
      <w:rPr>
        <w:rFonts w:hint="default"/>
        <w:lang w:val="en-US" w:eastAsia="en-US" w:bidi="en-US"/>
      </w:rPr>
    </w:lvl>
    <w:lvl w:ilvl="8" w:tplc="1CEABA48">
      <w:numFmt w:val="bullet"/>
      <w:lvlText w:val="•"/>
      <w:lvlJc w:val="left"/>
      <w:pPr>
        <w:ind w:left="8735" w:hanging="347"/>
      </w:pPr>
      <w:rPr>
        <w:rFonts w:hint="default"/>
        <w:lang w:val="en-US" w:eastAsia="en-US" w:bidi="en-US"/>
      </w:rPr>
    </w:lvl>
  </w:abstractNum>
  <w:abstractNum w:abstractNumId="11" w15:restartNumberingAfterBreak="0">
    <w:nsid w:val="2FBA1C82"/>
    <w:multiLevelType w:val="hybridMultilevel"/>
    <w:tmpl w:val="A84AC198"/>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77B30E6"/>
    <w:multiLevelType w:val="hybridMultilevel"/>
    <w:tmpl w:val="D44AA890"/>
    <w:lvl w:ilvl="0" w:tplc="C584FB0E">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C62097"/>
    <w:multiLevelType w:val="hybridMultilevel"/>
    <w:tmpl w:val="D50A83A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E3A04E7"/>
    <w:multiLevelType w:val="hybridMultilevel"/>
    <w:tmpl w:val="9B7E98DE"/>
    <w:lvl w:ilvl="0" w:tplc="03426DA2">
      <w:start w:val="1"/>
      <w:numFmt w:val="decimal"/>
      <w:lvlText w:val="%1."/>
      <w:lvlJc w:val="left"/>
      <w:pPr>
        <w:ind w:left="1080" w:hanging="360"/>
      </w:pPr>
      <w:rPr>
        <w:rFonts w:hint="default"/>
      </w:rPr>
    </w:lvl>
    <w:lvl w:ilvl="1" w:tplc="F0D6CA16">
      <w:start w:val="1"/>
      <w:numFmt w:val="lowerLetter"/>
      <w:lvlText w:val="%2."/>
      <w:lvlJc w:val="left"/>
      <w:pPr>
        <w:ind w:left="1800" w:hanging="360"/>
      </w:pPr>
      <w:rPr>
        <w:b w:val="0"/>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F3D4800"/>
    <w:multiLevelType w:val="hybridMultilevel"/>
    <w:tmpl w:val="2C7CFCD8"/>
    <w:lvl w:ilvl="0" w:tplc="23467B78">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48C0396"/>
    <w:multiLevelType w:val="hybridMultilevel"/>
    <w:tmpl w:val="1D42F290"/>
    <w:lvl w:ilvl="0" w:tplc="CE1A597A">
      <w:start w:val="1"/>
      <w:numFmt w:val="decimal"/>
      <w:lvlText w:val="%1."/>
      <w:lvlJc w:val="left"/>
      <w:pPr>
        <w:ind w:left="720" w:hanging="360"/>
      </w:pPr>
      <w:rPr>
        <w:rFonts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C60041"/>
    <w:multiLevelType w:val="hybridMultilevel"/>
    <w:tmpl w:val="0E60E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DB70D7"/>
    <w:multiLevelType w:val="hybridMultilevel"/>
    <w:tmpl w:val="64EE7FC8"/>
    <w:lvl w:ilvl="0" w:tplc="ABB81FBA">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9264FB8"/>
    <w:multiLevelType w:val="hybridMultilevel"/>
    <w:tmpl w:val="26D8704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92770F2"/>
    <w:multiLevelType w:val="multilevel"/>
    <w:tmpl w:val="08A87926"/>
    <w:lvl w:ilvl="0">
      <w:start w:val="4"/>
      <w:numFmt w:val="decimal"/>
      <w:lvlText w:val="%1"/>
      <w:lvlJc w:val="left"/>
      <w:pPr>
        <w:ind w:left="1420" w:hanging="401"/>
      </w:pPr>
      <w:rPr>
        <w:rFonts w:ascii="Arial" w:eastAsia="Arial" w:hAnsi="Arial" w:cs="Arial" w:hint="default"/>
        <w:b/>
        <w:bCs/>
        <w:w w:val="99"/>
        <w:sz w:val="28"/>
        <w:szCs w:val="28"/>
        <w:lang w:val="en-US" w:eastAsia="en-US" w:bidi="en-US"/>
      </w:rPr>
    </w:lvl>
    <w:lvl w:ilvl="1">
      <w:start w:val="1"/>
      <w:numFmt w:val="decimal"/>
      <w:lvlText w:val="%1.%2"/>
      <w:lvlJc w:val="left"/>
      <w:pPr>
        <w:ind w:left="1740" w:hanging="720"/>
      </w:pPr>
      <w:rPr>
        <w:rFonts w:ascii="Arial" w:eastAsia="Arial" w:hAnsi="Arial" w:cs="Arial" w:hint="default"/>
        <w:b/>
        <w:bCs/>
        <w:w w:val="99"/>
        <w:sz w:val="26"/>
        <w:szCs w:val="26"/>
        <w:lang w:val="en-US" w:eastAsia="en-US" w:bidi="en-US"/>
      </w:rPr>
    </w:lvl>
    <w:lvl w:ilvl="2">
      <w:start w:val="1"/>
      <w:numFmt w:val="decimal"/>
      <w:lvlText w:val="(%3)"/>
      <w:lvlJc w:val="left"/>
      <w:pPr>
        <w:ind w:left="1812" w:hanging="347"/>
      </w:pPr>
      <w:rPr>
        <w:rFonts w:ascii="Times New Roman" w:eastAsia="Times New Roman" w:hAnsi="Times New Roman" w:cs="Times New Roman" w:hint="default"/>
        <w:w w:val="99"/>
        <w:sz w:val="24"/>
        <w:szCs w:val="24"/>
        <w:lang w:val="en-US" w:eastAsia="en-US" w:bidi="en-US"/>
      </w:rPr>
    </w:lvl>
    <w:lvl w:ilvl="3">
      <w:numFmt w:val="bullet"/>
      <w:lvlText w:val="•"/>
      <w:lvlJc w:val="left"/>
      <w:pPr>
        <w:ind w:left="2935" w:hanging="347"/>
      </w:pPr>
      <w:rPr>
        <w:rFonts w:hint="default"/>
        <w:lang w:val="en-US" w:eastAsia="en-US" w:bidi="en-US"/>
      </w:rPr>
    </w:lvl>
    <w:lvl w:ilvl="4">
      <w:numFmt w:val="bullet"/>
      <w:lvlText w:val="•"/>
      <w:lvlJc w:val="left"/>
      <w:pPr>
        <w:ind w:left="4050" w:hanging="347"/>
      </w:pPr>
      <w:rPr>
        <w:rFonts w:hint="default"/>
        <w:lang w:val="en-US" w:eastAsia="en-US" w:bidi="en-US"/>
      </w:rPr>
    </w:lvl>
    <w:lvl w:ilvl="5">
      <w:numFmt w:val="bullet"/>
      <w:lvlText w:val="•"/>
      <w:lvlJc w:val="left"/>
      <w:pPr>
        <w:ind w:left="5165" w:hanging="347"/>
      </w:pPr>
      <w:rPr>
        <w:rFonts w:hint="default"/>
        <w:lang w:val="en-US" w:eastAsia="en-US" w:bidi="en-US"/>
      </w:rPr>
    </w:lvl>
    <w:lvl w:ilvl="6">
      <w:numFmt w:val="bullet"/>
      <w:lvlText w:val="•"/>
      <w:lvlJc w:val="left"/>
      <w:pPr>
        <w:ind w:left="6280" w:hanging="347"/>
      </w:pPr>
      <w:rPr>
        <w:rFonts w:hint="default"/>
        <w:lang w:val="en-US" w:eastAsia="en-US" w:bidi="en-US"/>
      </w:rPr>
    </w:lvl>
    <w:lvl w:ilvl="7">
      <w:numFmt w:val="bullet"/>
      <w:lvlText w:val="•"/>
      <w:lvlJc w:val="left"/>
      <w:pPr>
        <w:ind w:left="7395" w:hanging="347"/>
      </w:pPr>
      <w:rPr>
        <w:rFonts w:hint="default"/>
        <w:lang w:val="en-US" w:eastAsia="en-US" w:bidi="en-US"/>
      </w:rPr>
    </w:lvl>
    <w:lvl w:ilvl="8">
      <w:numFmt w:val="bullet"/>
      <w:lvlText w:val="•"/>
      <w:lvlJc w:val="left"/>
      <w:pPr>
        <w:ind w:left="8510" w:hanging="347"/>
      </w:pPr>
      <w:rPr>
        <w:rFonts w:hint="default"/>
        <w:lang w:val="en-US" w:eastAsia="en-US" w:bidi="en-US"/>
      </w:rPr>
    </w:lvl>
  </w:abstractNum>
  <w:abstractNum w:abstractNumId="21" w15:restartNumberingAfterBreak="0">
    <w:nsid w:val="5A7760C7"/>
    <w:multiLevelType w:val="hybridMultilevel"/>
    <w:tmpl w:val="0D4A133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DE5087"/>
    <w:multiLevelType w:val="hybridMultilevel"/>
    <w:tmpl w:val="D8D01C70"/>
    <w:lvl w:ilvl="0" w:tplc="14EE688C">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B662722"/>
    <w:multiLevelType w:val="multilevel"/>
    <w:tmpl w:val="FD7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34B7190"/>
    <w:multiLevelType w:val="hybridMultilevel"/>
    <w:tmpl w:val="7F94E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AD2CD9"/>
    <w:multiLevelType w:val="hybridMultilevel"/>
    <w:tmpl w:val="8488EBA0"/>
    <w:lvl w:ilvl="0" w:tplc="14EE688C">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247096"/>
    <w:multiLevelType w:val="hybridMultilevel"/>
    <w:tmpl w:val="ED186F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4F1E99"/>
    <w:multiLevelType w:val="hybridMultilevel"/>
    <w:tmpl w:val="B66CE478"/>
    <w:lvl w:ilvl="0" w:tplc="DC7047A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E1E491C"/>
    <w:multiLevelType w:val="hybridMultilevel"/>
    <w:tmpl w:val="D608A2C4"/>
    <w:lvl w:ilvl="0" w:tplc="BE94E3B0">
      <w:start w:val="1"/>
      <w:numFmt w:val="decimal"/>
      <w:lvlText w:val="%1."/>
      <w:lvlJc w:val="left"/>
      <w:pPr>
        <w:ind w:left="720" w:hanging="360"/>
      </w:pPr>
      <w:rPr>
        <w:rFonts w:asciiTheme="minorHAnsi" w:hAnsiTheme="minorHAnsi"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44008D"/>
    <w:multiLevelType w:val="hybridMultilevel"/>
    <w:tmpl w:val="76225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73636B2"/>
    <w:multiLevelType w:val="hybridMultilevel"/>
    <w:tmpl w:val="F796E0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8"/>
  </w:num>
  <w:num w:numId="3">
    <w:abstractNumId w:val="24"/>
  </w:num>
  <w:num w:numId="4">
    <w:abstractNumId w:val="12"/>
  </w:num>
  <w:num w:numId="5">
    <w:abstractNumId w:val="9"/>
  </w:num>
  <w:num w:numId="6">
    <w:abstractNumId w:val="8"/>
  </w:num>
  <w:num w:numId="7">
    <w:abstractNumId w:val="5"/>
  </w:num>
  <w:num w:numId="8">
    <w:abstractNumId w:val="3"/>
  </w:num>
  <w:num w:numId="9">
    <w:abstractNumId w:val="30"/>
  </w:num>
  <w:num w:numId="10">
    <w:abstractNumId w:val="18"/>
  </w:num>
  <w:num w:numId="11">
    <w:abstractNumId w:val="2"/>
  </w:num>
  <w:num w:numId="12">
    <w:abstractNumId w:val="23"/>
  </w:num>
  <w:num w:numId="13">
    <w:abstractNumId w:val="13"/>
  </w:num>
  <w:num w:numId="14">
    <w:abstractNumId w:val="26"/>
  </w:num>
  <w:num w:numId="15">
    <w:abstractNumId w:val="6"/>
  </w:num>
  <w:num w:numId="16">
    <w:abstractNumId w:val="31"/>
  </w:num>
  <w:num w:numId="17">
    <w:abstractNumId w:val="17"/>
  </w:num>
  <w:num w:numId="18">
    <w:abstractNumId w:val="4"/>
  </w:num>
  <w:num w:numId="19">
    <w:abstractNumId w:val="0"/>
  </w:num>
  <w:num w:numId="20">
    <w:abstractNumId w:val="20"/>
  </w:num>
  <w:num w:numId="21">
    <w:abstractNumId w:val="29"/>
  </w:num>
  <w:num w:numId="22">
    <w:abstractNumId w:val="14"/>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7"/>
  </w:num>
  <w:num w:numId="26">
    <w:abstractNumId w:val="10"/>
  </w:num>
  <w:num w:numId="27">
    <w:abstractNumId w:val="22"/>
  </w:num>
  <w:num w:numId="28">
    <w:abstractNumId w:val="21"/>
  </w:num>
  <w:num w:numId="29">
    <w:abstractNumId w:val="25"/>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lvlOverride w:ilvl="2"/>
    <w:lvlOverride w:ilvl="3"/>
    <w:lvlOverride w:ilvl="4"/>
    <w:lvlOverride w:ilvl="5"/>
    <w:lvlOverride w:ilvl="6"/>
    <w:lvlOverride w:ilvl="7"/>
    <w:lvlOverride w:ilvl="8"/>
  </w:num>
  <w:num w:numId="32">
    <w:abstractNumId w:val="19"/>
  </w:num>
  <w:num w:numId="33">
    <w:abstractNumId w:val="16"/>
  </w:num>
  <w:num w:numId="34">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42A"/>
    <w:rsid w:val="00001D73"/>
    <w:rsid w:val="00003405"/>
    <w:rsid w:val="00003469"/>
    <w:rsid w:val="00007B58"/>
    <w:rsid w:val="0001094F"/>
    <w:rsid w:val="00012EE1"/>
    <w:rsid w:val="0001799C"/>
    <w:rsid w:val="00017C89"/>
    <w:rsid w:val="00021170"/>
    <w:rsid w:val="0002128B"/>
    <w:rsid w:val="000242F8"/>
    <w:rsid w:val="00024DFD"/>
    <w:rsid w:val="00027AB8"/>
    <w:rsid w:val="000309DD"/>
    <w:rsid w:val="00031414"/>
    <w:rsid w:val="00033038"/>
    <w:rsid w:val="00033D63"/>
    <w:rsid w:val="0003436F"/>
    <w:rsid w:val="000414E8"/>
    <w:rsid w:val="0004593A"/>
    <w:rsid w:val="00050A3E"/>
    <w:rsid w:val="000527BC"/>
    <w:rsid w:val="00052A6F"/>
    <w:rsid w:val="00053F02"/>
    <w:rsid w:val="0005494E"/>
    <w:rsid w:val="0005612B"/>
    <w:rsid w:val="000571ED"/>
    <w:rsid w:val="000574AB"/>
    <w:rsid w:val="00057A32"/>
    <w:rsid w:val="00060004"/>
    <w:rsid w:val="000601FD"/>
    <w:rsid w:val="0006147A"/>
    <w:rsid w:val="0006234F"/>
    <w:rsid w:val="00064F20"/>
    <w:rsid w:val="0007132E"/>
    <w:rsid w:val="0007229A"/>
    <w:rsid w:val="00072594"/>
    <w:rsid w:val="000725E0"/>
    <w:rsid w:val="000775F8"/>
    <w:rsid w:val="00080CF7"/>
    <w:rsid w:val="00084156"/>
    <w:rsid w:val="000848DA"/>
    <w:rsid w:val="000851B2"/>
    <w:rsid w:val="00087A42"/>
    <w:rsid w:val="00092566"/>
    <w:rsid w:val="000956F9"/>
    <w:rsid w:val="00095F89"/>
    <w:rsid w:val="000968F8"/>
    <w:rsid w:val="00096CAF"/>
    <w:rsid w:val="00097012"/>
    <w:rsid w:val="000A3767"/>
    <w:rsid w:val="000B032A"/>
    <w:rsid w:val="000B2B60"/>
    <w:rsid w:val="000B2DF7"/>
    <w:rsid w:val="000B3880"/>
    <w:rsid w:val="000B7D57"/>
    <w:rsid w:val="000C036D"/>
    <w:rsid w:val="000C0FF8"/>
    <w:rsid w:val="000C2448"/>
    <w:rsid w:val="000C4073"/>
    <w:rsid w:val="000C620D"/>
    <w:rsid w:val="000C7224"/>
    <w:rsid w:val="000D10D8"/>
    <w:rsid w:val="000D2722"/>
    <w:rsid w:val="000D7948"/>
    <w:rsid w:val="000D7C84"/>
    <w:rsid w:val="000E260B"/>
    <w:rsid w:val="000E2A44"/>
    <w:rsid w:val="000E3AE2"/>
    <w:rsid w:val="000E4E13"/>
    <w:rsid w:val="000E6E45"/>
    <w:rsid w:val="000E78F6"/>
    <w:rsid w:val="000F034A"/>
    <w:rsid w:val="000F06B5"/>
    <w:rsid w:val="000F1B7A"/>
    <w:rsid w:val="000F22D2"/>
    <w:rsid w:val="000F368B"/>
    <w:rsid w:val="000F39E9"/>
    <w:rsid w:val="000F659F"/>
    <w:rsid w:val="001017D9"/>
    <w:rsid w:val="00104B45"/>
    <w:rsid w:val="00105D8B"/>
    <w:rsid w:val="00106361"/>
    <w:rsid w:val="00107FF4"/>
    <w:rsid w:val="00110912"/>
    <w:rsid w:val="0011342F"/>
    <w:rsid w:val="001165D5"/>
    <w:rsid w:val="001202E9"/>
    <w:rsid w:val="0012156A"/>
    <w:rsid w:val="0012454F"/>
    <w:rsid w:val="00125273"/>
    <w:rsid w:val="0012575E"/>
    <w:rsid w:val="001272F7"/>
    <w:rsid w:val="00127C06"/>
    <w:rsid w:val="00131E36"/>
    <w:rsid w:val="001373E3"/>
    <w:rsid w:val="00145149"/>
    <w:rsid w:val="00145D4F"/>
    <w:rsid w:val="0014773C"/>
    <w:rsid w:val="001514A6"/>
    <w:rsid w:val="00152B7A"/>
    <w:rsid w:val="00156B9B"/>
    <w:rsid w:val="00157814"/>
    <w:rsid w:val="00160F15"/>
    <w:rsid w:val="001615B2"/>
    <w:rsid w:val="001617CC"/>
    <w:rsid w:val="00163B6A"/>
    <w:rsid w:val="001674FF"/>
    <w:rsid w:val="00172621"/>
    <w:rsid w:val="00172C95"/>
    <w:rsid w:val="00173658"/>
    <w:rsid w:val="0017696D"/>
    <w:rsid w:val="0018132E"/>
    <w:rsid w:val="001848FC"/>
    <w:rsid w:val="00190432"/>
    <w:rsid w:val="001904C7"/>
    <w:rsid w:val="001928DB"/>
    <w:rsid w:val="00193F21"/>
    <w:rsid w:val="0019620C"/>
    <w:rsid w:val="001969C5"/>
    <w:rsid w:val="001A6CDD"/>
    <w:rsid w:val="001A7D64"/>
    <w:rsid w:val="001B1617"/>
    <w:rsid w:val="001C0B23"/>
    <w:rsid w:val="001C12EE"/>
    <w:rsid w:val="001C7526"/>
    <w:rsid w:val="001C7B02"/>
    <w:rsid w:val="001E0E5E"/>
    <w:rsid w:val="001E370D"/>
    <w:rsid w:val="001E4DD4"/>
    <w:rsid w:val="001E5584"/>
    <w:rsid w:val="001E69DC"/>
    <w:rsid w:val="001E7F67"/>
    <w:rsid w:val="001F169D"/>
    <w:rsid w:val="001F1DA1"/>
    <w:rsid w:val="001F38F0"/>
    <w:rsid w:val="001F6F93"/>
    <w:rsid w:val="001F7A20"/>
    <w:rsid w:val="00201C86"/>
    <w:rsid w:val="00203554"/>
    <w:rsid w:val="002041FB"/>
    <w:rsid w:val="002077C1"/>
    <w:rsid w:val="0021054A"/>
    <w:rsid w:val="0021195A"/>
    <w:rsid w:val="00213383"/>
    <w:rsid w:val="00220250"/>
    <w:rsid w:val="00222444"/>
    <w:rsid w:val="00224E8B"/>
    <w:rsid w:val="00226712"/>
    <w:rsid w:val="0022691B"/>
    <w:rsid w:val="00230BA5"/>
    <w:rsid w:val="00232163"/>
    <w:rsid w:val="00232D2B"/>
    <w:rsid w:val="002376F8"/>
    <w:rsid w:val="002408E4"/>
    <w:rsid w:val="00241591"/>
    <w:rsid w:val="0024258F"/>
    <w:rsid w:val="00245142"/>
    <w:rsid w:val="0024515C"/>
    <w:rsid w:val="0024791D"/>
    <w:rsid w:val="00250B4F"/>
    <w:rsid w:val="0025762F"/>
    <w:rsid w:val="00261960"/>
    <w:rsid w:val="00261AC4"/>
    <w:rsid w:val="00263201"/>
    <w:rsid w:val="00263227"/>
    <w:rsid w:val="00264915"/>
    <w:rsid w:val="00275563"/>
    <w:rsid w:val="0027683E"/>
    <w:rsid w:val="0028114D"/>
    <w:rsid w:val="00287649"/>
    <w:rsid w:val="00287E84"/>
    <w:rsid w:val="00291EBC"/>
    <w:rsid w:val="00291F31"/>
    <w:rsid w:val="002926EC"/>
    <w:rsid w:val="0029286C"/>
    <w:rsid w:val="0029300E"/>
    <w:rsid w:val="00293E97"/>
    <w:rsid w:val="00295E0C"/>
    <w:rsid w:val="002978D0"/>
    <w:rsid w:val="002A0122"/>
    <w:rsid w:val="002A0E15"/>
    <w:rsid w:val="002A50F7"/>
    <w:rsid w:val="002B0C3A"/>
    <w:rsid w:val="002B2116"/>
    <w:rsid w:val="002B2D9B"/>
    <w:rsid w:val="002B5016"/>
    <w:rsid w:val="002B742C"/>
    <w:rsid w:val="002B7F4D"/>
    <w:rsid w:val="002C273F"/>
    <w:rsid w:val="002C285C"/>
    <w:rsid w:val="002C2E09"/>
    <w:rsid w:val="002C489E"/>
    <w:rsid w:val="002C6558"/>
    <w:rsid w:val="002C7BE4"/>
    <w:rsid w:val="002D136D"/>
    <w:rsid w:val="002D417D"/>
    <w:rsid w:val="002D4B83"/>
    <w:rsid w:val="002D5E5D"/>
    <w:rsid w:val="002D7ADE"/>
    <w:rsid w:val="002E269F"/>
    <w:rsid w:val="002E2B55"/>
    <w:rsid w:val="002E68B3"/>
    <w:rsid w:val="002E78A0"/>
    <w:rsid w:val="002E7D24"/>
    <w:rsid w:val="002F0647"/>
    <w:rsid w:val="002F2687"/>
    <w:rsid w:val="002F48E1"/>
    <w:rsid w:val="002F4F3B"/>
    <w:rsid w:val="003034C1"/>
    <w:rsid w:val="0030386F"/>
    <w:rsid w:val="00304C86"/>
    <w:rsid w:val="003059EB"/>
    <w:rsid w:val="003111EA"/>
    <w:rsid w:val="003116AC"/>
    <w:rsid w:val="00315567"/>
    <w:rsid w:val="0031654E"/>
    <w:rsid w:val="00326EFD"/>
    <w:rsid w:val="00330144"/>
    <w:rsid w:val="00332232"/>
    <w:rsid w:val="00334329"/>
    <w:rsid w:val="003406BE"/>
    <w:rsid w:val="00340BD7"/>
    <w:rsid w:val="00341B52"/>
    <w:rsid w:val="003435BC"/>
    <w:rsid w:val="003438DF"/>
    <w:rsid w:val="00345CBA"/>
    <w:rsid w:val="00346245"/>
    <w:rsid w:val="0035072E"/>
    <w:rsid w:val="00356267"/>
    <w:rsid w:val="00356BAD"/>
    <w:rsid w:val="00356F22"/>
    <w:rsid w:val="00357C9E"/>
    <w:rsid w:val="003601BC"/>
    <w:rsid w:val="003605B4"/>
    <w:rsid w:val="003627AC"/>
    <w:rsid w:val="00366914"/>
    <w:rsid w:val="0037102E"/>
    <w:rsid w:val="00371C3F"/>
    <w:rsid w:val="00372FE3"/>
    <w:rsid w:val="0037386C"/>
    <w:rsid w:val="003755CB"/>
    <w:rsid w:val="00383EFE"/>
    <w:rsid w:val="00383F85"/>
    <w:rsid w:val="0038706E"/>
    <w:rsid w:val="00387BA1"/>
    <w:rsid w:val="003917F9"/>
    <w:rsid w:val="003A306C"/>
    <w:rsid w:val="003A4CC9"/>
    <w:rsid w:val="003A621B"/>
    <w:rsid w:val="003A7B84"/>
    <w:rsid w:val="003A7DE7"/>
    <w:rsid w:val="003B1006"/>
    <w:rsid w:val="003B21BB"/>
    <w:rsid w:val="003B5337"/>
    <w:rsid w:val="003C0688"/>
    <w:rsid w:val="003C140C"/>
    <w:rsid w:val="003C1A81"/>
    <w:rsid w:val="003C3C21"/>
    <w:rsid w:val="003C4355"/>
    <w:rsid w:val="003C4FA7"/>
    <w:rsid w:val="003C51DB"/>
    <w:rsid w:val="003C5F11"/>
    <w:rsid w:val="003C63EE"/>
    <w:rsid w:val="003D294B"/>
    <w:rsid w:val="003D6401"/>
    <w:rsid w:val="003E1863"/>
    <w:rsid w:val="003E4F80"/>
    <w:rsid w:val="003F3216"/>
    <w:rsid w:val="003F4AF6"/>
    <w:rsid w:val="003F6DF0"/>
    <w:rsid w:val="00405375"/>
    <w:rsid w:val="00405A80"/>
    <w:rsid w:val="0040776B"/>
    <w:rsid w:val="00407D01"/>
    <w:rsid w:val="00413EED"/>
    <w:rsid w:val="0041606D"/>
    <w:rsid w:val="00416962"/>
    <w:rsid w:val="0041749C"/>
    <w:rsid w:val="00417D0D"/>
    <w:rsid w:val="004206A8"/>
    <w:rsid w:val="004206CA"/>
    <w:rsid w:val="00426BC1"/>
    <w:rsid w:val="00427C04"/>
    <w:rsid w:val="004348CC"/>
    <w:rsid w:val="00435101"/>
    <w:rsid w:val="004357CE"/>
    <w:rsid w:val="00436D6A"/>
    <w:rsid w:val="004370F6"/>
    <w:rsid w:val="00437A06"/>
    <w:rsid w:val="00445D45"/>
    <w:rsid w:val="00445E4B"/>
    <w:rsid w:val="00447FDA"/>
    <w:rsid w:val="00450C58"/>
    <w:rsid w:val="004633F0"/>
    <w:rsid w:val="004658FF"/>
    <w:rsid w:val="00471BD9"/>
    <w:rsid w:val="004720A4"/>
    <w:rsid w:val="00474ED7"/>
    <w:rsid w:val="00475554"/>
    <w:rsid w:val="004756E1"/>
    <w:rsid w:val="0048008A"/>
    <w:rsid w:val="00483E94"/>
    <w:rsid w:val="00484120"/>
    <w:rsid w:val="004853A0"/>
    <w:rsid w:val="00496B5F"/>
    <w:rsid w:val="004A0A1E"/>
    <w:rsid w:val="004A2C64"/>
    <w:rsid w:val="004A2E10"/>
    <w:rsid w:val="004B17FF"/>
    <w:rsid w:val="004B1BA0"/>
    <w:rsid w:val="004B6CEE"/>
    <w:rsid w:val="004C2443"/>
    <w:rsid w:val="004C269A"/>
    <w:rsid w:val="004C498F"/>
    <w:rsid w:val="004C5D29"/>
    <w:rsid w:val="004C681A"/>
    <w:rsid w:val="004D3337"/>
    <w:rsid w:val="004D4D8A"/>
    <w:rsid w:val="004D704F"/>
    <w:rsid w:val="004E68A7"/>
    <w:rsid w:val="004F2DCA"/>
    <w:rsid w:val="004F6288"/>
    <w:rsid w:val="004F68EE"/>
    <w:rsid w:val="004F6C4B"/>
    <w:rsid w:val="005038D5"/>
    <w:rsid w:val="00503A27"/>
    <w:rsid w:val="00511BA4"/>
    <w:rsid w:val="00512008"/>
    <w:rsid w:val="005149E7"/>
    <w:rsid w:val="005160F0"/>
    <w:rsid w:val="005232D6"/>
    <w:rsid w:val="00524BC5"/>
    <w:rsid w:val="0053159D"/>
    <w:rsid w:val="00532D60"/>
    <w:rsid w:val="005333CC"/>
    <w:rsid w:val="00535AD1"/>
    <w:rsid w:val="005363D0"/>
    <w:rsid w:val="005363F1"/>
    <w:rsid w:val="00537228"/>
    <w:rsid w:val="0053796E"/>
    <w:rsid w:val="00537C1B"/>
    <w:rsid w:val="005435A8"/>
    <w:rsid w:val="00547B7B"/>
    <w:rsid w:val="0055007C"/>
    <w:rsid w:val="00554922"/>
    <w:rsid w:val="00555282"/>
    <w:rsid w:val="005560E7"/>
    <w:rsid w:val="005612CC"/>
    <w:rsid w:val="00562F10"/>
    <w:rsid w:val="00563029"/>
    <w:rsid w:val="00565946"/>
    <w:rsid w:val="00566A97"/>
    <w:rsid w:val="00567D12"/>
    <w:rsid w:val="00570874"/>
    <w:rsid w:val="00576062"/>
    <w:rsid w:val="00580584"/>
    <w:rsid w:val="005834C6"/>
    <w:rsid w:val="00584CEA"/>
    <w:rsid w:val="0059559F"/>
    <w:rsid w:val="00595A76"/>
    <w:rsid w:val="005A05B3"/>
    <w:rsid w:val="005A48EA"/>
    <w:rsid w:val="005A49FF"/>
    <w:rsid w:val="005A6B23"/>
    <w:rsid w:val="005A7634"/>
    <w:rsid w:val="005B0837"/>
    <w:rsid w:val="005B6F04"/>
    <w:rsid w:val="005C0447"/>
    <w:rsid w:val="005C526E"/>
    <w:rsid w:val="005C5F3B"/>
    <w:rsid w:val="005C739F"/>
    <w:rsid w:val="005C73CA"/>
    <w:rsid w:val="005D4768"/>
    <w:rsid w:val="005D66DB"/>
    <w:rsid w:val="005E0E62"/>
    <w:rsid w:val="005E2CAB"/>
    <w:rsid w:val="005E429E"/>
    <w:rsid w:val="005F0E26"/>
    <w:rsid w:val="005F10A7"/>
    <w:rsid w:val="00601ED4"/>
    <w:rsid w:val="006030BC"/>
    <w:rsid w:val="00605ED0"/>
    <w:rsid w:val="006063AF"/>
    <w:rsid w:val="00611BC1"/>
    <w:rsid w:val="00612866"/>
    <w:rsid w:val="00616A59"/>
    <w:rsid w:val="00616EB5"/>
    <w:rsid w:val="006231EF"/>
    <w:rsid w:val="00624247"/>
    <w:rsid w:val="006269D4"/>
    <w:rsid w:val="00627103"/>
    <w:rsid w:val="006327D8"/>
    <w:rsid w:val="00634308"/>
    <w:rsid w:val="0063608A"/>
    <w:rsid w:val="0064070A"/>
    <w:rsid w:val="00643A01"/>
    <w:rsid w:val="00647DC6"/>
    <w:rsid w:val="00651D44"/>
    <w:rsid w:val="00654D5E"/>
    <w:rsid w:val="006574C5"/>
    <w:rsid w:val="006574D2"/>
    <w:rsid w:val="00663563"/>
    <w:rsid w:val="00664DD6"/>
    <w:rsid w:val="006676D4"/>
    <w:rsid w:val="00671154"/>
    <w:rsid w:val="006729CB"/>
    <w:rsid w:val="00673EE5"/>
    <w:rsid w:val="006751B8"/>
    <w:rsid w:val="00675535"/>
    <w:rsid w:val="00681359"/>
    <w:rsid w:val="00681985"/>
    <w:rsid w:val="00690BCA"/>
    <w:rsid w:val="0069157C"/>
    <w:rsid w:val="0069567A"/>
    <w:rsid w:val="00695ED4"/>
    <w:rsid w:val="00696262"/>
    <w:rsid w:val="00697F68"/>
    <w:rsid w:val="006A66F4"/>
    <w:rsid w:val="006B082F"/>
    <w:rsid w:val="006B27B0"/>
    <w:rsid w:val="006B4AB0"/>
    <w:rsid w:val="006B74C2"/>
    <w:rsid w:val="006C290D"/>
    <w:rsid w:val="006C2A28"/>
    <w:rsid w:val="006C3A4F"/>
    <w:rsid w:val="006C4845"/>
    <w:rsid w:val="006D478E"/>
    <w:rsid w:val="006D6BC1"/>
    <w:rsid w:val="006E2297"/>
    <w:rsid w:val="006E2BFC"/>
    <w:rsid w:val="006E5C57"/>
    <w:rsid w:val="006F0EC6"/>
    <w:rsid w:val="006F22A5"/>
    <w:rsid w:val="006F5E43"/>
    <w:rsid w:val="00702C73"/>
    <w:rsid w:val="007049A7"/>
    <w:rsid w:val="0070574D"/>
    <w:rsid w:val="0070627B"/>
    <w:rsid w:val="00710039"/>
    <w:rsid w:val="00711853"/>
    <w:rsid w:val="00713394"/>
    <w:rsid w:val="0071395C"/>
    <w:rsid w:val="00724677"/>
    <w:rsid w:val="00725AC2"/>
    <w:rsid w:val="00732880"/>
    <w:rsid w:val="00732C5A"/>
    <w:rsid w:val="007366EA"/>
    <w:rsid w:val="007416B9"/>
    <w:rsid w:val="007422FD"/>
    <w:rsid w:val="00742BE9"/>
    <w:rsid w:val="00743E46"/>
    <w:rsid w:val="0074485C"/>
    <w:rsid w:val="007458CE"/>
    <w:rsid w:val="0074667F"/>
    <w:rsid w:val="007470F4"/>
    <w:rsid w:val="00747C45"/>
    <w:rsid w:val="00750803"/>
    <w:rsid w:val="00750B6F"/>
    <w:rsid w:val="00753964"/>
    <w:rsid w:val="00753DAA"/>
    <w:rsid w:val="00756FDB"/>
    <w:rsid w:val="00757242"/>
    <w:rsid w:val="007629B6"/>
    <w:rsid w:val="0076476C"/>
    <w:rsid w:val="007665BF"/>
    <w:rsid w:val="00767703"/>
    <w:rsid w:val="007677DC"/>
    <w:rsid w:val="00771B2A"/>
    <w:rsid w:val="0077451B"/>
    <w:rsid w:val="007757CE"/>
    <w:rsid w:val="00775800"/>
    <w:rsid w:val="0078704B"/>
    <w:rsid w:val="0079180E"/>
    <w:rsid w:val="007947FF"/>
    <w:rsid w:val="007950CC"/>
    <w:rsid w:val="0079538B"/>
    <w:rsid w:val="007961B8"/>
    <w:rsid w:val="0079659B"/>
    <w:rsid w:val="00797624"/>
    <w:rsid w:val="007A13A4"/>
    <w:rsid w:val="007A3FB6"/>
    <w:rsid w:val="007A4828"/>
    <w:rsid w:val="007A5ACD"/>
    <w:rsid w:val="007A5F66"/>
    <w:rsid w:val="007A6916"/>
    <w:rsid w:val="007A6C46"/>
    <w:rsid w:val="007B093D"/>
    <w:rsid w:val="007B2069"/>
    <w:rsid w:val="007B46B2"/>
    <w:rsid w:val="007B652A"/>
    <w:rsid w:val="007C04A1"/>
    <w:rsid w:val="007C0AC3"/>
    <w:rsid w:val="007C21FA"/>
    <w:rsid w:val="007C7E7C"/>
    <w:rsid w:val="007D13B1"/>
    <w:rsid w:val="007D1C7C"/>
    <w:rsid w:val="007D3C29"/>
    <w:rsid w:val="007D4015"/>
    <w:rsid w:val="007D4351"/>
    <w:rsid w:val="007D7019"/>
    <w:rsid w:val="007E18DB"/>
    <w:rsid w:val="007E26B9"/>
    <w:rsid w:val="007E6362"/>
    <w:rsid w:val="007E6F1C"/>
    <w:rsid w:val="007E7D69"/>
    <w:rsid w:val="008004E2"/>
    <w:rsid w:val="008009FE"/>
    <w:rsid w:val="00804C69"/>
    <w:rsid w:val="008059CC"/>
    <w:rsid w:val="0080711D"/>
    <w:rsid w:val="00814382"/>
    <w:rsid w:val="008155CD"/>
    <w:rsid w:val="00815E80"/>
    <w:rsid w:val="00816728"/>
    <w:rsid w:val="00821635"/>
    <w:rsid w:val="00825B3A"/>
    <w:rsid w:val="00827375"/>
    <w:rsid w:val="00833325"/>
    <w:rsid w:val="00833D06"/>
    <w:rsid w:val="00834275"/>
    <w:rsid w:val="008355FD"/>
    <w:rsid w:val="00840A41"/>
    <w:rsid w:val="008423E8"/>
    <w:rsid w:val="00842F3C"/>
    <w:rsid w:val="00843E13"/>
    <w:rsid w:val="008505D1"/>
    <w:rsid w:val="0085470E"/>
    <w:rsid w:val="00855158"/>
    <w:rsid w:val="00857EE8"/>
    <w:rsid w:val="00857F49"/>
    <w:rsid w:val="0086464B"/>
    <w:rsid w:val="008647FC"/>
    <w:rsid w:val="00864CA8"/>
    <w:rsid w:val="00865E2D"/>
    <w:rsid w:val="00866AE3"/>
    <w:rsid w:val="00867F05"/>
    <w:rsid w:val="00870E6C"/>
    <w:rsid w:val="00871A83"/>
    <w:rsid w:val="00872B0B"/>
    <w:rsid w:val="008750EB"/>
    <w:rsid w:val="00875846"/>
    <w:rsid w:val="00877289"/>
    <w:rsid w:val="008829A8"/>
    <w:rsid w:val="008838F5"/>
    <w:rsid w:val="00884486"/>
    <w:rsid w:val="008871A9"/>
    <w:rsid w:val="00887815"/>
    <w:rsid w:val="008916BA"/>
    <w:rsid w:val="00892176"/>
    <w:rsid w:val="008A01CA"/>
    <w:rsid w:val="008A02A3"/>
    <w:rsid w:val="008A1DB7"/>
    <w:rsid w:val="008A34CF"/>
    <w:rsid w:val="008A403A"/>
    <w:rsid w:val="008A4C13"/>
    <w:rsid w:val="008A57A8"/>
    <w:rsid w:val="008A680C"/>
    <w:rsid w:val="008B283E"/>
    <w:rsid w:val="008B604D"/>
    <w:rsid w:val="008B6941"/>
    <w:rsid w:val="008C2F90"/>
    <w:rsid w:val="008C54A9"/>
    <w:rsid w:val="008C67D6"/>
    <w:rsid w:val="008E54AA"/>
    <w:rsid w:val="008E597D"/>
    <w:rsid w:val="008E67C3"/>
    <w:rsid w:val="008E7196"/>
    <w:rsid w:val="008F3477"/>
    <w:rsid w:val="008F39FB"/>
    <w:rsid w:val="008F3BD6"/>
    <w:rsid w:val="008F589F"/>
    <w:rsid w:val="008F76A9"/>
    <w:rsid w:val="008F7E67"/>
    <w:rsid w:val="00900DBF"/>
    <w:rsid w:val="009048B9"/>
    <w:rsid w:val="00904E91"/>
    <w:rsid w:val="009066FA"/>
    <w:rsid w:val="009111ED"/>
    <w:rsid w:val="0091317C"/>
    <w:rsid w:val="009142D1"/>
    <w:rsid w:val="00915886"/>
    <w:rsid w:val="009171BB"/>
    <w:rsid w:val="009214DC"/>
    <w:rsid w:val="0092379B"/>
    <w:rsid w:val="00923DB0"/>
    <w:rsid w:val="00927027"/>
    <w:rsid w:val="009344BA"/>
    <w:rsid w:val="00944EE4"/>
    <w:rsid w:val="00946E61"/>
    <w:rsid w:val="0094783D"/>
    <w:rsid w:val="00947F78"/>
    <w:rsid w:val="009505E3"/>
    <w:rsid w:val="00950B89"/>
    <w:rsid w:val="00953234"/>
    <w:rsid w:val="00953F81"/>
    <w:rsid w:val="00961EAF"/>
    <w:rsid w:val="0096224B"/>
    <w:rsid w:val="0096278F"/>
    <w:rsid w:val="0096410D"/>
    <w:rsid w:val="009726E1"/>
    <w:rsid w:val="00972A04"/>
    <w:rsid w:val="00975FA7"/>
    <w:rsid w:val="00977591"/>
    <w:rsid w:val="00980E75"/>
    <w:rsid w:val="00983AC4"/>
    <w:rsid w:val="00987BCC"/>
    <w:rsid w:val="00991A40"/>
    <w:rsid w:val="00991B3D"/>
    <w:rsid w:val="009930BD"/>
    <w:rsid w:val="00994BE0"/>
    <w:rsid w:val="009A25B1"/>
    <w:rsid w:val="009A2E58"/>
    <w:rsid w:val="009A4608"/>
    <w:rsid w:val="009A6A57"/>
    <w:rsid w:val="009A70BF"/>
    <w:rsid w:val="009B075A"/>
    <w:rsid w:val="009B0C3A"/>
    <w:rsid w:val="009B1A15"/>
    <w:rsid w:val="009B2661"/>
    <w:rsid w:val="009B4E58"/>
    <w:rsid w:val="009B74B5"/>
    <w:rsid w:val="009C0852"/>
    <w:rsid w:val="009C13CA"/>
    <w:rsid w:val="009C32C6"/>
    <w:rsid w:val="009C5142"/>
    <w:rsid w:val="009C665F"/>
    <w:rsid w:val="009C7513"/>
    <w:rsid w:val="009D21C7"/>
    <w:rsid w:val="009D2E8B"/>
    <w:rsid w:val="009D377C"/>
    <w:rsid w:val="009D3882"/>
    <w:rsid w:val="009D7E38"/>
    <w:rsid w:val="009E095B"/>
    <w:rsid w:val="009E1846"/>
    <w:rsid w:val="009E7370"/>
    <w:rsid w:val="009E7493"/>
    <w:rsid w:val="009E78FF"/>
    <w:rsid w:val="009F60D4"/>
    <w:rsid w:val="00A01494"/>
    <w:rsid w:val="00A01701"/>
    <w:rsid w:val="00A04776"/>
    <w:rsid w:val="00A05FDF"/>
    <w:rsid w:val="00A21001"/>
    <w:rsid w:val="00A21FD1"/>
    <w:rsid w:val="00A22FA9"/>
    <w:rsid w:val="00A25024"/>
    <w:rsid w:val="00A35F8F"/>
    <w:rsid w:val="00A4129A"/>
    <w:rsid w:val="00A41377"/>
    <w:rsid w:val="00A4263D"/>
    <w:rsid w:val="00A43BE3"/>
    <w:rsid w:val="00A44B02"/>
    <w:rsid w:val="00A509B8"/>
    <w:rsid w:val="00A52AB9"/>
    <w:rsid w:val="00A55B5D"/>
    <w:rsid w:val="00A6210B"/>
    <w:rsid w:val="00A64EBF"/>
    <w:rsid w:val="00A66AEF"/>
    <w:rsid w:val="00A71200"/>
    <w:rsid w:val="00A7323A"/>
    <w:rsid w:val="00A831B4"/>
    <w:rsid w:val="00A844C9"/>
    <w:rsid w:val="00A97798"/>
    <w:rsid w:val="00AA5213"/>
    <w:rsid w:val="00AA65A6"/>
    <w:rsid w:val="00AB20EA"/>
    <w:rsid w:val="00AB6C39"/>
    <w:rsid w:val="00AB7826"/>
    <w:rsid w:val="00AC1D8E"/>
    <w:rsid w:val="00AC48FA"/>
    <w:rsid w:val="00AC5FAF"/>
    <w:rsid w:val="00AC6BBF"/>
    <w:rsid w:val="00AC6CD3"/>
    <w:rsid w:val="00AD0240"/>
    <w:rsid w:val="00AD0C91"/>
    <w:rsid w:val="00AD4137"/>
    <w:rsid w:val="00AD46CD"/>
    <w:rsid w:val="00AF0691"/>
    <w:rsid w:val="00AF2D68"/>
    <w:rsid w:val="00B037BA"/>
    <w:rsid w:val="00B06522"/>
    <w:rsid w:val="00B07DAA"/>
    <w:rsid w:val="00B10F0F"/>
    <w:rsid w:val="00B13A6B"/>
    <w:rsid w:val="00B20139"/>
    <w:rsid w:val="00B218DA"/>
    <w:rsid w:val="00B22B45"/>
    <w:rsid w:val="00B342FA"/>
    <w:rsid w:val="00B36FA9"/>
    <w:rsid w:val="00B43024"/>
    <w:rsid w:val="00B43EE3"/>
    <w:rsid w:val="00B53E8B"/>
    <w:rsid w:val="00B56734"/>
    <w:rsid w:val="00B72B0D"/>
    <w:rsid w:val="00B743D6"/>
    <w:rsid w:val="00B774D2"/>
    <w:rsid w:val="00B77C07"/>
    <w:rsid w:val="00B8015A"/>
    <w:rsid w:val="00B82A57"/>
    <w:rsid w:val="00B84EF9"/>
    <w:rsid w:val="00B85AB2"/>
    <w:rsid w:val="00B86735"/>
    <w:rsid w:val="00B95939"/>
    <w:rsid w:val="00B97F55"/>
    <w:rsid w:val="00BA053B"/>
    <w:rsid w:val="00BA46F1"/>
    <w:rsid w:val="00BB35AE"/>
    <w:rsid w:val="00BB4FEF"/>
    <w:rsid w:val="00BC02EB"/>
    <w:rsid w:val="00BC03A1"/>
    <w:rsid w:val="00BC0D25"/>
    <w:rsid w:val="00BC0E54"/>
    <w:rsid w:val="00BC3B4E"/>
    <w:rsid w:val="00BC5249"/>
    <w:rsid w:val="00BC6972"/>
    <w:rsid w:val="00BC73CA"/>
    <w:rsid w:val="00BC7481"/>
    <w:rsid w:val="00BC7EB5"/>
    <w:rsid w:val="00BD2505"/>
    <w:rsid w:val="00BD701C"/>
    <w:rsid w:val="00BD704C"/>
    <w:rsid w:val="00BE3D08"/>
    <w:rsid w:val="00BE52F7"/>
    <w:rsid w:val="00BE592D"/>
    <w:rsid w:val="00BE6131"/>
    <w:rsid w:val="00BF17A6"/>
    <w:rsid w:val="00BF52B0"/>
    <w:rsid w:val="00BF5697"/>
    <w:rsid w:val="00C14162"/>
    <w:rsid w:val="00C14CCC"/>
    <w:rsid w:val="00C161BE"/>
    <w:rsid w:val="00C1695E"/>
    <w:rsid w:val="00C22C1C"/>
    <w:rsid w:val="00C30104"/>
    <w:rsid w:val="00C32F45"/>
    <w:rsid w:val="00C33F2E"/>
    <w:rsid w:val="00C34936"/>
    <w:rsid w:val="00C34C14"/>
    <w:rsid w:val="00C35016"/>
    <w:rsid w:val="00C355B9"/>
    <w:rsid w:val="00C35A3C"/>
    <w:rsid w:val="00C37EF1"/>
    <w:rsid w:val="00C401C4"/>
    <w:rsid w:val="00C4098E"/>
    <w:rsid w:val="00C41680"/>
    <w:rsid w:val="00C423B6"/>
    <w:rsid w:val="00C427C6"/>
    <w:rsid w:val="00C445E8"/>
    <w:rsid w:val="00C55189"/>
    <w:rsid w:val="00C60A25"/>
    <w:rsid w:val="00C63617"/>
    <w:rsid w:val="00C65E93"/>
    <w:rsid w:val="00C66A40"/>
    <w:rsid w:val="00C755B5"/>
    <w:rsid w:val="00C765C5"/>
    <w:rsid w:val="00C775CE"/>
    <w:rsid w:val="00C82479"/>
    <w:rsid w:val="00C82B38"/>
    <w:rsid w:val="00C841FF"/>
    <w:rsid w:val="00C8542F"/>
    <w:rsid w:val="00C857D8"/>
    <w:rsid w:val="00C85ED0"/>
    <w:rsid w:val="00C867F0"/>
    <w:rsid w:val="00C92961"/>
    <w:rsid w:val="00CA06D8"/>
    <w:rsid w:val="00CA345A"/>
    <w:rsid w:val="00CA45FA"/>
    <w:rsid w:val="00CA5F7F"/>
    <w:rsid w:val="00CB123A"/>
    <w:rsid w:val="00CB13C2"/>
    <w:rsid w:val="00CB49FF"/>
    <w:rsid w:val="00CB64DE"/>
    <w:rsid w:val="00CB752D"/>
    <w:rsid w:val="00CC02CF"/>
    <w:rsid w:val="00CC086A"/>
    <w:rsid w:val="00CC2BDA"/>
    <w:rsid w:val="00CD04E4"/>
    <w:rsid w:val="00CD0E24"/>
    <w:rsid w:val="00CD0F66"/>
    <w:rsid w:val="00CD16FB"/>
    <w:rsid w:val="00CD174D"/>
    <w:rsid w:val="00CD364B"/>
    <w:rsid w:val="00CD3F13"/>
    <w:rsid w:val="00CD475A"/>
    <w:rsid w:val="00CE1A67"/>
    <w:rsid w:val="00CE23B8"/>
    <w:rsid w:val="00CE284E"/>
    <w:rsid w:val="00CE50D7"/>
    <w:rsid w:val="00CF4CBE"/>
    <w:rsid w:val="00D00344"/>
    <w:rsid w:val="00D00903"/>
    <w:rsid w:val="00D02248"/>
    <w:rsid w:val="00D05880"/>
    <w:rsid w:val="00D112F1"/>
    <w:rsid w:val="00D1626C"/>
    <w:rsid w:val="00D16D08"/>
    <w:rsid w:val="00D1754D"/>
    <w:rsid w:val="00D17F77"/>
    <w:rsid w:val="00D20A67"/>
    <w:rsid w:val="00D20B71"/>
    <w:rsid w:val="00D2223F"/>
    <w:rsid w:val="00D22ABC"/>
    <w:rsid w:val="00D274A4"/>
    <w:rsid w:val="00D277AF"/>
    <w:rsid w:val="00D31163"/>
    <w:rsid w:val="00D320B1"/>
    <w:rsid w:val="00D33AFD"/>
    <w:rsid w:val="00D36489"/>
    <w:rsid w:val="00D369E9"/>
    <w:rsid w:val="00D42195"/>
    <w:rsid w:val="00D44EEA"/>
    <w:rsid w:val="00D50704"/>
    <w:rsid w:val="00D5760A"/>
    <w:rsid w:val="00D607DA"/>
    <w:rsid w:val="00D60943"/>
    <w:rsid w:val="00D61410"/>
    <w:rsid w:val="00D650DB"/>
    <w:rsid w:val="00D70186"/>
    <w:rsid w:val="00D74533"/>
    <w:rsid w:val="00D749E2"/>
    <w:rsid w:val="00D8181D"/>
    <w:rsid w:val="00D84F53"/>
    <w:rsid w:val="00D860A1"/>
    <w:rsid w:val="00D86AE1"/>
    <w:rsid w:val="00D90A25"/>
    <w:rsid w:val="00D91862"/>
    <w:rsid w:val="00D968D8"/>
    <w:rsid w:val="00DA005E"/>
    <w:rsid w:val="00DA3D36"/>
    <w:rsid w:val="00DA563D"/>
    <w:rsid w:val="00DA5E75"/>
    <w:rsid w:val="00DA7277"/>
    <w:rsid w:val="00DB27D9"/>
    <w:rsid w:val="00DB3627"/>
    <w:rsid w:val="00DB3E9A"/>
    <w:rsid w:val="00DB4724"/>
    <w:rsid w:val="00DB52B4"/>
    <w:rsid w:val="00DB6944"/>
    <w:rsid w:val="00DC0D53"/>
    <w:rsid w:val="00DC1585"/>
    <w:rsid w:val="00DC352C"/>
    <w:rsid w:val="00DC4746"/>
    <w:rsid w:val="00DC66C6"/>
    <w:rsid w:val="00DD06CA"/>
    <w:rsid w:val="00DD0B20"/>
    <w:rsid w:val="00DD4986"/>
    <w:rsid w:val="00DE5F13"/>
    <w:rsid w:val="00DE693F"/>
    <w:rsid w:val="00DE7149"/>
    <w:rsid w:val="00DF4906"/>
    <w:rsid w:val="00DF6DCA"/>
    <w:rsid w:val="00E00706"/>
    <w:rsid w:val="00E0314C"/>
    <w:rsid w:val="00E059A3"/>
    <w:rsid w:val="00E07F00"/>
    <w:rsid w:val="00E12FE0"/>
    <w:rsid w:val="00E1508F"/>
    <w:rsid w:val="00E23B36"/>
    <w:rsid w:val="00E23F63"/>
    <w:rsid w:val="00E261DF"/>
    <w:rsid w:val="00E27240"/>
    <w:rsid w:val="00E27D37"/>
    <w:rsid w:val="00E27EDD"/>
    <w:rsid w:val="00E30584"/>
    <w:rsid w:val="00E308BF"/>
    <w:rsid w:val="00E310B9"/>
    <w:rsid w:val="00E37E1B"/>
    <w:rsid w:val="00E4005B"/>
    <w:rsid w:val="00E47993"/>
    <w:rsid w:val="00E562C0"/>
    <w:rsid w:val="00E57FAF"/>
    <w:rsid w:val="00E65B55"/>
    <w:rsid w:val="00E66E81"/>
    <w:rsid w:val="00E672D6"/>
    <w:rsid w:val="00E7007A"/>
    <w:rsid w:val="00E7229A"/>
    <w:rsid w:val="00E73321"/>
    <w:rsid w:val="00E76024"/>
    <w:rsid w:val="00E856A2"/>
    <w:rsid w:val="00E86E46"/>
    <w:rsid w:val="00E94A17"/>
    <w:rsid w:val="00E961EB"/>
    <w:rsid w:val="00E967AD"/>
    <w:rsid w:val="00E96884"/>
    <w:rsid w:val="00EA5435"/>
    <w:rsid w:val="00EA5F47"/>
    <w:rsid w:val="00EA6EDD"/>
    <w:rsid w:val="00EA78B0"/>
    <w:rsid w:val="00EB2B9E"/>
    <w:rsid w:val="00EB35F8"/>
    <w:rsid w:val="00EB455E"/>
    <w:rsid w:val="00EB496B"/>
    <w:rsid w:val="00EC0AE1"/>
    <w:rsid w:val="00EC72F7"/>
    <w:rsid w:val="00EC79DE"/>
    <w:rsid w:val="00ED0F3C"/>
    <w:rsid w:val="00ED2312"/>
    <w:rsid w:val="00ED246F"/>
    <w:rsid w:val="00ED4ACE"/>
    <w:rsid w:val="00ED51A0"/>
    <w:rsid w:val="00ED6994"/>
    <w:rsid w:val="00ED7AF1"/>
    <w:rsid w:val="00EE041D"/>
    <w:rsid w:val="00EE09B4"/>
    <w:rsid w:val="00EE36FA"/>
    <w:rsid w:val="00EE4D35"/>
    <w:rsid w:val="00EF0AC6"/>
    <w:rsid w:val="00EF2DA7"/>
    <w:rsid w:val="00F106CC"/>
    <w:rsid w:val="00F1412B"/>
    <w:rsid w:val="00F15BFA"/>
    <w:rsid w:val="00F240C9"/>
    <w:rsid w:val="00F24139"/>
    <w:rsid w:val="00F308F2"/>
    <w:rsid w:val="00F34FAB"/>
    <w:rsid w:val="00F361D3"/>
    <w:rsid w:val="00F368B6"/>
    <w:rsid w:val="00F41690"/>
    <w:rsid w:val="00F435AA"/>
    <w:rsid w:val="00F5738A"/>
    <w:rsid w:val="00F612D4"/>
    <w:rsid w:val="00F6236F"/>
    <w:rsid w:val="00F7389E"/>
    <w:rsid w:val="00F7394C"/>
    <w:rsid w:val="00F73F9E"/>
    <w:rsid w:val="00F76ABB"/>
    <w:rsid w:val="00F77F1D"/>
    <w:rsid w:val="00F817BD"/>
    <w:rsid w:val="00F8739C"/>
    <w:rsid w:val="00F876A5"/>
    <w:rsid w:val="00F87CCB"/>
    <w:rsid w:val="00F9634D"/>
    <w:rsid w:val="00FA0121"/>
    <w:rsid w:val="00FA48C7"/>
    <w:rsid w:val="00FB51FB"/>
    <w:rsid w:val="00FB73C1"/>
    <w:rsid w:val="00FB7588"/>
    <w:rsid w:val="00FC40CA"/>
    <w:rsid w:val="00FC766C"/>
    <w:rsid w:val="00FF0881"/>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5"/>
    <o:shapelayout v:ext="edit">
      <o:idmap v:ext="edit" data="1"/>
    </o:shapelayout>
  </w:shapeDefaults>
  <w:decimalSymbol w:val="."/>
  <w:listSeparator w:val=","/>
  <w14:docId w14:val="4643EA85"/>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3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aliases w:val="Char18"/>
    <w:basedOn w:val="Normal"/>
    <w:link w:val="FootnoteTextChar"/>
    <w:uiPriority w:val="99"/>
    <w:qFormat/>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aliases w:val="Char18 Char"/>
    <w:basedOn w:val="DefaultParagraphFont"/>
    <w:link w:val="FootnoteText"/>
    <w:uiPriority w:val="99"/>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qFormat/>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table" w:customStyle="1" w:styleId="CMSTable">
    <w:name w:val="CMS_Table"/>
    <w:basedOn w:val="TableNormal"/>
    <w:uiPriority w:val="99"/>
    <w:rsid w:val="003C4FA7"/>
    <w:pPr>
      <w:spacing w:after="0" w:line="240" w:lineRule="auto"/>
    </w:pPr>
    <w:rPr>
      <w:rFonts w:ascii="Times New Roman" w:eastAsia="Times New Roman" w:hAnsi="Times New Roman" w:cs="Times New Roman"/>
      <w:szCs w:val="20"/>
    </w:rPr>
    <w:tblPr>
      <w:tblCellMar>
        <w:left w:w="58" w:type="dxa"/>
        <w:right w:w="58" w:type="dxa"/>
      </w:tblCellMar>
    </w:tblPr>
    <w:tblStylePr w:type="firstRow">
      <w:pPr>
        <w:jc w:val="center"/>
      </w:pPr>
      <w:tblPr/>
      <w:tcPr>
        <w:tcBorders>
          <w:top w:val="single" w:sz="12" w:space="0" w:color="auto"/>
          <w:bottom w:val="single" w:sz="6" w:space="0" w:color="auto"/>
        </w:tcBorders>
        <w:vAlign w:val="bottom"/>
      </w:tcPr>
    </w:tblStylePr>
    <w:tblStylePr w:type="lastRow">
      <w:tblPr/>
      <w:tcPr>
        <w:tcBorders>
          <w:bottom w:val="single" w:sz="12" w:space="0" w:color="auto"/>
        </w:tcBorders>
      </w:tcPr>
    </w:tblStylePr>
  </w:style>
  <w:style w:type="character" w:customStyle="1" w:styleId="areply">
    <w:name w:val="areply"/>
    <w:basedOn w:val="DefaultParagraphFont"/>
    <w:uiPriority w:val="1"/>
    <w:qFormat/>
    <w:rsid w:val="00096CAF"/>
  </w:style>
  <w:style w:type="table" w:styleId="ListTable6Colorful">
    <w:name w:val="List Table 6 Colorful"/>
    <w:basedOn w:val="TableNormal"/>
    <w:uiPriority w:val="51"/>
    <w:rsid w:val="005834C6"/>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footnotetext0">
    <w:name w:val="footnotetext"/>
    <w:basedOn w:val="Normal"/>
    <w:qFormat/>
    <w:rsid w:val="00C8542F"/>
    <w:pPr>
      <w:spacing w:after="0" w:line="240" w:lineRule="auto"/>
      <w:ind w:left="270" w:hanging="270"/>
    </w:pPr>
    <w:rPr>
      <w:rFonts w:ascii="Times New Roman" w:eastAsia="Times New Roman" w:hAnsi="Times New Roman" w:cs="Times New Roman"/>
      <w:sz w:val="20"/>
      <w:szCs w:val="20"/>
    </w:rPr>
  </w:style>
  <w:style w:type="paragraph" w:customStyle="1" w:styleId="Default">
    <w:name w:val="Default"/>
    <w:rsid w:val="00C8542F"/>
    <w:pPr>
      <w:autoSpaceDE w:val="0"/>
      <w:autoSpaceDN w:val="0"/>
      <w:adjustRightInd w:val="0"/>
      <w:spacing w:after="0" w:line="240" w:lineRule="auto"/>
    </w:pPr>
    <w:rPr>
      <w:rFonts w:ascii="Calibri" w:hAnsi="Calibri" w:cs="Calibri"/>
      <w:color w:val="000000"/>
      <w:sz w:val="24"/>
      <w:szCs w:val="24"/>
    </w:rPr>
  </w:style>
  <w:style w:type="character" w:customStyle="1" w:styleId="normaltextrun">
    <w:name w:val="normaltextrun"/>
    <w:basedOn w:val="DefaultParagraphFont"/>
    <w:rsid w:val="00BD704C"/>
  </w:style>
  <w:style w:type="character" w:customStyle="1" w:styleId="eop">
    <w:name w:val="eop"/>
    <w:basedOn w:val="DefaultParagraphFont"/>
    <w:rsid w:val="00BD704C"/>
  </w:style>
  <w:style w:type="paragraph" w:customStyle="1" w:styleId="paragraph">
    <w:name w:val="paragraph"/>
    <w:basedOn w:val="Normal"/>
    <w:rsid w:val="00BD704C"/>
    <w:pPr>
      <w:spacing w:before="100" w:beforeAutospacing="1" w:after="100" w:afterAutospacing="1" w:line="240" w:lineRule="auto"/>
    </w:pPr>
    <w:rPr>
      <w:rFonts w:ascii="Calibri" w:eastAsiaTheme="minorHAnsi" w:hAnsi="Calibri" w:cs="Calibri"/>
    </w:rPr>
  </w:style>
  <w:style w:type="character" w:customStyle="1" w:styleId="scxw35953580">
    <w:name w:val="scxw35953580"/>
    <w:basedOn w:val="DefaultParagraphFont"/>
    <w:rsid w:val="00BD704C"/>
  </w:style>
  <w:style w:type="paragraph" w:styleId="TOC1">
    <w:name w:val="toc 1"/>
    <w:basedOn w:val="Normal"/>
    <w:uiPriority w:val="1"/>
    <w:qFormat/>
    <w:rsid w:val="009B075A"/>
    <w:pPr>
      <w:widowControl w:val="0"/>
      <w:autoSpaceDE w:val="0"/>
      <w:autoSpaceDN w:val="0"/>
      <w:spacing w:before="585" w:after="0" w:line="240" w:lineRule="auto"/>
      <w:ind w:left="1020"/>
    </w:pPr>
    <w:rPr>
      <w:rFonts w:ascii="Arial" w:eastAsia="Arial" w:hAnsi="Arial" w:cs="Arial"/>
      <w:b/>
      <w:bCs/>
      <w:sz w:val="28"/>
      <w:szCs w:val="28"/>
      <w:lang w:bidi="en-US"/>
    </w:rPr>
  </w:style>
  <w:style w:type="paragraph" w:styleId="BodyText">
    <w:name w:val="Body Text"/>
    <w:basedOn w:val="Normal"/>
    <w:link w:val="BodyTextChar"/>
    <w:uiPriority w:val="1"/>
    <w:qFormat/>
    <w:rsid w:val="009B075A"/>
    <w:pPr>
      <w:widowControl w:val="0"/>
      <w:autoSpaceDE w:val="0"/>
      <w:autoSpaceDN w:val="0"/>
      <w:spacing w:after="0" w:line="240" w:lineRule="auto"/>
    </w:pPr>
    <w:rPr>
      <w:rFonts w:ascii="Times New Roman" w:eastAsia="Times New Roman" w:hAnsi="Times New Roman" w:cs="Times New Roman"/>
      <w:sz w:val="24"/>
      <w:szCs w:val="24"/>
      <w:lang w:bidi="en-US"/>
    </w:rPr>
  </w:style>
  <w:style w:type="character" w:customStyle="1" w:styleId="BodyTextChar">
    <w:name w:val="Body Text Char"/>
    <w:basedOn w:val="DefaultParagraphFont"/>
    <w:link w:val="BodyText"/>
    <w:uiPriority w:val="1"/>
    <w:rsid w:val="009B075A"/>
    <w:rPr>
      <w:rFonts w:ascii="Times New Roman" w:eastAsia="Times New Roman" w:hAnsi="Times New Roman" w:cs="Times New Roman"/>
      <w:sz w:val="24"/>
      <w:szCs w:val="24"/>
      <w:lang w:bidi="en-US"/>
    </w:rPr>
  </w:style>
  <w:style w:type="character" w:customStyle="1" w:styleId="Body115Char">
    <w:name w:val="Body 1.15 Char"/>
    <w:basedOn w:val="DefaultParagraphFont"/>
    <w:link w:val="Body115"/>
    <w:uiPriority w:val="6"/>
    <w:locked/>
    <w:rsid w:val="00CC2BDA"/>
    <w:rPr>
      <w:rFonts w:ascii="Calibri" w:eastAsiaTheme="minorHAnsi" w:hAnsi="Calibri"/>
      <w:sz w:val="24"/>
      <w:szCs w:val="24"/>
    </w:rPr>
  </w:style>
  <w:style w:type="paragraph" w:customStyle="1" w:styleId="Body115">
    <w:name w:val="Body 1.15"/>
    <w:basedOn w:val="BodyText"/>
    <w:link w:val="Body115Char"/>
    <w:uiPriority w:val="6"/>
    <w:qFormat/>
    <w:rsid w:val="00CC2BDA"/>
    <w:pPr>
      <w:widowControl/>
      <w:autoSpaceDE/>
      <w:autoSpaceDN/>
      <w:spacing w:before="120" w:after="120" w:line="276" w:lineRule="auto"/>
      <w:ind w:firstLine="720"/>
    </w:pPr>
    <w:rPr>
      <w:rFonts w:ascii="Calibri" w:eastAsiaTheme="minorHAnsi" w:hAnsi="Calibri" w:cstheme="minorBidi"/>
      <w:lang w:bidi="ar-SA"/>
    </w:rPr>
  </w:style>
  <w:style w:type="paragraph" w:customStyle="1" w:styleId="Steps">
    <w:name w:val="Steps"/>
    <w:basedOn w:val="Normal"/>
    <w:qFormat/>
    <w:rsid w:val="00340BD7"/>
    <w:pPr>
      <w:spacing w:after="240" w:line="240" w:lineRule="auto"/>
      <w:ind w:left="2160" w:hanging="1440"/>
    </w:pPr>
    <w:rPr>
      <w:rFonts w:ascii="Times New Roman" w:eastAsia="Times New Roman" w:hAnsi="Times New Roman" w:cs="Times New Roman"/>
      <w:sz w:val="24"/>
      <w:szCs w:val="20"/>
    </w:rPr>
  </w:style>
  <w:style w:type="table" w:customStyle="1" w:styleId="CMSTable1">
    <w:name w:val="CMS_Table1"/>
    <w:basedOn w:val="TableNormal"/>
    <w:uiPriority w:val="99"/>
    <w:rsid w:val="00B56734"/>
    <w:pPr>
      <w:spacing w:after="0" w:line="240" w:lineRule="auto"/>
    </w:pPr>
    <w:rPr>
      <w:rFonts w:ascii="Times New Roman" w:eastAsia="Times New Roman" w:hAnsi="Times New Roman" w:cs="Times New Roman"/>
      <w:sz w:val="20"/>
      <w:szCs w:val="20"/>
    </w:rPr>
    <w:tblPr>
      <w:tblInd w:w="0" w:type="nil"/>
      <w:tblBorders>
        <w:top w:val="single" w:sz="12" w:space="0" w:color="auto"/>
        <w:bottom w:val="single" w:sz="12" w:space="0" w:color="auto"/>
      </w:tblBorders>
      <w:tblCellMar>
        <w:left w:w="58" w:type="dxa"/>
        <w:right w:w="58" w:type="dxa"/>
      </w:tblCellMar>
    </w:tblPr>
    <w:tblStylePr w:type="firstRow">
      <w:pPr>
        <w:jc w:val="center"/>
      </w:pPr>
      <w:tblPr/>
      <w:tcPr>
        <w:tcBorders>
          <w:top w:val="single" w:sz="12" w:space="0" w:color="auto"/>
          <w:bottom w:val="single" w:sz="6" w:space="0" w:color="auto"/>
        </w:tcBorders>
        <w:vAlign w:val="bottom"/>
      </w:tcPr>
    </w:tblStylePr>
    <w:tblStylePr w:type="lastRow">
      <w:tblPr/>
      <w:tcPr>
        <w:tcBorders>
          <w:bottom w:val="single" w:sz="12" w:space="0" w:color="auto"/>
        </w:tcBorders>
      </w:tcPr>
    </w:tblStylePr>
  </w:style>
  <w:style w:type="paragraph" w:customStyle="1" w:styleId="equation">
    <w:name w:val="equation"/>
    <w:rsid w:val="00131E36"/>
    <w:pPr>
      <w:tabs>
        <w:tab w:val="center" w:pos="4680"/>
        <w:tab w:val="right" w:pos="9360"/>
      </w:tabs>
      <w:spacing w:after="240" w:line="240" w:lineRule="auto"/>
    </w:pPr>
    <w:rPr>
      <w:rFonts w:ascii="Times New Roman" w:eastAsia="Times New Roman" w:hAnsi="Times New Roman" w:cs="Times New Roman"/>
      <w:sz w:val="24"/>
      <w:szCs w:val="20"/>
    </w:rPr>
  </w:style>
  <w:style w:type="paragraph" w:customStyle="1" w:styleId="StepsIndent">
    <w:name w:val="StepsIndent"/>
    <w:basedOn w:val="Steps"/>
    <w:qFormat/>
    <w:rsid w:val="00131E36"/>
    <w:pPr>
      <w:ind w:firstLine="0"/>
    </w:pPr>
  </w:style>
  <w:style w:type="paragraph" w:customStyle="1" w:styleId="NOTE">
    <w:name w:val="NOTE"/>
    <w:basedOn w:val="Normal"/>
    <w:qFormat/>
    <w:rsid w:val="00131E36"/>
    <w:pPr>
      <w:spacing w:after="24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28437">
      <w:bodyDiv w:val="1"/>
      <w:marLeft w:val="0"/>
      <w:marRight w:val="0"/>
      <w:marTop w:val="0"/>
      <w:marBottom w:val="0"/>
      <w:divBdr>
        <w:top w:val="none" w:sz="0" w:space="0" w:color="auto"/>
        <w:left w:val="none" w:sz="0" w:space="0" w:color="auto"/>
        <w:bottom w:val="none" w:sz="0" w:space="0" w:color="auto"/>
        <w:right w:val="none" w:sz="0" w:space="0" w:color="auto"/>
      </w:divBdr>
    </w:div>
    <w:div w:id="148404931">
      <w:bodyDiv w:val="1"/>
      <w:marLeft w:val="0"/>
      <w:marRight w:val="0"/>
      <w:marTop w:val="0"/>
      <w:marBottom w:val="0"/>
      <w:divBdr>
        <w:top w:val="none" w:sz="0" w:space="0" w:color="auto"/>
        <w:left w:val="none" w:sz="0" w:space="0" w:color="auto"/>
        <w:bottom w:val="none" w:sz="0" w:space="0" w:color="auto"/>
        <w:right w:val="none" w:sz="0" w:space="0" w:color="auto"/>
      </w:divBdr>
    </w:div>
    <w:div w:id="157766979">
      <w:bodyDiv w:val="1"/>
      <w:marLeft w:val="0"/>
      <w:marRight w:val="0"/>
      <w:marTop w:val="0"/>
      <w:marBottom w:val="0"/>
      <w:divBdr>
        <w:top w:val="none" w:sz="0" w:space="0" w:color="auto"/>
        <w:left w:val="none" w:sz="0" w:space="0" w:color="auto"/>
        <w:bottom w:val="none" w:sz="0" w:space="0" w:color="auto"/>
        <w:right w:val="none" w:sz="0" w:space="0" w:color="auto"/>
      </w:divBdr>
    </w:div>
    <w:div w:id="304433985">
      <w:bodyDiv w:val="1"/>
      <w:marLeft w:val="0"/>
      <w:marRight w:val="0"/>
      <w:marTop w:val="0"/>
      <w:marBottom w:val="0"/>
      <w:divBdr>
        <w:top w:val="none" w:sz="0" w:space="0" w:color="auto"/>
        <w:left w:val="none" w:sz="0" w:space="0" w:color="auto"/>
        <w:bottom w:val="none" w:sz="0" w:space="0" w:color="auto"/>
        <w:right w:val="none" w:sz="0" w:space="0" w:color="auto"/>
      </w:divBdr>
    </w:div>
    <w:div w:id="349065115">
      <w:bodyDiv w:val="1"/>
      <w:marLeft w:val="0"/>
      <w:marRight w:val="0"/>
      <w:marTop w:val="0"/>
      <w:marBottom w:val="0"/>
      <w:divBdr>
        <w:top w:val="none" w:sz="0" w:space="0" w:color="auto"/>
        <w:left w:val="none" w:sz="0" w:space="0" w:color="auto"/>
        <w:bottom w:val="none" w:sz="0" w:space="0" w:color="auto"/>
        <w:right w:val="none" w:sz="0" w:space="0" w:color="auto"/>
      </w:divBdr>
    </w:div>
    <w:div w:id="464087250">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67771097">
      <w:bodyDiv w:val="1"/>
      <w:marLeft w:val="0"/>
      <w:marRight w:val="0"/>
      <w:marTop w:val="0"/>
      <w:marBottom w:val="0"/>
      <w:divBdr>
        <w:top w:val="none" w:sz="0" w:space="0" w:color="auto"/>
        <w:left w:val="none" w:sz="0" w:space="0" w:color="auto"/>
        <w:bottom w:val="none" w:sz="0" w:space="0" w:color="auto"/>
        <w:right w:val="none" w:sz="0" w:space="0" w:color="auto"/>
      </w:divBdr>
    </w:div>
    <w:div w:id="860244035">
      <w:bodyDiv w:val="1"/>
      <w:marLeft w:val="0"/>
      <w:marRight w:val="0"/>
      <w:marTop w:val="0"/>
      <w:marBottom w:val="0"/>
      <w:divBdr>
        <w:top w:val="none" w:sz="0" w:space="0" w:color="auto"/>
        <w:left w:val="none" w:sz="0" w:space="0" w:color="auto"/>
        <w:bottom w:val="none" w:sz="0" w:space="0" w:color="auto"/>
        <w:right w:val="none" w:sz="0" w:space="0" w:color="auto"/>
      </w:divBdr>
    </w:div>
    <w:div w:id="908878245">
      <w:bodyDiv w:val="1"/>
      <w:marLeft w:val="0"/>
      <w:marRight w:val="0"/>
      <w:marTop w:val="0"/>
      <w:marBottom w:val="0"/>
      <w:divBdr>
        <w:top w:val="none" w:sz="0" w:space="0" w:color="auto"/>
        <w:left w:val="none" w:sz="0" w:space="0" w:color="auto"/>
        <w:bottom w:val="none" w:sz="0" w:space="0" w:color="auto"/>
        <w:right w:val="none" w:sz="0" w:space="0" w:color="auto"/>
      </w:divBdr>
      <w:divsChild>
        <w:div w:id="1751123986">
          <w:marLeft w:val="0"/>
          <w:marRight w:val="0"/>
          <w:marTop w:val="0"/>
          <w:marBottom w:val="0"/>
          <w:divBdr>
            <w:top w:val="none" w:sz="0" w:space="0" w:color="auto"/>
            <w:left w:val="none" w:sz="0" w:space="0" w:color="auto"/>
            <w:bottom w:val="none" w:sz="0" w:space="0" w:color="auto"/>
            <w:right w:val="none" w:sz="0" w:space="0" w:color="auto"/>
          </w:divBdr>
          <w:divsChild>
            <w:div w:id="1854807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103424">
      <w:bodyDiv w:val="1"/>
      <w:marLeft w:val="0"/>
      <w:marRight w:val="0"/>
      <w:marTop w:val="0"/>
      <w:marBottom w:val="0"/>
      <w:divBdr>
        <w:top w:val="none" w:sz="0" w:space="0" w:color="auto"/>
        <w:left w:val="none" w:sz="0" w:space="0" w:color="auto"/>
        <w:bottom w:val="none" w:sz="0" w:space="0" w:color="auto"/>
        <w:right w:val="none" w:sz="0" w:space="0" w:color="auto"/>
      </w:divBdr>
    </w:div>
    <w:div w:id="1073502223">
      <w:bodyDiv w:val="1"/>
      <w:marLeft w:val="0"/>
      <w:marRight w:val="0"/>
      <w:marTop w:val="0"/>
      <w:marBottom w:val="0"/>
      <w:divBdr>
        <w:top w:val="none" w:sz="0" w:space="0" w:color="auto"/>
        <w:left w:val="none" w:sz="0" w:space="0" w:color="auto"/>
        <w:bottom w:val="none" w:sz="0" w:space="0" w:color="auto"/>
        <w:right w:val="none" w:sz="0" w:space="0" w:color="auto"/>
      </w:divBdr>
    </w:div>
    <w:div w:id="1206454720">
      <w:bodyDiv w:val="1"/>
      <w:marLeft w:val="0"/>
      <w:marRight w:val="0"/>
      <w:marTop w:val="0"/>
      <w:marBottom w:val="0"/>
      <w:divBdr>
        <w:top w:val="none" w:sz="0" w:space="0" w:color="auto"/>
        <w:left w:val="none" w:sz="0" w:space="0" w:color="auto"/>
        <w:bottom w:val="none" w:sz="0" w:space="0" w:color="auto"/>
        <w:right w:val="none" w:sz="0" w:space="0" w:color="auto"/>
      </w:divBdr>
    </w:div>
    <w:div w:id="1375499100">
      <w:bodyDiv w:val="1"/>
      <w:marLeft w:val="0"/>
      <w:marRight w:val="0"/>
      <w:marTop w:val="0"/>
      <w:marBottom w:val="0"/>
      <w:divBdr>
        <w:top w:val="none" w:sz="0" w:space="0" w:color="auto"/>
        <w:left w:val="none" w:sz="0" w:space="0" w:color="auto"/>
        <w:bottom w:val="none" w:sz="0" w:space="0" w:color="auto"/>
        <w:right w:val="none" w:sz="0" w:space="0" w:color="auto"/>
      </w:divBdr>
    </w:div>
    <w:div w:id="1379740872">
      <w:bodyDiv w:val="1"/>
      <w:marLeft w:val="0"/>
      <w:marRight w:val="0"/>
      <w:marTop w:val="0"/>
      <w:marBottom w:val="0"/>
      <w:divBdr>
        <w:top w:val="none" w:sz="0" w:space="0" w:color="auto"/>
        <w:left w:val="none" w:sz="0" w:space="0" w:color="auto"/>
        <w:bottom w:val="none" w:sz="0" w:space="0" w:color="auto"/>
        <w:right w:val="none" w:sz="0" w:space="0" w:color="auto"/>
      </w:divBdr>
    </w:div>
    <w:div w:id="143578416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620986224">
      <w:bodyDiv w:val="1"/>
      <w:marLeft w:val="0"/>
      <w:marRight w:val="0"/>
      <w:marTop w:val="0"/>
      <w:marBottom w:val="0"/>
      <w:divBdr>
        <w:top w:val="none" w:sz="0" w:space="0" w:color="auto"/>
        <w:left w:val="none" w:sz="0" w:space="0" w:color="auto"/>
        <w:bottom w:val="none" w:sz="0" w:space="0" w:color="auto"/>
        <w:right w:val="none" w:sz="0" w:space="0" w:color="auto"/>
      </w:divBdr>
    </w:div>
    <w:div w:id="1623464466">
      <w:bodyDiv w:val="1"/>
      <w:marLeft w:val="0"/>
      <w:marRight w:val="0"/>
      <w:marTop w:val="0"/>
      <w:marBottom w:val="0"/>
      <w:divBdr>
        <w:top w:val="none" w:sz="0" w:space="0" w:color="auto"/>
        <w:left w:val="none" w:sz="0" w:space="0" w:color="auto"/>
        <w:bottom w:val="none" w:sz="0" w:space="0" w:color="auto"/>
        <w:right w:val="none" w:sz="0" w:space="0" w:color="auto"/>
      </w:divBdr>
    </w:div>
    <w:div w:id="1687251368">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947883770">
      <w:bodyDiv w:val="1"/>
      <w:marLeft w:val="0"/>
      <w:marRight w:val="0"/>
      <w:marTop w:val="0"/>
      <w:marBottom w:val="0"/>
      <w:divBdr>
        <w:top w:val="none" w:sz="0" w:space="0" w:color="auto"/>
        <w:left w:val="none" w:sz="0" w:space="0" w:color="auto"/>
        <w:bottom w:val="none" w:sz="0" w:space="0" w:color="auto"/>
        <w:right w:val="none" w:sz="0" w:space="0" w:color="auto"/>
      </w:divBdr>
    </w:div>
    <w:div w:id="1954969722">
      <w:bodyDiv w:val="1"/>
      <w:marLeft w:val="0"/>
      <w:marRight w:val="0"/>
      <w:marTop w:val="0"/>
      <w:marBottom w:val="0"/>
      <w:divBdr>
        <w:top w:val="none" w:sz="0" w:space="0" w:color="auto"/>
        <w:left w:val="none" w:sz="0" w:space="0" w:color="auto"/>
        <w:bottom w:val="none" w:sz="0" w:space="0" w:color="auto"/>
        <w:right w:val="none" w:sz="0" w:space="0" w:color="auto"/>
      </w:divBdr>
    </w:div>
    <w:div w:id="1964071585">
      <w:bodyDiv w:val="1"/>
      <w:marLeft w:val="0"/>
      <w:marRight w:val="0"/>
      <w:marTop w:val="0"/>
      <w:marBottom w:val="0"/>
      <w:divBdr>
        <w:top w:val="none" w:sz="0" w:space="0" w:color="auto"/>
        <w:left w:val="none" w:sz="0" w:space="0" w:color="auto"/>
        <w:bottom w:val="none" w:sz="0" w:space="0" w:color="auto"/>
        <w:right w:val="none" w:sz="0" w:space="0" w:color="auto"/>
      </w:divBdr>
    </w:div>
    <w:div w:id="2061592438">
      <w:bodyDiv w:val="1"/>
      <w:marLeft w:val="0"/>
      <w:marRight w:val="0"/>
      <w:marTop w:val="0"/>
      <w:marBottom w:val="0"/>
      <w:divBdr>
        <w:top w:val="none" w:sz="0" w:space="0" w:color="auto"/>
        <w:left w:val="none" w:sz="0" w:space="0" w:color="auto"/>
        <w:bottom w:val="none" w:sz="0" w:space="0" w:color="auto"/>
        <w:right w:val="none" w:sz="0" w:space="0" w:color="auto"/>
      </w:divBdr>
    </w:div>
    <w:div w:id="2088721153">
      <w:bodyDiv w:val="1"/>
      <w:marLeft w:val="0"/>
      <w:marRight w:val="0"/>
      <w:marTop w:val="0"/>
      <w:marBottom w:val="0"/>
      <w:divBdr>
        <w:top w:val="none" w:sz="0" w:space="0" w:color="auto"/>
        <w:left w:val="none" w:sz="0" w:space="0" w:color="auto"/>
        <w:bottom w:val="none" w:sz="0" w:space="0" w:color="auto"/>
        <w:right w:val="none" w:sz="0" w:space="0" w:color="auto"/>
      </w:divBdr>
    </w:div>
    <w:div w:id="2094356009">
      <w:bodyDiv w:val="1"/>
      <w:marLeft w:val="0"/>
      <w:marRight w:val="0"/>
      <w:marTop w:val="0"/>
      <w:marBottom w:val="0"/>
      <w:divBdr>
        <w:top w:val="none" w:sz="0" w:space="0" w:color="auto"/>
        <w:left w:val="none" w:sz="0" w:space="0" w:color="auto"/>
        <w:bottom w:val="none" w:sz="0" w:space="0" w:color="auto"/>
        <w:right w:val="none" w:sz="0" w:space="0" w:color="auto"/>
      </w:divBdr>
    </w:div>
    <w:div w:id="2115326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aspe.hhs.gov/datacncl/datadir/cms.htm" TargetMode="External"/><Relationship Id="rId18" Type="http://schemas.openxmlformats.org/officeDocument/2006/relationships/hyperlink" Target="https://www.hcup-us.ahrq.gov/toolssoftware/ccs/ccs.jsp"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cms.gov/Medicare/Quality-Initiatives-Patient-Assessment-Instruments/HomeHealthQualityInits/HHQIArchives.html" TargetMode="External"/><Relationship Id="rId34"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www.resdac.org/cms-" TargetMode="External"/><Relationship Id="rId25" Type="http://schemas.openxmlformats.org/officeDocument/2006/relationships/footer" Target="footer1.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resdac.org/cms-data/files/op-rif" TargetMode="External"/><Relationship Id="rId20" Type="http://schemas.openxmlformats.org/officeDocument/2006/relationships/hyperlink" Target="https://www.cms.gov/Medicare/Health-Plans/MedicareAdvtgSpecRateStats/Risk-Adjustors.html" TargetMode="External"/><Relationship Id="rId29"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32"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resdac.org/cms-data/files/ip-rif" TargetMode="External"/><Relationship Id="rId23" Type="http://schemas.openxmlformats.org/officeDocument/2006/relationships/image" Target="media/image2.png"/><Relationship Id="rId28"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hyperlink" Target="https://www.hcup-us.ahrq.gov/toolssoftware/ccs10/ccs10.jsp"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resdac.org/cms-data/files/hha-rif" TargetMode="External"/><Relationship Id="rId22" Type="http://schemas.openxmlformats.org/officeDocument/2006/relationships/image" Target="media/image1.png"/><Relationship Id="rId27" Type="http://schemas.openxmlformats.org/officeDocument/2006/relationships/footer" Target="footer2.xml"/><Relationship Id="rId30" Type="http://schemas.openxmlformats.org/officeDocument/2006/relationships/image" Target="media/image5.PNG"/><Relationship Id="rId35"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www.qualityforum.org/Calendar/2018/05/Scientific_Methods_Panel_In-person_05162018.aspx" TargetMode="External"/><Relationship Id="rId13" Type="http://schemas.openxmlformats.org/officeDocument/2006/relationships/hyperlink" Target="https://www.cms.gov/Medicare/Quality-Initiatives-Patient-Assessment-Instruments/Post-Acute-Care-Quality-Initiatives/Downloads/Technical-Expert-Panel_-Discharge-to-Community-Quality-Measure.pdf" TargetMode="External"/><Relationship Id="rId18" Type="http://schemas.openxmlformats.org/officeDocument/2006/relationships/hyperlink" Target="https://www.cms.gov/Medicare/Quality-Initiatives-Patient-Assessment-Instruments/HospitalQualityInits/Downloads/Hospital-Wide-All-Cause-Readmission-Updates.zip" TargetMode="External"/><Relationship Id="rId3" Type="http://schemas.openxmlformats.org/officeDocument/2006/relationships/hyperlink" Target="http://www.qualityforum.org/QPS/1789" TargetMode="External"/><Relationship Id="rId7" Type="http://schemas.openxmlformats.org/officeDocument/2006/relationships/hyperlink" Target="http://www.qualityforum.org/QPS/2380" TargetMode="External"/><Relationship Id="rId12" Type="http://schemas.openxmlformats.org/officeDocument/2006/relationships/hyperlink" Target="https://www.cms.gov/Medicare/Quality-Initiatives-Patient-Assessment-Instruments/Post-Acute-Care-Quality-Initiatives/Downloads/Technical-Expert-Panel_-Discharge-to-Community-Quality-Measure.pdf" TargetMode="External"/><Relationship Id="rId17" Type="http://schemas.openxmlformats.org/officeDocument/2006/relationships/hyperlink" Target="https://www.gpo.gov/fdsys/pkg/FR-2016-11-03/pdf/FR-2016-11-03.pdf" TargetMode="External"/><Relationship Id="rId2" Type="http://schemas.openxmlformats.org/officeDocument/2006/relationships/hyperlink" Target="https://www.google.com/url?sa=t&amp;rct=j&amp;q=&amp;esrc=s&amp;source=web&amp;cd=4&amp;ved=0ahUKEwiw_9TK-YbcAhXHV98KHW7TBksQFghBMAM&amp;url=https%3A%2F%2Fwww.qualityforum.org%2FWorkArea%2Flinkit.aspx%3FLinkIdentifier%3Did%26ItemID%3D87595&amp;usg=AOvVaw1xHVCRH40gLNUroTPqj7dz" TargetMode="External"/><Relationship Id="rId16" Type="http://schemas.openxmlformats.org/officeDocument/2006/relationships/hyperlink" Target="https://www.cms.gov/Medicare/Quality-Initiatives-Patient-Assessment-Instruments/Post-Acute-Care-Quality-Initiatives/Downloads/Public-Comment-Summary-Report-for-the-Development-of-a-Discharge-to-Community-Measure.pdf" TargetMode="External"/><Relationship Id="rId1" Type="http://schemas.openxmlformats.org/officeDocument/2006/relationships/hyperlink" Target="http://www.qualityforum.org/Calendar/2018/05/Scientific_Methods_Panel_In-person_05162018.aspx" TargetMode="External"/><Relationship Id="rId6" Type="http://schemas.openxmlformats.org/officeDocument/2006/relationships/hyperlink" Target="http://www.qualityforum.org/QPS/2512" TargetMode="External"/><Relationship Id="rId11" Type="http://schemas.openxmlformats.org/officeDocument/2006/relationships/hyperlink" Target="http://www.qualityforum.org/QPS/2512" TargetMode="External"/><Relationship Id="rId5" Type="http://schemas.openxmlformats.org/officeDocument/2006/relationships/hyperlink" Target="http://www.qualityforum.org/QPS/2502" TargetMode="External"/><Relationship Id="rId15" Type="http://schemas.openxmlformats.org/officeDocument/2006/relationships/hyperlink" Target="https://www.cms.gov/Medicare/Quality-Initiatives-Patient-Assessment-Instruments/Post-Acute-Care-Quality-Initiatives/Downloads/Technical-Expert-Panel_-Discharge-to-Community-Quality-Measure.pdf" TargetMode="External"/><Relationship Id="rId10" Type="http://schemas.openxmlformats.org/officeDocument/2006/relationships/hyperlink" Target="http://www.qualityforum.org/QPS/2502" TargetMode="External"/><Relationship Id="rId4" Type="http://schemas.openxmlformats.org/officeDocument/2006/relationships/hyperlink" Target="http://www.qualityforum.org/QPS/2510" TargetMode="External"/><Relationship Id="rId9" Type="http://schemas.openxmlformats.org/officeDocument/2006/relationships/hyperlink" Target="http://www.qualityforum.org/QPS/1789" TargetMode="External"/><Relationship Id="rId14" Type="http://schemas.openxmlformats.org/officeDocument/2006/relationships/hyperlink" Target="https://www.cms.gov/Medicare/Quality-Initiatives-Patient-Assessment-Instruments/Post-Acute-Care-Quality-Initiatives/Downloads/Technical-Expert-Panel_-Discharge-to-Community-Quality-Measure.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SymbolMT">
    <w:altName w:val="MS Mincho"/>
    <w:panose1 w:val="00000000000000000000"/>
    <w:charset w:val="80"/>
    <w:family w:val="auto"/>
    <w:notTrueType/>
    <w:pitch w:val="default"/>
    <w:sig w:usb0="00000000" w:usb1="08070000" w:usb2="00000010" w:usb3="00000000" w:csb0="00020000"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01B8F"/>
    <w:rsid w:val="00021F89"/>
    <w:rsid w:val="00027506"/>
    <w:rsid w:val="00127222"/>
    <w:rsid w:val="001736D7"/>
    <w:rsid w:val="00190AF4"/>
    <w:rsid w:val="00223B32"/>
    <w:rsid w:val="00223FA3"/>
    <w:rsid w:val="00230F9D"/>
    <w:rsid w:val="002A288F"/>
    <w:rsid w:val="002C65A7"/>
    <w:rsid w:val="002F052A"/>
    <w:rsid w:val="00350176"/>
    <w:rsid w:val="003840F0"/>
    <w:rsid w:val="00396ACB"/>
    <w:rsid w:val="00437537"/>
    <w:rsid w:val="004D785E"/>
    <w:rsid w:val="00513FC9"/>
    <w:rsid w:val="0053654E"/>
    <w:rsid w:val="00571653"/>
    <w:rsid w:val="00587D28"/>
    <w:rsid w:val="00610196"/>
    <w:rsid w:val="00632A7E"/>
    <w:rsid w:val="00632AB6"/>
    <w:rsid w:val="00650B99"/>
    <w:rsid w:val="00666A88"/>
    <w:rsid w:val="00730B33"/>
    <w:rsid w:val="00772B2A"/>
    <w:rsid w:val="007C672A"/>
    <w:rsid w:val="007D4368"/>
    <w:rsid w:val="00822666"/>
    <w:rsid w:val="00823ECC"/>
    <w:rsid w:val="00826796"/>
    <w:rsid w:val="00866C97"/>
    <w:rsid w:val="008F0106"/>
    <w:rsid w:val="009017AE"/>
    <w:rsid w:val="009C542D"/>
    <w:rsid w:val="00A01A18"/>
    <w:rsid w:val="00A95183"/>
    <w:rsid w:val="00AB4AF7"/>
    <w:rsid w:val="00AD7C4F"/>
    <w:rsid w:val="00B308DE"/>
    <w:rsid w:val="00B445F5"/>
    <w:rsid w:val="00B602FC"/>
    <w:rsid w:val="00B718B5"/>
    <w:rsid w:val="00BD40CB"/>
    <w:rsid w:val="00C362A2"/>
    <w:rsid w:val="00C90121"/>
    <w:rsid w:val="00C94D51"/>
    <w:rsid w:val="00C96E73"/>
    <w:rsid w:val="00CA1FE8"/>
    <w:rsid w:val="00CA344F"/>
    <w:rsid w:val="00CA660C"/>
    <w:rsid w:val="00D1676E"/>
    <w:rsid w:val="00D23811"/>
    <w:rsid w:val="00D275DD"/>
    <w:rsid w:val="00DC0246"/>
    <w:rsid w:val="00E159DE"/>
    <w:rsid w:val="00E6518A"/>
    <w:rsid w:val="00E97633"/>
    <w:rsid w:val="00F307EB"/>
    <w:rsid w:val="00F540AB"/>
    <w:rsid w:val="00F86015"/>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0C901-3C40-4C03-AF30-8401D54B3554}">
  <ds:schemaRefs>
    <ds:schemaRef ds:uri="http://schemas.openxmlformats.org/package/2006/metadata/core-properties"/>
    <ds:schemaRef ds:uri="http://purl.org/dc/dcmitype/"/>
    <ds:schemaRef ds:uri="http://schemas.microsoft.com/office/2006/documentManagement/types"/>
    <ds:schemaRef ds:uri="http://schemas.microsoft.com/office/2006/metadata/properties"/>
    <ds:schemaRef ds:uri="836b82f1-340d-495e-85b5-201c5296619a"/>
    <ds:schemaRef ds:uri="http://purl.org/dc/terms/"/>
    <ds:schemaRef ds:uri="http://schemas.microsoft.com/office/infopath/2007/PartnerControls"/>
    <ds:schemaRef ds:uri="http://www.w3.org/XML/1998/namespace"/>
    <ds:schemaRef ds:uri="http://purl.org/dc/elements/1.1/"/>
  </ds:schemaRefs>
</ds:datastoreItem>
</file>

<file path=customXml/itemProps2.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3.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4.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7FC4B0-8CB3-4103-933C-07222C68E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38</Pages>
  <Words>15353</Words>
  <Characters>87516</Characters>
  <Application>Microsoft Office Word</Application>
  <DocSecurity>0</DocSecurity>
  <Lines>729</Lines>
  <Paragraphs>205</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102664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Alrick Edwards</cp:lastModifiedBy>
  <cp:revision>6</cp:revision>
  <cp:lastPrinted>2018-08-01T01:06:00Z</cp:lastPrinted>
  <dcterms:created xsi:type="dcterms:W3CDTF">2018-08-01T17:05:00Z</dcterms:created>
  <dcterms:modified xsi:type="dcterms:W3CDTF">2018-08-01T21:05:00Z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y fmtid="{D5CDD505-2E9C-101B-9397-08002B2CF9AE}" pid="3" name="_NewReviewCycle">
    <vt:lpwstr/>
  </property>
</Properties>
</file>