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B9B99" w14:textId="445B97DA" w:rsidR="008275A4" w:rsidRDefault="008275A4" w:rsidP="008275A4">
      <w:pPr>
        <w:spacing w:after="160" w:line="259" w:lineRule="auto"/>
        <w:jc w:val="center"/>
        <w:rPr>
          <w:rFonts w:cstheme="minorHAnsi"/>
          <w:b/>
        </w:rPr>
      </w:pPr>
      <w:r w:rsidRPr="00853124">
        <w:rPr>
          <w:rFonts w:cstheme="minorHAnsi"/>
          <w:b/>
        </w:rPr>
        <w:t>Discharge to Community-Post Acute Care Measure for</w:t>
      </w:r>
      <w:r>
        <w:rPr>
          <w:rFonts w:cstheme="minorHAnsi"/>
          <w:b/>
        </w:rPr>
        <w:t xml:space="preserve"> </w:t>
      </w:r>
      <w:r w:rsidR="00086EDF">
        <w:rPr>
          <w:rFonts w:cstheme="minorHAnsi"/>
          <w:b/>
        </w:rPr>
        <w:t>Home Health Agencies</w:t>
      </w:r>
      <w:r>
        <w:rPr>
          <w:rFonts w:cstheme="minorHAnsi"/>
          <w:b/>
        </w:rPr>
        <w:t xml:space="preserve"> </w:t>
      </w:r>
    </w:p>
    <w:p w14:paraId="53FD3969" w14:textId="77777777" w:rsidR="008275A4" w:rsidRDefault="008275A4" w:rsidP="008275A4">
      <w:pPr>
        <w:spacing w:after="160" w:line="259" w:lineRule="auto"/>
        <w:jc w:val="center"/>
        <w:rPr>
          <w:rFonts w:eastAsia="Calibri" w:cstheme="minorHAnsi"/>
          <w:b/>
          <w:bCs/>
        </w:rPr>
      </w:pPr>
    </w:p>
    <w:p w14:paraId="349062A9" w14:textId="77777777" w:rsidR="008275A4" w:rsidRDefault="008275A4" w:rsidP="008275A4">
      <w:pPr>
        <w:spacing w:after="160" w:line="259" w:lineRule="auto"/>
        <w:jc w:val="center"/>
        <w:rPr>
          <w:rFonts w:eastAsia="Calibri" w:cstheme="minorHAnsi"/>
          <w:b/>
          <w:bCs/>
        </w:rPr>
      </w:pPr>
      <w:r w:rsidRPr="00C90EDA">
        <w:rPr>
          <w:rFonts w:eastAsia="Calibri" w:cstheme="minorHAnsi"/>
          <w:b/>
          <w:bCs/>
        </w:rPr>
        <w:t>APPENDIX</w:t>
      </w:r>
    </w:p>
    <w:p w14:paraId="2225CE5B" w14:textId="77777777" w:rsidR="008275A4" w:rsidRDefault="008275A4" w:rsidP="008275A4">
      <w:pPr>
        <w:spacing w:after="160" w:line="259" w:lineRule="auto"/>
        <w:rPr>
          <w:rFonts w:eastAsia="Calibri" w:cstheme="minorHAnsi"/>
          <w:b/>
          <w:bCs/>
        </w:rPr>
      </w:pPr>
    </w:p>
    <w:p w14:paraId="1F6A2E2F" w14:textId="77777777" w:rsidR="008275A4" w:rsidRDefault="008275A4" w:rsidP="008275A4">
      <w:pPr>
        <w:spacing w:after="160" w:line="259" w:lineRule="auto"/>
        <w:rPr>
          <w:rFonts w:eastAsia="Calibri" w:cstheme="minorHAnsi"/>
          <w:b/>
          <w:bCs/>
        </w:rPr>
      </w:pPr>
      <w:r>
        <w:rPr>
          <w:rFonts w:eastAsia="Calibri" w:cstheme="minorHAnsi"/>
          <w:b/>
          <w:bCs/>
        </w:rPr>
        <w:t>Table of Contents</w:t>
      </w:r>
    </w:p>
    <w:p w14:paraId="477A9299" w14:textId="77777777" w:rsidR="008275A4" w:rsidRDefault="008275A4" w:rsidP="008275A4">
      <w:pPr>
        <w:spacing w:after="160" w:line="259" w:lineRule="auto"/>
        <w:rPr>
          <w:rFonts w:eastAsia="Calibri" w:cstheme="minorHAnsi"/>
          <w:b/>
          <w:bCs/>
        </w:rPr>
      </w:pPr>
    </w:p>
    <w:p w14:paraId="4456C309" w14:textId="77777777" w:rsidR="008275A4" w:rsidRPr="00776B23" w:rsidRDefault="008275A4" w:rsidP="008275A4">
      <w:pPr>
        <w:pStyle w:val="ListParagraph"/>
        <w:numPr>
          <w:ilvl w:val="0"/>
          <w:numId w:val="7"/>
        </w:numPr>
        <w:spacing w:after="160" w:line="259" w:lineRule="auto"/>
        <w:jc w:val="both"/>
        <w:rPr>
          <w:rFonts w:eastAsia="Calibri" w:cstheme="minorHAnsi"/>
          <w:bCs/>
        </w:rPr>
      </w:pPr>
      <w:r w:rsidRPr="00776B23">
        <w:rPr>
          <w:rFonts w:eastAsia="Calibri" w:cstheme="minorHAnsi"/>
          <w:bCs/>
        </w:rPr>
        <w:t>Appendix A. Updated Validity Testing for Measure Testing Form……………………………………………1</w:t>
      </w:r>
    </w:p>
    <w:p w14:paraId="4F8506BC" w14:textId="77777777" w:rsidR="008275A4" w:rsidRPr="00776B23" w:rsidRDefault="008275A4" w:rsidP="008275A4">
      <w:pPr>
        <w:pStyle w:val="ListParagraph"/>
        <w:spacing w:after="160" w:line="259" w:lineRule="auto"/>
        <w:jc w:val="both"/>
        <w:rPr>
          <w:rFonts w:eastAsia="Calibri" w:cstheme="minorHAnsi"/>
          <w:bCs/>
        </w:rPr>
      </w:pPr>
      <w:r w:rsidRPr="00776B23">
        <w:rPr>
          <w:rFonts w:eastAsia="Calibri" w:cstheme="minorHAnsi"/>
          <w:bCs/>
        </w:rPr>
        <w:t xml:space="preserve"> </w:t>
      </w:r>
    </w:p>
    <w:p w14:paraId="3D604BAA" w14:textId="4D3954DF" w:rsidR="008275A4" w:rsidRPr="00776B23" w:rsidRDefault="008275A4" w:rsidP="008275A4">
      <w:pPr>
        <w:pStyle w:val="ListParagraph"/>
        <w:numPr>
          <w:ilvl w:val="0"/>
          <w:numId w:val="7"/>
        </w:numPr>
        <w:spacing w:after="160" w:line="259" w:lineRule="auto"/>
        <w:rPr>
          <w:rFonts w:eastAsia="Calibri" w:cstheme="minorHAnsi"/>
          <w:bCs/>
        </w:rPr>
      </w:pPr>
      <w:r w:rsidRPr="00776B23">
        <w:rPr>
          <w:rFonts w:eastAsia="Calibri" w:cstheme="minorHAnsi"/>
          <w:bCs/>
        </w:rPr>
        <w:t xml:space="preserve">Appendix B. Additional Social Risk Factor Testing for </w:t>
      </w:r>
      <w:r w:rsidR="00884A26">
        <w:rPr>
          <w:rFonts w:eastAsia="Calibri" w:cstheme="minorHAnsi"/>
          <w:bCs/>
        </w:rPr>
        <w:t>Measure Testing Form………………………….</w:t>
      </w:r>
      <w:r w:rsidR="00AE0473">
        <w:rPr>
          <w:rFonts w:eastAsia="Calibri" w:cstheme="minorHAnsi"/>
          <w:bCs/>
        </w:rPr>
        <w:t>2</w:t>
      </w:r>
    </w:p>
    <w:p w14:paraId="32438BC8" w14:textId="77777777" w:rsidR="008275A4" w:rsidRPr="00776B23" w:rsidRDefault="008275A4" w:rsidP="008275A4">
      <w:pPr>
        <w:pStyle w:val="ListParagraph"/>
        <w:spacing w:after="160" w:line="259" w:lineRule="auto"/>
        <w:rPr>
          <w:rFonts w:eastAsia="Calibri" w:cstheme="minorHAnsi"/>
          <w:bCs/>
        </w:rPr>
      </w:pPr>
    </w:p>
    <w:p w14:paraId="64563505" w14:textId="2B79C16F" w:rsidR="008275A4" w:rsidRPr="00776B23" w:rsidRDefault="008275A4" w:rsidP="008275A4">
      <w:pPr>
        <w:pStyle w:val="ListParagraph"/>
        <w:numPr>
          <w:ilvl w:val="0"/>
          <w:numId w:val="7"/>
        </w:numPr>
        <w:spacing w:after="160" w:line="259" w:lineRule="auto"/>
        <w:rPr>
          <w:rFonts w:eastAsia="Calibri" w:cstheme="minorHAnsi"/>
          <w:bCs/>
        </w:rPr>
      </w:pPr>
      <w:r w:rsidRPr="00776B23">
        <w:rPr>
          <w:rFonts w:eastAsia="Calibri" w:cstheme="minorHAnsi"/>
          <w:bCs/>
        </w:rPr>
        <w:t>Appendix C. Intent to Submit Form………</w:t>
      </w:r>
      <w:r w:rsidR="00884A26">
        <w:rPr>
          <w:rFonts w:eastAsia="Calibri" w:cstheme="minorHAnsi"/>
          <w:bCs/>
        </w:rPr>
        <w:t>…………………………………………………………………………………</w:t>
      </w:r>
      <w:r w:rsidR="00AE0473">
        <w:rPr>
          <w:rFonts w:eastAsia="Calibri" w:cstheme="minorHAnsi"/>
          <w:bCs/>
        </w:rPr>
        <w:t>6</w:t>
      </w:r>
    </w:p>
    <w:p w14:paraId="00A3C3CF" w14:textId="77777777" w:rsidR="001930E6" w:rsidRDefault="001930E6">
      <w:pPr>
        <w:spacing w:after="160" w:line="259" w:lineRule="auto"/>
        <w:rPr>
          <w:rFonts w:eastAsia="Calibri" w:cstheme="minorHAnsi"/>
          <w:b/>
          <w:bCs/>
        </w:rPr>
      </w:pPr>
      <w:r>
        <w:rPr>
          <w:rFonts w:eastAsia="Calibri" w:cstheme="minorHAnsi"/>
          <w:b/>
          <w:bCs/>
        </w:rPr>
        <w:br w:type="page"/>
      </w:r>
    </w:p>
    <w:p w14:paraId="54907025" w14:textId="272E6867" w:rsidR="009C5107" w:rsidRDefault="009C5107" w:rsidP="00051B47">
      <w:pPr>
        <w:spacing w:after="0" w:line="240" w:lineRule="auto"/>
        <w:jc w:val="center"/>
        <w:rPr>
          <w:rFonts w:eastAsia="Calibri" w:cstheme="minorHAnsi"/>
          <w:b/>
          <w:bCs/>
        </w:rPr>
      </w:pPr>
      <w:r w:rsidRPr="00C90EDA">
        <w:rPr>
          <w:rFonts w:eastAsia="Calibri" w:cstheme="minorHAnsi"/>
          <w:b/>
          <w:bCs/>
        </w:rPr>
        <w:lastRenderedPageBreak/>
        <w:t xml:space="preserve">Appendix A. </w:t>
      </w:r>
      <w:r w:rsidR="00147189">
        <w:rPr>
          <w:rFonts w:eastAsia="Calibri" w:cstheme="minorHAnsi"/>
          <w:b/>
          <w:bCs/>
        </w:rPr>
        <w:t xml:space="preserve">Updated </w:t>
      </w:r>
      <w:r w:rsidRPr="00C90EDA">
        <w:rPr>
          <w:rFonts w:eastAsia="Calibri" w:cstheme="minorHAnsi"/>
          <w:b/>
          <w:bCs/>
        </w:rPr>
        <w:t>Validity Testing</w:t>
      </w:r>
      <w:r w:rsidR="001930E6">
        <w:rPr>
          <w:rFonts w:eastAsia="Calibri" w:cstheme="minorHAnsi"/>
          <w:b/>
          <w:bCs/>
        </w:rPr>
        <w:t xml:space="preserve"> for Measure Testing Form</w:t>
      </w:r>
    </w:p>
    <w:p w14:paraId="3A67EEF1" w14:textId="77777777" w:rsidR="008275A4" w:rsidRPr="00C90EDA" w:rsidRDefault="008275A4" w:rsidP="00051B47">
      <w:pPr>
        <w:spacing w:after="0" w:line="240" w:lineRule="auto"/>
        <w:jc w:val="center"/>
        <w:rPr>
          <w:rFonts w:eastAsia="Calibri" w:cstheme="minorHAnsi"/>
          <w:b/>
          <w:bCs/>
        </w:rPr>
      </w:pPr>
    </w:p>
    <w:p w14:paraId="561BF8EF" w14:textId="77777777" w:rsidR="00291EB9" w:rsidRDefault="00291EB9" w:rsidP="00653F47">
      <w:pPr>
        <w:spacing w:after="0" w:line="240" w:lineRule="auto"/>
        <w:jc w:val="center"/>
        <w:rPr>
          <w:rFonts w:eastAsia="Calibri" w:cstheme="minorHAnsi"/>
          <w:b/>
          <w:bCs/>
        </w:rPr>
      </w:pPr>
    </w:p>
    <w:p w14:paraId="1D83F861" w14:textId="77D4A88C" w:rsidR="009C5107" w:rsidRPr="00C90EDA" w:rsidRDefault="009C5107" w:rsidP="00653F47">
      <w:pPr>
        <w:spacing w:after="0" w:line="240" w:lineRule="auto"/>
        <w:rPr>
          <w:rFonts w:cstheme="minorHAnsi"/>
          <w:b/>
          <w:bCs/>
        </w:rPr>
      </w:pPr>
      <w:bookmarkStart w:id="0" w:name="_Hlk528930529"/>
    </w:p>
    <w:p w14:paraId="3452E983" w14:textId="5816BDB5" w:rsidR="00CD1A9F" w:rsidRPr="00C90EDA" w:rsidRDefault="00CD1A9F" w:rsidP="00653F47">
      <w:pPr>
        <w:pStyle w:val="ListParagraph"/>
        <w:numPr>
          <w:ilvl w:val="0"/>
          <w:numId w:val="2"/>
        </w:numPr>
        <w:spacing w:after="0" w:line="240" w:lineRule="auto"/>
        <w:rPr>
          <w:rFonts w:cstheme="minorHAnsi"/>
          <w:b/>
          <w:bCs/>
        </w:rPr>
      </w:pPr>
      <w:r w:rsidRPr="00C90EDA">
        <w:rPr>
          <w:rFonts w:cstheme="minorHAnsi"/>
          <w:b/>
        </w:rPr>
        <w:t xml:space="preserve">Known-groups validity testing </w:t>
      </w:r>
      <w:r w:rsidR="00DC0932">
        <w:rPr>
          <w:rFonts w:cstheme="minorHAnsi"/>
          <w:b/>
        </w:rPr>
        <w:t>for</w:t>
      </w:r>
      <w:r w:rsidRPr="00C90EDA">
        <w:rPr>
          <w:rFonts w:cstheme="minorHAnsi"/>
          <w:b/>
        </w:rPr>
        <w:t xml:space="preserve"> </w:t>
      </w:r>
      <w:r w:rsidR="005A4AC8">
        <w:rPr>
          <w:rFonts w:cstheme="minorHAnsi"/>
          <w:b/>
        </w:rPr>
        <w:t>patients</w:t>
      </w:r>
      <w:r w:rsidR="005A4AC8" w:rsidRPr="00C90EDA">
        <w:rPr>
          <w:rFonts w:cstheme="minorHAnsi"/>
          <w:b/>
        </w:rPr>
        <w:t xml:space="preserve"> </w:t>
      </w:r>
      <w:r w:rsidRPr="00C90EDA">
        <w:rPr>
          <w:rFonts w:cstheme="minorHAnsi"/>
          <w:b/>
        </w:rPr>
        <w:t xml:space="preserve">with pressure ulcers at discharge vs. </w:t>
      </w:r>
      <w:r w:rsidR="00C90678">
        <w:rPr>
          <w:rFonts w:cstheme="minorHAnsi"/>
          <w:b/>
        </w:rPr>
        <w:t xml:space="preserve">those </w:t>
      </w:r>
      <w:r w:rsidRPr="00C90EDA">
        <w:rPr>
          <w:rFonts w:cstheme="minorHAnsi"/>
          <w:b/>
        </w:rPr>
        <w:t>without pressure ulcers</w:t>
      </w:r>
    </w:p>
    <w:p w14:paraId="40FDFF9C" w14:textId="77777777" w:rsidR="00CD1A9F" w:rsidRPr="00C90EDA" w:rsidRDefault="00CD1A9F" w:rsidP="00653F47">
      <w:pPr>
        <w:pStyle w:val="ListParagraph"/>
        <w:spacing w:after="0" w:line="240" w:lineRule="auto"/>
        <w:ind w:left="360"/>
        <w:rPr>
          <w:rFonts w:cstheme="minorHAnsi"/>
          <w:b/>
          <w:bCs/>
        </w:rPr>
      </w:pPr>
    </w:p>
    <w:p w14:paraId="33235888" w14:textId="61218EF0" w:rsidR="00CD1A9F" w:rsidRPr="00C90EDA" w:rsidRDefault="00CD1A9F" w:rsidP="00653F47">
      <w:pPr>
        <w:autoSpaceDE w:val="0"/>
        <w:autoSpaceDN w:val="0"/>
        <w:adjustRightInd w:val="0"/>
        <w:spacing w:after="0" w:line="240" w:lineRule="auto"/>
        <w:rPr>
          <w:rFonts w:cstheme="minorHAnsi"/>
        </w:rPr>
      </w:pPr>
      <w:r w:rsidRPr="00C90EDA">
        <w:rPr>
          <w:rFonts w:cstheme="minorHAnsi"/>
        </w:rPr>
        <w:t>We</w:t>
      </w:r>
      <w:r w:rsidRPr="00C90EDA" w:rsidDel="003C3293">
        <w:rPr>
          <w:rFonts w:cstheme="minorHAnsi"/>
        </w:rPr>
        <w:t xml:space="preserve"> </w:t>
      </w:r>
      <w:r w:rsidRPr="00C90EDA">
        <w:rPr>
          <w:rFonts w:cstheme="minorHAnsi"/>
        </w:rPr>
        <w:t xml:space="preserve">examined the relationship between </w:t>
      </w:r>
      <w:r w:rsidR="002D1BF7" w:rsidRPr="00C90EDA">
        <w:rPr>
          <w:rFonts w:cstheme="minorHAnsi"/>
        </w:rPr>
        <w:t>the presence of</w:t>
      </w:r>
      <w:r w:rsidR="00F90A06">
        <w:rPr>
          <w:rFonts w:cstheme="minorHAnsi"/>
        </w:rPr>
        <w:t xml:space="preserve"> at least one unhealed</w:t>
      </w:r>
      <w:r w:rsidR="002D1BF7" w:rsidRPr="00C90EDA">
        <w:rPr>
          <w:rFonts w:cstheme="minorHAnsi"/>
        </w:rPr>
        <w:t xml:space="preserve"> </w:t>
      </w:r>
      <w:r w:rsidR="002D1BF7">
        <w:rPr>
          <w:rFonts w:cstheme="minorHAnsi"/>
        </w:rPr>
        <w:t>s</w:t>
      </w:r>
      <w:r w:rsidR="002D1BF7" w:rsidRPr="00C90EDA">
        <w:rPr>
          <w:rFonts w:cstheme="minorHAnsi"/>
        </w:rPr>
        <w:t xml:space="preserve">tage </w:t>
      </w:r>
      <w:r w:rsidR="00F90A06">
        <w:rPr>
          <w:rFonts w:cstheme="minorHAnsi"/>
        </w:rPr>
        <w:t>II</w:t>
      </w:r>
      <w:r w:rsidR="00F90A06" w:rsidRPr="00F90A06">
        <w:rPr>
          <w:rFonts w:cstheme="minorHAnsi"/>
        </w:rPr>
        <w:t xml:space="preserve"> </w:t>
      </w:r>
      <w:r w:rsidR="00F90A06">
        <w:rPr>
          <w:rFonts w:cstheme="minorHAnsi"/>
        </w:rPr>
        <w:t xml:space="preserve">or higher </w:t>
      </w:r>
      <w:r w:rsidR="00D845C4">
        <w:rPr>
          <w:rFonts w:cstheme="minorHAnsi"/>
        </w:rPr>
        <w:t xml:space="preserve">or </w:t>
      </w:r>
      <w:r w:rsidR="002D1BF7">
        <w:rPr>
          <w:rFonts w:cstheme="minorHAnsi"/>
        </w:rPr>
        <w:t>u</w:t>
      </w:r>
      <w:r w:rsidR="002D1BF7" w:rsidRPr="00C90EDA">
        <w:rPr>
          <w:rFonts w:cstheme="minorHAnsi"/>
        </w:rPr>
        <w:t xml:space="preserve">nstageable </w:t>
      </w:r>
      <w:r w:rsidR="002D1BF7">
        <w:rPr>
          <w:rFonts w:cstheme="minorHAnsi"/>
        </w:rPr>
        <w:t>p</w:t>
      </w:r>
      <w:r w:rsidR="002D1BF7" w:rsidRPr="00C90EDA">
        <w:rPr>
          <w:rFonts w:cstheme="minorHAnsi"/>
        </w:rPr>
        <w:t xml:space="preserve">ressure </w:t>
      </w:r>
      <w:r w:rsidR="002D1BF7">
        <w:rPr>
          <w:rFonts w:cstheme="minorHAnsi"/>
        </w:rPr>
        <w:t>u</w:t>
      </w:r>
      <w:r w:rsidR="002D1BF7" w:rsidRPr="00C90EDA">
        <w:rPr>
          <w:rFonts w:cstheme="minorHAnsi"/>
        </w:rPr>
        <w:t xml:space="preserve">lcers at discharge </w:t>
      </w:r>
      <w:r w:rsidR="002D1BF7">
        <w:rPr>
          <w:rFonts w:cstheme="minorHAnsi"/>
        </w:rPr>
        <w:t xml:space="preserve">and </w:t>
      </w:r>
      <w:r w:rsidRPr="00C90EDA">
        <w:rPr>
          <w:rFonts w:cstheme="minorHAnsi"/>
        </w:rPr>
        <w:t xml:space="preserve">discharge to community </w:t>
      </w:r>
      <w:r w:rsidR="002D1BF7">
        <w:rPr>
          <w:rFonts w:cstheme="minorHAnsi"/>
        </w:rPr>
        <w:t>outcomes</w:t>
      </w:r>
      <w:r w:rsidRPr="00C90EDA">
        <w:rPr>
          <w:rFonts w:cstheme="minorHAnsi"/>
        </w:rPr>
        <w:t>.</w:t>
      </w:r>
      <w:r w:rsidRPr="00C90EDA" w:rsidDel="00480257">
        <w:rPr>
          <w:rFonts w:cstheme="minorHAnsi"/>
        </w:rPr>
        <w:t xml:space="preserve"> </w:t>
      </w:r>
      <w:r w:rsidRPr="00C90EDA">
        <w:rPr>
          <w:rFonts w:cstheme="minorHAnsi"/>
        </w:rPr>
        <w:t xml:space="preserve">We used data submitted using the </w:t>
      </w:r>
      <w:r w:rsidR="00F90A06">
        <w:t>OASIS-C1 assessments for the M1306 item</w:t>
      </w:r>
      <w:r w:rsidRPr="00C90EDA">
        <w:rPr>
          <w:rFonts w:cstheme="minorHAnsi"/>
        </w:rPr>
        <w:t xml:space="preserve">. </w:t>
      </w:r>
      <w:r w:rsidRPr="00C90EDA">
        <w:rPr>
          <w:rFonts w:cstheme="minorHAnsi"/>
          <w:bCs/>
        </w:rPr>
        <w:t xml:space="preserve">We </w:t>
      </w:r>
      <w:r w:rsidRPr="00C90EDA">
        <w:rPr>
          <w:rFonts w:cstheme="minorHAnsi"/>
        </w:rPr>
        <w:t xml:space="preserve">hypothesized that </w:t>
      </w:r>
      <w:r w:rsidR="002D06D5">
        <w:rPr>
          <w:rFonts w:cstheme="minorHAnsi"/>
        </w:rPr>
        <w:t>patients</w:t>
      </w:r>
      <w:r w:rsidR="002D06D5" w:rsidRPr="00C90EDA">
        <w:rPr>
          <w:rFonts w:cstheme="minorHAnsi"/>
          <w:b/>
        </w:rPr>
        <w:t xml:space="preserve"> </w:t>
      </w:r>
      <w:r w:rsidRPr="00C90EDA">
        <w:rPr>
          <w:rFonts w:cstheme="minorHAnsi"/>
        </w:rPr>
        <w:t xml:space="preserve">without any </w:t>
      </w:r>
      <w:r w:rsidR="00F90A06">
        <w:rPr>
          <w:rFonts w:cstheme="minorHAnsi"/>
        </w:rPr>
        <w:t xml:space="preserve">unhealed </w:t>
      </w:r>
      <w:r w:rsidR="00D845C4">
        <w:rPr>
          <w:rFonts w:cstheme="minorHAnsi"/>
        </w:rPr>
        <w:t>s</w:t>
      </w:r>
      <w:r w:rsidRPr="00C90EDA">
        <w:rPr>
          <w:rFonts w:cstheme="minorHAnsi"/>
        </w:rPr>
        <w:t xml:space="preserve">tage </w:t>
      </w:r>
      <w:r w:rsidR="00F90A06">
        <w:rPr>
          <w:rFonts w:cstheme="minorHAnsi"/>
        </w:rPr>
        <w:t>II</w:t>
      </w:r>
      <w:r w:rsidR="00F90A06" w:rsidRPr="00F90A06">
        <w:rPr>
          <w:rFonts w:cstheme="minorHAnsi"/>
        </w:rPr>
        <w:t xml:space="preserve"> </w:t>
      </w:r>
      <w:r w:rsidR="00F90A06">
        <w:rPr>
          <w:rFonts w:cstheme="minorHAnsi"/>
        </w:rPr>
        <w:t xml:space="preserve">or higher </w:t>
      </w:r>
      <w:r w:rsidR="00D845C4">
        <w:rPr>
          <w:rFonts w:cstheme="minorHAnsi"/>
        </w:rPr>
        <w:t>or u</w:t>
      </w:r>
      <w:r w:rsidRPr="00C90EDA">
        <w:rPr>
          <w:rFonts w:cstheme="minorHAnsi"/>
        </w:rPr>
        <w:t xml:space="preserve">nstageable </w:t>
      </w:r>
      <w:r w:rsidR="00D845C4">
        <w:rPr>
          <w:rFonts w:cstheme="minorHAnsi"/>
        </w:rPr>
        <w:t>p</w:t>
      </w:r>
      <w:r w:rsidRPr="00C90EDA">
        <w:rPr>
          <w:rFonts w:cstheme="minorHAnsi"/>
        </w:rPr>
        <w:t xml:space="preserve">ressure </w:t>
      </w:r>
      <w:r w:rsidR="00D845C4">
        <w:rPr>
          <w:rFonts w:cstheme="minorHAnsi"/>
        </w:rPr>
        <w:t>u</w:t>
      </w:r>
      <w:r w:rsidRPr="00C90EDA">
        <w:rPr>
          <w:rFonts w:cstheme="minorHAnsi"/>
        </w:rPr>
        <w:t>lcers would have higher DTC rates</w:t>
      </w:r>
      <w:r w:rsidR="00D845C4">
        <w:rPr>
          <w:rFonts w:cstheme="minorHAnsi"/>
        </w:rPr>
        <w:t xml:space="preserve"> compared </w:t>
      </w:r>
      <w:r w:rsidR="00E22DD5">
        <w:rPr>
          <w:rFonts w:cstheme="minorHAnsi"/>
        </w:rPr>
        <w:t>to</w:t>
      </w:r>
      <w:r w:rsidR="00D845C4">
        <w:rPr>
          <w:rFonts w:cstheme="minorHAnsi"/>
        </w:rPr>
        <w:t xml:space="preserve"> those with</w:t>
      </w:r>
      <w:r w:rsidR="00F90A06">
        <w:rPr>
          <w:rFonts w:cstheme="minorHAnsi"/>
        </w:rPr>
        <w:t xml:space="preserve"> an unhealed stage II or higher or u</w:t>
      </w:r>
      <w:r w:rsidR="00F90A06" w:rsidRPr="00C90EDA">
        <w:rPr>
          <w:rFonts w:cstheme="minorHAnsi"/>
        </w:rPr>
        <w:t xml:space="preserve">nstageable </w:t>
      </w:r>
      <w:r w:rsidR="00F90A06">
        <w:rPr>
          <w:rFonts w:cstheme="minorHAnsi"/>
        </w:rPr>
        <w:t>p</w:t>
      </w:r>
      <w:r w:rsidR="00F90A06" w:rsidRPr="00C90EDA">
        <w:rPr>
          <w:rFonts w:cstheme="minorHAnsi"/>
        </w:rPr>
        <w:t xml:space="preserve">ressure </w:t>
      </w:r>
      <w:r w:rsidR="00F90A06">
        <w:rPr>
          <w:rFonts w:cstheme="minorHAnsi"/>
        </w:rPr>
        <w:t>u</w:t>
      </w:r>
      <w:r w:rsidR="00F90A06" w:rsidRPr="00C90EDA">
        <w:rPr>
          <w:rFonts w:cstheme="minorHAnsi"/>
        </w:rPr>
        <w:t>lcers</w:t>
      </w:r>
      <w:r w:rsidRPr="00C90EDA">
        <w:rPr>
          <w:rFonts w:cstheme="minorHAnsi"/>
        </w:rPr>
        <w:t>.</w:t>
      </w:r>
      <w:r w:rsidRPr="00C90EDA">
        <w:t xml:space="preserve"> This analysis was not included in the testing </w:t>
      </w:r>
      <w:r w:rsidR="00D66E4E">
        <w:t>form</w:t>
      </w:r>
      <w:r w:rsidRPr="00C90EDA">
        <w:t xml:space="preserve">. </w:t>
      </w:r>
    </w:p>
    <w:p w14:paraId="08C600B4" w14:textId="77777777" w:rsidR="00CD1A9F" w:rsidRPr="00C90EDA" w:rsidRDefault="00CD1A9F" w:rsidP="00653F47">
      <w:pPr>
        <w:autoSpaceDE w:val="0"/>
        <w:autoSpaceDN w:val="0"/>
        <w:adjustRightInd w:val="0"/>
        <w:spacing w:after="0" w:line="240" w:lineRule="auto"/>
        <w:rPr>
          <w:rFonts w:cstheme="minorHAnsi"/>
          <w:b/>
        </w:rPr>
      </w:pPr>
    </w:p>
    <w:p w14:paraId="6D526A62" w14:textId="714D6006" w:rsidR="00CD1A9F" w:rsidRPr="00C90EDA" w:rsidRDefault="00B533DA" w:rsidP="00653F47">
      <w:pPr>
        <w:autoSpaceDE w:val="0"/>
        <w:autoSpaceDN w:val="0"/>
        <w:adjustRightInd w:val="0"/>
        <w:spacing w:after="0" w:line="240" w:lineRule="auto"/>
        <w:rPr>
          <w:rFonts w:cstheme="minorHAnsi"/>
          <w:bCs/>
        </w:rPr>
      </w:pPr>
      <w:r>
        <w:rPr>
          <w:rFonts w:cstheme="minorHAnsi"/>
          <w:b/>
        </w:rPr>
        <w:t>Table A-1</w:t>
      </w:r>
      <w:r w:rsidR="00CD1A9F" w:rsidRPr="00C90EDA">
        <w:rPr>
          <w:rFonts w:cstheme="minorHAnsi"/>
          <w:bCs/>
        </w:rPr>
        <w:t xml:space="preserve"> </w:t>
      </w:r>
      <w:r w:rsidR="00CD1A9F" w:rsidRPr="00C90EDA">
        <w:rPr>
          <w:rFonts w:cstheme="minorHAnsi"/>
        </w:rPr>
        <w:t>presents</w:t>
      </w:r>
      <w:r w:rsidR="00CD1A9F" w:rsidRPr="00C90EDA">
        <w:rPr>
          <w:rFonts w:cstheme="minorHAnsi"/>
          <w:bCs/>
        </w:rPr>
        <w:t xml:space="preserve"> known-groups </w:t>
      </w:r>
      <w:r w:rsidR="00D66E4E">
        <w:rPr>
          <w:rFonts w:cstheme="minorHAnsi"/>
          <w:bCs/>
        </w:rPr>
        <w:t xml:space="preserve">validity </w:t>
      </w:r>
      <w:r w:rsidR="00CD1A9F" w:rsidRPr="00C90EDA">
        <w:rPr>
          <w:rFonts w:cstheme="minorHAnsi"/>
          <w:bCs/>
        </w:rPr>
        <w:t xml:space="preserve">testing results for </w:t>
      </w:r>
      <w:r w:rsidR="00F90A06">
        <w:rPr>
          <w:rFonts w:cstheme="minorHAnsi"/>
          <w:bCs/>
        </w:rPr>
        <w:t>patients</w:t>
      </w:r>
      <w:r w:rsidR="00CD1A9F" w:rsidRPr="00C90EDA">
        <w:rPr>
          <w:rFonts w:cstheme="minorHAnsi"/>
          <w:bCs/>
        </w:rPr>
        <w:t xml:space="preserve"> with pressure ulcers at discharge</w:t>
      </w:r>
      <w:r w:rsidR="00360502">
        <w:rPr>
          <w:rFonts w:cstheme="minorHAnsi"/>
          <w:bCs/>
        </w:rPr>
        <w:t xml:space="preserve"> </w:t>
      </w:r>
      <w:r w:rsidR="00D66E4E">
        <w:rPr>
          <w:rFonts w:cstheme="minorHAnsi"/>
          <w:bCs/>
        </w:rPr>
        <w:t xml:space="preserve">compared with those </w:t>
      </w:r>
      <w:r w:rsidR="00CD1A9F" w:rsidRPr="00C90EDA">
        <w:rPr>
          <w:rFonts w:cstheme="minorHAnsi"/>
          <w:bCs/>
        </w:rPr>
        <w:t xml:space="preserve">without pressure ulcers. The successful DTC rate </w:t>
      </w:r>
      <w:r w:rsidR="00F90A06">
        <w:t>was 10.</w:t>
      </w:r>
      <w:r w:rsidR="001C0144">
        <w:t xml:space="preserve">4 </w:t>
      </w:r>
      <w:r w:rsidR="00F90A06">
        <w:t xml:space="preserve">percentage points lower for those who were discharged with at least </w:t>
      </w:r>
      <w:r w:rsidR="005A25AC">
        <w:t xml:space="preserve">one </w:t>
      </w:r>
      <w:r w:rsidR="00F90A06">
        <w:t xml:space="preserve">unhealed pressure ulcer at stage II or higher or unstageable (80.6%) compared to those who were discharged without at least </w:t>
      </w:r>
      <w:r w:rsidR="005A25AC">
        <w:t xml:space="preserve">one </w:t>
      </w:r>
      <w:r w:rsidR="00F90A06">
        <w:t>unhealed pressure ulcer at stage II or higher or unstageable (91.0%).</w:t>
      </w:r>
    </w:p>
    <w:p w14:paraId="0DC81DE0" w14:textId="0115ABF6" w:rsidR="00CD1A9F" w:rsidRDefault="00CD1A9F" w:rsidP="00653F47">
      <w:pPr>
        <w:pStyle w:val="ListParagraph"/>
        <w:autoSpaceDE w:val="0"/>
        <w:autoSpaceDN w:val="0"/>
        <w:adjustRightInd w:val="0"/>
        <w:spacing w:after="0" w:line="240" w:lineRule="auto"/>
        <w:rPr>
          <w:rFonts w:cstheme="minorHAnsi"/>
          <w:bCs/>
        </w:rPr>
      </w:pPr>
    </w:p>
    <w:p w14:paraId="512EDFFC" w14:textId="36B640F0" w:rsidR="00CD1A9F" w:rsidRPr="00C90EDA" w:rsidRDefault="00B533DA" w:rsidP="00653F47">
      <w:pPr>
        <w:autoSpaceDE w:val="0"/>
        <w:autoSpaceDN w:val="0"/>
        <w:adjustRightInd w:val="0"/>
        <w:spacing w:after="0" w:line="240" w:lineRule="auto"/>
        <w:rPr>
          <w:rFonts w:cstheme="minorHAnsi"/>
          <w:b/>
          <w:bCs/>
        </w:rPr>
      </w:pPr>
      <w:r>
        <w:rPr>
          <w:rFonts w:cstheme="minorHAnsi"/>
          <w:b/>
          <w:bCs/>
        </w:rPr>
        <w:t>Table A-1</w:t>
      </w:r>
      <w:r w:rsidR="00CD1A9F" w:rsidRPr="00C90EDA">
        <w:rPr>
          <w:rFonts w:cstheme="minorHAnsi"/>
          <w:b/>
          <w:bCs/>
        </w:rPr>
        <w:t xml:space="preserve">. Successful Discharge to Community Rates for </w:t>
      </w:r>
      <w:r w:rsidR="005A4AC8">
        <w:rPr>
          <w:rFonts w:cstheme="minorHAnsi"/>
          <w:b/>
          <w:bCs/>
        </w:rPr>
        <w:t xml:space="preserve">Patients </w:t>
      </w:r>
      <w:r w:rsidR="00CD1A9F" w:rsidRPr="00C90EDA">
        <w:rPr>
          <w:rFonts w:cstheme="minorHAnsi"/>
          <w:b/>
          <w:bCs/>
        </w:rPr>
        <w:t xml:space="preserve">with Pressure Ulcers vs. </w:t>
      </w:r>
      <w:r w:rsidR="005A4AC8">
        <w:rPr>
          <w:rFonts w:cstheme="minorHAnsi"/>
          <w:b/>
          <w:bCs/>
        </w:rPr>
        <w:t xml:space="preserve">Patients </w:t>
      </w:r>
      <w:r w:rsidR="00CD1A9F" w:rsidRPr="00C90EDA">
        <w:rPr>
          <w:rFonts w:cstheme="minorHAnsi"/>
          <w:b/>
          <w:bCs/>
        </w:rPr>
        <w:t>without Pressure Ulcers</w:t>
      </w:r>
    </w:p>
    <w:tbl>
      <w:tblPr>
        <w:tblW w:w="8190" w:type="dxa"/>
        <w:tblCellMar>
          <w:left w:w="0" w:type="dxa"/>
          <w:right w:w="0" w:type="dxa"/>
        </w:tblCellMar>
        <w:tblLook w:val="04A0" w:firstRow="1" w:lastRow="0" w:firstColumn="1" w:lastColumn="0" w:noHBand="0" w:noVBand="1"/>
      </w:tblPr>
      <w:tblGrid>
        <w:gridCol w:w="2250"/>
        <w:gridCol w:w="2070"/>
        <w:gridCol w:w="1890"/>
        <w:gridCol w:w="1980"/>
      </w:tblGrid>
      <w:tr w:rsidR="00B533DA" w14:paraId="78FB2153" w14:textId="77777777" w:rsidTr="00EA02B5">
        <w:tc>
          <w:tcPr>
            <w:tcW w:w="2250" w:type="dxa"/>
            <w:tcBorders>
              <w:top w:val="single" w:sz="12" w:space="0" w:color="auto"/>
              <w:left w:val="nil"/>
              <w:bottom w:val="single" w:sz="8" w:space="0" w:color="auto"/>
              <w:right w:val="nil"/>
            </w:tcBorders>
            <w:shd w:val="clear" w:color="auto" w:fill="D9D9D9"/>
            <w:tcMar>
              <w:top w:w="0" w:type="dxa"/>
              <w:left w:w="58" w:type="dxa"/>
              <w:bottom w:w="0" w:type="dxa"/>
              <w:right w:w="58" w:type="dxa"/>
            </w:tcMar>
            <w:vAlign w:val="bottom"/>
            <w:hideMark/>
          </w:tcPr>
          <w:bookmarkEnd w:id="0"/>
          <w:p w14:paraId="5F161CA6" w14:textId="46F0E957" w:rsidR="00B533DA" w:rsidRDefault="00B533DA" w:rsidP="00EA02B5">
            <w:pPr>
              <w:autoSpaceDE w:val="0"/>
              <w:autoSpaceDN w:val="0"/>
              <w:jc w:val="center"/>
              <w:rPr>
                <w:rFonts w:eastAsiaTheme="minorHAnsi"/>
                <w:b/>
                <w:bCs/>
              </w:rPr>
            </w:pPr>
            <w:r>
              <w:rPr>
                <w:b/>
                <w:bCs/>
              </w:rPr>
              <w:t>Characteristic</w:t>
            </w:r>
          </w:p>
        </w:tc>
        <w:tc>
          <w:tcPr>
            <w:tcW w:w="2070" w:type="dxa"/>
            <w:tcBorders>
              <w:top w:val="single" w:sz="12" w:space="0" w:color="auto"/>
              <w:left w:val="nil"/>
              <w:bottom w:val="single" w:sz="8" w:space="0" w:color="auto"/>
              <w:right w:val="nil"/>
            </w:tcBorders>
            <w:shd w:val="clear" w:color="auto" w:fill="D9D9D9"/>
            <w:tcMar>
              <w:top w:w="0" w:type="dxa"/>
              <w:left w:w="58" w:type="dxa"/>
              <w:bottom w:w="0" w:type="dxa"/>
              <w:right w:w="58" w:type="dxa"/>
            </w:tcMar>
            <w:vAlign w:val="bottom"/>
            <w:hideMark/>
          </w:tcPr>
          <w:p w14:paraId="6E55E5D7" w14:textId="49CDAA2F" w:rsidR="00B533DA" w:rsidRDefault="00F52F88" w:rsidP="00EA02B5">
            <w:pPr>
              <w:autoSpaceDE w:val="0"/>
              <w:autoSpaceDN w:val="0"/>
              <w:jc w:val="center"/>
              <w:rPr>
                <w:b/>
                <w:bCs/>
              </w:rPr>
            </w:pPr>
            <w:r w:rsidRPr="00C90EDA">
              <w:rPr>
                <w:rFonts w:cstheme="minorHAnsi"/>
                <w:b/>
                <w:bCs/>
              </w:rPr>
              <w:t>Stage 2, 3, 4</w:t>
            </w:r>
            <w:r>
              <w:rPr>
                <w:rFonts w:cstheme="minorHAnsi"/>
                <w:b/>
                <w:bCs/>
              </w:rPr>
              <w:t>,</w:t>
            </w:r>
            <w:r w:rsidRPr="00C90EDA">
              <w:rPr>
                <w:rFonts w:cstheme="minorHAnsi"/>
                <w:b/>
                <w:bCs/>
              </w:rPr>
              <w:t xml:space="preserve"> </w:t>
            </w:r>
            <w:r>
              <w:rPr>
                <w:rFonts w:cstheme="minorHAnsi"/>
                <w:b/>
                <w:bCs/>
              </w:rPr>
              <w:t>U</w:t>
            </w:r>
            <w:r w:rsidRPr="00C90EDA">
              <w:rPr>
                <w:rFonts w:cstheme="minorHAnsi"/>
                <w:b/>
                <w:bCs/>
              </w:rPr>
              <w:t>nstageable</w:t>
            </w:r>
            <w:r>
              <w:rPr>
                <w:rFonts w:cstheme="minorHAnsi"/>
                <w:b/>
                <w:bCs/>
              </w:rPr>
              <w:t xml:space="preserve"> Present (n=32,742)</w:t>
            </w:r>
          </w:p>
        </w:tc>
        <w:tc>
          <w:tcPr>
            <w:tcW w:w="1890" w:type="dxa"/>
            <w:tcBorders>
              <w:top w:val="single" w:sz="12" w:space="0" w:color="auto"/>
              <w:left w:val="nil"/>
              <w:bottom w:val="single" w:sz="8" w:space="0" w:color="auto"/>
              <w:right w:val="nil"/>
            </w:tcBorders>
            <w:shd w:val="clear" w:color="auto" w:fill="D9D9D9"/>
            <w:tcMar>
              <w:top w:w="0" w:type="dxa"/>
              <w:left w:w="58" w:type="dxa"/>
              <w:bottom w:w="0" w:type="dxa"/>
              <w:right w:w="58" w:type="dxa"/>
            </w:tcMar>
            <w:vAlign w:val="bottom"/>
            <w:hideMark/>
          </w:tcPr>
          <w:p w14:paraId="705F6BA1" w14:textId="2F61CF80" w:rsidR="00B533DA" w:rsidRDefault="00F52F88" w:rsidP="00EA02B5">
            <w:pPr>
              <w:autoSpaceDE w:val="0"/>
              <w:autoSpaceDN w:val="0"/>
              <w:jc w:val="center"/>
              <w:rPr>
                <w:b/>
                <w:bCs/>
              </w:rPr>
            </w:pPr>
            <w:r>
              <w:rPr>
                <w:b/>
                <w:bCs/>
              </w:rPr>
              <w:t>Pressure Ulcer Absent (n=</w:t>
            </w:r>
            <w:r w:rsidRPr="00F52F88">
              <w:rPr>
                <w:b/>
                <w:bCs/>
              </w:rPr>
              <w:t>4,509,758</w:t>
            </w:r>
            <w:r>
              <w:rPr>
                <w:b/>
                <w:bCs/>
              </w:rPr>
              <w:t>)</w:t>
            </w:r>
          </w:p>
        </w:tc>
        <w:tc>
          <w:tcPr>
            <w:tcW w:w="1980" w:type="dxa"/>
            <w:tcBorders>
              <w:top w:val="single" w:sz="12" w:space="0" w:color="auto"/>
              <w:left w:val="nil"/>
              <w:bottom w:val="single" w:sz="8" w:space="0" w:color="auto"/>
              <w:right w:val="nil"/>
            </w:tcBorders>
            <w:shd w:val="clear" w:color="auto" w:fill="D9D9D9"/>
            <w:tcMar>
              <w:top w:w="0" w:type="dxa"/>
              <w:left w:w="58" w:type="dxa"/>
              <w:bottom w:w="0" w:type="dxa"/>
              <w:right w:w="58" w:type="dxa"/>
            </w:tcMar>
            <w:vAlign w:val="bottom"/>
            <w:hideMark/>
          </w:tcPr>
          <w:p w14:paraId="48590E52" w14:textId="662D43C9" w:rsidR="00B533DA" w:rsidRDefault="00B533DA" w:rsidP="00EA02B5">
            <w:pPr>
              <w:autoSpaceDE w:val="0"/>
              <w:autoSpaceDN w:val="0"/>
              <w:jc w:val="center"/>
              <w:rPr>
                <w:b/>
                <w:bCs/>
              </w:rPr>
            </w:pPr>
            <w:r>
              <w:rPr>
                <w:b/>
                <w:bCs/>
              </w:rPr>
              <w:t>All Patients</w:t>
            </w:r>
          </w:p>
          <w:p w14:paraId="17B0E984" w14:textId="34212665" w:rsidR="00EA02B5" w:rsidRDefault="00EA02B5" w:rsidP="00EA02B5">
            <w:pPr>
              <w:autoSpaceDE w:val="0"/>
              <w:autoSpaceDN w:val="0"/>
              <w:jc w:val="center"/>
              <w:rPr>
                <w:b/>
                <w:bCs/>
              </w:rPr>
            </w:pPr>
            <w:r>
              <w:rPr>
                <w:b/>
                <w:bCs/>
              </w:rPr>
              <w:t>(n=</w:t>
            </w:r>
            <w:r w:rsidRPr="00EA02B5">
              <w:rPr>
                <w:b/>
                <w:bCs/>
              </w:rPr>
              <w:t>4,542,500</w:t>
            </w:r>
            <w:r>
              <w:rPr>
                <w:b/>
                <w:bCs/>
              </w:rPr>
              <w:t>)</w:t>
            </w:r>
          </w:p>
        </w:tc>
      </w:tr>
      <w:tr w:rsidR="00B533DA" w14:paraId="2DD18633" w14:textId="77777777" w:rsidTr="00EA02B5">
        <w:tc>
          <w:tcPr>
            <w:tcW w:w="2250" w:type="dxa"/>
            <w:tcMar>
              <w:top w:w="0" w:type="dxa"/>
              <w:left w:w="58" w:type="dxa"/>
              <w:bottom w:w="0" w:type="dxa"/>
              <w:right w:w="58" w:type="dxa"/>
            </w:tcMar>
            <w:hideMark/>
          </w:tcPr>
          <w:p w14:paraId="553A6C14" w14:textId="1B873ECD" w:rsidR="00B533DA" w:rsidRDefault="00884A26" w:rsidP="00884A26">
            <w:pPr>
              <w:autoSpaceDE w:val="0"/>
              <w:autoSpaceDN w:val="0"/>
              <w:spacing w:after="0"/>
            </w:pPr>
            <w:r>
              <w:t>Successful DTC</w:t>
            </w:r>
          </w:p>
        </w:tc>
        <w:tc>
          <w:tcPr>
            <w:tcW w:w="2070" w:type="dxa"/>
            <w:tcMar>
              <w:top w:w="0" w:type="dxa"/>
              <w:left w:w="58" w:type="dxa"/>
              <w:bottom w:w="0" w:type="dxa"/>
              <w:right w:w="58" w:type="dxa"/>
            </w:tcMar>
            <w:hideMark/>
          </w:tcPr>
          <w:p w14:paraId="3D513014" w14:textId="47CC9750" w:rsidR="00B533DA" w:rsidRDefault="00B533DA" w:rsidP="00EA02B5">
            <w:pPr>
              <w:autoSpaceDE w:val="0"/>
              <w:autoSpaceDN w:val="0"/>
              <w:spacing w:after="0"/>
              <w:ind w:left="-58" w:firstLine="58"/>
            </w:pPr>
            <w:r>
              <w:t xml:space="preserve"> </w:t>
            </w:r>
            <w:r w:rsidR="00EA02B5">
              <w:t xml:space="preserve"> </w:t>
            </w:r>
            <w:r w:rsidR="00EA02B5">
              <w:rPr>
                <w:color w:val="000000"/>
              </w:rPr>
              <w:t>80.6%</w:t>
            </w:r>
          </w:p>
        </w:tc>
        <w:tc>
          <w:tcPr>
            <w:tcW w:w="1890" w:type="dxa"/>
            <w:tcMar>
              <w:top w:w="0" w:type="dxa"/>
              <w:left w:w="58" w:type="dxa"/>
              <w:bottom w:w="0" w:type="dxa"/>
              <w:right w:w="58" w:type="dxa"/>
            </w:tcMar>
            <w:hideMark/>
          </w:tcPr>
          <w:p w14:paraId="6EAE4FEC" w14:textId="5CA8F680" w:rsidR="00B533DA" w:rsidRDefault="00B533DA" w:rsidP="00EA02B5">
            <w:pPr>
              <w:autoSpaceDE w:val="0"/>
              <w:autoSpaceDN w:val="0"/>
              <w:spacing w:after="0"/>
              <w:jc w:val="center"/>
            </w:pPr>
            <w:r>
              <w:t xml:space="preserve"> </w:t>
            </w:r>
            <w:r>
              <w:rPr>
                <w:color w:val="000000"/>
              </w:rPr>
              <w:t>91.0%</w:t>
            </w:r>
          </w:p>
        </w:tc>
        <w:tc>
          <w:tcPr>
            <w:tcW w:w="1980" w:type="dxa"/>
            <w:tcMar>
              <w:top w:w="0" w:type="dxa"/>
              <w:left w:w="58" w:type="dxa"/>
              <w:bottom w:w="0" w:type="dxa"/>
              <w:right w:w="58" w:type="dxa"/>
            </w:tcMar>
            <w:hideMark/>
          </w:tcPr>
          <w:p w14:paraId="303CF6B7" w14:textId="4030DDE6" w:rsidR="00B533DA" w:rsidRDefault="00B533DA" w:rsidP="00EA02B5">
            <w:pPr>
              <w:autoSpaceDE w:val="0"/>
              <w:autoSpaceDN w:val="0"/>
              <w:spacing w:after="0"/>
              <w:jc w:val="center"/>
            </w:pPr>
            <w:r>
              <w:t xml:space="preserve"> </w:t>
            </w:r>
            <w:r>
              <w:rPr>
                <w:color w:val="000000"/>
              </w:rPr>
              <w:t>90.9%</w:t>
            </w:r>
          </w:p>
        </w:tc>
      </w:tr>
    </w:tbl>
    <w:p w14:paraId="6AD2F629" w14:textId="77777777" w:rsidR="00B533DA" w:rsidRDefault="00B533DA" w:rsidP="00B533DA">
      <w:pPr>
        <w:autoSpaceDE w:val="0"/>
        <w:autoSpaceDN w:val="0"/>
        <w:rPr>
          <w:rFonts w:ascii="Calibri" w:eastAsiaTheme="minorHAnsi" w:hAnsi="Calibri"/>
        </w:rPr>
      </w:pPr>
      <w:r>
        <w:rPr>
          <w:sz w:val="18"/>
          <w:szCs w:val="18"/>
        </w:rPr>
        <w:t>Acumen Analysis of Medicare Claims File and OASIS Assessments (M1306 Item) for HH, CY 2015-2016.</w:t>
      </w:r>
    </w:p>
    <w:p w14:paraId="07F09172" w14:textId="77777777" w:rsidR="008A5C65" w:rsidRDefault="008A5C65">
      <w:pPr>
        <w:spacing w:after="160" w:line="259" w:lineRule="auto"/>
        <w:rPr>
          <w:rFonts w:eastAsia="Calibri" w:cstheme="minorHAnsi"/>
          <w:b/>
          <w:bCs/>
        </w:rPr>
      </w:pPr>
      <w:r>
        <w:rPr>
          <w:rFonts w:eastAsia="Calibri" w:cstheme="minorHAnsi"/>
          <w:b/>
          <w:bCs/>
        </w:rPr>
        <w:br w:type="page"/>
      </w:r>
    </w:p>
    <w:p w14:paraId="5533A88D" w14:textId="5248B3F5" w:rsidR="00E547E2" w:rsidRPr="00C90EDA" w:rsidRDefault="00E547E2" w:rsidP="00051B47">
      <w:pPr>
        <w:spacing w:after="0" w:line="240" w:lineRule="auto"/>
        <w:jc w:val="center"/>
        <w:rPr>
          <w:rFonts w:eastAsia="Calibri" w:cstheme="minorHAnsi"/>
          <w:b/>
          <w:bCs/>
        </w:rPr>
      </w:pPr>
      <w:r w:rsidRPr="00C90EDA">
        <w:rPr>
          <w:rFonts w:eastAsia="Calibri" w:cstheme="minorHAnsi"/>
          <w:b/>
          <w:bCs/>
        </w:rPr>
        <w:lastRenderedPageBreak/>
        <w:t>Appendix B. Additional Social Risk Factor Testing</w:t>
      </w:r>
      <w:r w:rsidR="001930E6">
        <w:rPr>
          <w:rFonts w:eastAsia="Calibri" w:cstheme="minorHAnsi"/>
          <w:b/>
          <w:bCs/>
        </w:rPr>
        <w:t xml:space="preserve"> for Measure Testing Form</w:t>
      </w:r>
    </w:p>
    <w:p w14:paraId="39D61F16" w14:textId="77777777" w:rsidR="00E547E2" w:rsidRPr="00C90EDA" w:rsidRDefault="00E547E2" w:rsidP="00E547E2">
      <w:pPr>
        <w:spacing w:after="0" w:line="240" w:lineRule="auto"/>
        <w:rPr>
          <w:rFonts w:eastAsia="Calibri" w:cstheme="minorHAnsi"/>
          <w:bCs/>
        </w:rPr>
      </w:pPr>
    </w:p>
    <w:p w14:paraId="66735E1D" w14:textId="01EE970D" w:rsidR="00E547E2" w:rsidRPr="00C90EDA" w:rsidRDefault="00E547E2" w:rsidP="00E547E2">
      <w:pPr>
        <w:spacing w:after="0" w:line="240" w:lineRule="auto"/>
        <w:rPr>
          <w:rFonts w:cstheme="minorHAnsi"/>
          <w:bCs/>
        </w:rPr>
      </w:pPr>
      <w:r w:rsidRPr="00C90EDA">
        <w:rPr>
          <w:rFonts w:eastAsia="Calibri" w:cstheme="minorHAnsi"/>
          <w:bCs/>
        </w:rPr>
        <w:t xml:space="preserve">In our </w:t>
      </w:r>
      <w:r w:rsidR="005A64FC">
        <w:rPr>
          <w:rFonts w:eastAsia="Calibri" w:cstheme="minorHAnsi"/>
          <w:bCs/>
        </w:rPr>
        <w:t>Measure Testing Form, we tested</w:t>
      </w:r>
      <w:r w:rsidR="00370B98">
        <w:rPr>
          <w:rFonts w:eastAsia="Calibri" w:cstheme="minorHAnsi"/>
          <w:bCs/>
        </w:rPr>
        <w:t xml:space="preserve"> </w:t>
      </w:r>
      <w:r w:rsidRPr="00C90EDA">
        <w:rPr>
          <w:rFonts w:eastAsia="Calibri" w:cstheme="minorHAnsi"/>
          <w:bCs/>
        </w:rPr>
        <w:t>dual</w:t>
      </w:r>
      <w:r w:rsidR="005A64FC">
        <w:rPr>
          <w:rFonts w:eastAsia="Calibri" w:cstheme="minorHAnsi"/>
          <w:bCs/>
        </w:rPr>
        <w:t xml:space="preserve"> eligibility</w:t>
      </w:r>
      <w:r w:rsidRPr="00C90EDA">
        <w:rPr>
          <w:rFonts w:eastAsia="Calibri" w:cstheme="minorHAnsi"/>
          <w:bCs/>
        </w:rPr>
        <w:t xml:space="preserve"> </w:t>
      </w:r>
      <w:r w:rsidR="000A426E">
        <w:rPr>
          <w:rFonts w:eastAsia="Calibri" w:cstheme="minorHAnsi"/>
          <w:bCs/>
        </w:rPr>
        <w:t xml:space="preserve">status </w:t>
      </w:r>
      <w:r w:rsidR="00370B98">
        <w:rPr>
          <w:rFonts w:eastAsia="Calibri" w:cstheme="minorHAnsi"/>
          <w:bCs/>
        </w:rPr>
        <w:t>and rural location</w:t>
      </w:r>
      <w:r w:rsidRPr="00C90EDA">
        <w:rPr>
          <w:rFonts w:eastAsia="Calibri" w:cstheme="minorHAnsi"/>
          <w:bCs/>
        </w:rPr>
        <w:t xml:space="preserve"> </w:t>
      </w:r>
      <w:r w:rsidR="00370B98">
        <w:rPr>
          <w:rFonts w:eastAsia="Calibri" w:cstheme="minorHAnsi"/>
          <w:bCs/>
        </w:rPr>
        <w:t>as</w:t>
      </w:r>
      <w:r w:rsidRPr="00C90EDA">
        <w:rPr>
          <w:rFonts w:eastAsia="Calibri" w:cstheme="minorHAnsi"/>
          <w:bCs/>
        </w:rPr>
        <w:t xml:space="preserve"> social risk factor</w:t>
      </w:r>
      <w:r w:rsidR="00370B98">
        <w:rPr>
          <w:rFonts w:eastAsia="Calibri" w:cstheme="minorHAnsi"/>
          <w:bCs/>
        </w:rPr>
        <w:t>s</w:t>
      </w:r>
      <w:r w:rsidRPr="00C90EDA">
        <w:rPr>
          <w:rFonts w:cstheme="minorHAnsi"/>
        </w:rPr>
        <w:t xml:space="preserve">. </w:t>
      </w:r>
      <w:r w:rsidR="00370B98">
        <w:t>Data for rural location, and Medicaid dual status were readily available through the enrollment database (EDB) and Common Medicare Environment (CME) and analyzed during the measure testing process.</w:t>
      </w:r>
      <w:r w:rsidRPr="00C90EDA">
        <w:rPr>
          <w:rFonts w:cstheme="minorHAnsi"/>
        </w:rPr>
        <w:t xml:space="preserve"> </w:t>
      </w:r>
      <w:r w:rsidRPr="00C90EDA">
        <w:rPr>
          <w:rFonts w:eastAsia="Calibri" w:cstheme="minorHAnsi"/>
          <w:bCs/>
        </w:rPr>
        <w:t xml:space="preserve">(testing form, section </w:t>
      </w:r>
      <w:r w:rsidRPr="00C90EDA">
        <w:rPr>
          <w:rFonts w:cstheme="minorHAnsi"/>
          <w:b/>
          <w:bCs/>
        </w:rPr>
        <w:t>2b3.3b</w:t>
      </w:r>
      <w:r w:rsidRPr="00C90EDA">
        <w:rPr>
          <w:rFonts w:cstheme="minorHAnsi"/>
          <w:bCs/>
        </w:rPr>
        <w:t>).</w:t>
      </w:r>
    </w:p>
    <w:p w14:paraId="72EE778B" w14:textId="77777777" w:rsidR="00E547E2" w:rsidRPr="00C90EDA" w:rsidRDefault="00E547E2" w:rsidP="00E547E2">
      <w:pPr>
        <w:spacing w:after="0" w:line="240" w:lineRule="auto"/>
        <w:rPr>
          <w:rFonts w:cstheme="minorHAnsi"/>
          <w:bCs/>
        </w:rPr>
      </w:pPr>
    </w:p>
    <w:p w14:paraId="416CF6BF" w14:textId="1A204FA8" w:rsidR="00E547E2" w:rsidRPr="00C90EDA" w:rsidRDefault="00E547E2" w:rsidP="00E547E2">
      <w:pPr>
        <w:spacing w:after="0" w:line="240" w:lineRule="auto"/>
        <w:rPr>
          <w:rFonts w:eastAsia="Calibri" w:cstheme="minorHAnsi"/>
        </w:rPr>
      </w:pPr>
      <w:r w:rsidRPr="00C90EDA">
        <w:rPr>
          <w:rFonts w:eastAsia="Calibri" w:cstheme="minorHAnsi"/>
        </w:rPr>
        <w:t xml:space="preserve">In this supplemental analysis, we present social risk factor testing using additional </w:t>
      </w:r>
      <w:r w:rsidR="00E60EF5">
        <w:rPr>
          <w:rFonts w:eastAsia="Calibri" w:cstheme="minorHAnsi"/>
        </w:rPr>
        <w:t>beneficiary</w:t>
      </w:r>
      <w:r w:rsidRPr="00C90EDA">
        <w:rPr>
          <w:rFonts w:eastAsia="Calibri" w:cstheme="minorHAnsi"/>
        </w:rPr>
        <w:t>-level and county-level social risk factors. In addition to dual eligibility</w:t>
      </w:r>
      <w:r w:rsidR="00EA02B5">
        <w:rPr>
          <w:rFonts w:eastAsia="Calibri" w:cstheme="minorHAnsi"/>
        </w:rPr>
        <w:t xml:space="preserve"> and rural location</w:t>
      </w:r>
      <w:r w:rsidRPr="00C90EDA">
        <w:rPr>
          <w:rFonts w:eastAsia="Calibri" w:cstheme="minorHAnsi"/>
        </w:rPr>
        <w:t xml:space="preserve">, we </w:t>
      </w:r>
      <w:r w:rsidR="00EA02B5">
        <w:rPr>
          <w:rFonts w:eastAsia="Calibri" w:cstheme="minorHAnsi"/>
        </w:rPr>
        <w:t xml:space="preserve">further </w:t>
      </w:r>
      <w:r w:rsidRPr="00C90EDA">
        <w:rPr>
          <w:rFonts w:eastAsia="Calibri" w:cstheme="minorHAnsi"/>
        </w:rPr>
        <w:t xml:space="preserve">tested race/ethnicity, urbanicity based on beneficiary residence, and socioeconomic status (SES). Dual eligibility was defined as described in the testing form (section </w:t>
      </w:r>
      <w:r w:rsidRPr="00C90EDA">
        <w:rPr>
          <w:rFonts w:eastAsia="Calibri" w:cstheme="minorHAnsi"/>
          <w:b/>
        </w:rPr>
        <w:t>1.8</w:t>
      </w:r>
      <w:r w:rsidRPr="00C90EDA">
        <w:rPr>
          <w:rFonts w:eastAsia="Calibri" w:cstheme="minorHAnsi"/>
        </w:rPr>
        <w:t xml:space="preserve">). </w:t>
      </w:r>
      <w:r w:rsidR="0088550D">
        <w:rPr>
          <w:rFonts w:eastAsia="Calibri" w:cstheme="minorHAnsi"/>
        </w:rPr>
        <w:t>We used CMS Enrollment Database (EDB)</w:t>
      </w:r>
      <w:r w:rsidR="00C81E7F">
        <w:rPr>
          <w:rFonts w:eastAsia="Calibri" w:cstheme="minorHAnsi"/>
        </w:rPr>
        <w:t xml:space="preserve"> and Common Medicare Environment (CME)</w:t>
      </w:r>
      <w:r w:rsidR="0088550D">
        <w:rPr>
          <w:rFonts w:eastAsia="Calibri" w:cstheme="minorHAnsi"/>
        </w:rPr>
        <w:t xml:space="preserve"> to determine </w:t>
      </w:r>
      <w:r w:rsidR="0088550D" w:rsidRPr="0088550D">
        <w:rPr>
          <w:rFonts w:eastAsia="Calibri" w:cstheme="minorHAnsi"/>
        </w:rPr>
        <w:t xml:space="preserve">dual eligibility, race, </w:t>
      </w:r>
      <w:r w:rsidR="002D06D5" w:rsidRPr="0088550D">
        <w:rPr>
          <w:rFonts w:eastAsia="Calibri" w:cstheme="minorHAnsi"/>
        </w:rPr>
        <w:t>and beneficiary</w:t>
      </w:r>
      <w:r w:rsidR="0088550D" w:rsidRPr="0088550D">
        <w:rPr>
          <w:rFonts w:eastAsia="Calibri" w:cstheme="minorHAnsi"/>
        </w:rPr>
        <w:t xml:space="preserve"> zip code</w:t>
      </w:r>
      <w:r w:rsidRPr="00C90EDA">
        <w:rPr>
          <w:rFonts w:eastAsia="Calibri" w:cstheme="minorHAnsi"/>
        </w:rPr>
        <w:t>. Urbanicity was defined by cross-walking b</w:t>
      </w:r>
      <w:r w:rsidR="0088550D">
        <w:rPr>
          <w:rFonts w:eastAsia="Calibri" w:cstheme="minorHAnsi"/>
        </w:rPr>
        <w:t xml:space="preserve">eneficiary residence ZIP codes </w:t>
      </w:r>
      <w:r w:rsidRPr="00C90EDA">
        <w:rPr>
          <w:rFonts w:eastAsia="Calibri" w:cstheme="minorHAnsi"/>
        </w:rPr>
        <w:t xml:space="preserve">to </w:t>
      </w:r>
      <w:r w:rsidRPr="00C90EDA">
        <w:rPr>
          <w:rStyle w:val="st1"/>
          <w:rFonts w:cstheme="minorHAnsi"/>
          <w:lang w:val="en"/>
        </w:rPr>
        <w:t>Federal Information Processing Standard Publication</w:t>
      </w:r>
      <w:r w:rsidRPr="00C90EDA">
        <w:rPr>
          <w:rFonts w:eastAsia="Calibri" w:cstheme="minorHAnsi"/>
        </w:rPr>
        <w:t xml:space="preserve"> (FIPS) codes,</w:t>
      </w:r>
      <w:r w:rsidRPr="00C90EDA">
        <w:rPr>
          <w:rStyle w:val="FootnoteReference"/>
          <w:rFonts w:eastAsia="Calibri"/>
        </w:rPr>
        <w:footnoteReference w:id="1"/>
      </w:r>
      <w:r w:rsidRPr="00C90EDA">
        <w:rPr>
          <w:rFonts w:eastAsia="Calibri" w:cstheme="minorHAnsi"/>
        </w:rPr>
        <w:t xml:space="preserve"> then cross-walking FIPS codes to</w:t>
      </w:r>
      <w:r w:rsidR="00C65103">
        <w:rPr>
          <w:rFonts w:eastAsia="Calibri" w:cstheme="minorHAnsi"/>
        </w:rPr>
        <w:t xml:space="preserve"> Rural-Urban Continuum Codes (RUCC_2013)</w:t>
      </w:r>
      <w:r w:rsidRPr="00C90EDA">
        <w:rPr>
          <w:rFonts w:eastAsia="Calibri" w:cstheme="minorHAnsi"/>
        </w:rPr>
        <w:t>.</w:t>
      </w:r>
      <w:r w:rsidRPr="00C90EDA">
        <w:rPr>
          <w:rStyle w:val="FootnoteReference"/>
          <w:rFonts w:eastAsia="Calibri"/>
        </w:rPr>
        <w:footnoteReference w:id="2"/>
      </w:r>
      <w:r w:rsidRPr="00C90EDA">
        <w:rPr>
          <w:rFonts w:eastAsia="Calibri" w:cstheme="minorHAnsi"/>
        </w:rPr>
        <w:t xml:space="preserve"> Socioeconomic status was determined using the Agency of Healthcare Research and Quality’s SES Index</w:t>
      </w:r>
      <w:r w:rsidRPr="00C90EDA">
        <w:rPr>
          <w:rStyle w:val="FootnoteReference"/>
          <w:rFonts w:eastAsia="Calibri"/>
        </w:rPr>
        <w:footnoteReference w:id="3"/>
      </w:r>
      <w:r w:rsidRPr="00C90EDA">
        <w:rPr>
          <w:rFonts w:eastAsia="Calibri" w:cstheme="minorHAnsi"/>
        </w:rPr>
        <w:t xml:space="preserve"> </w:t>
      </w:r>
      <w:r w:rsidRPr="00C90EDA">
        <w:t>calculated based on beneficiary residence ZIP Code Tabulation Area (ZCTA).</w:t>
      </w:r>
      <w:r w:rsidRPr="00C90EDA">
        <w:rPr>
          <w:rFonts w:ascii="Arial" w:hAnsi="Arial" w:cs="Arial"/>
          <w:sz w:val="24"/>
          <w:szCs w:val="24"/>
          <w:shd w:val="clear" w:color="auto" w:fill="FFFFFF"/>
        </w:rPr>
        <w:t xml:space="preserve"> </w:t>
      </w:r>
      <w:r w:rsidRPr="00C90EDA">
        <w:t>ZCTA was found by cross-walking the beneficiary residence ZIP code with ZCTA.</w:t>
      </w:r>
      <w:r w:rsidRPr="00C90EDA">
        <w:rPr>
          <w:rFonts w:eastAsia="Calibri" w:cstheme="minorHAnsi"/>
        </w:rPr>
        <w:t xml:space="preserve"> We used data from the 2016 American Community Survey (5-year file) to calculate </w:t>
      </w:r>
      <w:r w:rsidR="00C81E7F">
        <w:rPr>
          <w:rFonts w:eastAsia="Calibri" w:cstheme="minorHAnsi"/>
        </w:rPr>
        <w:t xml:space="preserve">the </w:t>
      </w:r>
      <w:r w:rsidRPr="00C90EDA">
        <w:rPr>
          <w:rFonts w:eastAsia="Calibri" w:cstheme="minorHAnsi"/>
        </w:rPr>
        <w:t>AHRQ SES Inde</w:t>
      </w:r>
      <w:r w:rsidR="00544760">
        <w:rPr>
          <w:rFonts w:eastAsia="Calibri" w:cstheme="minorHAnsi"/>
        </w:rPr>
        <w:t>x, with higher values indicating higher SES.</w:t>
      </w:r>
      <w:r w:rsidRPr="00C90EDA">
        <w:rPr>
          <w:rFonts w:eastAsia="Calibri" w:cstheme="minorHAnsi"/>
        </w:rPr>
        <w:t xml:space="preserve"> </w:t>
      </w:r>
    </w:p>
    <w:p w14:paraId="0C42E2EB" w14:textId="77777777" w:rsidR="00E547E2" w:rsidRPr="00C90EDA" w:rsidRDefault="00E547E2" w:rsidP="00E547E2">
      <w:pPr>
        <w:spacing w:after="0" w:line="240" w:lineRule="auto"/>
        <w:rPr>
          <w:rFonts w:eastAsia="Calibri" w:cstheme="minorHAnsi"/>
          <w:bCs/>
        </w:rPr>
      </w:pPr>
    </w:p>
    <w:p w14:paraId="7D080990" w14:textId="77777777" w:rsidR="00E547E2" w:rsidRPr="00C90EDA" w:rsidRDefault="00E547E2" w:rsidP="00E547E2">
      <w:pPr>
        <w:pStyle w:val="paragraph"/>
        <w:spacing w:before="0" w:beforeAutospacing="0" w:after="0" w:afterAutospacing="0"/>
        <w:textAlignment w:val="baseline"/>
        <w:rPr>
          <w:rStyle w:val="normaltextrun"/>
          <w:rFonts w:asciiTheme="minorHAnsi" w:hAnsiTheme="minorHAnsi" w:cstheme="minorHAnsi"/>
        </w:rPr>
      </w:pPr>
      <w:r w:rsidRPr="00C90EDA">
        <w:rPr>
          <w:rStyle w:val="normaltextrun"/>
          <w:rFonts w:asciiTheme="minorHAnsi" w:hAnsiTheme="minorHAnsi" w:cstheme="minorHAnsi"/>
        </w:rPr>
        <w:t>We conducted the following analysis using the above social risk factors:</w:t>
      </w:r>
    </w:p>
    <w:p w14:paraId="3863E25B" w14:textId="77777777" w:rsidR="00E547E2" w:rsidRPr="00C90EDA" w:rsidRDefault="00E547E2" w:rsidP="00E547E2">
      <w:pPr>
        <w:pStyle w:val="paragraph"/>
        <w:spacing w:before="0" w:beforeAutospacing="0" w:after="0" w:afterAutospacing="0"/>
        <w:textAlignment w:val="baseline"/>
        <w:rPr>
          <w:rFonts w:asciiTheme="minorHAnsi" w:hAnsiTheme="minorHAnsi" w:cstheme="minorHAnsi"/>
        </w:rPr>
      </w:pPr>
    </w:p>
    <w:p w14:paraId="6AEF9F70" w14:textId="750CE9AC" w:rsidR="00E547E2" w:rsidRPr="00C90EDA" w:rsidRDefault="00CA0FEA" w:rsidP="00E547E2">
      <w:pPr>
        <w:pStyle w:val="paragraph"/>
        <w:numPr>
          <w:ilvl w:val="0"/>
          <w:numId w:val="1"/>
        </w:numPr>
        <w:spacing w:before="0" w:beforeAutospacing="0" w:after="0" w:afterAutospacing="0"/>
        <w:ind w:left="360" w:firstLine="0"/>
        <w:textAlignment w:val="baseline"/>
        <w:rPr>
          <w:rFonts w:asciiTheme="minorHAnsi" w:hAnsiTheme="minorHAnsi" w:cstheme="minorHAnsi"/>
        </w:rPr>
      </w:pPr>
      <w:r>
        <w:rPr>
          <w:rStyle w:val="normaltextrun"/>
          <w:rFonts w:asciiTheme="minorHAnsi" w:hAnsiTheme="minorHAnsi" w:cstheme="minorHAnsi"/>
        </w:rPr>
        <w:t>C</w:t>
      </w:r>
      <w:r w:rsidR="00E547E2" w:rsidRPr="00C90EDA">
        <w:rPr>
          <w:rStyle w:val="normaltextrun"/>
          <w:rFonts w:asciiTheme="minorHAnsi" w:hAnsiTheme="minorHAnsi" w:cstheme="minorHAnsi"/>
        </w:rPr>
        <w:t>alculated the proportion of stays with each social risk factor;</w:t>
      </w:r>
      <w:r w:rsidR="00E547E2" w:rsidRPr="00C90EDA">
        <w:rPr>
          <w:rStyle w:val="eop"/>
          <w:rFonts w:asciiTheme="minorHAnsi" w:hAnsiTheme="minorHAnsi" w:cstheme="minorHAnsi"/>
        </w:rPr>
        <w:t> </w:t>
      </w:r>
    </w:p>
    <w:p w14:paraId="05C4787D" w14:textId="0113A1E4" w:rsidR="00E547E2" w:rsidRPr="00C90EDA" w:rsidRDefault="00CA0FEA" w:rsidP="00E547E2">
      <w:pPr>
        <w:pStyle w:val="paragraph"/>
        <w:numPr>
          <w:ilvl w:val="0"/>
          <w:numId w:val="1"/>
        </w:numPr>
        <w:spacing w:before="0" w:beforeAutospacing="0" w:after="0" w:afterAutospacing="0"/>
        <w:ind w:left="360" w:firstLine="0"/>
        <w:textAlignment w:val="baseline"/>
        <w:rPr>
          <w:rFonts w:asciiTheme="minorHAnsi" w:hAnsiTheme="minorHAnsi" w:cstheme="minorHAnsi"/>
        </w:rPr>
      </w:pPr>
      <w:r>
        <w:rPr>
          <w:rStyle w:val="normaltextrun"/>
          <w:rFonts w:asciiTheme="minorHAnsi" w:hAnsiTheme="minorHAnsi" w:cstheme="minorHAnsi"/>
        </w:rPr>
        <w:t>C</w:t>
      </w:r>
      <w:r w:rsidR="00E547E2" w:rsidRPr="00C90EDA">
        <w:rPr>
          <w:rStyle w:val="normaltextrun"/>
          <w:rFonts w:asciiTheme="minorHAnsi" w:hAnsiTheme="minorHAnsi" w:cstheme="minorHAnsi"/>
        </w:rPr>
        <w:t>alculated the observed successful discharge to community rates across each social risk factor subgroup;</w:t>
      </w:r>
      <w:r w:rsidR="00E547E2" w:rsidRPr="00C90EDA">
        <w:rPr>
          <w:rStyle w:val="eop"/>
          <w:rFonts w:asciiTheme="minorHAnsi" w:hAnsiTheme="minorHAnsi" w:cstheme="minorHAnsi"/>
        </w:rPr>
        <w:t> </w:t>
      </w:r>
    </w:p>
    <w:p w14:paraId="5D4EFCFE" w14:textId="69365B3A" w:rsidR="00E547E2" w:rsidRDefault="00CA0FEA" w:rsidP="00E547E2">
      <w:pPr>
        <w:pStyle w:val="paragraph"/>
        <w:numPr>
          <w:ilvl w:val="0"/>
          <w:numId w:val="1"/>
        </w:numPr>
        <w:spacing w:before="0" w:beforeAutospacing="0" w:after="0" w:afterAutospacing="0"/>
        <w:ind w:left="360" w:firstLine="0"/>
        <w:textAlignment w:val="baseline"/>
        <w:rPr>
          <w:rStyle w:val="normaltextrun"/>
          <w:rFonts w:asciiTheme="minorHAnsi" w:hAnsiTheme="minorHAnsi" w:cstheme="minorHAnsi"/>
        </w:rPr>
      </w:pPr>
      <w:r>
        <w:rPr>
          <w:rStyle w:val="normaltextrun"/>
          <w:rFonts w:asciiTheme="minorHAnsi" w:hAnsiTheme="minorHAnsi" w:cstheme="minorHAnsi"/>
        </w:rPr>
        <w:t>A</w:t>
      </w:r>
      <w:r w:rsidR="00E547E2" w:rsidRPr="00C90EDA">
        <w:rPr>
          <w:rStyle w:val="normaltextrun"/>
          <w:rFonts w:asciiTheme="minorHAnsi" w:hAnsiTheme="minorHAnsi" w:cstheme="minorHAnsi"/>
        </w:rPr>
        <w:t xml:space="preserve">dded indicators for each social risk factor to our risk adjustment model (described in section </w:t>
      </w:r>
      <w:r w:rsidR="00E547E2" w:rsidRPr="00C90EDA">
        <w:rPr>
          <w:rStyle w:val="normaltextrun"/>
          <w:rFonts w:asciiTheme="minorHAnsi" w:hAnsiTheme="minorHAnsi" w:cstheme="minorHAnsi"/>
          <w:b/>
        </w:rPr>
        <w:t>2b3</w:t>
      </w:r>
      <w:r w:rsidR="00E547E2" w:rsidRPr="00C90EDA">
        <w:rPr>
          <w:rStyle w:val="normaltextrun"/>
          <w:rFonts w:asciiTheme="minorHAnsi" w:hAnsiTheme="minorHAnsi" w:cstheme="minorHAnsi"/>
        </w:rPr>
        <w:t>) and estimated the coefficients and odds ratios of these risk adjusters in the model</w:t>
      </w:r>
      <w:r w:rsidR="00ED4FF2">
        <w:rPr>
          <w:rStyle w:val="normaltextrun"/>
          <w:rFonts w:asciiTheme="minorHAnsi" w:hAnsiTheme="minorHAnsi" w:cstheme="minorHAnsi"/>
        </w:rPr>
        <w:t>; and</w:t>
      </w:r>
    </w:p>
    <w:p w14:paraId="3853FFA6" w14:textId="6556B123" w:rsidR="00ED4FF2" w:rsidRPr="00C90EDA" w:rsidRDefault="00CA0FEA" w:rsidP="00E547E2">
      <w:pPr>
        <w:pStyle w:val="paragraph"/>
        <w:numPr>
          <w:ilvl w:val="0"/>
          <w:numId w:val="1"/>
        </w:numPr>
        <w:spacing w:before="0" w:beforeAutospacing="0" w:after="0" w:afterAutospacing="0"/>
        <w:ind w:left="360" w:firstLine="0"/>
        <w:textAlignment w:val="baseline"/>
        <w:rPr>
          <w:rStyle w:val="normaltextrun"/>
          <w:rFonts w:asciiTheme="minorHAnsi" w:hAnsiTheme="minorHAnsi" w:cstheme="minorHAnsi"/>
        </w:rPr>
      </w:pPr>
      <w:r>
        <w:rPr>
          <w:rStyle w:val="normaltextrun"/>
          <w:rFonts w:asciiTheme="minorHAnsi" w:hAnsiTheme="minorHAnsi" w:cstheme="minorHAnsi"/>
        </w:rPr>
        <w:t>C</w:t>
      </w:r>
      <w:r w:rsidR="00ED4FF2">
        <w:rPr>
          <w:rStyle w:val="normaltextrun"/>
          <w:rFonts w:asciiTheme="minorHAnsi" w:hAnsiTheme="minorHAnsi" w:cstheme="minorHAnsi"/>
        </w:rPr>
        <w:t>alculated the difference in provider scores with and without social risk factor adjustment.</w:t>
      </w:r>
    </w:p>
    <w:p w14:paraId="61512A22" w14:textId="77777777" w:rsidR="008D2C11" w:rsidRDefault="008D2C11" w:rsidP="00E547E2">
      <w:pPr>
        <w:spacing w:after="0" w:line="240" w:lineRule="auto"/>
        <w:rPr>
          <w:rFonts w:eastAsia="Calibri" w:cstheme="minorHAnsi"/>
          <w:b/>
          <w:bCs/>
        </w:rPr>
      </w:pPr>
    </w:p>
    <w:p w14:paraId="1B014896" w14:textId="74525363" w:rsidR="00E547E2" w:rsidRPr="00C90EDA" w:rsidRDefault="00E547E2" w:rsidP="00E547E2">
      <w:pPr>
        <w:spacing w:after="0" w:line="240" w:lineRule="auto"/>
        <w:rPr>
          <w:rFonts w:eastAsia="Calibri" w:cstheme="minorHAnsi"/>
        </w:rPr>
      </w:pPr>
      <w:r w:rsidRPr="00C90EDA">
        <w:rPr>
          <w:rFonts w:eastAsia="Calibri" w:cstheme="minorHAnsi"/>
          <w:b/>
          <w:bCs/>
        </w:rPr>
        <w:t>Table B-1</w:t>
      </w:r>
      <w:r w:rsidRPr="00C90EDA">
        <w:rPr>
          <w:rFonts w:eastAsia="Calibri" w:cstheme="minorHAnsi"/>
        </w:rPr>
        <w:t xml:space="preserve"> shows the distribution of the social risk factors in the </w:t>
      </w:r>
      <w:r w:rsidR="0088550D">
        <w:rPr>
          <w:rFonts w:eastAsia="Calibri" w:cstheme="minorHAnsi"/>
        </w:rPr>
        <w:t>CY</w:t>
      </w:r>
      <w:r w:rsidRPr="00C90EDA">
        <w:rPr>
          <w:rFonts w:eastAsia="Calibri" w:cstheme="minorHAnsi"/>
        </w:rPr>
        <w:t xml:space="preserve"> </w:t>
      </w:r>
      <w:r w:rsidR="0088550D">
        <w:rPr>
          <w:rFonts w:eastAsia="Calibri" w:cstheme="minorHAnsi"/>
        </w:rPr>
        <w:t>2015-2016</w:t>
      </w:r>
      <w:r w:rsidRPr="00C90EDA">
        <w:rPr>
          <w:rFonts w:eastAsia="Calibri" w:cstheme="minorHAnsi"/>
        </w:rPr>
        <w:t xml:space="preserve"> </w:t>
      </w:r>
      <w:r w:rsidR="0088550D">
        <w:rPr>
          <w:rFonts w:eastAsia="Calibri" w:cstheme="minorHAnsi"/>
        </w:rPr>
        <w:t>HH</w:t>
      </w:r>
      <w:r w:rsidRPr="00C90EDA">
        <w:rPr>
          <w:rFonts w:eastAsia="Calibri" w:cstheme="minorHAnsi"/>
        </w:rPr>
        <w:t xml:space="preserve"> sample.</w:t>
      </w:r>
      <w:r w:rsidR="00B2383A">
        <w:rPr>
          <w:rFonts w:eastAsia="Calibri" w:cstheme="minorHAnsi"/>
        </w:rPr>
        <w:t xml:space="preserve"> </w:t>
      </w:r>
      <w:r w:rsidR="0088550D">
        <w:rPr>
          <w:rFonts w:eastAsia="Calibri" w:cstheme="minorHAnsi"/>
        </w:rPr>
        <w:t>We found that 26</w:t>
      </w:r>
      <w:r w:rsidR="000A426E">
        <w:rPr>
          <w:rFonts w:eastAsia="Calibri" w:cstheme="minorHAnsi"/>
        </w:rPr>
        <w:t>.0</w:t>
      </w:r>
      <w:r w:rsidRPr="00C90EDA">
        <w:rPr>
          <w:rFonts w:eastAsia="Calibri" w:cstheme="minorHAnsi"/>
        </w:rPr>
        <w:t xml:space="preserve">% of stays were </w:t>
      </w:r>
      <w:r w:rsidR="00C65103">
        <w:rPr>
          <w:rFonts w:eastAsia="Calibri" w:cstheme="minorHAnsi"/>
        </w:rPr>
        <w:t xml:space="preserve">for </w:t>
      </w:r>
      <w:r w:rsidRPr="00C90EDA">
        <w:rPr>
          <w:rFonts w:eastAsia="Calibri" w:cstheme="minorHAnsi"/>
        </w:rPr>
        <w:t>dual eligible</w:t>
      </w:r>
      <w:r w:rsidR="00C65103">
        <w:rPr>
          <w:rFonts w:eastAsia="Calibri" w:cstheme="minorHAnsi"/>
        </w:rPr>
        <w:t xml:space="preserve"> beneficiaries</w:t>
      </w:r>
      <w:r w:rsidR="0088550D">
        <w:rPr>
          <w:rFonts w:eastAsia="Calibri" w:cstheme="minorHAnsi"/>
        </w:rPr>
        <w:t xml:space="preserve"> with</w:t>
      </w:r>
      <w:r w:rsidR="00355A5F">
        <w:rPr>
          <w:rFonts w:eastAsia="Calibri" w:cstheme="minorHAnsi"/>
        </w:rPr>
        <w:t xml:space="preserve">out full </w:t>
      </w:r>
      <w:r w:rsidR="00C65103">
        <w:rPr>
          <w:rFonts w:eastAsia="Calibri" w:cstheme="minorHAnsi"/>
        </w:rPr>
        <w:t xml:space="preserve">or </w:t>
      </w:r>
      <w:r w:rsidR="00355A5F">
        <w:rPr>
          <w:rFonts w:eastAsia="Calibri" w:cstheme="minorHAnsi"/>
        </w:rPr>
        <w:t xml:space="preserve">with </w:t>
      </w:r>
      <w:r w:rsidR="0088550D">
        <w:rPr>
          <w:rFonts w:eastAsia="Calibri" w:cstheme="minorHAnsi"/>
        </w:rPr>
        <w:t xml:space="preserve">full </w:t>
      </w:r>
      <w:r w:rsidRPr="00C90EDA">
        <w:rPr>
          <w:rFonts w:eastAsia="Calibri" w:cstheme="minorHAnsi"/>
        </w:rPr>
        <w:t>Medicaid benefits</w:t>
      </w:r>
      <w:r w:rsidR="0088550D">
        <w:rPr>
          <w:rFonts w:eastAsia="Calibri" w:cstheme="minorHAnsi"/>
        </w:rPr>
        <w:t>, 82.1%</w:t>
      </w:r>
      <w:r w:rsidR="000A7B3D">
        <w:rPr>
          <w:rFonts w:eastAsia="Calibri" w:cstheme="minorHAnsi"/>
        </w:rPr>
        <w:t xml:space="preserve"> were W</w:t>
      </w:r>
      <w:r w:rsidR="0088550D">
        <w:rPr>
          <w:rFonts w:eastAsia="Calibri" w:cstheme="minorHAnsi"/>
        </w:rPr>
        <w:t>hite, and 82</w:t>
      </w:r>
      <w:r w:rsidRPr="00C90EDA">
        <w:rPr>
          <w:rFonts w:eastAsia="Calibri" w:cstheme="minorHAnsi"/>
        </w:rPr>
        <w:t>.</w:t>
      </w:r>
      <w:r w:rsidR="0088550D">
        <w:rPr>
          <w:rFonts w:eastAsia="Calibri" w:cstheme="minorHAnsi"/>
        </w:rPr>
        <w:t>4</w:t>
      </w:r>
      <w:r w:rsidRPr="00C90EDA">
        <w:rPr>
          <w:rFonts w:eastAsia="Calibri" w:cstheme="minorHAnsi"/>
        </w:rPr>
        <w:t xml:space="preserve">% lived in </w:t>
      </w:r>
      <w:r w:rsidR="00C335A2">
        <w:rPr>
          <w:rFonts w:eastAsia="Calibri" w:cstheme="minorHAnsi"/>
        </w:rPr>
        <w:t>u</w:t>
      </w:r>
      <w:r w:rsidRPr="00C90EDA">
        <w:rPr>
          <w:rFonts w:eastAsia="Calibri" w:cstheme="minorHAnsi"/>
        </w:rPr>
        <w:t xml:space="preserve">rban areas. </w:t>
      </w:r>
      <w:r w:rsidRPr="00505CB2">
        <w:rPr>
          <w:rFonts w:eastAsia="Calibri" w:cstheme="minorHAnsi"/>
        </w:rPr>
        <w:t>The lowest quartile of AHRQ SES index ranged from 2</w:t>
      </w:r>
      <w:r w:rsidR="00DE59E9" w:rsidRPr="00505CB2">
        <w:rPr>
          <w:rFonts w:eastAsia="Calibri" w:cstheme="minorHAnsi"/>
        </w:rPr>
        <w:t>2</w:t>
      </w:r>
      <w:r w:rsidRPr="00505CB2">
        <w:rPr>
          <w:rFonts w:eastAsia="Calibri" w:cstheme="minorHAnsi"/>
        </w:rPr>
        <w:t>.6 to 49.8; the highest quartile ranged from 55.8 to 7</w:t>
      </w:r>
      <w:r w:rsidR="00DE59E9" w:rsidRPr="00505CB2">
        <w:rPr>
          <w:rFonts w:eastAsia="Calibri" w:cstheme="minorHAnsi"/>
        </w:rPr>
        <w:t>4</w:t>
      </w:r>
      <w:r w:rsidRPr="00505CB2">
        <w:rPr>
          <w:rFonts w:eastAsia="Calibri" w:cstheme="minorHAnsi"/>
        </w:rPr>
        <w:t>.</w:t>
      </w:r>
      <w:r w:rsidR="00DE59E9" w:rsidRPr="00505CB2">
        <w:rPr>
          <w:rFonts w:eastAsia="Calibri" w:cstheme="minorHAnsi"/>
        </w:rPr>
        <w:t>4</w:t>
      </w:r>
      <w:r w:rsidRPr="00505CB2">
        <w:rPr>
          <w:rFonts w:eastAsia="Calibri" w:cstheme="minorHAnsi"/>
        </w:rPr>
        <w:t>.</w:t>
      </w:r>
    </w:p>
    <w:p w14:paraId="1B4A548C" w14:textId="51F11754" w:rsidR="00E547E2" w:rsidRDefault="00E547E2" w:rsidP="00E547E2">
      <w:pPr>
        <w:spacing w:after="0" w:line="240" w:lineRule="auto"/>
        <w:rPr>
          <w:rFonts w:eastAsia="Calibri" w:cstheme="minorHAnsi"/>
        </w:rPr>
      </w:pPr>
    </w:p>
    <w:p w14:paraId="35E54340" w14:textId="45D4F443" w:rsidR="00236FCC" w:rsidRDefault="00236FCC" w:rsidP="00236FCC">
      <w:pPr>
        <w:spacing w:after="0" w:line="240" w:lineRule="auto"/>
        <w:rPr>
          <w:rFonts w:eastAsia="Calibri" w:cstheme="minorHAnsi"/>
          <w:b/>
        </w:rPr>
      </w:pPr>
      <w:r w:rsidRPr="00C90EDA">
        <w:rPr>
          <w:rFonts w:eastAsia="Calibri" w:cstheme="minorHAnsi"/>
          <w:b/>
          <w:bCs/>
        </w:rPr>
        <w:t xml:space="preserve">Table B-1. </w:t>
      </w:r>
      <w:r w:rsidRPr="00C90EDA">
        <w:rPr>
          <w:rFonts w:eastAsia="Calibri" w:cstheme="minorHAnsi"/>
          <w:b/>
        </w:rPr>
        <w:t xml:space="preserve">Distribution of Social Risk Factors across the DTC-PAC </w:t>
      </w:r>
      <w:r w:rsidR="0088550D">
        <w:rPr>
          <w:rFonts w:eastAsia="Calibri" w:cstheme="minorHAnsi"/>
          <w:b/>
        </w:rPr>
        <w:t>HHA</w:t>
      </w:r>
      <w:r w:rsidRPr="00C90EDA">
        <w:rPr>
          <w:rFonts w:eastAsia="Calibri" w:cstheme="minorHAnsi"/>
          <w:b/>
        </w:rPr>
        <w:t xml:space="preserve"> Sample (N = </w:t>
      </w:r>
      <w:r w:rsidR="0088550D" w:rsidRPr="00623BDE">
        <w:rPr>
          <w:rFonts w:eastAsia="Calibri" w:cstheme="minorHAnsi"/>
          <w:b/>
          <w:bCs/>
          <w:szCs w:val="20"/>
        </w:rPr>
        <w:t>6,279,286</w:t>
      </w:r>
      <w:r w:rsidRPr="00C90EDA">
        <w:rPr>
          <w:rFonts w:eastAsia="Calibri" w:cstheme="minorHAnsi"/>
          <w:b/>
        </w:rPr>
        <w:t>)</w:t>
      </w:r>
    </w:p>
    <w:p w14:paraId="3E94B824" w14:textId="77777777" w:rsidR="0088550D" w:rsidRDefault="0088550D" w:rsidP="00236FCC">
      <w:pPr>
        <w:spacing w:after="0" w:line="240" w:lineRule="auto"/>
        <w:rPr>
          <w:rFonts w:eastAsia="Calibri" w:cstheme="minorHAnsi"/>
          <w:b/>
        </w:rPr>
      </w:pPr>
    </w:p>
    <w:tbl>
      <w:tblPr>
        <w:tblW w:w="9054" w:type="dxa"/>
        <w:tblCellMar>
          <w:left w:w="0" w:type="dxa"/>
          <w:right w:w="0" w:type="dxa"/>
        </w:tblCellMar>
        <w:tblLook w:val="04A0" w:firstRow="1" w:lastRow="0" w:firstColumn="1" w:lastColumn="0" w:noHBand="0" w:noVBand="1"/>
      </w:tblPr>
      <w:tblGrid>
        <w:gridCol w:w="2790"/>
        <w:gridCol w:w="1107"/>
        <w:gridCol w:w="764"/>
        <w:gridCol w:w="1841"/>
        <w:gridCol w:w="1261"/>
        <w:gridCol w:w="1291"/>
      </w:tblGrid>
      <w:tr w:rsidR="0088550D" w:rsidRPr="00623BDE" w14:paraId="0DC86BAF" w14:textId="77777777" w:rsidTr="00355A5F">
        <w:trPr>
          <w:trHeight w:val="403"/>
          <w:tblHeader/>
        </w:trPr>
        <w:tc>
          <w:tcPr>
            <w:tcW w:w="2790"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5ABB3CE6" w14:textId="77777777" w:rsidR="0088550D" w:rsidRDefault="0088550D" w:rsidP="0088550D">
            <w:pPr>
              <w:spacing w:before="120" w:after="120"/>
              <w:jc w:val="center"/>
              <w:rPr>
                <w:rFonts w:ascii="Calibri" w:eastAsiaTheme="minorHAnsi" w:hAnsi="Calibri"/>
                <w:b/>
                <w:bCs/>
                <w:color w:val="000000"/>
              </w:rPr>
            </w:pPr>
            <w:r>
              <w:rPr>
                <w:rFonts w:ascii="Calibri" w:hAnsi="Calibri"/>
                <w:b/>
                <w:bCs/>
                <w:color w:val="000000"/>
              </w:rPr>
              <w:t xml:space="preserve">Social Risk Factor </w:t>
            </w:r>
          </w:p>
        </w:tc>
        <w:tc>
          <w:tcPr>
            <w:tcW w:w="1107"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5C1C22DD" w14:textId="67F8BB32" w:rsidR="0088550D" w:rsidRPr="00623BDE" w:rsidRDefault="00EA02B5" w:rsidP="0088550D">
            <w:pPr>
              <w:spacing w:before="120" w:after="120"/>
              <w:jc w:val="center"/>
              <w:rPr>
                <w:rFonts w:ascii="Calibri" w:hAnsi="Calibri"/>
                <w:b/>
                <w:color w:val="000000"/>
              </w:rPr>
            </w:pPr>
            <w:r>
              <w:rPr>
                <w:rFonts w:ascii="Calibri" w:hAnsi="Calibri"/>
                <w:b/>
                <w:color w:val="000000"/>
              </w:rPr>
              <w:t>N</w:t>
            </w:r>
          </w:p>
        </w:tc>
        <w:tc>
          <w:tcPr>
            <w:tcW w:w="764"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3E7253EC" w14:textId="77777777" w:rsidR="0088550D" w:rsidRPr="00623BDE" w:rsidRDefault="0088550D" w:rsidP="0088550D">
            <w:pPr>
              <w:spacing w:before="120" w:after="120"/>
              <w:jc w:val="center"/>
              <w:rPr>
                <w:rFonts w:ascii="Calibri" w:hAnsi="Calibri"/>
                <w:b/>
                <w:color w:val="000000"/>
              </w:rPr>
            </w:pPr>
            <w:r w:rsidRPr="00623BDE">
              <w:rPr>
                <w:rFonts w:ascii="Calibri" w:hAnsi="Calibri"/>
                <w:b/>
                <w:color w:val="000000"/>
              </w:rPr>
              <w:t>%</w:t>
            </w:r>
          </w:p>
        </w:tc>
        <w:tc>
          <w:tcPr>
            <w:tcW w:w="1841"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430A6431" w14:textId="77777777" w:rsidR="0088550D" w:rsidRPr="00623BDE" w:rsidRDefault="0088550D" w:rsidP="0088550D">
            <w:pPr>
              <w:spacing w:before="120" w:after="120"/>
              <w:jc w:val="center"/>
              <w:rPr>
                <w:rFonts w:ascii="Calibri" w:hAnsi="Calibri"/>
                <w:b/>
                <w:bCs/>
                <w:color w:val="000000"/>
              </w:rPr>
            </w:pPr>
            <w:r w:rsidRPr="00623BDE">
              <w:rPr>
                <w:rFonts w:ascii="Calibri" w:hAnsi="Calibri"/>
                <w:b/>
                <w:bCs/>
                <w:color w:val="000000"/>
              </w:rPr>
              <w:t xml:space="preserve">Social Risk Factor </w:t>
            </w:r>
          </w:p>
        </w:tc>
        <w:tc>
          <w:tcPr>
            <w:tcW w:w="1261"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00B29561" w14:textId="77777777" w:rsidR="0088550D" w:rsidRPr="00623BDE" w:rsidRDefault="0088550D" w:rsidP="0088550D">
            <w:pPr>
              <w:spacing w:before="120" w:after="120"/>
              <w:jc w:val="center"/>
              <w:rPr>
                <w:rFonts w:ascii="Calibri" w:hAnsi="Calibri"/>
                <w:b/>
                <w:color w:val="000000"/>
              </w:rPr>
            </w:pPr>
            <w:r w:rsidRPr="00623BDE">
              <w:rPr>
                <w:rFonts w:ascii="Calibri" w:hAnsi="Calibri"/>
                <w:b/>
                <w:color w:val="000000"/>
              </w:rPr>
              <w:t>Count</w:t>
            </w:r>
          </w:p>
        </w:tc>
        <w:tc>
          <w:tcPr>
            <w:tcW w:w="1291"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5E195B17" w14:textId="77777777" w:rsidR="0088550D" w:rsidRPr="00623BDE" w:rsidRDefault="0088550D" w:rsidP="0088550D">
            <w:pPr>
              <w:spacing w:before="120" w:after="120"/>
              <w:jc w:val="center"/>
              <w:rPr>
                <w:rFonts w:ascii="Calibri" w:hAnsi="Calibri"/>
                <w:b/>
                <w:color w:val="000000"/>
              </w:rPr>
            </w:pPr>
            <w:r w:rsidRPr="00623BDE">
              <w:rPr>
                <w:rFonts w:ascii="Calibri" w:hAnsi="Calibri"/>
                <w:b/>
                <w:color w:val="000000"/>
              </w:rPr>
              <w:t>%</w:t>
            </w:r>
          </w:p>
        </w:tc>
      </w:tr>
      <w:tr w:rsidR="0088550D" w14:paraId="7B638938" w14:textId="77777777" w:rsidTr="00355A5F">
        <w:trPr>
          <w:trHeight w:val="186"/>
        </w:trPr>
        <w:tc>
          <w:tcPr>
            <w:tcW w:w="2790" w:type="dxa"/>
            <w:noWrap/>
            <w:tcMar>
              <w:top w:w="0" w:type="dxa"/>
              <w:left w:w="108" w:type="dxa"/>
              <w:bottom w:w="0" w:type="dxa"/>
              <w:right w:w="108" w:type="dxa"/>
            </w:tcMar>
            <w:vAlign w:val="bottom"/>
            <w:hideMark/>
          </w:tcPr>
          <w:p w14:paraId="5CD7CDD9" w14:textId="77777777" w:rsidR="0088550D" w:rsidRDefault="0088550D" w:rsidP="0088550D">
            <w:pPr>
              <w:spacing w:after="0"/>
              <w:contextualSpacing/>
              <w:rPr>
                <w:rFonts w:ascii="Calibri" w:hAnsi="Calibri"/>
                <w:b/>
                <w:bCs/>
                <w:color w:val="000000"/>
              </w:rPr>
            </w:pPr>
            <w:r>
              <w:rPr>
                <w:rFonts w:ascii="Calibri" w:hAnsi="Calibri"/>
                <w:b/>
                <w:bCs/>
                <w:color w:val="000000"/>
              </w:rPr>
              <w:t>Dual Eligibility</w:t>
            </w:r>
          </w:p>
        </w:tc>
        <w:tc>
          <w:tcPr>
            <w:tcW w:w="1107" w:type="dxa"/>
            <w:noWrap/>
            <w:tcMar>
              <w:top w:w="0" w:type="dxa"/>
              <w:left w:w="108" w:type="dxa"/>
              <w:bottom w:w="0" w:type="dxa"/>
              <w:right w:w="108" w:type="dxa"/>
            </w:tcMar>
            <w:vAlign w:val="bottom"/>
            <w:hideMark/>
          </w:tcPr>
          <w:p w14:paraId="5E00DD4A" w14:textId="77777777" w:rsidR="0088550D" w:rsidRDefault="0088550D" w:rsidP="0088550D">
            <w:pPr>
              <w:spacing w:after="0"/>
              <w:contextualSpacing/>
              <w:rPr>
                <w:rFonts w:ascii="Calibri" w:hAnsi="Calibri"/>
                <w:b/>
                <w:bCs/>
                <w:color w:val="000000"/>
              </w:rPr>
            </w:pPr>
          </w:p>
        </w:tc>
        <w:tc>
          <w:tcPr>
            <w:tcW w:w="764" w:type="dxa"/>
            <w:noWrap/>
            <w:tcMar>
              <w:top w:w="0" w:type="dxa"/>
              <w:left w:w="108" w:type="dxa"/>
              <w:bottom w:w="0" w:type="dxa"/>
              <w:right w:w="108" w:type="dxa"/>
            </w:tcMar>
            <w:vAlign w:val="bottom"/>
            <w:hideMark/>
          </w:tcPr>
          <w:p w14:paraId="62364974" w14:textId="77777777" w:rsidR="0088550D" w:rsidRDefault="0088550D" w:rsidP="0088550D">
            <w:pPr>
              <w:spacing w:after="0"/>
              <w:contextualSpacing/>
              <w:rPr>
                <w:rFonts w:eastAsia="Times New Roman"/>
                <w:sz w:val="20"/>
                <w:szCs w:val="20"/>
              </w:rPr>
            </w:pPr>
          </w:p>
        </w:tc>
        <w:tc>
          <w:tcPr>
            <w:tcW w:w="1841" w:type="dxa"/>
            <w:noWrap/>
            <w:tcMar>
              <w:top w:w="0" w:type="dxa"/>
              <w:left w:w="108" w:type="dxa"/>
              <w:bottom w:w="0" w:type="dxa"/>
              <w:right w:w="108" w:type="dxa"/>
            </w:tcMar>
            <w:vAlign w:val="bottom"/>
            <w:hideMark/>
          </w:tcPr>
          <w:p w14:paraId="57ACE4B8" w14:textId="3EF9B825" w:rsidR="0088550D" w:rsidRDefault="0088550D" w:rsidP="00DE59E9">
            <w:pPr>
              <w:spacing w:after="0"/>
              <w:contextualSpacing/>
              <w:rPr>
                <w:rFonts w:ascii="Calibri" w:eastAsiaTheme="minorHAnsi" w:hAnsi="Calibri"/>
                <w:b/>
                <w:bCs/>
                <w:color w:val="000000"/>
              </w:rPr>
            </w:pPr>
            <w:r>
              <w:rPr>
                <w:rFonts w:ascii="Calibri" w:hAnsi="Calibri"/>
                <w:b/>
                <w:bCs/>
                <w:color w:val="000000"/>
              </w:rPr>
              <w:t>Urbanicity</w:t>
            </w:r>
            <w:r w:rsidR="00D43F17">
              <w:rPr>
                <w:rFonts w:ascii="Calibri" w:hAnsi="Calibri"/>
                <w:b/>
                <w:bCs/>
                <w:color w:val="000000"/>
              </w:rPr>
              <w:t>*</w:t>
            </w:r>
          </w:p>
        </w:tc>
        <w:tc>
          <w:tcPr>
            <w:tcW w:w="1261" w:type="dxa"/>
            <w:noWrap/>
            <w:tcMar>
              <w:top w:w="0" w:type="dxa"/>
              <w:left w:w="108" w:type="dxa"/>
              <w:bottom w:w="0" w:type="dxa"/>
              <w:right w:w="108" w:type="dxa"/>
            </w:tcMar>
            <w:vAlign w:val="bottom"/>
            <w:hideMark/>
          </w:tcPr>
          <w:p w14:paraId="1ECF512B" w14:textId="77777777" w:rsidR="0088550D" w:rsidRDefault="0088550D" w:rsidP="0088550D">
            <w:pPr>
              <w:spacing w:after="0"/>
              <w:contextualSpacing/>
              <w:rPr>
                <w:rFonts w:ascii="Calibri" w:hAnsi="Calibri"/>
                <w:b/>
                <w:bCs/>
                <w:color w:val="000000"/>
              </w:rPr>
            </w:pPr>
          </w:p>
        </w:tc>
        <w:tc>
          <w:tcPr>
            <w:tcW w:w="1291" w:type="dxa"/>
            <w:noWrap/>
            <w:tcMar>
              <w:top w:w="0" w:type="dxa"/>
              <w:left w:w="108" w:type="dxa"/>
              <w:bottom w:w="0" w:type="dxa"/>
              <w:right w:w="108" w:type="dxa"/>
            </w:tcMar>
            <w:vAlign w:val="bottom"/>
            <w:hideMark/>
          </w:tcPr>
          <w:p w14:paraId="1269AECC" w14:textId="77777777" w:rsidR="0088550D" w:rsidRDefault="0088550D" w:rsidP="0088550D">
            <w:pPr>
              <w:spacing w:after="0"/>
              <w:contextualSpacing/>
              <w:rPr>
                <w:rFonts w:eastAsia="Times New Roman"/>
                <w:sz w:val="20"/>
                <w:szCs w:val="20"/>
              </w:rPr>
            </w:pPr>
          </w:p>
        </w:tc>
      </w:tr>
      <w:tr w:rsidR="0088550D" w14:paraId="5A618AB7" w14:textId="77777777" w:rsidTr="00355A5F">
        <w:trPr>
          <w:trHeight w:val="270"/>
        </w:trPr>
        <w:tc>
          <w:tcPr>
            <w:tcW w:w="2790" w:type="dxa"/>
            <w:noWrap/>
            <w:tcMar>
              <w:top w:w="0" w:type="dxa"/>
              <w:left w:w="108" w:type="dxa"/>
              <w:bottom w:w="0" w:type="dxa"/>
              <w:right w:w="108" w:type="dxa"/>
            </w:tcMar>
            <w:vAlign w:val="bottom"/>
            <w:hideMark/>
          </w:tcPr>
          <w:p w14:paraId="349423A1" w14:textId="6801FDC0" w:rsidR="0088550D" w:rsidRDefault="00355A5F" w:rsidP="005A64FC">
            <w:pPr>
              <w:spacing w:after="0"/>
              <w:contextualSpacing/>
              <w:rPr>
                <w:rFonts w:ascii="Calibri" w:eastAsiaTheme="minorHAnsi" w:hAnsi="Calibri"/>
                <w:color w:val="000000"/>
              </w:rPr>
            </w:pPr>
            <w:r>
              <w:rPr>
                <w:rFonts w:ascii="Calibri" w:hAnsi="Calibri"/>
                <w:color w:val="000000"/>
              </w:rPr>
              <w:t xml:space="preserve">  </w:t>
            </w:r>
            <w:r w:rsidR="005A64FC">
              <w:rPr>
                <w:rFonts w:ascii="Calibri" w:hAnsi="Calibri"/>
                <w:color w:val="000000"/>
              </w:rPr>
              <w:t>Dual without full Medicaid</w:t>
            </w:r>
          </w:p>
        </w:tc>
        <w:tc>
          <w:tcPr>
            <w:tcW w:w="1107" w:type="dxa"/>
            <w:noWrap/>
            <w:tcMar>
              <w:top w:w="0" w:type="dxa"/>
              <w:left w:w="108" w:type="dxa"/>
              <w:bottom w:w="0" w:type="dxa"/>
              <w:right w:w="108" w:type="dxa"/>
            </w:tcMar>
            <w:vAlign w:val="bottom"/>
            <w:hideMark/>
          </w:tcPr>
          <w:p w14:paraId="32279BC0" w14:textId="77777777" w:rsidR="0088550D" w:rsidRDefault="0088550D" w:rsidP="0088550D">
            <w:pPr>
              <w:spacing w:after="0"/>
              <w:contextualSpacing/>
              <w:jc w:val="center"/>
              <w:rPr>
                <w:rFonts w:ascii="Calibri" w:hAnsi="Calibri"/>
                <w:color w:val="000000"/>
              </w:rPr>
            </w:pPr>
            <w:r>
              <w:rPr>
                <w:rFonts w:ascii="Calibri" w:hAnsi="Calibri"/>
                <w:color w:val="000000"/>
              </w:rPr>
              <w:t>383,448</w:t>
            </w:r>
          </w:p>
        </w:tc>
        <w:tc>
          <w:tcPr>
            <w:tcW w:w="764" w:type="dxa"/>
            <w:noWrap/>
            <w:tcMar>
              <w:top w:w="0" w:type="dxa"/>
              <w:left w:w="108" w:type="dxa"/>
              <w:bottom w:w="0" w:type="dxa"/>
              <w:right w:w="108" w:type="dxa"/>
            </w:tcMar>
            <w:vAlign w:val="bottom"/>
            <w:hideMark/>
          </w:tcPr>
          <w:p w14:paraId="348EDA6F" w14:textId="77777777" w:rsidR="0088550D" w:rsidRDefault="0088550D" w:rsidP="0088550D">
            <w:pPr>
              <w:spacing w:after="0"/>
              <w:contextualSpacing/>
              <w:jc w:val="center"/>
              <w:rPr>
                <w:rFonts w:ascii="Calibri" w:hAnsi="Calibri"/>
                <w:color w:val="000000"/>
              </w:rPr>
            </w:pPr>
            <w:r>
              <w:rPr>
                <w:rFonts w:ascii="Calibri" w:hAnsi="Calibri"/>
                <w:color w:val="000000"/>
              </w:rPr>
              <w:t>6.1%</w:t>
            </w:r>
          </w:p>
        </w:tc>
        <w:tc>
          <w:tcPr>
            <w:tcW w:w="1841" w:type="dxa"/>
            <w:noWrap/>
            <w:tcMar>
              <w:top w:w="0" w:type="dxa"/>
              <w:left w:w="108" w:type="dxa"/>
              <w:bottom w:w="0" w:type="dxa"/>
              <w:right w:w="108" w:type="dxa"/>
            </w:tcMar>
            <w:vAlign w:val="bottom"/>
            <w:hideMark/>
          </w:tcPr>
          <w:p w14:paraId="675EAB50" w14:textId="77777777" w:rsidR="0088550D" w:rsidRDefault="0088550D" w:rsidP="0088550D">
            <w:pPr>
              <w:spacing w:after="0"/>
              <w:ind w:firstLine="220"/>
              <w:contextualSpacing/>
              <w:rPr>
                <w:rFonts w:ascii="Calibri" w:hAnsi="Calibri"/>
                <w:color w:val="000000"/>
              </w:rPr>
            </w:pPr>
            <w:r>
              <w:rPr>
                <w:rFonts w:ascii="Calibri" w:hAnsi="Calibri"/>
                <w:color w:val="000000"/>
              </w:rPr>
              <w:t>Urban</w:t>
            </w:r>
          </w:p>
        </w:tc>
        <w:tc>
          <w:tcPr>
            <w:tcW w:w="1261" w:type="dxa"/>
            <w:noWrap/>
            <w:tcMar>
              <w:top w:w="0" w:type="dxa"/>
              <w:left w:w="108" w:type="dxa"/>
              <w:bottom w:w="0" w:type="dxa"/>
              <w:right w:w="108" w:type="dxa"/>
            </w:tcMar>
            <w:vAlign w:val="bottom"/>
            <w:hideMark/>
          </w:tcPr>
          <w:p w14:paraId="35DF17D8" w14:textId="77777777" w:rsidR="0088550D" w:rsidRDefault="0088550D" w:rsidP="0088550D">
            <w:pPr>
              <w:spacing w:after="0"/>
              <w:contextualSpacing/>
              <w:jc w:val="center"/>
              <w:rPr>
                <w:rFonts w:ascii="Calibri" w:hAnsi="Calibri"/>
                <w:color w:val="000000"/>
              </w:rPr>
            </w:pPr>
            <w:r>
              <w:rPr>
                <w:rFonts w:ascii="Calibri" w:hAnsi="Calibri"/>
                <w:color w:val="000000"/>
              </w:rPr>
              <w:t>5,176,152</w:t>
            </w:r>
          </w:p>
        </w:tc>
        <w:tc>
          <w:tcPr>
            <w:tcW w:w="1291" w:type="dxa"/>
            <w:noWrap/>
            <w:tcMar>
              <w:top w:w="0" w:type="dxa"/>
              <w:left w:w="108" w:type="dxa"/>
              <w:bottom w:w="0" w:type="dxa"/>
              <w:right w:w="108" w:type="dxa"/>
            </w:tcMar>
            <w:vAlign w:val="bottom"/>
            <w:hideMark/>
          </w:tcPr>
          <w:p w14:paraId="4AA29601" w14:textId="77777777" w:rsidR="0088550D" w:rsidRDefault="0088550D" w:rsidP="0088550D">
            <w:pPr>
              <w:spacing w:after="0"/>
              <w:contextualSpacing/>
              <w:jc w:val="center"/>
              <w:rPr>
                <w:rFonts w:ascii="Calibri" w:hAnsi="Calibri"/>
                <w:color w:val="000000"/>
              </w:rPr>
            </w:pPr>
            <w:r>
              <w:rPr>
                <w:rFonts w:ascii="Calibri" w:hAnsi="Calibri"/>
                <w:color w:val="000000"/>
              </w:rPr>
              <w:t>82.4%</w:t>
            </w:r>
          </w:p>
        </w:tc>
      </w:tr>
      <w:tr w:rsidR="0088550D" w14:paraId="3F1B61D5" w14:textId="77777777" w:rsidTr="00355A5F">
        <w:trPr>
          <w:trHeight w:val="186"/>
        </w:trPr>
        <w:tc>
          <w:tcPr>
            <w:tcW w:w="2790" w:type="dxa"/>
            <w:noWrap/>
            <w:tcMar>
              <w:top w:w="0" w:type="dxa"/>
              <w:left w:w="108" w:type="dxa"/>
              <w:bottom w:w="0" w:type="dxa"/>
              <w:right w:w="108" w:type="dxa"/>
            </w:tcMar>
            <w:vAlign w:val="bottom"/>
            <w:hideMark/>
          </w:tcPr>
          <w:p w14:paraId="6B136CF6" w14:textId="2F708AEA" w:rsidR="0088550D" w:rsidRDefault="00355A5F" w:rsidP="005A64FC">
            <w:pPr>
              <w:spacing w:after="0"/>
              <w:contextualSpacing/>
              <w:rPr>
                <w:rFonts w:ascii="Calibri" w:hAnsi="Calibri"/>
                <w:color w:val="000000"/>
              </w:rPr>
            </w:pPr>
            <w:r>
              <w:rPr>
                <w:rFonts w:ascii="Calibri" w:hAnsi="Calibri"/>
                <w:color w:val="000000"/>
              </w:rPr>
              <w:t xml:space="preserve">  </w:t>
            </w:r>
            <w:r w:rsidR="005A64FC">
              <w:rPr>
                <w:rFonts w:ascii="Calibri" w:hAnsi="Calibri"/>
                <w:color w:val="000000"/>
              </w:rPr>
              <w:t xml:space="preserve">Dual </w:t>
            </w:r>
            <w:r w:rsidR="005A64FC">
              <w:rPr>
                <w:rFonts w:ascii="Calibri" w:hAnsi="Calibri"/>
                <w:color w:val="000000"/>
              </w:rPr>
              <w:t>with</w:t>
            </w:r>
            <w:r w:rsidR="005A64FC">
              <w:rPr>
                <w:rFonts w:ascii="Calibri" w:hAnsi="Calibri"/>
                <w:color w:val="000000"/>
              </w:rPr>
              <w:t xml:space="preserve"> full Medicaid</w:t>
            </w:r>
          </w:p>
        </w:tc>
        <w:tc>
          <w:tcPr>
            <w:tcW w:w="1107" w:type="dxa"/>
            <w:noWrap/>
            <w:tcMar>
              <w:top w:w="0" w:type="dxa"/>
              <w:left w:w="108" w:type="dxa"/>
              <w:bottom w:w="0" w:type="dxa"/>
              <w:right w:w="108" w:type="dxa"/>
            </w:tcMar>
            <w:vAlign w:val="bottom"/>
            <w:hideMark/>
          </w:tcPr>
          <w:p w14:paraId="63481B71" w14:textId="77777777" w:rsidR="0088550D" w:rsidRDefault="0088550D" w:rsidP="0088550D">
            <w:pPr>
              <w:spacing w:after="0"/>
              <w:contextualSpacing/>
              <w:jc w:val="center"/>
              <w:rPr>
                <w:rFonts w:ascii="Calibri" w:hAnsi="Calibri"/>
                <w:color w:val="000000"/>
              </w:rPr>
            </w:pPr>
            <w:r>
              <w:rPr>
                <w:rFonts w:ascii="Calibri" w:hAnsi="Calibri"/>
                <w:color w:val="000000"/>
              </w:rPr>
              <w:t>1,248,005</w:t>
            </w:r>
          </w:p>
        </w:tc>
        <w:tc>
          <w:tcPr>
            <w:tcW w:w="764" w:type="dxa"/>
            <w:noWrap/>
            <w:tcMar>
              <w:top w:w="0" w:type="dxa"/>
              <w:left w:w="108" w:type="dxa"/>
              <w:bottom w:w="0" w:type="dxa"/>
              <w:right w:w="108" w:type="dxa"/>
            </w:tcMar>
            <w:vAlign w:val="bottom"/>
            <w:hideMark/>
          </w:tcPr>
          <w:p w14:paraId="6051A47A" w14:textId="77777777" w:rsidR="0088550D" w:rsidRDefault="0088550D" w:rsidP="0088550D">
            <w:pPr>
              <w:spacing w:after="0"/>
              <w:contextualSpacing/>
              <w:jc w:val="center"/>
              <w:rPr>
                <w:rFonts w:ascii="Calibri" w:hAnsi="Calibri"/>
                <w:color w:val="000000"/>
              </w:rPr>
            </w:pPr>
            <w:r>
              <w:rPr>
                <w:rFonts w:ascii="Calibri" w:hAnsi="Calibri"/>
                <w:color w:val="000000"/>
              </w:rPr>
              <w:t>19.9%</w:t>
            </w:r>
          </w:p>
        </w:tc>
        <w:tc>
          <w:tcPr>
            <w:tcW w:w="1841" w:type="dxa"/>
            <w:noWrap/>
            <w:tcMar>
              <w:top w:w="0" w:type="dxa"/>
              <w:left w:w="108" w:type="dxa"/>
              <w:bottom w:w="0" w:type="dxa"/>
              <w:right w:w="108" w:type="dxa"/>
            </w:tcMar>
            <w:vAlign w:val="bottom"/>
            <w:hideMark/>
          </w:tcPr>
          <w:p w14:paraId="371FC1C6" w14:textId="77777777" w:rsidR="0088550D" w:rsidRDefault="0088550D" w:rsidP="0088550D">
            <w:pPr>
              <w:spacing w:after="0"/>
              <w:ind w:firstLine="220"/>
              <w:contextualSpacing/>
              <w:rPr>
                <w:rFonts w:ascii="Calibri" w:hAnsi="Calibri"/>
                <w:color w:val="000000"/>
              </w:rPr>
            </w:pPr>
            <w:r>
              <w:rPr>
                <w:rFonts w:ascii="Calibri" w:hAnsi="Calibri"/>
                <w:color w:val="000000"/>
              </w:rPr>
              <w:t>Suburban</w:t>
            </w:r>
          </w:p>
        </w:tc>
        <w:tc>
          <w:tcPr>
            <w:tcW w:w="1261" w:type="dxa"/>
            <w:noWrap/>
            <w:tcMar>
              <w:top w:w="0" w:type="dxa"/>
              <w:left w:w="108" w:type="dxa"/>
              <w:bottom w:w="0" w:type="dxa"/>
              <w:right w:w="108" w:type="dxa"/>
            </w:tcMar>
            <w:vAlign w:val="bottom"/>
            <w:hideMark/>
          </w:tcPr>
          <w:p w14:paraId="5859A085" w14:textId="77777777" w:rsidR="0088550D" w:rsidRDefault="0088550D" w:rsidP="0088550D">
            <w:pPr>
              <w:spacing w:after="0"/>
              <w:contextualSpacing/>
              <w:jc w:val="center"/>
              <w:rPr>
                <w:rFonts w:ascii="Calibri" w:hAnsi="Calibri"/>
                <w:color w:val="000000"/>
              </w:rPr>
            </w:pPr>
            <w:r>
              <w:rPr>
                <w:rFonts w:ascii="Calibri" w:hAnsi="Calibri"/>
                <w:color w:val="000000"/>
              </w:rPr>
              <w:t>775,481</w:t>
            </w:r>
          </w:p>
        </w:tc>
        <w:tc>
          <w:tcPr>
            <w:tcW w:w="1291" w:type="dxa"/>
            <w:noWrap/>
            <w:tcMar>
              <w:top w:w="0" w:type="dxa"/>
              <w:left w:w="108" w:type="dxa"/>
              <w:bottom w:w="0" w:type="dxa"/>
              <w:right w:w="108" w:type="dxa"/>
            </w:tcMar>
            <w:vAlign w:val="bottom"/>
            <w:hideMark/>
          </w:tcPr>
          <w:p w14:paraId="016FF51F" w14:textId="77777777" w:rsidR="0088550D" w:rsidRDefault="0088550D" w:rsidP="0088550D">
            <w:pPr>
              <w:spacing w:after="0"/>
              <w:contextualSpacing/>
              <w:jc w:val="center"/>
              <w:rPr>
                <w:rFonts w:ascii="Calibri" w:hAnsi="Calibri"/>
                <w:color w:val="000000"/>
              </w:rPr>
            </w:pPr>
            <w:r>
              <w:rPr>
                <w:rFonts w:ascii="Calibri" w:hAnsi="Calibri"/>
                <w:color w:val="000000"/>
              </w:rPr>
              <w:t>12.3%</w:t>
            </w:r>
          </w:p>
        </w:tc>
      </w:tr>
      <w:tr w:rsidR="0088550D" w14:paraId="0B1ACD4B" w14:textId="77777777" w:rsidTr="00355A5F">
        <w:trPr>
          <w:trHeight w:val="186"/>
        </w:trPr>
        <w:tc>
          <w:tcPr>
            <w:tcW w:w="2790" w:type="dxa"/>
            <w:noWrap/>
            <w:tcMar>
              <w:top w:w="0" w:type="dxa"/>
              <w:left w:w="108" w:type="dxa"/>
              <w:bottom w:w="0" w:type="dxa"/>
              <w:right w:w="108" w:type="dxa"/>
            </w:tcMar>
            <w:vAlign w:val="bottom"/>
            <w:hideMark/>
          </w:tcPr>
          <w:p w14:paraId="1884EB5E" w14:textId="0B8DF686" w:rsidR="0088550D" w:rsidRDefault="00355A5F" w:rsidP="00355A5F">
            <w:pPr>
              <w:spacing w:after="0"/>
              <w:rPr>
                <w:rFonts w:ascii="Calibri" w:hAnsi="Calibri"/>
                <w:color w:val="000000"/>
              </w:rPr>
            </w:pPr>
            <w:r>
              <w:rPr>
                <w:rFonts w:ascii="Calibri" w:hAnsi="Calibri"/>
                <w:color w:val="000000"/>
              </w:rPr>
              <w:t xml:space="preserve">  </w:t>
            </w:r>
            <w:r w:rsidR="0088550D">
              <w:rPr>
                <w:rFonts w:ascii="Calibri" w:hAnsi="Calibri"/>
                <w:color w:val="000000"/>
              </w:rPr>
              <w:t>Non-dual</w:t>
            </w:r>
          </w:p>
        </w:tc>
        <w:tc>
          <w:tcPr>
            <w:tcW w:w="1107" w:type="dxa"/>
            <w:noWrap/>
            <w:tcMar>
              <w:top w:w="0" w:type="dxa"/>
              <w:left w:w="108" w:type="dxa"/>
              <w:bottom w:w="0" w:type="dxa"/>
              <w:right w:w="108" w:type="dxa"/>
            </w:tcMar>
            <w:vAlign w:val="bottom"/>
            <w:hideMark/>
          </w:tcPr>
          <w:p w14:paraId="3E4642ED" w14:textId="77777777" w:rsidR="0088550D" w:rsidRDefault="0088550D" w:rsidP="0088550D">
            <w:pPr>
              <w:spacing w:after="0"/>
              <w:jc w:val="center"/>
              <w:rPr>
                <w:rFonts w:ascii="Calibri" w:hAnsi="Calibri"/>
                <w:color w:val="000000"/>
              </w:rPr>
            </w:pPr>
            <w:r>
              <w:rPr>
                <w:rFonts w:ascii="Calibri" w:hAnsi="Calibri"/>
                <w:color w:val="000000"/>
              </w:rPr>
              <w:t>4,647,833</w:t>
            </w:r>
          </w:p>
        </w:tc>
        <w:tc>
          <w:tcPr>
            <w:tcW w:w="764" w:type="dxa"/>
            <w:noWrap/>
            <w:tcMar>
              <w:top w:w="0" w:type="dxa"/>
              <w:left w:w="108" w:type="dxa"/>
              <w:bottom w:w="0" w:type="dxa"/>
              <w:right w:w="108" w:type="dxa"/>
            </w:tcMar>
            <w:vAlign w:val="bottom"/>
            <w:hideMark/>
          </w:tcPr>
          <w:p w14:paraId="28824668" w14:textId="77777777" w:rsidR="0088550D" w:rsidRDefault="0088550D" w:rsidP="0088550D">
            <w:pPr>
              <w:spacing w:after="0"/>
              <w:jc w:val="center"/>
              <w:rPr>
                <w:rFonts w:ascii="Calibri" w:hAnsi="Calibri"/>
                <w:color w:val="000000"/>
              </w:rPr>
            </w:pPr>
            <w:r>
              <w:rPr>
                <w:rFonts w:ascii="Calibri" w:hAnsi="Calibri"/>
                <w:color w:val="000000"/>
              </w:rPr>
              <w:t>74.0%</w:t>
            </w:r>
          </w:p>
        </w:tc>
        <w:tc>
          <w:tcPr>
            <w:tcW w:w="1841" w:type="dxa"/>
            <w:noWrap/>
            <w:tcMar>
              <w:top w:w="0" w:type="dxa"/>
              <w:left w:w="108" w:type="dxa"/>
              <w:bottom w:w="0" w:type="dxa"/>
              <w:right w:w="108" w:type="dxa"/>
            </w:tcMar>
            <w:vAlign w:val="bottom"/>
            <w:hideMark/>
          </w:tcPr>
          <w:p w14:paraId="28D3C220" w14:textId="77777777" w:rsidR="0088550D" w:rsidRDefault="0088550D" w:rsidP="0088550D">
            <w:pPr>
              <w:spacing w:after="0"/>
              <w:ind w:firstLine="220"/>
              <w:rPr>
                <w:rFonts w:ascii="Calibri" w:hAnsi="Calibri"/>
                <w:color w:val="000000"/>
              </w:rPr>
            </w:pPr>
            <w:r>
              <w:rPr>
                <w:rFonts w:ascii="Calibri" w:hAnsi="Calibri"/>
                <w:color w:val="000000"/>
              </w:rPr>
              <w:t>Rural</w:t>
            </w:r>
          </w:p>
        </w:tc>
        <w:tc>
          <w:tcPr>
            <w:tcW w:w="1261" w:type="dxa"/>
            <w:noWrap/>
            <w:tcMar>
              <w:top w:w="0" w:type="dxa"/>
              <w:left w:w="108" w:type="dxa"/>
              <w:bottom w:w="0" w:type="dxa"/>
              <w:right w:w="108" w:type="dxa"/>
            </w:tcMar>
            <w:vAlign w:val="bottom"/>
            <w:hideMark/>
          </w:tcPr>
          <w:p w14:paraId="5ECAFDE5" w14:textId="77777777" w:rsidR="0088550D" w:rsidRDefault="0088550D" w:rsidP="0088550D">
            <w:pPr>
              <w:spacing w:after="0"/>
              <w:jc w:val="center"/>
              <w:rPr>
                <w:rFonts w:ascii="Calibri" w:hAnsi="Calibri"/>
                <w:color w:val="000000"/>
              </w:rPr>
            </w:pPr>
            <w:r>
              <w:rPr>
                <w:rFonts w:ascii="Calibri" w:hAnsi="Calibri"/>
                <w:color w:val="000000"/>
              </w:rPr>
              <w:t>319,089</w:t>
            </w:r>
          </w:p>
        </w:tc>
        <w:tc>
          <w:tcPr>
            <w:tcW w:w="1291" w:type="dxa"/>
            <w:noWrap/>
            <w:tcMar>
              <w:top w:w="0" w:type="dxa"/>
              <w:left w:w="108" w:type="dxa"/>
              <w:bottom w:w="0" w:type="dxa"/>
              <w:right w:w="108" w:type="dxa"/>
            </w:tcMar>
            <w:vAlign w:val="bottom"/>
            <w:hideMark/>
          </w:tcPr>
          <w:p w14:paraId="2C7B23D8" w14:textId="77777777" w:rsidR="0088550D" w:rsidRDefault="0088550D" w:rsidP="0088550D">
            <w:pPr>
              <w:spacing w:after="0"/>
              <w:jc w:val="center"/>
              <w:rPr>
                <w:rFonts w:ascii="Calibri" w:hAnsi="Calibri"/>
                <w:color w:val="000000"/>
              </w:rPr>
            </w:pPr>
            <w:r>
              <w:rPr>
                <w:rFonts w:ascii="Calibri" w:hAnsi="Calibri"/>
                <w:color w:val="000000"/>
              </w:rPr>
              <w:t>5.1%</w:t>
            </w:r>
          </w:p>
        </w:tc>
      </w:tr>
      <w:tr w:rsidR="0088550D" w14:paraId="4A4B2534" w14:textId="77777777" w:rsidTr="00355A5F">
        <w:trPr>
          <w:trHeight w:val="186"/>
        </w:trPr>
        <w:tc>
          <w:tcPr>
            <w:tcW w:w="2790" w:type="dxa"/>
            <w:noWrap/>
            <w:tcMar>
              <w:top w:w="0" w:type="dxa"/>
              <w:left w:w="108" w:type="dxa"/>
              <w:bottom w:w="0" w:type="dxa"/>
              <w:right w:w="108" w:type="dxa"/>
            </w:tcMar>
            <w:vAlign w:val="bottom"/>
            <w:hideMark/>
          </w:tcPr>
          <w:p w14:paraId="39614230" w14:textId="77777777" w:rsidR="00A814D8" w:rsidRDefault="00A814D8" w:rsidP="0088550D">
            <w:pPr>
              <w:spacing w:after="0"/>
              <w:contextualSpacing/>
              <w:rPr>
                <w:rFonts w:ascii="Calibri" w:hAnsi="Calibri"/>
                <w:b/>
                <w:bCs/>
                <w:color w:val="000000"/>
              </w:rPr>
            </w:pPr>
          </w:p>
          <w:p w14:paraId="1E427616" w14:textId="77777777" w:rsidR="0088550D" w:rsidRDefault="0088550D" w:rsidP="0088550D">
            <w:pPr>
              <w:spacing w:after="0"/>
              <w:contextualSpacing/>
              <w:rPr>
                <w:rFonts w:ascii="Calibri" w:hAnsi="Calibri"/>
                <w:b/>
                <w:bCs/>
                <w:color w:val="000000"/>
              </w:rPr>
            </w:pPr>
            <w:r>
              <w:rPr>
                <w:rFonts w:ascii="Calibri" w:hAnsi="Calibri"/>
                <w:b/>
                <w:bCs/>
                <w:color w:val="000000"/>
              </w:rPr>
              <w:t>Race/Ethnicity</w:t>
            </w:r>
          </w:p>
        </w:tc>
        <w:tc>
          <w:tcPr>
            <w:tcW w:w="1107" w:type="dxa"/>
            <w:noWrap/>
            <w:tcMar>
              <w:top w:w="0" w:type="dxa"/>
              <w:left w:w="108" w:type="dxa"/>
              <w:bottom w:w="0" w:type="dxa"/>
              <w:right w:w="108" w:type="dxa"/>
            </w:tcMar>
            <w:vAlign w:val="bottom"/>
            <w:hideMark/>
          </w:tcPr>
          <w:p w14:paraId="76B8FA89" w14:textId="77777777" w:rsidR="0088550D" w:rsidRDefault="0088550D" w:rsidP="0088550D">
            <w:pPr>
              <w:spacing w:after="0"/>
              <w:contextualSpacing/>
              <w:rPr>
                <w:rFonts w:ascii="Calibri" w:hAnsi="Calibri"/>
                <w:b/>
                <w:bCs/>
                <w:color w:val="000000"/>
              </w:rPr>
            </w:pPr>
          </w:p>
        </w:tc>
        <w:tc>
          <w:tcPr>
            <w:tcW w:w="764" w:type="dxa"/>
            <w:noWrap/>
            <w:tcMar>
              <w:top w:w="0" w:type="dxa"/>
              <w:left w:w="108" w:type="dxa"/>
              <w:bottom w:w="0" w:type="dxa"/>
              <w:right w:w="108" w:type="dxa"/>
            </w:tcMar>
            <w:vAlign w:val="bottom"/>
            <w:hideMark/>
          </w:tcPr>
          <w:p w14:paraId="31706417" w14:textId="77777777" w:rsidR="0088550D" w:rsidRDefault="0088550D" w:rsidP="0088550D">
            <w:pPr>
              <w:spacing w:after="0"/>
              <w:contextualSpacing/>
              <w:rPr>
                <w:rFonts w:eastAsia="Times New Roman"/>
                <w:sz w:val="20"/>
                <w:szCs w:val="20"/>
              </w:rPr>
            </w:pPr>
          </w:p>
        </w:tc>
        <w:tc>
          <w:tcPr>
            <w:tcW w:w="1841" w:type="dxa"/>
            <w:noWrap/>
            <w:tcMar>
              <w:top w:w="0" w:type="dxa"/>
              <w:left w:w="108" w:type="dxa"/>
              <w:bottom w:w="0" w:type="dxa"/>
              <w:right w:w="108" w:type="dxa"/>
            </w:tcMar>
            <w:vAlign w:val="bottom"/>
            <w:hideMark/>
          </w:tcPr>
          <w:p w14:paraId="3FBC85D2" w14:textId="77777777" w:rsidR="0088550D" w:rsidRDefault="0088550D" w:rsidP="0088550D">
            <w:pPr>
              <w:spacing w:after="0"/>
              <w:ind w:firstLine="220"/>
              <w:contextualSpacing/>
              <w:rPr>
                <w:rFonts w:ascii="Calibri" w:eastAsiaTheme="minorHAnsi" w:hAnsi="Calibri"/>
                <w:color w:val="000000"/>
              </w:rPr>
            </w:pPr>
            <w:r>
              <w:rPr>
                <w:rFonts w:ascii="Calibri" w:hAnsi="Calibri"/>
                <w:color w:val="000000"/>
              </w:rPr>
              <w:t>Missing</w:t>
            </w:r>
          </w:p>
        </w:tc>
        <w:tc>
          <w:tcPr>
            <w:tcW w:w="1261" w:type="dxa"/>
            <w:noWrap/>
            <w:tcMar>
              <w:top w:w="0" w:type="dxa"/>
              <w:left w:w="108" w:type="dxa"/>
              <w:bottom w:w="0" w:type="dxa"/>
              <w:right w:w="108" w:type="dxa"/>
            </w:tcMar>
            <w:vAlign w:val="bottom"/>
            <w:hideMark/>
          </w:tcPr>
          <w:p w14:paraId="3E669D5C" w14:textId="77777777" w:rsidR="0088550D" w:rsidRDefault="0088550D" w:rsidP="0088550D">
            <w:pPr>
              <w:spacing w:after="0"/>
              <w:contextualSpacing/>
              <w:jc w:val="center"/>
              <w:rPr>
                <w:rFonts w:ascii="Calibri" w:hAnsi="Calibri"/>
                <w:color w:val="000000"/>
              </w:rPr>
            </w:pPr>
            <w:r>
              <w:rPr>
                <w:rFonts w:ascii="Calibri" w:hAnsi="Calibri"/>
                <w:color w:val="000000"/>
              </w:rPr>
              <w:t>8,564</w:t>
            </w:r>
          </w:p>
        </w:tc>
        <w:tc>
          <w:tcPr>
            <w:tcW w:w="1291" w:type="dxa"/>
            <w:noWrap/>
            <w:tcMar>
              <w:top w:w="0" w:type="dxa"/>
              <w:left w:w="108" w:type="dxa"/>
              <w:bottom w:w="0" w:type="dxa"/>
              <w:right w:w="108" w:type="dxa"/>
            </w:tcMar>
            <w:vAlign w:val="bottom"/>
            <w:hideMark/>
          </w:tcPr>
          <w:p w14:paraId="01AFA49F" w14:textId="77777777" w:rsidR="0088550D" w:rsidRDefault="0088550D" w:rsidP="0088550D">
            <w:pPr>
              <w:spacing w:after="0"/>
              <w:contextualSpacing/>
              <w:jc w:val="center"/>
              <w:rPr>
                <w:rFonts w:ascii="Calibri" w:hAnsi="Calibri"/>
                <w:color w:val="000000"/>
              </w:rPr>
            </w:pPr>
            <w:r>
              <w:rPr>
                <w:rFonts w:ascii="Calibri" w:hAnsi="Calibri"/>
                <w:color w:val="000000"/>
              </w:rPr>
              <w:t>0.1%</w:t>
            </w:r>
          </w:p>
        </w:tc>
      </w:tr>
      <w:tr w:rsidR="0088550D" w14:paraId="56F036A1" w14:textId="77777777" w:rsidTr="00355A5F">
        <w:trPr>
          <w:trHeight w:val="186"/>
        </w:trPr>
        <w:tc>
          <w:tcPr>
            <w:tcW w:w="2790" w:type="dxa"/>
            <w:noWrap/>
            <w:tcMar>
              <w:top w:w="0" w:type="dxa"/>
              <w:left w:w="108" w:type="dxa"/>
              <w:bottom w:w="0" w:type="dxa"/>
              <w:right w:w="108" w:type="dxa"/>
            </w:tcMar>
            <w:vAlign w:val="bottom"/>
            <w:hideMark/>
          </w:tcPr>
          <w:p w14:paraId="3FDF13A2" w14:textId="77777777" w:rsidR="0088550D" w:rsidRDefault="0088550D" w:rsidP="0088550D">
            <w:pPr>
              <w:spacing w:after="0"/>
              <w:ind w:firstLine="220"/>
              <w:rPr>
                <w:rFonts w:ascii="Calibri" w:hAnsi="Calibri"/>
                <w:color w:val="000000"/>
              </w:rPr>
            </w:pPr>
            <w:r>
              <w:rPr>
                <w:rFonts w:ascii="Calibri" w:hAnsi="Calibri"/>
                <w:color w:val="000000"/>
              </w:rPr>
              <w:t>White</w:t>
            </w:r>
          </w:p>
        </w:tc>
        <w:tc>
          <w:tcPr>
            <w:tcW w:w="1107" w:type="dxa"/>
            <w:noWrap/>
            <w:tcMar>
              <w:top w:w="0" w:type="dxa"/>
              <w:left w:w="108" w:type="dxa"/>
              <w:bottom w:w="0" w:type="dxa"/>
              <w:right w:w="108" w:type="dxa"/>
            </w:tcMar>
            <w:vAlign w:val="bottom"/>
            <w:hideMark/>
          </w:tcPr>
          <w:p w14:paraId="6C01133A" w14:textId="77777777" w:rsidR="0088550D" w:rsidRDefault="0088550D" w:rsidP="0088550D">
            <w:pPr>
              <w:spacing w:after="0"/>
              <w:jc w:val="center"/>
              <w:rPr>
                <w:rFonts w:ascii="Calibri" w:hAnsi="Calibri"/>
                <w:color w:val="000000"/>
              </w:rPr>
            </w:pPr>
            <w:r>
              <w:rPr>
                <w:rFonts w:ascii="Calibri" w:hAnsi="Calibri"/>
                <w:color w:val="000000"/>
              </w:rPr>
              <w:t>5,156,630</w:t>
            </w:r>
          </w:p>
        </w:tc>
        <w:tc>
          <w:tcPr>
            <w:tcW w:w="764" w:type="dxa"/>
            <w:noWrap/>
            <w:tcMar>
              <w:top w:w="0" w:type="dxa"/>
              <w:left w:w="108" w:type="dxa"/>
              <w:bottom w:w="0" w:type="dxa"/>
              <w:right w:w="108" w:type="dxa"/>
            </w:tcMar>
            <w:vAlign w:val="bottom"/>
            <w:hideMark/>
          </w:tcPr>
          <w:p w14:paraId="004B8F10" w14:textId="77777777" w:rsidR="0088550D" w:rsidRDefault="0088550D" w:rsidP="0088550D">
            <w:pPr>
              <w:spacing w:after="0"/>
              <w:jc w:val="center"/>
              <w:rPr>
                <w:rFonts w:ascii="Calibri" w:hAnsi="Calibri"/>
                <w:color w:val="000000"/>
              </w:rPr>
            </w:pPr>
            <w:r>
              <w:rPr>
                <w:rFonts w:ascii="Calibri" w:hAnsi="Calibri"/>
                <w:color w:val="000000"/>
              </w:rPr>
              <w:t>82.1%</w:t>
            </w:r>
          </w:p>
        </w:tc>
        <w:tc>
          <w:tcPr>
            <w:tcW w:w="1841" w:type="dxa"/>
            <w:noWrap/>
            <w:tcMar>
              <w:top w:w="0" w:type="dxa"/>
              <w:left w:w="108" w:type="dxa"/>
              <w:bottom w:w="0" w:type="dxa"/>
              <w:right w:w="108" w:type="dxa"/>
            </w:tcMar>
            <w:vAlign w:val="bottom"/>
            <w:hideMark/>
          </w:tcPr>
          <w:p w14:paraId="6DBBF702" w14:textId="77777777" w:rsidR="0088550D" w:rsidRDefault="0088550D" w:rsidP="0088550D">
            <w:pPr>
              <w:spacing w:after="0"/>
              <w:rPr>
                <w:rFonts w:ascii="Calibri" w:hAnsi="Calibri"/>
                <w:b/>
                <w:bCs/>
                <w:color w:val="000000"/>
              </w:rPr>
            </w:pPr>
            <w:r>
              <w:rPr>
                <w:rFonts w:ascii="Calibri" w:hAnsi="Calibri"/>
                <w:b/>
                <w:bCs/>
                <w:color w:val="000000"/>
              </w:rPr>
              <w:t>AHRQ SES Index*</w:t>
            </w:r>
          </w:p>
        </w:tc>
        <w:tc>
          <w:tcPr>
            <w:tcW w:w="1261" w:type="dxa"/>
            <w:noWrap/>
            <w:tcMar>
              <w:top w:w="0" w:type="dxa"/>
              <w:left w:w="108" w:type="dxa"/>
              <w:bottom w:w="0" w:type="dxa"/>
              <w:right w:w="108" w:type="dxa"/>
            </w:tcMar>
            <w:vAlign w:val="bottom"/>
            <w:hideMark/>
          </w:tcPr>
          <w:p w14:paraId="5EFFE948" w14:textId="77777777" w:rsidR="0088550D" w:rsidRDefault="0088550D" w:rsidP="0088550D">
            <w:pPr>
              <w:spacing w:after="0"/>
              <w:rPr>
                <w:rFonts w:ascii="Calibri" w:hAnsi="Calibri"/>
                <w:b/>
                <w:bCs/>
                <w:color w:val="000000"/>
              </w:rPr>
            </w:pPr>
          </w:p>
        </w:tc>
        <w:tc>
          <w:tcPr>
            <w:tcW w:w="1291" w:type="dxa"/>
            <w:noWrap/>
            <w:tcMar>
              <w:top w:w="0" w:type="dxa"/>
              <w:left w:w="108" w:type="dxa"/>
              <w:bottom w:w="0" w:type="dxa"/>
              <w:right w:w="108" w:type="dxa"/>
            </w:tcMar>
            <w:vAlign w:val="bottom"/>
            <w:hideMark/>
          </w:tcPr>
          <w:p w14:paraId="1AA56A6A" w14:textId="77777777" w:rsidR="0088550D" w:rsidRDefault="0088550D" w:rsidP="0088550D">
            <w:pPr>
              <w:spacing w:after="0"/>
              <w:rPr>
                <w:rFonts w:eastAsia="Times New Roman"/>
                <w:sz w:val="20"/>
                <w:szCs w:val="20"/>
              </w:rPr>
            </w:pPr>
          </w:p>
        </w:tc>
      </w:tr>
      <w:tr w:rsidR="0088550D" w14:paraId="59142EA0" w14:textId="77777777" w:rsidTr="00355A5F">
        <w:trPr>
          <w:trHeight w:val="186"/>
        </w:trPr>
        <w:tc>
          <w:tcPr>
            <w:tcW w:w="2790" w:type="dxa"/>
            <w:noWrap/>
            <w:tcMar>
              <w:top w:w="0" w:type="dxa"/>
              <w:left w:w="108" w:type="dxa"/>
              <w:bottom w:w="0" w:type="dxa"/>
              <w:right w:w="108" w:type="dxa"/>
            </w:tcMar>
            <w:vAlign w:val="bottom"/>
            <w:hideMark/>
          </w:tcPr>
          <w:p w14:paraId="586C9B53" w14:textId="77777777" w:rsidR="0088550D" w:rsidRDefault="0088550D" w:rsidP="0088550D">
            <w:pPr>
              <w:spacing w:after="0"/>
              <w:ind w:firstLine="220"/>
              <w:rPr>
                <w:rFonts w:ascii="Calibri" w:eastAsiaTheme="minorHAnsi" w:hAnsi="Calibri"/>
                <w:color w:val="000000"/>
              </w:rPr>
            </w:pPr>
            <w:r>
              <w:rPr>
                <w:rFonts w:ascii="Calibri" w:hAnsi="Calibri"/>
                <w:color w:val="000000"/>
              </w:rPr>
              <w:t>Black</w:t>
            </w:r>
          </w:p>
        </w:tc>
        <w:tc>
          <w:tcPr>
            <w:tcW w:w="1107" w:type="dxa"/>
            <w:noWrap/>
            <w:tcMar>
              <w:top w:w="0" w:type="dxa"/>
              <w:left w:w="108" w:type="dxa"/>
              <w:bottom w:w="0" w:type="dxa"/>
              <w:right w:w="108" w:type="dxa"/>
            </w:tcMar>
            <w:vAlign w:val="bottom"/>
            <w:hideMark/>
          </w:tcPr>
          <w:p w14:paraId="598F9B03" w14:textId="77777777" w:rsidR="0088550D" w:rsidRDefault="0088550D" w:rsidP="0088550D">
            <w:pPr>
              <w:spacing w:after="0"/>
              <w:jc w:val="center"/>
              <w:rPr>
                <w:rFonts w:ascii="Calibri" w:hAnsi="Calibri"/>
                <w:color w:val="000000"/>
              </w:rPr>
            </w:pPr>
            <w:r>
              <w:rPr>
                <w:rFonts w:ascii="Calibri" w:hAnsi="Calibri"/>
                <w:color w:val="000000"/>
              </w:rPr>
              <w:t>744,178</w:t>
            </w:r>
          </w:p>
        </w:tc>
        <w:tc>
          <w:tcPr>
            <w:tcW w:w="764" w:type="dxa"/>
            <w:noWrap/>
            <w:tcMar>
              <w:top w:w="0" w:type="dxa"/>
              <w:left w:w="108" w:type="dxa"/>
              <w:bottom w:w="0" w:type="dxa"/>
              <w:right w:w="108" w:type="dxa"/>
            </w:tcMar>
            <w:vAlign w:val="bottom"/>
            <w:hideMark/>
          </w:tcPr>
          <w:p w14:paraId="753AB673" w14:textId="77777777" w:rsidR="0088550D" w:rsidRDefault="0088550D" w:rsidP="0088550D">
            <w:pPr>
              <w:spacing w:after="0"/>
              <w:jc w:val="center"/>
              <w:rPr>
                <w:rFonts w:ascii="Calibri" w:hAnsi="Calibri"/>
                <w:color w:val="000000"/>
              </w:rPr>
            </w:pPr>
            <w:r>
              <w:rPr>
                <w:rFonts w:ascii="Calibri" w:hAnsi="Calibri"/>
                <w:color w:val="000000"/>
              </w:rPr>
              <w:t>11.9%</w:t>
            </w:r>
          </w:p>
        </w:tc>
        <w:tc>
          <w:tcPr>
            <w:tcW w:w="1841" w:type="dxa"/>
            <w:noWrap/>
            <w:tcMar>
              <w:top w:w="0" w:type="dxa"/>
              <w:left w:w="108" w:type="dxa"/>
              <w:bottom w:w="0" w:type="dxa"/>
              <w:right w:w="108" w:type="dxa"/>
            </w:tcMar>
            <w:vAlign w:val="bottom"/>
            <w:hideMark/>
          </w:tcPr>
          <w:p w14:paraId="68765D59" w14:textId="77777777" w:rsidR="0088550D" w:rsidRDefault="0088550D" w:rsidP="0088550D">
            <w:pPr>
              <w:spacing w:after="0"/>
              <w:ind w:firstLine="220"/>
              <w:rPr>
                <w:rFonts w:ascii="Calibri" w:hAnsi="Calibri"/>
                <w:color w:val="000000"/>
              </w:rPr>
            </w:pPr>
            <w:r>
              <w:rPr>
                <w:rFonts w:ascii="Calibri" w:hAnsi="Calibri"/>
                <w:color w:val="000000"/>
              </w:rPr>
              <w:t>Quartile 1</w:t>
            </w:r>
          </w:p>
        </w:tc>
        <w:tc>
          <w:tcPr>
            <w:tcW w:w="1261" w:type="dxa"/>
            <w:noWrap/>
            <w:tcMar>
              <w:top w:w="0" w:type="dxa"/>
              <w:left w:w="108" w:type="dxa"/>
              <w:bottom w:w="0" w:type="dxa"/>
              <w:right w:w="108" w:type="dxa"/>
            </w:tcMar>
            <w:vAlign w:val="bottom"/>
            <w:hideMark/>
          </w:tcPr>
          <w:p w14:paraId="1FE81E0A" w14:textId="77777777" w:rsidR="0088550D" w:rsidRDefault="0088550D" w:rsidP="0088550D">
            <w:pPr>
              <w:spacing w:after="0"/>
              <w:jc w:val="center"/>
              <w:rPr>
                <w:rFonts w:ascii="Calibri" w:hAnsi="Calibri"/>
                <w:color w:val="000000"/>
              </w:rPr>
            </w:pPr>
            <w:r>
              <w:rPr>
                <w:rFonts w:ascii="Calibri" w:hAnsi="Calibri"/>
                <w:color w:val="000000"/>
              </w:rPr>
              <w:t>1,541,906</w:t>
            </w:r>
          </w:p>
        </w:tc>
        <w:tc>
          <w:tcPr>
            <w:tcW w:w="1291" w:type="dxa"/>
            <w:noWrap/>
            <w:tcMar>
              <w:top w:w="0" w:type="dxa"/>
              <w:left w:w="108" w:type="dxa"/>
              <w:bottom w:w="0" w:type="dxa"/>
              <w:right w:w="108" w:type="dxa"/>
            </w:tcMar>
            <w:vAlign w:val="bottom"/>
            <w:hideMark/>
          </w:tcPr>
          <w:p w14:paraId="26D51F08" w14:textId="77777777" w:rsidR="0088550D" w:rsidRDefault="0088550D" w:rsidP="0088550D">
            <w:pPr>
              <w:spacing w:after="0"/>
              <w:jc w:val="center"/>
              <w:rPr>
                <w:rFonts w:ascii="Calibri" w:hAnsi="Calibri"/>
                <w:color w:val="000000"/>
              </w:rPr>
            </w:pPr>
            <w:r>
              <w:rPr>
                <w:rFonts w:ascii="Calibri" w:hAnsi="Calibri"/>
                <w:color w:val="000000"/>
              </w:rPr>
              <w:t>24.6%</w:t>
            </w:r>
          </w:p>
        </w:tc>
      </w:tr>
      <w:tr w:rsidR="0088550D" w14:paraId="2DD3C437" w14:textId="77777777" w:rsidTr="00355A5F">
        <w:trPr>
          <w:trHeight w:val="186"/>
        </w:trPr>
        <w:tc>
          <w:tcPr>
            <w:tcW w:w="2790" w:type="dxa"/>
            <w:noWrap/>
            <w:tcMar>
              <w:top w:w="0" w:type="dxa"/>
              <w:left w:w="108" w:type="dxa"/>
              <w:bottom w:w="0" w:type="dxa"/>
              <w:right w:w="108" w:type="dxa"/>
            </w:tcMar>
            <w:vAlign w:val="bottom"/>
            <w:hideMark/>
          </w:tcPr>
          <w:p w14:paraId="764D9D38" w14:textId="77777777" w:rsidR="0088550D" w:rsidRDefault="0088550D" w:rsidP="0088550D">
            <w:pPr>
              <w:spacing w:after="0"/>
              <w:ind w:firstLine="220"/>
              <w:rPr>
                <w:rFonts w:ascii="Calibri" w:hAnsi="Calibri"/>
                <w:color w:val="000000"/>
              </w:rPr>
            </w:pPr>
            <w:r>
              <w:rPr>
                <w:rFonts w:ascii="Calibri" w:hAnsi="Calibri"/>
                <w:color w:val="000000"/>
              </w:rPr>
              <w:t>Asian</w:t>
            </w:r>
          </w:p>
        </w:tc>
        <w:tc>
          <w:tcPr>
            <w:tcW w:w="1107" w:type="dxa"/>
            <w:noWrap/>
            <w:tcMar>
              <w:top w:w="0" w:type="dxa"/>
              <w:left w:w="108" w:type="dxa"/>
              <w:bottom w:w="0" w:type="dxa"/>
              <w:right w:w="108" w:type="dxa"/>
            </w:tcMar>
            <w:vAlign w:val="bottom"/>
            <w:hideMark/>
          </w:tcPr>
          <w:p w14:paraId="1A95592B" w14:textId="77777777" w:rsidR="0088550D" w:rsidRDefault="0088550D" w:rsidP="0088550D">
            <w:pPr>
              <w:spacing w:after="0"/>
              <w:jc w:val="center"/>
              <w:rPr>
                <w:rFonts w:ascii="Calibri" w:hAnsi="Calibri"/>
                <w:color w:val="000000"/>
              </w:rPr>
            </w:pPr>
            <w:r>
              <w:rPr>
                <w:rFonts w:ascii="Calibri" w:hAnsi="Calibri"/>
                <w:color w:val="000000"/>
              </w:rPr>
              <w:t>98,316</w:t>
            </w:r>
          </w:p>
        </w:tc>
        <w:tc>
          <w:tcPr>
            <w:tcW w:w="764" w:type="dxa"/>
            <w:noWrap/>
            <w:tcMar>
              <w:top w:w="0" w:type="dxa"/>
              <w:left w:w="108" w:type="dxa"/>
              <w:bottom w:w="0" w:type="dxa"/>
              <w:right w:w="108" w:type="dxa"/>
            </w:tcMar>
            <w:vAlign w:val="bottom"/>
            <w:hideMark/>
          </w:tcPr>
          <w:p w14:paraId="6E8A88C8" w14:textId="77777777" w:rsidR="0088550D" w:rsidRDefault="0088550D" w:rsidP="0088550D">
            <w:pPr>
              <w:spacing w:after="0"/>
              <w:jc w:val="center"/>
              <w:rPr>
                <w:rFonts w:ascii="Calibri" w:hAnsi="Calibri"/>
                <w:color w:val="000000"/>
              </w:rPr>
            </w:pPr>
            <w:r>
              <w:rPr>
                <w:rFonts w:ascii="Calibri" w:hAnsi="Calibri"/>
                <w:color w:val="000000"/>
              </w:rPr>
              <w:t>1.6%</w:t>
            </w:r>
          </w:p>
        </w:tc>
        <w:tc>
          <w:tcPr>
            <w:tcW w:w="1841" w:type="dxa"/>
            <w:noWrap/>
            <w:tcMar>
              <w:top w:w="0" w:type="dxa"/>
              <w:left w:w="108" w:type="dxa"/>
              <w:bottom w:w="0" w:type="dxa"/>
              <w:right w:w="108" w:type="dxa"/>
            </w:tcMar>
            <w:vAlign w:val="bottom"/>
            <w:hideMark/>
          </w:tcPr>
          <w:p w14:paraId="53AE4968" w14:textId="77777777" w:rsidR="0088550D" w:rsidRDefault="0088550D" w:rsidP="0088550D">
            <w:pPr>
              <w:spacing w:after="0"/>
              <w:ind w:firstLine="220"/>
              <w:rPr>
                <w:rFonts w:ascii="Calibri" w:hAnsi="Calibri"/>
                <w:color w:val="000000"/>
              </w:rPr>
            </w:pPr>
            <w:r>
              <w:rPr>
                <w:rFonts w:ascii="Calibri" w:hAnsi="Calibri"/>
                <w:color w:val="000000"/>
              </w:rPr>
              <w:t>Quartile 2</w:t>
            </w:r>
          </w:p>
        </w:tc>
        <w:tc>
          <w:tcPr>
            <w:tcW w:w="1261" w:type="dxa"/>
            <w:noWrap/>
            <w:tcMar>
              <w:top w:w="0" w:type="dxa"/>
              <w:left w:w="108" w:type="dxa"/>
              <w:bottom w:w="0" w:type="dxa"/>
              <w:right w:w="108" w:type="dxa"/>
            </w:tcMar>
            <w:vAlign w:val="bottom"/>
            <w:hideMark/>
          </w:tcPr>
          <w:p w14:paraId="6042F239" w14:textId="77777777" w:rsidR="0088550D" w:rsidRDefault="0088550D" w:rsidP="0088550D">
            <w:pPr>
              <w:spacing w:after="0"/>
              <w:jc w:val="center"/>
              <w:rPr>
                <w:rFonts w:ascii="Calibri" w:hAnsi="Calibri"/>
                <w:color w:val="000000"/>
              </w:rPr>
            </w:pPr>
            <w:r>
              <w:rPr>
                <w:rFonts w:ascii="Calibri" w:hAnsi="Calibri"/>
                <w:color w:val="000000"/>
              </w:rPr>
              <w:t>1,541,867</w:t>
            </w:r>
          </w:p>
        </w:tc>
        <w:tc>
          <w:tcPr>
            <w:tcW w:w="1291" w:type="dxa"/>
            <w:noWrap/>
            <w:tcMar>
              <w:top w:w="0" w:type="dxa"/>
              <w:left w:w="108" w:type="dxa"/>
              <w:bottom w:w="0" w:type="dxa"/>
              <w:right w:w="108" w:type="dxa"/>
            </w:tcMar>
            <w:vAlign w:val="bottom"/>
            <w:hideMark/>
          </w:tcPr>
          <w:p w14:paraId="03534D93" w14:textId="77777777" w:rsidR="0088550D" w:rsidRDefault="0088550D" w:rsidP="0088550D">
            <w:pPr>
              <w:spacing w:after="0"/>
              <w:jc w:val="center"/>
              <w:rPr>
                <w:rFonts w:ascii="Calibri" w:hAnsi="Calibri"/>
                <w:color w:val="000000"/>
              </w:rPr>
            </w:pPr>
            <w:r>
              <w:rPr>
                <w:rFonts w:ascii="Calibri" w:hAnsi="Calibri"/>
                <w:color w:val="000000"/>
              </w:rPr>
              <w:t>24.6%</w:t>
            </w:r>
          </w:p>
        </w:tc>
      </w:tr>
      <w:tr w:rsidR="0088550D" w14:paraId="284BDB61" w14:textId="77777777" w:rsidTr="00355A5F">
        <w:trPr>
          <w:trHeight w:val="186"/>
        </w:trPr>
        <w:tc>
          <w:tcPr>
            <w:tcW w:w="2790" w:type="dxa"/>
            <w:noWrap/>
            <w:tcMar>
              <w:top w:w="0" w:type="dxa"/>
              <w:left w:w="108" w:type="dxa"/>
              <w:bottom w:w="0" w:type="dxa"/>
              <w:right w:w="108" w:type="dxa"/>
            </w:tcMar>
            <w:vAlign w:val="bottom"/>
            <w:hideMark/>
          </w:tcPr>
          <w:p w14:paraId="301B3439" w14:textId="77777777" w:rsidR="0088550D" w:rsidRDefault="0088550D" w:rsidP="0088550D">
            <w:pPr>
              <w:spacing w:after="0"/>
              <w:ind w:firstLine="220"/>
              <w:rPr>
                <w:rFonts w:ascii="Calibri" w:hAnsi="Calibri"/>
                <w:color w:val="000000"/>
              </w:rPr>
            </w:pPr>
            <w:r>
              <w:rPr>
                <w:rFonts w:ascii="Calibri" w:hAnsi="Calibri"/>
                <w:color w:val="000000"/>
              </w:rPr>
              <w:t>Hispanic</w:t>
            </w:r>
          </w:p>
        </w:tc>
        <w:tc>
          <w:tcPr>
            <w:tcW w:w="1107" w:type="dxa"/>
            <w:noWrap/>
            <w:tcMar>
              <w:top w:w="0" w:type="dxa"/>
              <w:left w:w="108" w:type="dxa"/>
              <w:bottom w:w="0" w:type="dxa"/>
              <w:right w:w="108" w:type="dxa"/>
            </w:tcMar>
            <w:vAlign w:val="bottom"/>
            <w:hideMark/>
          </w:tcPr>
          <w:p w14:paraId="1EAF28B4" w14:textId="77777777" w:rsidR="0088550D" w:rsidRDefault="0088550D" w:rsidP="0088550D">
            <w:pPr>
              <w:spacing w:after="0"/>
              <w:jc w:val="center"/>
              <w:rPr>
                <w:rFonts w:ascii="Calibri" w:hAnsi="Calibri"/>
                <w:color w:val="000000"/>
              </w:rPr>
            </w:pPr>
            <w:r>
              <w:rPr>
                <w:rFonts w:ascii="Calibri" w:hAnsi="Calibri"/>
                <w:color w:val="000000"/>
              </w:rPr>
              <w:t>153,997</w:t>
            </w:r>
          </w:p>
        </w:tc>
        <w:tc>
          <w:tcPr>
            <w:tcW w:w="764" w:type="dxa"/>
            <w:noWrap/>
            <w:tcMar>
              <w:top w:w="0" w:type="dxa"/>
              <w:left w:w="108" w:type="dxa"/>
              <w:bottom w:w="0" w:type="dxa"/>
              <w:right w:w="108" w:type="dxa"/>
            </w:tcMar>
            <w:vAlign w:val="bottom"/>
            <w:hideMark/>
          </w:tcPr>
          <w:p w14:paraId="40B94B7F" w14:textId="77777777" w:rsidR="0088550D" w:rsidRDefault="0088550D" w:rsidP="0088550D">
            <w:pPr>
              <w:spacing w:after="0"/>
              <w:jc w:val="center"/>
              <w:rPr>
                <w:rFonts w:ascii="Calibri" w:hAnsi="Calibri"/>
                <w:color w:val="000000"/>
              </w:rPr>
            </w:pPr>
            <w:r>
              <w:rPr>
                <w:rFonts w:ascii="Calibri" w:hAnsi="Calibri"/>
                <w:color w:val="000000"/>
              </w:rPr>
              <w:t>2.5%</w:t>
            </w:r>
          </w:p>
        </w:tc>
        <w:tc>
          <w:tcPr>
            <w:tcW w:w="1841" w:type="dxa"/>
            <w:noWrap/>
            <w:tcMar>
              <w:top w:w="0" w:type="dxa"/>
              <w:left w:w="108" w:type="dxa"/>
              <w:bottom w:w="0" w:type="dxa"/>
              <w:right w:w="108" w:type="dxa"/>
            </w:tcMar>
            <w:vAlign w:val="bottom"/>
            <w:hideMark/>
          </w:tcPr>
          <w:p w14:paraId="1F921344" w14:textId="77777777" w:rsidR="0088550D" w:rsidRDefault="0088550D" w:rsidP="0088550D">
            <w:pPr>
              <w:spacing w:after="0"/>
              <w:ind w:firstLine="220"/>
              <w:rPr>
                <w:rFonts w:ascii="Calibri" w:hAnsi="Calibri"/>
                <w:color w:val="000000"/>
              </w:rPr>
            </w:pPr>
            <w:r>
              <w:rPr>
                <w:rFonts w:ascii="Calibri" w:hAnsi="Calibri"/>
                <w:color w:val="000000"/>
              </w:rPr>
              <w:t>Quartile 3</w:t>
            </w:r>
          </w:p>
        </w:tc>
        <w:tc>
          <w:tcPr>
            <w:tcW w:w="1261" w:type="dxa"/>
            <w:noWrap/>
            <w:tcMar>
              <w:top w:w="0" w:type="dxa"/>
              <w:left w:w="108" w:type="dxa"/>
              <w:bottom w:w="0" w:type="dxa"/>
              <w:right w:w="108" w:type="dxa"/>
            </w:tcMar>
            <w:vAlign w:val="bottom"/>
            <w:hideMark/>
          </w:tcPr>
          <w:p w14:paraId="41F9E029" w14:textId="77777777" w:rsidR="0088550D" w:rsidRDefault="0088550D" w:rsidP="0088550D">
            <w:pPr>
              <w:spacing w:after="0"/>
              <w:jc w:val="center"/>
              <w:rPr>
                <w:rFonts w:ascii="Calibri" w:hAnsi="Calibri"/>
                <w:color w:val="000000"/>
              </w:rPr>
            </w:pPr>
            <w:r>
              <w:rPr>
                <w:rFonts w:ascii="Calibri" w:hAnsi="Calibri"/>
                <w:color w:val="000000"/>
              </w:rPr>
              <w:t>1,542,743</w:t>
            </w:r>
          </w:p>
        </w:tc>
        <w:tc>
          <w:tcPr>
            <w:tcW w:w="1291" w:type="dxa"/>
            <w:noWrap/>
            <w:tcMar>
              <w:top w:w="0" w:type="dxa"/>
              <w:left w:w="108" w:type="dxa"/>
              <w:bottom w:w="0" w:type="dxa"/>
              <w:right w:w="108" w:type="dxa"/>
            </w:tcMar>
            <w:vAlign w:val="bottom"/>
            <w:hideMark/>
          </w:tcPr>
          <w:p w14:paraId="2A19512C" w14:textId="77777777" w:rsidR="0088550D" w:rsidRDefault="0088550D" w:rsidP="0088550D">
            <w:pPr>
              <w:spacing w:after="0"/>
              <w:jc w:val="center"/>
              <w:rPr>
                <w:rFonts w:ascii="Calibri" w:hAnsi="Calibri"/>
                <w:color w:val="000000"/>
              </w:rPr>
            </w:pPr>
            <w:r>
              <w:rPr>
                <w:rFonts w:ascii="Calibri" w:hAnsi="Calibri"/>
                <w:color w:val="000000"/>
              </w:rPr>
              <w:t>24.6%</w:t>
            </w:r>
          </w:p>
        </w:tc>
      </w:tr>
      <w:tr w:rsidR="0088550D" w14:paraId="3B00CB53" w14:textId="77777777" w:rsidTr="00355A5F">
        <w:trPr>
          <w:trHeight w:val="186"/>
        </w:trPr>
        <w:tc>
          <w:tcPr>
            <w:tcW w:w="2790" w:type="dxa"/>
            <w:noWrap/>
            <w:tcMar>
              <w:top w:w="0" w:type="dxa"/>
              <w:left w:w="108" w:type="dxa"/>
              <w:bottom w:w="0" w:type="dxa"/>
              <w:right w:w="108" w:type="dxa"/>
            </w:tcMar>
            <w:vAlign w:val="bottom"/>
            <w:hideMark/>
          </w:tcPr>
          <w:p w14:paraId="012BDC47" w14:textId="77777777" w:rsidR="0088550D" w:rsidRDefault="0088550D" w:rsidP="0088550D">
            <w:pPr>
              <w:spacing w:after="0"/>
              <w:ind w:firstLine="220"/>
              <w:rPr>
                <w:rFonts w:ascii="Calibri" w:hAnsi="Calibri"/>
                <w:color w:val="000000"/>
              </w:rPr>
            </w:pPr>
            <w:r>
              <w:rPr>
                <w:rFonts w:ascii="Calibri" w:hAnsi="Calibri"/>
                <w:color w:val="000000"/>
              </w:rPr>
              <w:t>North American Native</w:t>
            </w:r>
          </w:p>
        </w:tc>
        <w:tc>
          <w:tcPr>
            <w:tcW w:w="1107" w:type="dxa"/>
            <w:noWrap/>
            <w:tcMar>
              <w:top w:w="0" w:type="dxa"/>
              <w:left w:w="108" w:type="dxa"/>
              <w:bottom w:w="0" w:type="dxa"/>
              <w:right w:w="108" w:type="dxa"/>
            </w:tcMar>
            <w:vAlign w:val="bottom"/>
            <w:hideMark/>
          </w:tcPr>
          <w:p w14:paraId="0AAE4093" w14:textId="77777777" w:rsidR="0088550D" w:rsidRDefault="0088550D" w:rsidP="0088550D">
            <w:pPr>
              <w:spacing w:after="0"/>
              <w:jc w:val="center"/>
              <w:rPr>
                <w:rFonts w:ascii="Calibri" w:hAnsi="Calibri"/>
                <w:color w:val="000000"/>
              </w:rPr>
            </w:pPr>
            <w:r>
              <w:rPr>
                <w:rFonts w:ascii="Calibri" w:hAnsi="Calibri"/>
                <w:color w:val="000000"/>
              </w:rPr>
              <w:t>24,834</w:t>
            </w:r>
          </w:p>
        </w:tc>
        <w:tc>
          <w:tcPr>
            <w:tcW w:w="764" w:type="dxa"/>
            <w:noWrap/>
            <w:tcMar>
              <w:top w:w="0" w:type="dxa"/>
              <w:left w:w="108" w:type="dxa"/>
              <w:bottom w:w="0" w:type="dxa"/>
              <w:right w:w="108" w:type="dxa"/>
            </w:tcMar>
            <w:vAlign w:val="bottom"/>
            <w:hideMark/>
          </w:tcPr>
          <w:p w14:paraId="59F00465" w14:textId="77777777" w:rsidR="0088550D" w:rsidRDefault="0088550D" w:rsidP="0088550D">
            <w:pPr>
              <w:spacing w:after="0"/>
              <w:jc w:val="center"/>
              <w:rPr>
                <w:rFonts w:ascii="Calibri" w:hAnsi="Calibri"/>
                <w:color w:val="000000"/>
              </w:rPr>
            </w:pPr>
            <w:r>
              <w:rPr>
                <w:rFonts w:ascii="Calibri" w:hAnsi="Calibri"/>
                <w:color w:val="000000"/>
              </w:rPr>
              <w:t>0.4%</w:t>
            </w:r>
          </w:p>
        </w:tc>
        <w:tc>
          <w:tcPr>
            <w:tcW w:w="1841" w:type="dxa"/>
            <w:noWrap/>
            <w:tcMar>
              <w:top w:w="0" w:type="dxa"/>
              <w:left w:w="108" w:type="dxa"/>
              <w:bottom w:w="0" w:type="dxa"/>
              <w:right w:w="108" w:type="dxa"/>
            </w:tcMar>
            <w:vAlign w:val="bottom"/>
            <w:hideMark/>
          </w:tcPr>
          <w:p w14:paraId="67E5767C" w14:textId="77777777" w:rsidR="0088550D" w:rsidRDefault="0088550D" w:rsidP="0088550D">
            <w:pPr>
              <w:spacing w:after="0"/>
              <w:ind w:firstLine="220"/>
              <w:rPr>
                <w:rFonts w:ascii="Calibri" w:hAnsi="Calibri"/>
                <w:color w:val="000000"/>
              </w:rPr>
            </w:pPr>
            <w:r>
              <w:rPr>
                <w:rFonts w:ascii="Calibri" w:hAnsi="Calibri"/>
                <w:color w:val="000000"/>
              </w:rPr>
              <w:t>Quartile 4</w:t>
            </w:r>
          </w:p>
        </w:tc>
        <w:tc>
          <w:tcPr>
            <w:tcW w:w="1261" w:type="dxa"/>
            <w:noWrap/>
            <w:tcMar>
              <w:top w:w="0" w:type="dxa"/>
              <w:left w:w="108" w:type="dxa"/>
              <w:bottom w:w="0" w:type="dxa"/>
              <w:right w:w="108" w:type="dxa"/>
            </w:tcMar>
            <w:vAlign w:val="bottom"/>
            <w:hideMark/>
          </w:tcPr>
          <w:p w14:paraId="68FF68D5" w14:textId="77777777" w:rsidR="0088550D" w:rsidRDefault="0088550D" w:rsidP="0088550D">
            <w:pPr>
              <w:spacing w:after="0"/>
              <w:jc w:val="center"/>
              <w:rPr>
                <w:rFonts w:ascii="Calibri" w:hAnsi="Calibri"/>
                <w:color w:val="000000"/>
              </w:rPr>
            </w:pPr>
            <w:r>
              <w:rPr>
                <w:rFonts w:ascii="Calibri" w:hAnsi="Calibri"/>
                <w:color w:val="000000"/>
              </w:rPr>
              <w:t>1,541,901</w:t>
            </w:r>
          </w:p>
        </w:tc>
        <w:tc>
          <w:tcPr>
            <w:tcW w:w="1291" w:type="dxa"/>
            <w:noWrap/>
            <w:tcMar>
              <w:top w:w="0" w:type="dxa"/>
              <w:left w:w="108" w:type="dxa"/>
              <w:bottom w:w="0" w:type="dxa"/>
              <w:right w:w="108" w:type="dxa"/>
            </w:tcMar>
            <w:vAlign w:val="bottom"/>
            <w:hideMark/>
          </w:tcPr>
          <w:p w14:paraId="2965A1E6" w14:textId="77777777" w:rsidR="0088550D" w:rsidRDefault="0088550D" w:rsidP="0088550D">
            <w:pPr>
              <w:spacing w:after="0"/>
              <w:jc w:val="center"/>
              <w:rPr>
                <w:rFonts w:ascii="Calibri" w:hAnsi="Calibri"/>
                <w:color w:val="000000"/>
              </w:rPr>
            </w:pPr>
            <w:r>
              <w:rPr>
                <w:rFonts w:ascii="Calibri" w:hAnsi="Calibri"/>
                <w:color w:val="000000"/>
              </w:rPr>
              <w:t>24.6%</w:t>
            </w:r>
          </w:p>
        </w:tc>
      </w:tr>
      <w:tr w:rsidR="0088550D" w14:paraId="273C68A0" w14:textId="77777777" w:rsidTr="00355A5F">
        <w:trPr>
          <w:trHeight w:val="186"/>
        </w:trPr>
        <w:tc>
          <w:tcPr>
            <w:tcW w:w="2790" w:type="dxa"/>
            <w:noWrap/>
            <w:tcMar>
              <w:top w:w="0" w:type="dxa"/>
              <w:left w:w="108" w:type="dxa"/>
              <w:bottom w:w="0" w:type="dxa"/>
              <w:right w:w="108" w:type="dxa"/>
            </w:tcMar>
            <w:vAlign w:val="bottom"/>
            <w:hideMark/>
          </w:tcPr>
          <w:p w14:paraId="2884EFAB" w14:textId="77777777" w:rsidR="0088550D" w:rsidRDefault="0088550D" w:rsidP="0088550D">
            <w:pPr>
              <w:spacing w:after="0"/>
              <w:ind w:firstLine="220"/>
              <w:rPr>
                <w:rFonts w:ascii="Calibri" w:hAnsi="Calibri"/>
                <w:color w:val="000000"/>
              </w:rPr>
            </w:pPr>
            <w:r>
              <w:rPr>
                <w:rFonts w:ascii="Calibri" w:hAnsi="Calibri"/>
                <w:color w:val="000000"/>
              </w:rPr>
              <w:t>Other</w:t>
            </w:r>
          </w:p>
        </w:tc>
        <w:tc>
          <w:tcPr>
            <w:tcW w:w="1107" w:type="dxa"/>
            <w:noWrap/>
            <w:tcMar>
              <w:top w:w="0" w:type="dxa"/>
              <w:left w:w="108" w:type="dxa"/>
              <w:bottom w:w="0" w:type="dxa"/>
              <w:right w:w="108" w:type="dxa"/>
            </w:tcMar>
            <w:vAlign w:val="bottom"/>
            <w:hideMark/>
          </w:tcPr>
          <w:p w14:paraId="0EEB35A9" w14:textId="77777777" w:rsidR="0088550D" w:rsidRDefault="0088550D" w:rsidP="0088550D">
            <w:pPr>
              <w:spacing w:after="0"/>
              <w:jc w:val="center"/>
              <w:rPr>
                <w:rFonts w:ascii="Calibri" w:hAnsi="Calibri"/>
                <w:color w:val="000000"/>
              </w:rPr>
            </w:pPr>
            <w:r>
              <w:rPr>
                <w:rFonts w:ascii="Calibri" w:hAnsi="Calibri"/>
                <w:color w:val="000000"/>
              </w:rPr>
              <w:t>69,427</w:t>
            </w:r>
          </w:p>
        </w:tc>
        <w:tc>
          <w:tcPr>
            <w:tcW w:w="764" w:type="dxa"/>
            <w:noWrap/>
            <w:tcMar>
              <w:top w:w="0" w:type="dxa"/>
              <w:left w:w="108" w:type="dxa"/>
              <w:bottom w:w="0" w:type="dxa"/>
              <w:right w:w="108" w:type="dxa"/>
            </w:tcMar>
            <w:vAlign w:val="bottom"/>
            <w:hideMark/>
          </w:tcPr>
          <w:p w14:paraId="70765342" w14:textId="77777777" w:rsidR="0088550D" w:rsidRDefault="0088550D" w:rsidP="0088550D">
            <w:pPr>
              <w:spacing w:after="0"/>
              <w:jc w:val="center"/>
              <w:rPr>
                <w:rFonts w:ascii="Calibri" w:hAnsi="Calibri"/>
                <w:color w:val="000000"/>
              </w:rPr>
            </w:pPr>
            <w:r>
              <w:rPr>
                <w:rFonts w:ascii="Calibri" w:hAnsi="Calibri"/>
                <w:color w:val="000000"/>
              </w:rPr>
              <w:t>1.1%</w:t>
            </w:r>
          </w:p>
        </w:tc>
        <w:tc>
          <w:tcPr>
            <w:tcW w:w="1841" w:type="dxa"/>
            <w:noWrap/>
            <w:tcMar>
              <w:top w:w="0" w:type="dxa"/>
              <w:left w:w="108" w:type="dxa"/>
              <w:bottom w:w="0" w:type="dxa"/>
              <w:right w:w="108" w:type="dxa"/>
            </w:tcMar>
            <w:vAlign w:val="bottom"/>
            <w:hideMark/>
          </w:tcPr>
          <w:p w14:paraId="0664F408" w14:textId="77777777" w:rsidR="0088550D" w:rsidRDefault="0088550D" w:rsidP="0088550D">
            <w:pPr>
              <w:spacing w:after="0"/>
              <w:ind w:firstLine="220"/>
              <w:rPr>
                <w:rFonts w:ascii="Calibri" w:hAnsi="Calibri"/>
                <w:color w:val="000000"/>
              </w:rPr>
            </w:pPr>
            <w:r>
              <w:rPr>
                <w:rFonts w:ascii="Calibri" w:hAnsi="Calibri"/>
                <w:color w:val="000000"/>
              </w:rPr>
              <w:t>Missing</w:t>
            </w:r>
          </w:p>
        </w:tc>
        <w:tc>
          <w:tcPr>
            <w:tcW w:w="1261" w:type="dxa"/>
            <w:noWrap/>
            <w:tcMar>
              <w:top w:w="0" w:type="dxa"/>
              <w:left w:w="108" w:type="dxa"/>
              <w:bottom w:w="0" w:type="dxa"/>
              <w:right w:w="108" w:type="dxa"/>
            </w:tcMar>
            <w:vAlign w:val="bottom"/>
            <w:hideMark/>
          </w:tcPr>
          <w:p w14:paraId="69F27D7E" w14:textId="77777777" w:rsidR="0088550D" w:rsidRDefault="0088550D" w:rsidP="0088550D">
            <w:pPr>
              <w:spacing w:after="0"/>
              <w:jc w:val="center"/>
              <w:rPr>
                <w:rFonts w:ascii="Calibri" w:hAnsi="Calibri"/>
                <w:color w:val="000000"/>
              </w:rPr>
            </w:pPr>
            <w:r>
              <w:rPr>
                <w:rFonts w:ascii="Calibri" w:hAnsi="Calibri"/>
                <w:color w:val="000000"/>
              </w:rPr>
              <w:t>110,869</w:t>
            </w:r>
          </w:p>
        </w:tc>
        <w:tc>
          <w:tcPr>
            <w:tcW w:w="1291" w:type="dxa"/>
            <w:noWrap/>
            <w:tcMar>
              <w:top w:w="0" w:type="dxa"/>
              <w:left w:w="108" w:type="dxa"/>
              <w:bottom w:w="0" w:type="dxa"/>
              <w:right w:w="108" w:type="dxa"/>
            </w:tcMar>
            <w:vAlign w:val="bottom"/>
            <w:hideMark/>
          </w:tcPr>
          <w:p w14:paraId="16C53985" w14:textId="77777777" w:rsidR="0088550D" w:rsidRDefault="0088550D" w:rsidP="0088550D">
            <w:pPr>
              <w:spacing w:after="0"/>
              <w:jc w:val="center"/>
              <w:rPr>
                <w:rFonts w:ascii="Calibri" w:hAnsi="Calibri"/>
                <w:color w:val="000000"/>
              </w:rPr>
            </w:pPr>
            <w:r>
              <w:rPr>
                <w:rFonts w:ascii="Calibri" w:hAnsi="Calibri"/>
                <w:color w:val="000000"/>
              </w:rPr>
              <w:t>1.8%</w:t>
            </w:r>
          </w:p>
        </w:tc>
      </w:tr>
      <w:tr w:rsidR="0088550D" w14:paraId="68575529" w14:textId="77777777" w:rsidTr="00355A5F">
        <w:trPr>
          <w:trHeight w:val="61"/>
        </w:trPr>
        <w:tc>
          <w:tcPr>
            <w:tcW w:w="2790" w:type="dxa"/>
            <w:tcBorders>
              <w:top w:val="nil"/>
              <w:left w:val="nil"/>
              <w:bottom w:val="single" w:sz="8" w:space="0" w:color="auto"/>
              <w:right w:val="nil"/>
            </w:tcBorders>
            <w:noWrap/>
            <w:tcMar>
              <w:top w:w="0" w:type="dxa"/>
              <w:left w:w="108" w:type="dxa"/>
              <w:bottom w:w="0" w:type="dxa"/>
              <w:right w:w="108" w:type="dxa"/>
            </w:tcMar>
            <w:vAlign w:val="bottom"/>
            <w:hideMark/>
          </w:tcPr>
          <w:p w14:paraId="53869CA3" w14:textId="77777777" w:rsidR="0088550D" w:rsidRDefault="0088550D" w:rsidP="0088550D">
            <w:pPr>
              <w:spacing w:after="0"/>
              <w:ind w:firstLine="220"/>
              <w:rPr>
                <w:rFonts w:ascii="Calibri" w:hAnsi="Calibri"/>
                <w:color w:val="000000"/>
              </w:rPr>
            </w:pPr>
            <w:r>
              <w:rPr>
                <w:rFonts w:ascii="Calibri" w:hAnsi="Calibri"/>
                <w:color w:val="000000"/>
              </w:rPr>
              <w:t>Missing</w:t>
            </w:r>
          </w:p>
        </w:tc>
        <w:tc>
          <w:tcPr>
            <w:tcW w:w="1107" w:type="dxa"/>
            <w:tcBorders>
              <w:top w:val="nil"/>
              <w:left w:val="nil"/>
              <w:bottom w:val="single" w:sz="8" w:space="0" w:color="auto"/>
              <w:right w:val="nil"/>
            </w:tcBorders>
            <w:noWrap/>
            <w:tcMar>
              <w:top w:w="0" w:type="dxa"/>
              <w:left w:w="108" w:type="dxa"/>
              <w:bottom w:w="0" w:type="dxa"/>
              <w:right w:w="108" w:type="dxa"/>
            </w:tcMar>
            <w:vAlign w:val="bottom"/>
            <w:hideMark/>
          </w:tcPr>
          <w:p w14:paraId="6E34033C" w14:textId="77777777" w:rsidR="0088550D" w:rsidRDefault="0088550D" w:rsidP="0088550D">
            <w:pPr>
              <w:spacing w:after="0"/>
              <w:jc w:val="center"/>
              <w:rPr>
                <w:rFonts w:ascii="Calibri" w:hAnsi="Calibri"/>
                <w:color w:val="000000"/>
              </w:rPr>
            </w:pPr>
            <w:r>
              <w:rPr>
                <w:rFonts w:ascii="Calibri" w:hAnsi="Calibri"/>
                <w:color w:val="000000"/>
              </w:rPr>
              <w:t>31,904</w:t>
            </w:r>
          </w:p>
        </w:tc>
        <w:tc>
          <w:tcPr>
            <w:tcW w:w="764" w:type="dxa"/>
            <w:tcBorders>
              <w:top w:val="nil"/>
              <w:left w:val="nil"/>
              <w:bottom w:val="single" w:sz="8" w:space="0" w:color="auto"/>
              <w:right w:val="nil"/>
            </w:tcBorders>
            <w:noWrap/>
            <w:tcMar>
              <w:top w:w="0" w:type="dxa"/>
              <w:left w:w="108" w:type="dxa"/>
              <w:bottom w:w="0" w:type="dxa"/>
              <w:right w:w="108" w:type="dxa"/>
            </w:tcMar>
            <w:vAlign w:val="bottom"/>
            <w:hideMark/>
          </w:tcPr>
          <w:p w14:paraId="5C6D15D2" w14:textId="77777777" w:rsidR="0088550D" w:rsidRDefault="0088550D" w:rsidP="0088550D">
            <w:pPr>
              <w:spacing w:after="0"/>
              <w:jc w:val="center"/>
              <w:rPr>
                <w:rFonts w:ascii="Calibri" w:hAnsi="Calibri"/>
                <w:color w:val="000000"/>
              </w:rPr>
            </w:pPr>
            <w:r>
              <w:rPr>
                <w:rFonts w:ascii="Calibri" w:hAnsi="Calibri"/>
                <w:color w:val="000000"/>
              </w:rPr>
              <w:t>0.5%</w:t>
            </w:r>
          </w:p>
        </w:tc>
        <w:tc>
          <w:tcPr>
            <w:tcW w:w="1841" w:type="dxa"/>
            <w:tcBorders>
              <w:top w:val="nil"/>
              <w:left w:val="nil"/>
              <w:bottom w:val="single" w:sz="8" w:space="0" w:color="auto"/>
              <w:right w:val="nil"/>
            </w:tcBorders>
            <w:noWrap/>
            <w:tcMar>
              <w:top w:w="0" w:type="dxa"/>
              <w:left w:w="108" w:type="dxa"/>
              <w:bottom w:w="0" w:type="dxa"/>
              <w:right w:w="108" w:type="dxa"/>
            </w:tcMar>
            <w:vAlign w:val="bottom"/>
            <w:hideMark/>
          </w:tcPr>
          <w:p w14:paraId="5FEB1166" w14:textId="77777777" w:rsidR="0088550D" w:rsidRDefault="0088550D" w:rsidP="0088550D">
            <w:pPr>
              <w:spacing w:after="0"/>
              <w:rPr>
                <w:rFonts w:ascii="Calibri" w:hAnsi="Calibri"/>
                <w:color w:val="000000"/>
              </w:rPr>
            </w:pPr>
            <w:r>
              <w:rPr>
                <w:rFonts w:ascii="Calibri" w:hAnsi="Calibri"/>
                <w:color w:val="000000"/>
              </w:rPr>
              <w:t> </w:t>
            </w:r>
          </w:p>
        </w:tc>
        <w:tc>
          <w:tcPr>
            <w:tcW w:w="1261" w:type="dxa"/>
            <w:tcBorders>
              <w:top w:val="nil"/>
              <w:left w:val="nil"/>
              <w:bottom w:val="single" w:sz="8" w:space="0" w:color="auto"/>
              <w:right w:val="nil"/>
            </w:tcBorders>
            <w:noWrap/>
            <w:tcMar>
              <w:top w:w="0" w:type="dxa"/>
              <w:left w:w="108" w:type="dxa"/>
              <w:bottom w:w="0" w:type="dxa"/>
              <w:right w:w="108" w:type="dxa"/>
            </w:tcMar>
            <w:vAlign w:val="bottom"/>
            <w:hideMark/>
          </w:tcPr>
          <w:p w14:paraId="58075669" w14:textId="77777777" w:rsidR="0088550D" w:rsidRDefault="0088550D" w:rsidP="0088550D">
            <w:pPr>
              <w:spacing w:after="0"/>
              <w:rPr>
                <w:rFonts w:ascii="Calibri" w:hAnsi="Calibri"/>
                <w:color w:val="000000"/>
              </w:rPr>
            </w:pPr>
            <w:r>
              <w:rPr>
                <w:rFonts w:ascii="Calibri" w:hAnsi="Calibri"/>
                <w:color w:val="000000"/>
              </w:rPr>
              <w:t> </w:t>
            </w:r>
          </w:p>
        </w:tc>
        <w:tc>
          <w:tcPr>
            <w:tcW w:w="1291" w:type="dxa"/>
            <w:tcBorders>
              <w:top w:val="nil"/>
              <w:left w:val="nil"/>
              <w:bottom w:val="single" w:sz="8" w:space="0" w:color="auto"/>
              <w:right w:val="nil"/>
            </w:tcBorders>
            <w:noWrap/>
            <w:tcMar>
              <w:top w:w="0" w:type="dxa"/>
              <w:left w:w="108" w:type="dxa"/>
              <w:bottom w:w="0" w:type="dxa"/>
              <w:right w:w="108" w:type="dxa"/>
            </w:tcMar>
            <w:vAlign w:val="bottom"/>
            <w:hideMark/>
          </w:tcPr>
          <w:p w14:paraId="2C8AEA9D" w14:textId="77777777" w:rsidR="0088550D" w:rsidRDefault="0088550D" w:rsidP="0088550D">
            <w:pPr>
              <w:spacing w:after="0"/>
              <w:rPr>
                <w:rFonts w:ascii="Calibri" w:hAnsi="Calibri"/>
                <w:color w:val="000000"/>
              </w:rPr>
            </w:pPr>
            <w:r>
              <w:rPr>
                <w:rFonts w:ascii="Calibri" w:hAnsi="Calibri"/>
                <w:color w:val="000000"/>
              </w:rPr>
              <w:t> </w:t>
            </w:r>
          </w:p>
        </w:tc>
      </w:tr>
    </w:tbl>
    <w:p w14:paraId="07F14887" w14:textId="60A10C91" w:rsidR="00236FCC" w:rsidRPr="00C90EDA" w:rsidRDefault="00236FCC" w:rsidP="00236FCC">
      <w:pPr>
        <w:spacing w:after="0" w:line="240" w:lineRule="auto"/>
        <w:rPr>
          <w:rFonts w:eastAsia="Calibri" w:cstheme="minorHAnsi"/>
          <w:sz w:val="18"/>
          <w:szCs w:val="18"/>
        </w:rPr>
      </w:pPr>
      <w:r w:rsidRPr="00C90EDA">
        <w:rPr>
          <w:rFonts w:eastAsia="Calibri" w:cstheme="minorHAnsi"/>
          <w:sz w:val="18"/>
          <w:szCs w:val="18"/>
        </w:rPr>
        <w:t xml:space="preserve">  * based on beneficiary residence. AHRQ = Agency for Healthcare Research and Quality. Source</w:t>
      </w:r>
      <w:r w:rsidR="001C0144">
        <w:rPr>
          <w:rFonts w:eastAsia="Calibri" w:cstheme="minorHAnsi"/>
          <w:sz w:val="18"/>
          <w:szCs w:val="18"/>
        </w:rPr>
        <w:t>:</w:t>
      </w:r>
      <w:r w:rsidR="000A7B3D">
        <w:rPr>
          <w:rFonts w:eastAsia="Calibri" w:cstheme="minorHAnsi"/>
          <w:sz w:val="18"/>
          <w:szCs w:val="18"/>
        </w:rPr>
        <w:t xml:space="preserve"> Acumen</w:t>
      </w:r>
      <w:r w:rsidRPr="00C90EDA">
        <w:rPr>
          <w:rFonts w:eastAsia="Calibri" w:cstheme="minorHAnsi"/>
          <w:sz w:val="18"/>
          <w:szCs w:val="18"/>
        </w:rPr>
        <w:t xml:space="preserve"> analysis of </w:t>
      </w:r>
      <w:r w:rsidR="003C47FD">
        <w:rPr>
          <w:rFonts w:eastAsia="Calibri" w:cstheme="minorHAnsi"/>
          <w:sz w:val="18"/>
          <w:szCs w:val="18"/>
        </w:rPr>
        <w:t>CY2015-2016</w:t>
      </w:r>
      <w:r w:rsidR="003C47FD" w:rsidRPr="00C90EDA">
        <w:rPr>
          <w:rFonts w:eastAsia="Calibri" w:cstheme="minorHAnsi"/>
          <w:sz w:val="18"/>
          <w:szCs w:val="18"/>
        </w:rPr>
        <w:t xml:space="preserve"> </w:t>
      </w:r>
      <w:r w:rsidRPr="00C90EDA">
        <w:rPr>
          <w:rFonts w:eastAsia="Calibri" w:cstheme="minorHAnsi"/>
          <w:sz w:val="18"/>
          <w:szCs w:val="18"/>
        </w:rPr>
        <w:t>Medicare fee-for-service claims data</w:t>
      </w:r>
      <w:r w:rsidR="00C81E7F">
        <w:rPr>
          <w:rFonts w:eastAsia="Calibri" w:cstheme="minorHAnsi"/>
          <w:sz w:val="18"/>
          <w:szCs w:val="18"/>
        </w:rPr>
        <w:t>, Medicare Enrollment Database, Common Medicare Environment database</w:t>
      </w:r>
      <w:r w:rsidRPr="00C90EDA">
        <w:rPr>
          <w:rFonts w:eastAsia="Calibri" w:cstheme="minorHAnsi"/>
          <w:sz w:val="18"/>
          <w:szCs w:val="18"/>
        </w:rPr>
        <w:t xml:space="preserve"> </w:t>
      </w:r>
      <w:r w:rsidR="001C0144">
        <w:rPr>
          <w:rFonts w:eastAsia="Calibri" w:cstheme="minorHAnsi"/>
          <w:sz w:val="18"/>
          <w:szCs w:val="18"/>
        </w:rPr>
        <w:t>and 2016 American Community Survey</w:t>
      </w:r>
      <w:r w:rsidRPr="00C90EDA">
        <w:rPr>
          <w:rFonts w:eastAsia="Calibri" w:cstheme="minorHAnsi"/>
          <w:sz w:val="18"/>
          <w:szCs w:val="18"/>
        </w:rPr>
        <w:t xml:space="preserve">. </w:t>
      </w:r>
    </w:p>
    <w:p w14:paraId="2918C25D" w14:textId="77777777" w:rsidR="00236FCC" w:rsidRPr="00C90EDA" w:rsidRDefault="00236FCC" w:rsidP="00E547E2">
      <w:pPr>
        <w:spacing w:after="0" w:line="240" w:lineRule="auto"/>
        <w:rPr>
          <w:rFonts w:eastAsia="Calibri" w:cstheme="minorHAnsi"/>
        </w:rPr>
      </w:pPr>
    </w:p>
    <w:p w14:paraId="0D9A3F3A" w14:textId="0C70155C" w:rsidR="00E547E2" w:rsidRPr="00C90EDA" w:rsidRDefault="00E547E2" w:rsidP="00E547E2">
      <w:pPr>
        <w:spacing w:after="0" w:line="240" w:lineRule="auto"/>
        <w:rPr>
          <w:rFonts w:eastAsia="Calibri" w:cstheme="minorHAnsi"/>
        </w:rPr>
      </w:pPr>
      <w:r w:rsidRPr="00C90EDA">
        <w:rPr>
          <w:rFonts w:eastAsia="Calibri" w:cstheme="minorHAnsi"/>
        </w:rPr>
        <w:t>The rate of successful DTC for each social risk factor group is show</w:t>
      </w:r>
      <w:r w:rsidR="00C335A2">
        <w:rPr>
          <w:rFonts w:eastAsia="Calibri" w:cstheme="minorHAnsi"/>
        </w:rPr>
        <w:t>n</w:t>
      </w:r>
      <w:r w:rsidRPr="00C90EDA">
        <w:rPr>
          <w:rFonts w:eastAsia="Calibri" w:cstheme="minorHAnsi"/>
        </w:rPr>
        <w:t xml:space="preserve"> in the </w:t>
      </w:r>
      <w:r w:rsidRPr="00C90EDA">
        <w:rPr>
          <w:rFonts w:eastAsia="Calibri" w:cstheme="minorHAnsi"/>
          <w:b/>
        </w:rPr>
        <w:t>Table B-2</w:t>
      </w:r>
      <w:r w:rsidRPr="00C90EDA">
        <w:rPr>
          <w:rFonts w:eastAsia="Calibri" w:cstheme="minorHAnsi"/>
        </w:rPr>
        <w:t xml:space="preserve">. </w:t>
      </w:r>
      <w:r w:rsidR="00C335A2">
        <w:rPr>
          <w:rFonts w:eastAsia="Calibri" w:cstheme="minorHAnsi"/>
        </w:rPr>
        <w:t>The DTC rate for d</w:t>
      </w:r>
      <w:r w:rsidRPr="00C90EDA">
        <w:rPr>
          <w:rFonts w:eastAsia="Calibri" w:cstheme="minorHAnsi"/>
        </w:rPr>
        <w:t xml:space="preserve">ual eligible stays with full Medicaid was </w:t>
      </w:r>
      <w:r w:rsidR="000A7B3D">
        <w:rPr>
          <w:rFonts w:eastAsia="Calibri" w:cstheme="minorHAnsi"/>
        </w:rPr>
        <w:t>5.7</w:t>
      </w:r>
      <w:r w:rsidRPr="00C90EDA">
        <w:rPr>
          <w:rFonts w:eastAsia="Calibri" w:cstheme="minorHAnsi"/>
        </w:rPr>
        <w:t xml:space="preserve"> percentage points lower than the rate for </w:t>
      </w:r>
      <w:r w:rsidR="00324C8D">
        <w:rPr>
          <w:rFonts w:eastAsia="Calibri" w:cstheme="minorHAnsi"/>
        </w:rPr>
        <w:t xml:space="preserve">non-dual </w:t>
      </w:r>
      <w:r w:rsidRPr="00C90EDA">
        <w:rPr>
          <w:rFonts w:eastAsia="Calibri" w:cstheme="minorHAnsi"/>
        </w:rPr>
        <w:t>stays. The race/ethnicity group</w:t>
      </w:r>
      <w:r w:rsidR="00F57FC5">
        <w:rPr>
          <w:rFonts w:eastAsia="Calibri" w:cstheme="minorHAnsi"/>
        </w:rPr>
        <w:t>s</w:t>
      </w:r>
      <w:r w:rsidRPr="00C90EDA">
        <w:rPr>
          <w:rFonts w:eastAsia="Calibri" w:cstheme="minorHAnsi"/>
        </w:rPr>
        <w:t xml:space="preserve"> with the highest DTC rates were </w:t>
      </w:r>
      <w:r w:rsidR="000A7B3D">
        <w:rPr>
          <w:rFonts w:cstheme="minorHAnsi"/>
        </w:rPr>
        <w:t>Asian (82.3</w:t>
      </w:r>
      <w:r w:rsidRPr="00C90EDA">
        <w:rPr>
          <w:rFonts w:cstheme="minorHAnsi"/>
        </w:rPr>
        <w:t xml:space="preserve">%) </w:t>
      </w:r>
      <w:r w:rsidR="00F57FC5">
        <w:rPr>
          <w:rFonts w:cstheme="minorHAnsi"/>
        </w:rPr>
        <w:t xml:space="preserve">followed by </w:t>
      </w:r>
      <w:r w:rsidR="000A7B3D">
        <w:rPr>
          <w:rFonts w:cstheme="minorHAnsi"/>
        </w:rPr>
        <w:t>W</w:t>
      </w:r>
      <w:r w:rsidRPr="00C90EDA">
        <w:rPr>
          <w:rFonts w:cstheme="minorHAnsi"/>
        </w:rPr>
        <w:t>hite (</w:t>
      </w:r>
      <w:r w:rsidR="00C65103">
        <w:rPr>
          <w:rFonts w:cstheme="minorHAnsi"/>
        </w:rPr>
        <w:t>79.1</w:t>
      </w:r>
      <w:r w:rsidRPr="00C90EDA">
        <w:rPr>
          <w:rFonts w:cstheme="minorHAnsi"/>
        </w:rPr>
        <w:t>%)</w:t>
      </w:r>
      <w:r w:rsidRPr="00C90EDA">
        <w:rPr>
          <w:rFonts w:eastAsia="Calibri" w:cstheme="minorHAnsi"/>
        </w:rPr>
        <w:t xml:space="preserve">, and the group with the lowest </w:t>
      </w:r>
      <w:r w:rsidR="00F57FC5">
        <w:rPr>
          <w:rFonts w:eastAsia="Calibri" w:cstheme="minorHAnsi"/>
        </w:rPr>
        <w:t xml:space="preserve">DTC rate </w:t>
      </w:r>
      <w:r w:rsidRPr="00C90EDA">
        <w:rPr>
          <w:rFonts w:eastAsia="Calibri" w:cstheme="minorHAnsi"/>
        </w:rPr>
        <w:t xml:space="preserve">was </w:t>
      </w:r>
      <w:r w:rsidR="00F57FC5">
        <w:rPr>
          <w:rFonts w:cstheme="minorHAnsi"/>
        </w:rPr>
        <w:t>b</w:t>
      </w:r>
      <w:r w:rsidR="000A7B3D">
        <w:rPr>
          <w:rFonts w:cstheme="minorHAnsi"/>
        </w:rPr>
        <w:t>lack (73</w:t>
      </w:r>
      <w:r w:rsidR="000A426E">
        <w:rPr>
          <w:rFonts w:cstheme="minorHAnsi"/>
        </w:rPr>
        <w:t>.0</w:t>
      </w:r>
      <w:r w:rsidRPr="00C90EDA">
        <w:rPr>
          <w:rFonts w:cstheme="minorHAnsi"/>
        </w:rPr>
        <w:t>%)</w:t>
      </w:r>
      <w:r w:rsidRPr="00C90EDA">
        <w:rPr>
          <w:rFonts w:eastAsia="Calibri" w:cstheme="minorHAnsi"/>
        </w:rPr>
        <w:t xml:space="preserve">. </w:t>
      </w:r>
      <w:r w:rsidR="002D06D5">
        <w:rPr>
          <w:rFonts w:eastAsia="Calibri" w:cstheme="minorHAnsi"/>
        </w:rPr>
        <w:t>Patients</w:t>
      </w:r>
      <w:r w:rsidR="002D06D5" w:rsidRPr="00C90EDA">
        <w:rPr>
          <w:rFonts w:eastAsia="Calibri" w:cstheme="minorHAnsi"/>
        </w:rPr>
        <w:t xml:space="preserve"> </w:t>
      </w:r>
      <w:r w:rsidRPr="00C90EDA">
        <w:rPr>
          <w:rFonts w:eastAsia="Calibri" w:cstheme="minorHAnsi"/>
        </w:rPr>
        <w:t>w</w:t>
      </w:r>
      <w:r w:rsidR="000A7B3D">
        <w:rPr>
          <w:rFonts w:eastAsia="Calibri" w:cstheme="minorHAnsi"/>
        </w:rPr>
        <w:t xml:space="preserve">ho lived in rural areas had a </w:t>
      </w:r>
      <w:r w:rsidR="004C7BB5">
        <w:rPr>
          <w:rFonts w:eastAsia="Calibri" w:cstheme="minorHAnsi"/>
        </w:rPr>
        <w:t>4.5</w:t>
      </w:r>
      <w:r w:rsidRPr="00C90EDA">
        <w:rPr>
          <w:rFonts w:eastAsia="Calibri" w:cstheme="minorHAnsi"/>
        </w:rPr>
        <w:t xml:space="preserve"> percentage point lower observed DTC rate than those who lived in </w:t>
      </w:r>
      <w:r w:rsidR="0007464C">
        <w:rPr>
          <w:rFonts w:eastAsia="Calibri" w:cstheme="minorHAnsi"/>
        </w:rPr>
        <w:t>u</w:t>
      </w:r>
      <w:r w:rsidRPr="00C90EDA">
        <w:rPr>
          <w:rFonts w:eastAsia="Calibri" w:cstheme="minorHAnsi"/>
        </w:rPr>
        <w:t xml:space="preserve">rban areas. There was a consistent trend of a higher observed DTC rate associated with higher AHRQ SES Index, with </w:t>
      </w:r>
      <w:r w:rsidR="0007464C">
        <w:rPr>
          <w:rFonts w:eastAsia="Calibri" w:cstheme="minorHAnsi"/>
        </w:rPr>
        <w:t>q</w:t>
      </w:r>
      <w:r w:rsidRPr="00C90EDA">
        <w:rPr>
          <w:rFonts w:eastAsia="Calibri" w:cstheme="minorHAnsi"/>
        </w:rPr>
        <w:t xml:space="preserve">uartiles 1, </w:t>
      </w:r>
      <w:bookmarkStart w:id="1" w:name="_Hlk528946313"/>
      <w:r w:rsidR="000A7B3D">
        <w:rPr>
          <w:rFonts w:eastAsia="Calibri" w:cstheme="minorHAnsi"/>
        </w:rPr>
        <w:t>2, 3, and 4 having rates of 74.</w:t>
      </w:r>
      <w:r w:rsidR="004C7BB5">
        <w:rPr>
          <w:rFonts w:eastAsia="Calibri" w:cstheme="minorHAnsi"/>
        </w:rPr>
        <w:t>2</w:t>
      </w:r>
      <w:r w:rsidR="005D7721">
        <w:rPr>
          <w:rFonts w:eastAsia="Calibri" w:cstheme="minorHAnsi"/>
        </w:rPr>
        <w:t>%</w:t>
      </w:r>
      <w:bookmarkEnd w:id="1"/>
      <w:r w:rsidRPr="00C90EDA">
        <w:rPr>
          <w:rFonts w:eastAsia="Calibri" w:cstheme="minorHAnsi"/>
        </w:rPr>
        <w:t xml:space="preserve">, </w:t>
      </w:r>
      <w:r w:rsidR="000A7B3D">
        <w:rPr>
          <w:rFonts w:eastAsia="Calibri" w:cstheme="minorHAnsi"/>
        </w:rPr>
        <w:t>77.9</w:t>
      </w:r>
      <w:r w:rsidR="005D7721">
        <w:rPr>
          <w:rFonts w:eastAsia="Calibri" w:cstheme="minorHAnsi"/>
        </w:rPr>
        <w:t>%</w:t>
      </w:r>
      <w:r w:rsidRPr="00C90EDA">
        <w:rPr>
          <w:rFonts w:eastAsia="Calibri" w:cstheme="minorHAnsi"/>
        </w:rPr>
        <w:t xml:space="preserve">, </w:t>
      </w:r>
      <w:r w:rsidR="000A7B3D">
        <w:rPr>
          <w:rFonts w:eastAsia="Calibri" w:cstheme="minorHAnsi"/>
        </w:rPr>
        <w:t>79.8</w:t>
      </w:r>
      <w:r w:rsidR="005D7721">
        <w:rPr>
          <w:rFonts w:eastAsia="Calibri" w:cstheme="minorHAnsi"/>
        </w:rPr>
        <w:t>%</w:t>
      </w:r>
      <w:r w:rsidRPr="00C90EDA">
        <w:rPr>
          <w:rFonts w:eastAsia="Calibri" w:cstheme="minorHAnsi"/>
        </w:rPr>
        <w:t xml:space="preserve">, and </w:t>
      </w:r>
      <w:r w:rsidR="000A7B3D">
        <w:rPr>
          <w:rFonts w:eastAsia="Calibri" w:cstheme="minorHAnsi"/>
        </w:rPr>
        <w:t>82</w:t>
      </w:r>
      <w:r w:rsidR="000A426E">
        <w:rPr>
          <w:rFonts w:eastAsia="Calibri" w:cstheme="minorHAnsi"/>
        </w:rPr>
        <w:t>.0</w:t>
      </w:r>
      <w:r w:rsidR="005D7721">
        <w:rPr>
          <w:rFonts w:eastAsia="Calibri" w:cstheme="minorHAnsi"/>
        </w:rPr>
        <w:t>%</w:t>
      </w:r>
      <w:r w:rsidRPr="00C90EDA">
        <w:rPr>
          <w:rFonts w:eastAsia="Calibri" w:cstheme="minorHAnsi"/>
        </w:rPr>
        <w:t>, respectively.</w:t>
      </w:r>
    </w:p>
    <w:p w14:paraId="29C83E67" w14:textId="020ED241" w:rsidR="00236FCC" w:rsidRDefault="00236FCC" w:rsidP="00E547E2">
      <w:pPr>
        <w:spacing w:after="0" w:line="240" w:lineRule="auto"/>
        <w:rPr>
          <w:rFonts w:cstheme="minorHAnsi"/>
        </w:rPr>
      </w:pPr>
    </w:p>
    <w:p w14:paraId="0E1162BE" w14:textId="3EE56AA2" w:rsidR="00236FCC" w:rsidRPr="00C90EDA" w:rsidRDefault="00236FCC" w:rsidP="00236FCC">
      <w:pPr>
        <w:spacing w:after="0" w:line="240" w:lineRule="auto"/>
        <w:rPr>
          <w:rFonts w:eastAsia="Calibri" w:cstheme="minorHAnsi"/>
          <w:b/>
          <w:szCs w:val="20"/>
        </w:rPr>
      </w:pPr>
      <w:r w:rsidRPr="00C90EDA">
        <w:rPr>
          <w:rFonts w:eastAsia="Calibri" w:cstheme="minorHAnsi"/>
          <w:b/>
          <w:bCs/>
          <w:szCs w:val="20"/>
        </w:rPr>
        <w:t xml:space="preserve">Table B-2. </w:t>
      </w:r>
      <w:r w:rsidRPr="00C90EDA">
        <w:rPr>
          <w:rFonts w:eastAsia="Calibri" w:cstheme="minorHAnsi"/>
          <w:b/>
          <w:szCs w:val="20"/>
        </w:rPr>
        <w:t xml:space="preserve">Successful Discharge to Community from </w:t>
      </w:r>
      <w:r w:rsidR="000A7B3D">
        <w:rPr>
          <w:rFonts w:eastAsia="Calibri" w:cstheme="minorHAnsi"/>
          <w:b/>
          <w:szCs w:val="20"/>
        </w:rPr>
        <w:t>HHA</w:t>
      </w:r>
      <w:r w:rsidRPr="00C90EDA">
        <w:rPr>
          <w:rFonts w:eastAsia="Calibri" w:cstheme="minorHAnsi"/>
          <w:b/>
          <w:szCs w:val="20"/>
        </w:rPr>
        <w:t xml:space="preserve">: Observed Rates by Social Risk Factors </w:t>
      </w:r>
      <w:r w:rsidRPr="00C90EDA">
        <w:rPr>
          <w:rFonts w:eastAsia="Calibri" w:cstheme="minorHAnsi"/>
          <w:b/>
        </w:rPr>
        <w:t xml:space="preserve">(N = </w:t>
      </w:r>
      <w:r w:rsidR="000A7B3D" w:rsidRPr="00623BDE">
        <w:rPr>
          <w:rFonts w:ascii="Calibri" w:hAnsi="Calibri"/>
          <w:b/>
          <w:color w:val="000000"/>
        </w:rPr>
        <w:t>6,279,286</w:t>
      </w:r>
      <w:r w:rsidRPr="00C90EDA">
        <w:rPr>
          <w:rFonts w:eastAsia="Calibri" w:cstheme="minorHAnsi"/>
          <w:b/>
        </w:rPr>
        <w:t>)</w:t>
      </w:r>
    </w:p>
    <w:p w14:paraId="4C05C3CD" w14:textId="77777777" w:rsidR="00236FCC" w:rsidRDefault="00236FCC" w:rsidP="00236FCC">
      <w:pPr>
        <w:spacing w:after="0" w:line="240" w:lineRule="auto"/>
        <w:rPr>
          <w:rFonts w:eastAsia="Calibri" w:cstheme="minorHAnsi"/>
          <w:b/>
          <w:sz w:val="20"/>
          <w:szCs w:val="20"/>
        </w:rPr>
      </w:pPr>
    </w:p>
    <w:tbl>
      <w:tblPr>
        <w:tblW w:w="10490" w:type="dxa"/>
        <w:jc w:val="center"/>
        <w:tblCellMar>
          <w:left w:w="0" w:type="dxa"/>
          <w:right w:w="0" w:type="dxa"/>
        </w:tblCellMar>
        <w:tblLook w:val="04A0" w:firstRow="1" w:lastRow="0" w:firstColumn="1" w:lastColumn="0" w:noHBand="0" w:noVBand="1"/>
      </w:tblPr>
      <w:tblGrid>
        <w:gridCol w:w="2700"/>
        <w:gridCol w:w="1163"/>
        <w:gridCol w:w="1151"/>
        <w:gridCol w:w="2908"/>
        <w:gridCol w:w="1219"/>
        <w:gridCol w:w="1349"/>
      </w:tblGrid>
      <w:tr w:rsidR="000A7B3D" w14:paraId="2A91E3BB" w14:textId="77777777" w:rsidTr="00355A5F">
        <w:trPr>
          <w:trHeight w:val="307"/>
          <w:tblHeader/>
          <w:jc w:val="center"/>
        </w:trPr>
        <w:tc>
          <w:tcPr>
            <w:tcW w:w="2700"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0F0988D7" w14:textId="77777777" w:rsidR="000A7B3D" w:rsidRPr="00623BDE" w:rsidRDefault="000A7B3D" w:rsidP="00E26631">
            <w:pPr>
              <w:spacing w:before="120" w:after="120"/>
              <w:jc w:val="center"/>
              <w:rPr>
                <w:rFonts w:ascii="Calibri" w:eastAsiaTheme="minorHAnsi" w:hAnsi="Calibri"/>
                <w:b/>
                <w:bCs/>
                <w:color w:val="000000"/>
              </w:rPr>
            </w:pPr>
            <w:r w:rsidRPr="00623BDE">
              <w:rPr>
                <w:rFonts w:ascii="Calibri" w:hAnsi="Calibri"/>
                <w:b/>
                <w:bCs/>
                <w:color w:val="000000"/>
              </w:rPr>
              <w:t xml:space="preserve">Social Risk Factor </w:t>
            </w:r>
          </w:p>
        </w:tc>
        <w:tc>
          <w:tcPr>
            <w:tcW w:w="1163"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7BD34D95" w14:textId="428F83DE" w:rsidR="000A7B3D" w:rsidRPr="00623BDE" w:rsidRDefault="00EA02B5" w:rsidP="00E26631">
            <w:pPr>
              <w:spacing w:before="120" w:after="120"/>
              <w:jc w:val="center"/>
              <w:rPr>
                <w:rFonts w:ascii="Calibri" w:hAnsi="Calibri"/>
                <w:b/>
                <w:color w:val="000000"/>
              </w:rPr>
            </w:pPr>
            <w:r>
              <w:rPr>
                <w:rFonts w:ascii="Calibri" w:hAnsi="Calibri"/>
                <w:b/>
                <w:color w:val="000000"/>
              </w:rPr>
              <w:t>N</w:t>
            </w:r>
          </w:p>
        </w:tc>
        <w:tc>
          <w:tcPr>
            <w:tcW w:w="1151"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74545725" w14:textId="77777777" w:rsidR="000A7B3D" w:rsidRPr="00623BDE" w:rsidRDefault="000A7B3D" w:rsidP="00E26631">
            <w:pPr>
              <w:spacing w:before="120" w:after="120"/>
              <w:jc w:val="center"/>
              <w:rPr>
                <w:rFonts w:ascii="Calibri" w:hAnsi="Calibri"/>
                <w:b/>
                <w:color w:val="000000"/>
              </w:rPr>
            </w:pPr>
            <w:r w:rsidRPr="00623BDE">
              <w:rPr>
                <w:rFonts w:ascii="Calibri" w:hAnsi="Calibri"/>
                <w:b/>
                <w:color w:val="000000"/>
              </w:rPr>
              <w:t>Successful DTC %</w:t>
            </w:r>
          </w:p>
        </w:tc>
        <w:tc>
          <w:tcPr>
            <w:tcW w:w="2908"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62A016C2" w14:textId="77777777" w:rsidR="000A7B3D" w:rsidRPr="00623BDE" w:rsidRDefault="000A7B3D" w:rsidP="00E26631">
            <w:pPr>
              <w:spacing w:before="120" w:after="120"/>
              <w:jc w:val="center"/>
              <w:rPr>
                <w:rFonts w:ascii="Calibri" w:hAnsi="Calibri"/>
                <w:b/>
                <w:bCs/>
                <w:color w:val="000000"/>
              </w:rPr>
            </w:pPr>
            <w:r w:rsidRPr="00623BDE">
              <w:rPr>
                <w:rFonts w:ascii="Calibri" w:hAnsi="Calibri"/>
                <w:b/>
                <w:bCs/>
                <w:color w:val="000000"/>
              </w:rPr>
              <w:t xml:space="preserve">Social Risk Factor </w:t>
            </w:r>
          </w:p>
        </w:tc>
        <w:tc>
          <w:tcPr>
            <w:tcW w:w="1219"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3295F51B" w14:textId="474BE77C" w:rsidR="000A7B3D" w:rsidRPr="00623BDE" w:rsidRDefault="00EA02B5" w:rsidP="00E26631">
            <w:pPr>
              <w:spacing w:before="120" w:after="120"/>
              <w:jc w:val="center"/>
              <w:rPr>
                <w:rFonts w:ascii="Calibri" w:hAnsi="Calibri"/>
                <w:b/>
                <w:color w:val="000000"/>
              </w:rPr>
            </w:pPr>
            <w:r>
              <w:rPr>
                <w:rFonts w:ascii="Calibri" w:hAnsi="Calibri"/>
                <w:b/>
                <w:color w:val="000000"/>
              </w:rPr>
              <w:t>N</w:t>
            </w:r>
          </w:p>
        </w:tc>
        <w:tc>
          <w:tcPr>
            <w:tcW w:w="1349"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3DE8E47A" w14:textId="77777777" w:rsidR="000A7B3D" w:rsidRPr="00623BDE" w:rsidRDefault="000A7B3D" w:rsidP="00E26631">
            <w:pPr>
              <w:spacing w:before="120" w:after="120"/>
              <w:jc w:val="center"/>
              <w:rPr>
                <w:rFonts w:ascii="Calibri" w:hAnsi="Calibri"/>
                <w:b/>
                <w:color w:val="000000"/>
              </w:rPr>
            </w:pPr>
            <w:r w:rsidRPr="00623BDE">
              <w:rPr>
                <w:rFonts w:ascii="Calibri" w:hAnsi="Calibri"/>
                <w:b/>
                <w:color w:val="000000"/>
              </w:rPr>
              <w:t>Successful DTC %</w:t>
            </w:r>
          </w:p>
        </w:tc>
      </w:tr>
      <w:tr w:rsidR="000A7B3D" w14:paraId="25C3B6FE" w14:textId="77777777" w:rsidTr="00355A5F">
        <w:trPr>
          <w:trHeight w:val="307"/>
          <w:jc w:val="center"/>
        </w:trPr>
        <w:tc>
          <w:tcPr>
            <w:tcW w:w="2700" w:type="dxa"/>
            <w:noWrap/>
            <w:tcMar>
              <w:top w:w="0" w:type="dxa"/>
              <w:left w:w="108" w:type="dxa"/>
              <w:bottom w:w="0" w:type="dxa"/>
              <w:right w:w="108" w:type="dxa"/>
            </w:tcMar>
            <w:vAlign w:val="bottom"/>
            <w:hideMark/>
          </w:tcPr>
          <w:p w14:paraId="39DA3462" w14:textId="77777777" w:rsidR="000A7B3D" w:rsidRDefault="000A7B3D" w:rsidP="00E26631">
            <w:pPr>
              <w:spacing w:after="0"/>
              <w:rPr>
                <w:rFonts w:ascii="Calibri" w:hAnsi="Calibri"/>
                <w:b/>
                <w:bCs/>
                <w:color w:val="000000"/>
              </w:rPr>
            </w:pPr>
            <w:r>
              <w:rPr>
                <w:rFonts w:ascii="Calibri" w:hAnsi="Calibri"/>
                <w:b/>
                <w:bCs/>
                <w:color w:val="000000"/>
              </w:rPr>
              <w:t>Dual Eligibility</w:t>
            </w:r>
          </w:p>
        </w:tc>
        <w:tc>
          <w:tcPr>
            <w:tcW w:w="1163" w:type="dxa"/>
            <w:noWrap/>
            <w:tcMar>
              <w:top w:w="0" w:type="dxa"/>
              <w:left w:w="108" w:type="dxa"/>
              <w:bottom w:w="0" w:type="dxa"/>
              <w:right w:w="108" w:type="dxa"/>
            </w:tcMar>
            <w:vAlign w:val="bottom"/>
            <w:hideMark/>
          </w:tcPr>
          <w:p w14:paraId="031856F7" w14:textId="77777777" w:rsidR="000A7B3D" w:rsidRDefault="000A7B3D" w:rsidP="00E26631">
            <w:pPr>
              <w:spacing w:after="0"/>
              <w:rPr>
                <w:rFonts w:ascii="Calibri" w:hAnsi="Calibri"/>
                <w:b/>
                <w:bCs/>
                <w:color w:val="000000"/>
              </w:rPr>
            </w:pPr>
          </w:p>
        </w:tc>
        <w:tc>
          <w:tcPr>
            <w:tcW w:w="1151" w:type="dxa"/>
            <w:noWrap/>
            <w:tcMar>
              <w:top w:w="0" w:type="dxa"/>
              <w:left w:w="108" w:type="dxa"/>
              <w:bottom w:w="0" w:type="dxa"/>
              <w:right w:w="108" w:type="dxa"/>
            </w:tcMar>
            <w:vAlign w:val="bottom"/>
            <w:hideMark/>
          </w:tcPr>
          <w:p w14:paraId="57CD0085" w14:textId="77777777" w:rsidR="000A7B3D" w:rsidRDefault="000A7B3D" w:rsidP="00E26631">
            <w:pPr>
              <w:spacing w:after="0"/>
              <w:rPr>
                <w:rFonts w:eastAsia="Times New Roman"/>
                <w:sz w:val="20"/>
                <w:szCs w:val="20"/>
              </w:rPr>
            </w:pPr>
          </w:p>
        </w:tc>
        <w:tc>
          <w:tcPr>
            <w:tcW w:w="2908" w:type="dxa"/>
            <w:noWrap/>
            <w:tcMar>
              <w:top w:w="0" w:type="dxa"/>
              <w:left w:w="108" w:type="dxa"/>
              <w:bottom w:w="0" w:type="dxa"/>
              <w:right w:w="108" w:type="dxa"/>
            </w:tcMar>
            <w:vAlign w:val="bottom"/>
            <w:hideMark/>
          </w:tcPr>
          <w:p w14:paraId="6E99D066" w14:textId="2FD950B3" w:rsidR="000A7B3D" w:rsidRDefault="000A7B3D" w:rsidP="00E26631">
            <w:pPr>
              <w:spacing w:after="0"/>
              <w:rPr>
                <w:rFonts w:ascii="Calibri" w:eastAsiaTheme="minorHAnsi" w:hAnsi="Calibri"/>
                <w:b/>
                <w:bCs/>
                <w:color w:val="000000"/>
              </w:rPr>
            </w:pPr>
            <w:r>
              <w:rPr>
                <w:rFonts w:ascii="Calibri" w:hAnsi="Calibri"/>
                <w:b/>
                <w:bCs/>
                <w:color w:val="000000"/>
              </w:rPr>
              <w:t>Urbanicity</w:t>
            </w:r>
            <w:r w:rsidR="00D43F17">
              <w:rPr>
                <w:rFonts w:ascii="Calibri" w:hAnsi="Calibri"/>
                <w:b/>
                <w:bCs/>
                <w:color w:val="000000"/>
              </w:rPr>
              <w:t>*</w:t>
            </w:r>
          </w:p>
        </w:tc>
        <w:tc>
          <w:tcPr>
            <w:tcW w:w="1219" w:type="dxa"/>
            <w:noWrap/>
            <w:tcMar>
              <w:top w:w="0" w:type="dxa"/>
              <w:left w:w="108" w:type="dxa"/>
              <w:bottom w:w="0" w:type="dxa"/>
              <w:right w:w="108" w:type="dxa"/>
            </w:tcMar>
            <w:vAlign w:val="bottom"/>
            <w:hideMark/>
          </w:tcPr>
          <w:p w14:paraId="1DDCC0FC" w14:textId="77777777" w:rsidR="000A7B3D" w:rsidRDefault="000A7B3D" w:rsidP="00E26631">
            <w:pPr>
              <w:spacing w:after="0"/>
              <w:rPr>
                <w:rFonts w:ascii="Calibri" w:hAnsi="Calibri"/>
                <w:b/>
                <w:bCs/>
                <w:color w:val="000000"/>
              </w:rPr>
            </w:pPr>
          </w:p>
        </w:tc>
        <w:tc>
          <w:tcPr>
            <w:tcW w:w="1349" w:type="dxa"/>
            <w:noWrap/>
            <w:tcMar>
              <w:top w:w="0" w:type="dxa"/>
              <w:left w:w="108" w:type="dxa"/>
              <w:bottom w:w="0" w:type="dxa"/>
              <w:right w:w="108" w:type="dxa"/>
            </w:tcMar>
            <w:vAlign w:val="bottom"/>
            <w:hideMark/>
          </w:tcPr>
          <w:p w14:paraId="38E434A0" w14:textId="77777777" w:rsidR="000A7B3D" w:rsidRDefault="000A7B3D" w:rsidP="00E26631">
            <w:pPr>
              <w:spacing w:after="0"/>
              <w:rPr>
                <w:rFonts w:eastAsia="Times New Roman"/>
                <w:sz w:val="20"/>
                <w:szCs w:val="20"/>
              </w:rPr>
            </w:pPr>
          </w:p>
        </w:tc>
      </w:tr>
      <w:tr w:rsidR="000A7B3D" w14:paraId="16C41442" w14:textId="77777777" w:rsidTr="00355A5F">
        <w:trPr>
          <w:trHeight w:val="307"/>
          <w:jc w:val="center"/>
        </w:trPr>
        <w:tc>
          <w:tcPr>
            <w:tcW w:w="2700" w:type="dxa"/>
            <w:noWrap/>
            <w:tcMar>
              <w:top w:w="0" w:type="dxa"/>
              <w:left w:w="108" w:type="dxa"/>
              <w:bottom w:w="0" w:type="dxa"/>
              <w:right w:w="108" w:type="dxa"/>
            </w:tcMar>
            <w:vAlign w:val="bottom"/>
            <w:hideMark/>
          </w:tcPr>
          <w:p w14:paraId="604FF215" w14:textId="5842D89C" w:rsidR="000A7B3D" w:rsidRDefault="00355A5F" w:rsidP="00355A5F">
            <w:pPr>
              <w:spacing w:after="0"/>
              <w:rPr>
                <w:rFonts w:ascii="Calibri" w:eastAsiaTheme="minorHAnsi" w:hAnsi="Calibri"/>
                <w:color w:val="000000"/>
              </w:rPr>
            </w:pPr>
            <w:r>
              <w:rPr>
                <w:rFonts w:ascii="Calibri" w:hAnsi="Calibri"/>
                <w:color w:val="000000"/>
              </w:rPr>
              <w:t xml:space="preserve">  </w:t>
            </w:r>
            <w:r>
              <w:rPr>
                <w:rFonts w:ascii="Calibri" w:hAnsi="Calibri"/>
                <w:color w:val="000000"/>
              </w:rPr>
              <w:t>Dual without full Medicaid</w:t>
            </w:r>
          </w:p>
        </w:tc>
        <w:tc>
          <w:tcPr>
            <w:tcW w:w="1163" w:type="dxa"/>
            <w:noWrap/>
            <w:tcMar>
              <w:top w:w="0" w:type="dxa"/>
              <w:left w:w="108" w:type="dxa"/>
              <w:bottom w:w="0" w:type="dxa"/>
              <w:right w:w="108" w:type="dxa"/>
            </w:tcMar>
            <w:vAlign w:val="bottom"/>
            <w:hideMark/>
          </w:tcPr>
          <w:p w14:paraId="7606F83A" w14:textId="77777777" w:rsidR="000A7B3D" w:rsidRDefault="000A7B3D" w:rsidP="00E26631">
            <w:pPr>
              <w:spacing w:after="0"/>
              <w:jc w:val="center"/>
              <w:rPr>
                <w:rFonts w:ascii="Calibri" w:hAnsi="Calibri"/>
                <w:color w:val="000000"/>
              </w:rPr>
            </w:pPr>
            <w:r>
              <w:rPr>
                <w:rFonts w:ascii="Calibri" w:hAnsi="Calibri"/>
                <w:color w:val="000000"/>
              </w:rPr>
              <w:t>283,365</w:t>
            </w:r>
          </w:p>
        </w:tc>
        <w:tc>
          <w:tcPr>
            <w:tcW w:w="1151" w:type="dxa"/>
            <w:noWrap/>
            <w:tcMar>
              <w:top w:w="0" w:type="dxa"/>
              <w:left w:w="108" w:type="dxa"/>
              <w:bottom w:w="0" w:type="dxa"/>
              <w:right w:w="108" w:type="dxa"/>
            </w:tcMar>
            <w:vAlign w:val="bottom"/>
            <w:hideMark/>
          </w:tcPr>
          <w:p w14:paraId="046DB8CB" w14:textId="77777777" w:rsidR="000A7B3D" w:rsidRDefault="000A7B3D" w:rsidP="00E26631">
            <w:pPr>
              <w:spacing w:after="0"/>
              <w:jc w:val="center"/>
              <w:rPr>
                <w:rFonts w:ascii="Calibri" w:hAnsi="Calibri"/>
                <w:color w:val="000000"/>
              </w:rPr>
            </w:pPr>
            <w:r>
              <w:rPr>
                <w:rFonts w:ascii="Calibri" w:hAnsi="Calibri"/>
                <w:color w:val="000000"/>
              </w:rPr>
              <w:t>73.9%</w:t>
            </w:r>
          </w:p>
        </w:tc>
        <w:tc>
          <w:tcPr>
            <w:tcW w:w="2908" w:type="dxa"/>
            <w:noWrap/>
            <w:tcMar>
              <w:top w:w="0" w:type="dxa"/>
              <w:left w:w="108" w:type="dxa"/>
              <w:bottom w:w="0" w:type="dxa"/>
              <w:right w:w="108" w:type="dxa"/>
            </w:tcMar>
            <w:vAlign w:val="bottom"/>
            <w:hideMark/>
          </w:tcPr>
          <w:p w14:paraId="0056F0A2" w14:textId="77777777" w:rsidR="000A7B3D" w:rsidRDefault="000A7B3D" w:rsidP="00E26631">
            <w:pPr>
              <w:spacing w:after="0"/>
              <w:ind w:firstLine="220"/>
              <w:rPr>
                <w:rFonts w:ascii="Calibri" w:hAnsi="Calibri"/>
                <w:color w:val="000000"/>
              </w:rPr>
            </w:pPr>
            <w:r>
              <w:rPr>
                <w:rFonts w:ascii="Calibri" w:hAnsi="Calibri"/>
                <w:color w:val="000000"/>
              </w:rPr>
              <w:t>Urban</w:t>
            </w:r>
          </w:p>
        </w:tc>
        <w:tc>
          <w:tcPr>
            <w:tcW w:w="1219" w:type="dxa"/>
            <w:noWrap/>
            <w:tcMar>
              <w:top w:w="0" w:type="dxa"/>
              <w:left w:w="108" w:type="dxa"/>
              <w:bottom w:w="0" w:type="dxa"/>
              <w:right w:w="108" w:type="dxa"/>
            </w:tcMar>
            <w:vAlign w:val="bottom"/>
            <w:hideMark/>
          </w:tcPr>
          <w:p w14:paraId="225A22C3" w14:textId="77777777" w:rsidR="000A7B3D" w:rsidRDefault="000A7B3D" w:rsidP="00E26631">
            <w:pPr>
              <w:spacing w:after="0"/>
              <w:jc w:val="center"/>
              <w:rPr>
                <w:rFonts w:ascii="Calibri" w:hAnsi="Calibri"/>
                <w:color w:val="000000"/>
              </w:rPr>
            </w:pPr>
            <w:r>
              <w:rPr>
                <w:rFonts w:ascii="Calibri" w:hAnsi="Calibri"/>
                <w:color w:val="000000"/>
              </w:rPr>
              <w:t>4,092,235</w:t>
            </w:r>
          </w:p>
        </w:tc>
        <w:tc>
          <w:tcPr>
            <w:tcW w:w="1349" w:type="dxa"/>
            <w:noWrap/>
            <w:tcMar>
              <w:top w:w="0" w:type="dxa"/>
              <w:left w:w="108" w:type="dxa"/>
              <w:bottom w:w="0" w:type="dxa"/>
              <w:right w:w="108" w:type="dxa"/>
            </w:tcMar>
            <w:vAlign w:val="bottom"/>
            <w:hideMark/>
          </w:tcPr>
          <w:p w14:paraId="76F4573F" w14:textId="77777777" w:rsidR="000A7B3D" w:rsidRDefault="000A7B3D" w:rsidP="00E26631">
            <w:pPr>
              <w:spacing w:after="0"/>
              <w:jc w:val="center"/>
              <w:rPr>
                <w:rFonts w:ascii="Calibri" w:hAnsi="Calibri"/>
                <w:color w:val="000000"/>
              </w:rPr>
            </w:pPr>
            <w:r>
              <w:rPr>
                <w:rFonts w:ascii="Calibri" w:hAnsi="Calibri"/>
                <w:color w:val="000000"/>
              </w:rPr>
              <w:t>79.1%</w:t>
            </w:r>
          </w:p>
        </w:tc>
      </w:tr>
      <w:tr w:rsidR="000A7B3D" w14:paraId="752E93A5" w14:textId="77777777" w:rsidTr="00355A5F">
        <w:trPr>
          <w:trHeight w:val="307"/>
          <w:jc w:val="center"/>
        </w:trPr>
        <w:tc>
          <w:tcPr>
            <w:tcW w:w="2700" w:type="dxa"/>
            <w:noWrap/>
            <w:tcMar>
              <w:top w:w="0" w:type="dxa"/>
              <w:left w:w="108" w:type="dxa"/>
              <w:bottom w:w="0" w:type="dxa"/>
              <w:right w:w="108" w:type="dxa"/>
            </w:tcMar>
            <w:vAlign w:val="bottom"/>
            <w:hideMark/>
          </w:tcPr>
          <w:p w14:paraId="7B49F1ED" w14:textId="177CBB21" w:rsidR="000A7B3D" w:rsidRDefault="00355A5F" w:rsidP="00355A5F">
            <w:pPr>
              <w:spacing w:after="0"/>
              <w:rPr>
                <w:rFonts w:ascii="Calibri" w:hAnsi="Calibri"/>
                <w:color w:val="000000"/>
              </w:rPr>
            </w:pPr>
            <w:r>
              <w:rPr>
                <w:rFonts w:ascii="Calibri" w:hAnsi="Calibri"/>
                <w:color w:val="000000"/>
              </w:rPr>
              <w:t xml:space="preserve">  </w:t>
            </w:r>
            <w:r>
              <w:rPr>
                <w:rFonts w:ascii="Calibri" w:hAnsi="Calibri"/>
                <w:color w:val="000000"/>
              </w:rPr>
              <w:t>Dual with full Medicaid</w:t>
            </w:r>
          </w:p>
        </w:tc>
        <w:tc>
          <w:tcPr>
            <w:tcW w:w="1163" w:type="dxa"/>
            <w:noWrap/>
            <w:tcMar>
              <w:top w:w="0" w:type="dxa"/>
              <w:left w:w="108" w:type="dxa"/>
              <w:bottom w:w="0" w:type="dxa"/>
              <w:right w:w="108" w:type="dxa"/>
            </w:tcMar>
            <w:vAlign w:val="bottom"/>
            <w:hideMark/>
          </w:tcPr>
          <w:p w14:paraId="5ED31C03" w14:textId="77777777" w:rsidR="000A7B3D" w:rsidRDefault="000A7B3D" w:rsidP="00E26631">
            <w:pPr>
              <w:spacing w:after="0"/>
              <w:jc w:val="center"/>
              <w:rPr>
                <w:rFonts w:ascii="Calibri" w:hAnsi="Calibri"/>
                <w:color w:val="000000"/>
              </w:rPr>
            </w:pPr>
            <w:r>
              <w:rPr>
                <w:rFonts w:ascii="Calibri" w:hAnsi="Calibri"/>
                <w:color w:val="000000"/>
              </w:rPr>
              <w:t>927,046</w:t>
            </w:r>
          </w:p>
        </w:tc>
        <w:tc>
          <w:tcPr>
            <w:tcW w:w="1151" w:type="dxa"/>
            <w:noWrap/>
            <w:tcMar>
              <w:top w:w="0" w:type="dxa"/>
              <w:left w:w="108" w:type="dxa"/>
              <w:bottom w:w="0" w:type="dxa"/>
              <w:right w:w="108" w:type="dxa"/>
            </w:tcMar>
            <w:vAlign w:val="bottom"/>
            <w:hideMark/>
          </w:tcPr>
          <w:p w14:paraId="63E6964D" w14:textId="77777777" w:rsidR="000A7B3D" w:rsidRDefault="000A7B3D" w:rsidP="00E26631">
            <w:pPr>
              <w:spacing w:after="0"/>
              <w:jc w:val="center"/>
              <w:rPr>
                <w:rFonts w:ascii="Calibri" w:hAnsi="Calibri"/>
                <w:color w:val="000000"/>
              </w:rPr>
            </w:pPr>
            <w:r>
              <w:rPr>
                <w:rFonts w:ascii="Calibri" w:hAnsi="Calibri"/>
                <w:color w:val="000000"/>
              </w:rPr>
              <w:t>74.3%</w:t>
            </w:r>
          </w:p>
        </w:tc>
        <w:tc>
          <w:tcPr>
            <w:tcW w:w="2908" w:type="dxa"/>
            <w:noWrap/>
            <w:tcMar>
              <w:top w:w="0" w:type="dxa"/>
              <w:left w:w="108" w:type="dxa"/>
              <w:bottom w:w="0" w:type="dxa"/>
              <w:right w:w="108" w:type="dxa"/>
            </w:tcMar>
            <w:vAlign w:val="bottom"/>
            <w:hideMark/>
          </w:tcPr>
          <w:p w14:paraId="2020E170" w14:textId="77777777" w:rsidR="000A7B3D" w:rsidRDefault="000A7B3D" w:rsidP="00E26631">
            <w:pPr>
              <w:spacing w:after="0"/>
              <w:ind w:firstLine="220"/>
              <w:rPr>
                <w:rFonts w:ascii="Calibri" w:hAnsi="Calibri"/>
                <w:color w:val="000000"/>
              </w:rPr>
            </w:pPr>
            <w:r>
              <w:rPr>
                <w:rFonts w:ascii="Calibri" w:hAnsi="Calibri"/>
                <w:color w:val="000000"/>
              </w:rPr>
              <w:t>Suburban</w:t>
            </w:r>
          </w:p>
        </w:tc>
        <w:tc>
          <w:tcPr>
            <w:tcW w:w="1219" w:type="dxa"/>
            <w:noWrap/>
            <w:tcMar>
              <w:top w:w="0" w:type="dxa"/>
              <w:left w:w="108" w:type="dxa"/>
              <w:bottom w:w="0" w:type="dxa"/>
              <w:right w:w="108" w:type="dxa"/>
            </w:tcMar>
            <w:vAlign w:val="bottom"/>
            <w:hideMark/>
          </w:tcPr>
          <w:p w14:paraId="28755AE2" w14:textId="77777777" w:rsidR="000A7B3D" w:rsidRDefault="000A7B3D" w:rsidP="00E26631">
            <w:pPr>
              <w:spacing w:after="0"/>
              <w:jc w:val="center"/>
              <w:rPr>
                <w:rFonts w:ascii="Calibri" w:hAnsi="Calibri"/>
                <w:color w:val="000000"/>
              </w:rPr>
            </w:pPr>
            <w:r>
              <w:rPr>
                <w:rFonts w:ascii="Calibri" w:hAnsi="Calibri"/>
                <w:color w:val="000000"/>
              </w:rPr>
              <w:t>589,376</w:t>
            </w:r>
          </w:p>
        </w:tc>
        <w:tc>
          <w:tcPr>
            <w:tcW w:w="1349" w:type="dxa"/>
            <w:noWrap/>
            <w:tcMar>
              <w:top w:w="0" w:type="dxa"/>
              <w:left w:w="108" w:type="dxa"/>
              <w:bottom w:w="0" w:type="dxa"/>
              <w:right w:w="108" w:type="dxa"/>
            </w:tcMar>
            <w:vAlign w:val="bottom"/>
            <w:hideMark/>
          </w:tcPr>
          <w:p w14:paraId="392C57BC" w14:textId="77777777" w:rsidR="000A7B3D" w:rsidRDefault="000A7B3D" w:rsidP="00E26631">
            <w:pPr>
              <w:spacing w:after="0"/>
              <w:jc w:val="center"/>
              <w:rPr>
                <w:rFonts w:ascii="Calibri" w:hAnsi="Calibri"/>
                <w:color w:val="000000"/>
              </w:rPr>
            </w:pPr>
            <w:r>
              <w:rPr>
                <w:rFonts w:ascii="Calibri" w:hAnsi="Calibri"/>
                <w:color w:val="000000"/>
              </w:rPr>
              <w:t>76.0%</w:t>
            </w:r>
          </w:p>
        </w:tc>
      </w:tr>
      <w:tr w:rsidR="000A7B3D" w14:paraId="50C421EE" w14:textId="77777777" w:rsidTr="00355A5F">
        <w:trPr>
          <w:trHeight w:val="307"/>
          <w:jc w:val="center"/>
        </w:trPr>
        <w:tc>
          <w:tcPr>
            <w:tcW w:w="2700" w:type="dxa"/>
            <w:noWrap/>
            <w:tcMar>
              <w:top w:w="0" w:type="dxa"/>
              <w:left w:w="108" w:type="dxa"/>
              <w:bottom w:w="0" w:type="dxa"/>
              <w:right w:w="108" w:type="dxa"/>
            </w:tcMar>
            <w:vAlign w:val="bottom"/>
            <w:hideMark/>
          </w:tcPr>
          <w:p w14:paraId="16E324AB" w14:textId="2723AE64" w:rsidR="000A7B3D" w:rsidRDefault="00355A5F" w:rsidP="00355A5F">
            <w:pPr>
              <w:spacing w:after="0"/>
              <w:rPr>
                <w:rFonts w:ascii="Calibri" w:hAnsi="Calibri"/>
                <w:color w:val="000000"/>
              </w:rPr>
            </w:pPr>
            <w:r>
              <w:rPr>
                <w:rFonts w:ascii="Calibri" w:hAnsi="Calibri"/>
                <w:color w:val="000000"/>
              </w:rPr>
              <w:t xml:space="preserve">  </w:t>
            </w:r>
            <w:r w:rsidR="000A7B3D">
              <w:rPr>
                <w:rFonts w:ascii="Calibri" w:hAnsi="Calibri"/>
                <w:color w:val="000000"/>
              </w:rPr>
              <w:t>Non-dual</w:t>
            </w:r>
          </w:p>
        </w:tc>
        <w:tc>
          <w:tcPr>
            <w:tcW w:w="1163" w:type="dxa"/>
            <w:noWrap/>
            <w:tcMar>
              <w:top w:w="0" w:type="dxa"/>
              <w:left w:w="108" w:type="dxa"/>
              <w:bottom w:w="0" w:type="dxa"/>
              <w:right w:w="108" w:type="dxa"/>
            </w:tcMar>
            <w:vAlign w:val="bottom"/>
            <w:hideMark/>
          </w:tcPr>
          <w:p w14:paraId="23027430" w14:textId="77777777" w:rsidR="000A7B3D" w:rsidRDefault="000A7B3D" w:rsidP="00E26631">
            <w:pPr>
              <w:spacing w:after="0"/>
              <w:jc w:val="center"/>
              <w:rPr>
                <w:rFonts w:ascii="Calibri" w:hAnsi="Calibri"/>
                <w:color w:val="000000"/>
              </w:rPr>
            </w:pPr>
            <w:r>
              <w:rPr>
                <w:rFonts w:ascii="Calibri" w:hAnsi="Calibri"/>
                <w:color w:val="000000"/>
              </w:rPr>
              <w:t>3,715,996</w:t>
            </w:r>
          </w:p>
        </w:tc>
        <w:tc>
          <w:tcPr>
            <w:tcW w:w="1151" w:type="dxa"/>
            <w:noWrap/>
            <w:tcMar>
              <w:top w:w="0" w:type="dxa"/>
              <w:left w:w="108" w:type="dxa"/>
              <w:bottom w:w="0" w:type="dxa"/>
              <w:right w:w="108" w:type="dxa"/>
            </w:tcMar>
            <w:vAlign w:val="bottom"/>
            <w:hideMark/>
          </w:tcPr>
          <w:p w14:paraId="30301487" w14:textId="77777777" w:rsidR="000A7B3D" w:rsidRDefault="000A7B3D" w:rsidP="00E26631">
            <w:pPr>
              <w:spacing w:after="0"/>
              <w:jc w:val="center"/>
              <w:rPr>
                <w:rFonts w:ascii="Calibri" w:hAnsi="Calibri"/>
                <w:color w:val="000000"/>
              </w:rPr>
            </w:pPr>
            <w:r>
              <w:rPr>
                <w:rFonts w:ascii="Calibri" w:hAnsi="Calibri"/>
                <w:color w:val="000000"/>
              </w:rPr>
              <w:t>80.0%</w:t>
            </w:r>
          </w:p>
        </w:tc>
        <w:tc>
          <w:tcPr>
            <w:tcW w:w="2908" w:type="dxa"/>
            <w:noWrap/>
            <w:tcMar>
              <w:top w:w="0" w:type="dxa"/>
              <w:left w:w="108" w:type="dxa"/>
              <w:bottom w:w="0" w:type="dxa"/>
              <w:right w:w="108" w:type="dxa"/>
            </w:tcMar>
            <w:vAlign w:val="bottom"/>
            <w:hideMark/>
          </w:tcPr>
          <w:p w14:paraId="3F9056A2" w14:textId="77777777" w:rsidR="000A7B3D" w:rsidRDefault="000A7B3D" w:rsidP="00E26631">
            <w:pPr>
              <w:spacing w:after="0"/>
              <w:ind w:firstLine="220"/>
              <w:rPr>
                <w:rFonts w:ascii="Calibri" w:hAnsi="Calibri"/>
                <w:color w:val="000000"/>
              </w:rPr>
            </w:pPr>
            <w:r>
              <w:rPr>
                <w:rFonts w:ascii="Calibri" w:hAnsi="Calibri"/>
                <w:color w:val="000000"/>
              </w:rPr>
              <w:t>Rural</w:t>
            </w:r>
          </w:p>
        </w:tc>
        <w:tc>
          <w:tcPr>
            <w:tcW w:w="1219" w:type="dxa"/>
            <w:noWrap/>
            <w:tcMar>
              <w:top w:w="0" w:type="dxa"/>
              <w:left w:w="108" w:type="dxa"/>
              <w:bottom w:w="0" w:type="dxa"/>
              <w:right w:w="108" w:type="dxa"/>
            </w:tcMar>
            <w:vAlign w:val="bottom"/>
            <w:hideMark/>
          </w:tcPr>
          <w:p w14:paraId="1F586BA8" w14:textId="77777777" w:rsidR="000A7B3D" w:rsidRDefault="000A7B3D" w:rsidP="00E26631">
            <w:pPr>
              <w:spacing w:after="0"/>
              <w:jc w:val="center"/>
              <w:rPr>
                <w:rFonts w:ascii="Calibri" w:hAnsi="Calibri"/>
                <w:color w:val="000000"/>
              </w:rPr>
            </w:pPr>
            <w:r>
              <w:rPr>
                <w:rFonts w:ascii="Calibri" w:hAnsi="Calibri"/>
                <w:color w:val="000000"/>
              </w:rPr>
              <w:t>238,160</w:t>
            </w:r>
          </w:p>
        </w:tc>
        <w:tc>
          <w:tcPr>
            <w:tcW w:w="1349" w:type="dxa"/>
            <w:noWrap/>
            <w:tcMar>
              <w:top w:w="0" w:type="dxa"/>
              <w:left w:w="108" w:type="dxa"/>
              <w:bottom w:w="0" w:type="dxa"/>
              <w:right w:w="108" w:type="dxa"/>
            </w:tcMar>
            <w:vAlign w:val="bottom"/>
            <w:hideMark/>
          </w:tcPr>
          <w:p w14:paraId="1E26C79A" w14:textId="77777777" w:rsidR="000A7B3D" w:rsidRDefault="000A7B3D" w:rsidP="00E26631">
            <w:pPr>
              <w:spacing w:after="0"/>
              <w:jc w:val="center"/>
              <w:rPr>
                <w:rFonts w:ascii="Calibri" w:hAnsi="Calibri"/>
                <w:color w:val="000000"/>
              </w:rPr>
            </w:pPr>
            <w:r>
              <w:rPr>
                <w:rFonts w:ascii="Calibri" w:hAnsi="Calibri"/>
                <w:color w:val="000000"/>
              </w:rPr>
              <w:t>74.6%</w:t>
            </w:r>
          </w:p>
        </w:tc>
      </w:tr>
      <w:tr w:rsidR="000A7B3D" w14:paraId="32D44FA5" w14:textId="77777777" w:rsidTr="00355A5F">
        <w:trPr>
          <w:trHeight w:val="307"/>
          <w:jc w:val="center"/>
        </w:trPr>
        <w:tc>
          <w:tcPr>
            <w:tcW w:w="2700" w:type="dxa"/>
            <w:noWrap/>
            <w:tcMar>
              <w:top w:w="0" w:type="dxa"/>
              <w:left w:w="108" w:type="dxa"/>
              <w:bottom w:w="0" w:type="dxa"/>
              <w:right w:w="108" w:type="dxa"/>
            </w:tcMar>
            <w:vAlign w:val="bottom"/>
            <w:hideMark/>
          </w:tcPr>
          <w:p w14:paraId="0F569024" w14:textId="77777777" w:rsidR="000A7B3D" w:rsidRDefault="000A7B3D" w:rsidP="00E26631">
            <w:pPr>
              <w:spacing w:after="0"/>
              <w:rPr>
                <w:rFonts w:ascii="Calibri" w:hAnsi="Calibri"/>
                <w:b/>
                <w:bCs/>
                <w:color w:val="000000"/>
              </w:rPr>
            </w:pPr>
            <w:r>
              <w:rPr>
                <w:rFonts w:ascii="Calibri" w:hAnsi="Calibri"/>
                <w:b/>
                <w:bCs/>
                <w:color w:val="000000"/>
              </w:rPr>
              <w:t>Race/Ethnicity</w:t>
            </w:r>
          </w:p>
        </w:tc>
        <w:tc>
          <w:tcPr>
            <w:tcW w:w="1163" w:type="dxa"/>
            <w:noWrap/>
            <w:tcMar>
              <w:top w:w="0" w:type="dxa"/>
              <w:left w:w="108" w:type="dxa"/>
              <w:bottom w:w="0" w:type="dxa"/>
              <w:right w:w="108" w:type="dxa"/>
            </w:tcMar>
            <w:vAlign w:val="bottom"/>
            <w:hideMark/>
          </w:tcPr>
          <w:p w14:paraId="06E45F0B" w14:textId="77777777" w:rsidR="000A7B3D" w:rsidRDefault="000A7B3D" w:rsidP="00E26631">
            <w:pPr>
              <w:spacing w:after="0"/>
              <w:rPr>
                <w:rFonts w:ascii="Calibri" w:hAnsi="Calibri"/>
                <w:b/>
                <w:bCs/>
                <w:color w:val="000000"/>
              </w:rPr>
            </w:pPr>
          </w:p>
        </w:tc>
        <w:tc>
          <w:tcPr>
            <w:tcW w:w="1151" w:type="dxa"/>
            <w:noWrap/>
            <w:tcMar>
              <w:top w:w="0" w:type="dxa"/>
              <w:left w:w="108" w:type="dxa"/>
              <w:bottom w:w="0" w:type="dxa"/>
              <w:right w:w="108" w:type="dxa"/>
            </w:tcMar>
            <w:vAlign w:val="bottom"/>
            <w:hideMark/>
          </w:tcPr>
          <w:p w14:paraId="021ED1B0" w14:textId="77777777" w:rsidR="000A7B3D" w:rsidRDefault="000A7B3D" w:rsidP="00E26631">
            <w:pPr>
              <w:spacing w:after="0"/>
              <w:rPr>
                <w:rFonts w:eastAsia="Times New Roman"/>
                <w:sz w:val="20"/>
                <w:szCs w:val="20"/>
              </w:rPr>
            </w:pPr>
          </w:p>
        </w:tc>
        <w:tc>
          <w:tcPr>
            <w:tcW w:w="2908" w:type="dxa"/>
            <w:noWrap/>
            <w:tcMar>
              <w:top w:w="0" w:type="dxa"/>
              <w:left w:w="108" w:type="dxa"/>
              <w:bottom w:w="0" w:type="dxa"/>
              <w:right w:w="108" w:type="dxa"/>
            </w:tcMar>
            <w:vAlign w:val="bottom"/>
            <w:hideMark/>
          </w:tcPr>
          <w:p w14:paraId="735EF240" w14:textId="77777777" w:rsidR="000A7B3D" w:rsidRDefault="000A7B3D" w:rsidP="00E26631">
            <w:pPr>
              <w:spacing w:after="0"/>
              <w:ind w:firstLine="220"/>
              <w:rPr>
                <w:rFonts w:ascii="Calibri" w:eastAsiaTheme="minorHAnsi" w:hAnsi="Calibri"/>
                <w:color w:val="000000"/>
              </w:rPr>
            </w:pPr>
            <w:r>
              <w:rPr>
                <w:rFonts w:ascii="Calibri" w:hAnsi="Calibri"/>
                <w:color w:val="000000"/>
              </w:rPr>
              <w:t>Missing</w:t>
            </w:r>
          </w:p>
        </w:tc>
        <w:tc>
          <w:tcPr>
            <w:tcW w:w="1219" w:type="dxa"/>
            <w:noWrap/>
            <w:tcMar>
              <w:top w:w="0" w:type="dxa"/>
              <w:left w:w="108" w:type="dxa"/>
              <w:bottom w:w="0" w:type="dxa"/>
              <w:right w:w="108" w:type="dxa"/>
            </w:tcMar>
            <w:vAlign w:val="bottom"/>
            <w:hideMark/>
          </w:tcPr>
          <w:p w14:paraId="1C806CA1" w14:textId="77777777" w:rsidR="000A7B3D" w:rsidRDefault="000A7B3D" w:rsidP="00E26631">
            <w:pPr>
              <w:spacing w:after="0"/>
              <w:jc w:val="center"/>
              <w:rPr>
                <w:rFonts w:ascii="Calibri" w:hAnsi="Calibri"/>
                <w:color w:val="000000"/>
              </w:rPr>
            </w:pPr>
            <w:r>
              <w:rPr>
                <w:rFonts w:ascii="Calibri" w:hAnsi="Calibri"/>
                <w:color w:val="000000"/>
              </w:rPr>
              <w:t>6,636</w:t>
            </w:r>
          </w:p>
        </w:tc>
        <w:tc>
          <w:tcPr>
            <w:tcW w:w="1349" w:type="dxa"/>
            <w:noWrap/>
            <w:tcMar>
              <w:top w:w="0" w:type="dxa"/>
              <w:left w:w="108" w:type="dxa"/>
              <w:bottom w:w="0" w:type="dxa"/>
              <w:right w:w="108" w:type="dxa"/>
            </w:tcMar>
            <w:vAlign w:val="bottom"/>
            <w:hideMark/>
          </w:tcPr>
          <w:p w14:paraId="05D40BC6" w14:textId="77777777" w:rsidR="000A7B3D" w:rsidRDefault="000A7B3D" w:rsidP="00E26631">
            <w:pPr>
              <w:spacing w:after="0"/>
              <w:jc w:val="center"/>
              <w:rPr>
                <w:rFonts w:ascii="Calibri" w:hAnsi="Calibri"/>
                <w:color w:val="000000"/>
              </w:rPr>
            </w:pPr>
            <w:r>
              <w:rPr>
                <w:rFonts w:ascii="Calibri" w:hAnsi="Calibri"/>
                <w:color w:val="000000"/>
              </w:rPr>
              <w:t>77.5%</w:t>
            </w:r>
          </w:p>
        </w:tc>
      </w:tr>
      <w:tr w:rsidR="000A7B3D" w14:paraId="276DF216" w14:textId="77777777" w:rsidTr="00355A5F">
        <w:trPr>
          <w:trHeight w:val="307"/>
          <w:jc w:val="center"/>
        </w:trPr>
        <w:tc>
          <w:tcPr>
            <w:tcW w:w="2700" w:type="dxa"/>
            <w:noWrap/>
            <w:tcMar>
              <w:top w:w="0" w:type="dxa"/>
              <w:left w:w="108" w:type="dxa"/>
              <w:bottom w:w="0" w:type="dxa"/>
              <w:right w:w="108" w:type="dxa"/>
            </w:tcMar>
            <w:vAlign w:val="bottom"/>
            <w:hideMark/>
          </w:tcPr>
          <w:p w14:paraId="160046EF" w14:textId="77777777" w:rsidR="000A7B3D" w:rsidRDefault="000A7B3D" w:rsidP="00E26631">
            <w:pPr>
              <w:spacing w:after="0"/>
              <w:ind w:firstLine="220"/>
              <w:rPr>
                <w:rFonts w:ascii="Calibri" w:hAnsi="Calibri"/>
                <w:color w:val="000000"/>
              </w:rPr>
            </w:pPr>
            <w:r>
              <w:rPr>
                <w:rFonts w:ascii="Calibri" w:hAnsi="Calibri"/>
                <w:color w:val="000000"/>
              </w:rPr>
              <w:t>White</w:t>
            </w:r>
          </w:p>
        </w:tc>
        <w:tc>
          <w:tcPr>
            <w:tcW w:w="1163" w:type="dxa"/>
            <w:noWrap/>
            <w:tcMar>
              <w:top w:w="0" w:type="dxa"/>
              <w:left w:w="108" w:type="dxa"/>
              <w:bottom w:w="0" w:type="dxa"/>
              <w:right w:w="108" w:type="dxa"/>
            </w:tcMar>
            <w:vAlign w:val="bottom"/>
            <w:hideMark/>
          </w:tcPr>
          <w:p w14:paraId="23ADF812" w14:textId="77777777" w:rsidR="000A7B3D" w:rsidRDefault="000A7B3D" w:rsidP="00E26631">
            <w:pPr>
              <w:spacing w:after="0"/>
              <w:jc w:val="center"/>
              <w:rPr>
                <w:rFonts w:ascii="Calibri" w:hAnsi="Calibri"/>
                <w:color w:val="000000"/>
              </w:rPr>
            </w:pPr>
            <w:r>
              <w:rPr>
                <w:rFonts w:ascii="Calibri" w:hAnsi="Calibri"/>
                <w:color w:val="000000"/>
              </w:rPr>
              <w:t>4,081,432</w:t>
            </w:r>
          </w:p>
        </w:tc>
        <w:tc>
          <w:tcPr>
            <w:tcW w:w="1151" w:type="dxa"/>
            <w:noWrap/>
            <w:tcMar>
              <w:top w:w="0" w:type="dxa"/>
              <w:left w:w="108" w:type="dxa"/>
              <w:bottom w:w="0" w:type="dxa"/>
              <w:right w:w="108" w:type="dxa"/>
            </w:tcMar>
            <w:vAlign w:val="bottom"/>
            <w:hideMark/>
          </w:tcPr>
          <w:p w14:paraId="64129BAF" w14:textId="77777777" w:rsidR="000A7B3D" w:rsidRDefault="000A7B3D" w:rsidP="00E26631">
            <w:pPr>
              <w:spacing w:after="0"/>
              <w:jc w:val="center"/>
              <w:rPr>
                <w:rFonts w:ascii="Calibri" w:hAnsi="Calibri"/>
                <w:color w:val="000000"/>
              </w:rPr>
            </w:pPr>
            <w:r>
              <w:rPr>
                <w:rFonts w:ascii="Calibri" w:hAnsi="Calibri"/>
                <w:color w:val="000000"/>
              </w:rPr>
              <w:t>79.1%</w:t>
            </w:r>
          </w:p>
        </w:tc>
        <w:tc>
          <w:tcPr>
            <w:tcW w:w="2908" w:type="dxa"/>
            <w:noWrap/>
            <w:tcMar>
              <w:top w:w="0" w:type="dxa"/>
              <w:left w:w="108" w:type="dxa"/>
              <w:bottom w:w="0" w:type="dxa"/>
              <w:right w:w="108" w:type="dxa"/>
            </w:tcMar>
            <w:vAlign w:val="bottom"/>
            <w:hideMark/>
          </w:tcPr>
          <w:p w14:paraId="38EB7DEA" w14:textId="77777777" w:rsidR="000A7B3D" w:rsidRDefault="000A7B3D" w:rsidP="00E26631">
            <w:pPr>
              <w:spacing w:after="0"/>
              <w:rPr>
                <w:rFonts w:ascii="Calibri" w:hAnsi="Calibri"/>
                <w:b/>
                <w:bCs/>
                <w:color w:val="000000"/>
              </w:rPr>
            </w:pPr>
            <w:r>
              <w:rPr>
                <w:rFonts w:ascii="Calibri" w:hAnsi="Calibri"/>
                <w:b/>
                <w:bCs/>
                <w:color w:val="000000"/>
              </w:rPr>
              <w:t>AHRQ SES Index*</w:t>
            </w:r>
          </w:p>
        </w:tc>
        <w:tc>
          <w:tcPr>
            <w:tcW w:w="1219" w:type="dxa"/>
            <w:noWrap/>
            <w:tcMar>
              <w:top w:w="0" w:type="dxa"/>
              <w:left w:w="108" w:type="dxa"/>
              <w:bottom w:w="0" w:type="dxa"/>
              <w:right w:w="108" w:type="dxa"/>
            </w:tcMar>
            <w:vAlign w:val="bottom"/>
            <w:hideMark/>
          </w:tcPr>
          <w:p w14:paraId="3D4A3EB8" w14:textId="77777777" w:rsidR="000A7B3D" w:rsidRDefault="000A7B3D" w:rsidP="00E26631">
            <w:pPr>
              <w:spacing w:after="0"/>
              <w:rPr>
                <w:rFonts w:ascii="Calibri" w:hAnsi="Calibri"/>
                <w:b/>
                <w:bCs/>
                <w:color w:val="000000"/>
              </w:rPr>
            </w:pPr>
          </w:p>
        </w:tc>
        <w:tc>
          <w:tcPr>
            <w:tcW w:w="1349" w:type="dxa"/>
            <w:noWrap/>
            <w:tcMar>
              <w:top w:w="0" w:type="dxa"/>
              <w:left w:w="108" w:type="dxa"/>
              <w:bottom w:w="0" w:type="dxa"/>
              <w:right w:w="108" w:type="dxa"/>
            </w:tcMar>
            <w:vAlign w:val="bottom"/>
            <w:hideMark/>
          </w:tcPr>
          <w:p w14:paraId="6454E1F9" w14:textId="77777777" w:rsidR="000A7B3D" w:rsidRDefault="000A7B3D" w:rsidP="00E26631">
            <w:pPr>
              <w:spacing w:after="0"/>
              <w:rPr>
                <w:rFonts w:eastAsia="Times New Roman"/>
                <w:sz w:val="20"/>
                <w:szCs w:val="20"/>
              </w:rPr>
            </w:pPr>
          </w:p>
        </w:tc>
      </w:tr>
      <w:tr w:rsidR="000A7B3D" w14:paraId="0B2B9F50" w14:textId="77777777" w:rsidTr="00355A5F">
        <w:trPr>
          <w:trHeight w:val="307"/>
          <w:jc w:val="center"/>
        </w:trPr>
        <w:tc>
          <w:tcPr>
            <w:tcW w:w="2700" w:type="dxa"/>
            <w:noWrap/>
            <w:tcMar>
              <w:top w:w="0" w:type="dxa"/>
              <w:left w:w="108" w:type="dxa"/>
              <w:bottom w:w="0" w:type="dxa"/>
              <w:right w:w="108" w:type="dxa"/>
            </w:tcMar>
            <w:vAlign w:val="bottom"/>
            <w:hideMark/>
          </w:tcPr>
          <w:p w14:paraId="3FED0DA9" w14:textId="77777777" w:rsidR="000A7B3D" w:rsidRDefault="000A7B3D" w:rsidP="00E26631">
            <w:pPr>
              <w:spacing w:after="0"/>
              <w:ind w:firstLine="220"/>
              <w:rPr>
                <w:rFonts w:ascii="Calibri" w:eastAsiaTheme="minorHAnsi" w:hAnsi="Calibri"/>
                <w:color w:val="000000"/>
              </w:rPr>
            </w:pPr>
            <w:r>
              <w:rPr>
                <w:rFonts w:ascii="Calibri" w:hAnsi="Calibri"/>
                <w:color w:val="000000"/>
              </w:rPr>
              <w:t>Black</w:t>
            </w:r>
          </w:p>
        </w:tc>
        <w:tc>
          <w:tcPr>
            <w:tcW w:w="1163" w:type="dxa"/>
            <w:noWrap/>
            <w:tcMar>
              <w:top w:w="0" w:type="dxa"/>
              <w:left w:w="108" w:type="dxa"/>
              <w:bottom w:w="0" w:type="dxa"/>
              <w:right w:w="108" w:type="dxa"/>
            </w:tcMar>
            <w:vAlign w:val="bottom"/>
            <w:hideMark/>
          </w:tcPr>
          <w:p w14:paraId="0431D3CE" w14:textId="77777777" w:rsidR="000A7B3D" w:rsidRDefault="000A7B3D" w:rsidP="00E26631">
            <w:pPr>
              <w:spacing w:after="0"/>
              <w:jc w:val="center"/>
              <w:rPr>
                <w:rFonts w:ascii="Calibri" w:hAnsi="Calibri"/>
                <w:color w:val="000000"/>
              </w:rPr>
            </w:pPr>
            <w:r>
              <w:rPr>
                <w:rFonts w:ascii="Calibri" w:hAnsi="Calibri"/>
                <w:color w:val="000000"/>
              </w:rPr>
              <w:t>543,050</w:t>
            </w:r>
          </w:p>
        </w:tc>
        <w:tc>
          <w:tcPr>
            <w:tcW w:w="1151" w:type="dxa"/>
            <w:noWrap/>
            <w:tcMar>
              <w:top w:w="0" w:type="dxa"/>
              <w:left w:w="108" w:type="dxa"/>
              <w:bottom w:w="0" w:type="dxa"/>
              <w:right w:w="108" w:type="dxa"/>
            </w:tcMar>
            <w:vAlign w:val="bottom"/>
            <w:hideMark/>
          </w:tcPr>
          <w:p w14:paraId="06973D49" w14:textId="77777777" w:rsidR="000A7B3D" w:rsidRDefault="000A7B3D" w:rsidP="00E26631">
            <w:pPr>
              <w:spacing w:after="0"/>
              <w:jc w:val="center"/>
              <w:rPr>
                <w:rFonts w:ascii="Calibri" w:hAnsi="Calibri"/>
                <w:color w:val="000000"/>
              </w:rPr>
            </w:pPr>
            <w:r>
              <w:rPr>
                <w:rFonts w:ascii="Calibri" w:hAnsi="Calibri"/>
                <w:color w:val="000000"/>
              </w:rPr>
              <w:t>73.0%</w:t>
            </w:r>
          </w:p>
        </w:tc>
        <w:tc>
          <w:tcPr>
            <w:tcW w:w="2908" w:type="dxa"/>
            <w:noWrap/>
            <w:tcMar>
              <w:top w:w="0" w:type="dxa"/>
              <w:left w:w="108" w:type="dxa"/>
              <w:bottom w:w="0" w:type="dxa"/>
              <w:right w:w="108" w:type="dxa"/>
            </w:tcMar>
            <w:vAlign w:val="bottom"/>
            <w:hideMark/>
          </w:tcPr>
          <w:p w14:paraId="7316DCE1" w14:textId="77777777" w:rsidR="000A7B3D" w:rsidRDefault="000A7B3D" w:rsidP="00E26631">
            <w:pPr>
              <w:spacing w:after="0"/>
              <w:ind w:firstLine="220"/>
              <w:rPr>
                <w:rFonts w:ascii="Calibri" w:hAnsi="Calibri"/>
                <w:color w:val="000000"/>
              </w:rPr>
            </w:pPr>
            <w:r>
              <w:rPr>
                <w:rFonts w:ascii="Calibri" w:hAnsi="Calibri"/>
                <w:color w:val="000000"/>
              </w:rPr>
              <w:t>Quartile 1 (22.66- 49.87)</w:t>
            </w:r>
          </w:p>
        </w:tc>
        <w:tc>
          <w:tcPr>
            <w:tcW w:w="1219" w:type="dxa"/>
            <w:noWrap/>
            <w:tcMar>
              <w:top w:w="0" w:type="dxa"/>
              <w:left w:w="108" w:type="dxa"/>
              <w:bottom w:w="0" w:type="dxa"/>
              <w:right w:w="108" w:type="dxa"/>
            </w:tcMar>
            <w:vAlign w:val="bottom"/>
            <w:hideMark/>
          </w:tcPr>
          <w:p w14:paraId="4F2488E4" w14:textId="4AFA05B5" w:rsidR="000A7B3D" w:rsidRDefault="004C7BB5" w:rsidP="00E26631">
            <w:pPr>
              <w:spacing w:after="0"/>
              <w:jc w:val="center"/>
              <w:rPr>
                <w:rFonts w:ascii="Calibri" w:hAnsi="Calibri"/>
                <w:color w:val="000000"/>
              </w:rPr>
            </w:pPr>
            <w:r>
              <w:rPr>
                <w:rFonts w:ascii="Calibri" w:hAnsi="Calibri"/>
                <w:color w:val="000000"/>
              </w:rPr>
              <w:t>1,144,468</w:t>
            </w:r>
          </w:p>
        </w:tc>
        <w:tc>
          <w:tcPr>
            <w:tcW w:w="1349" w:type="dxa"/>
            <w:noWrap/>
            <w:tcMar>
              <w:top w:w="0" w:type="dxa"/>
              <w:left w:w="108" w:type="dxa"/>
              <w:bottom w:w="0" w:type="dxa"/>
              <w:right w:w="108" w:type="dxa"/>
            </w:tcMar>
            <w:vAlign w:val="bottom"/>
            <w:hideMark/>
          </w:tcPr>
          <w:p w14:paraId="47A4750F" w14:textId="74B9CFFC" w:rsidR="000A7B3D" w:rsidRDefault="000A7B3D" w:rsidP="004C7BB5">
            <w:pPr>
              <w:spacing w:after="0"/>
              <w:jc w:val="center"/>
              <w:rPr>
                <w:rFonts w:ascii="Calibri" w:hAnsi="Calibri"/>
                <w:color w:val="000000"/>
              </w:rPr>
            </w:pPr>
            <w:r>
              <w:rPr>
                <w:rFonts w:ascii="Calibri" w:hAnsi="Calibri"/>
                <w:color w:val="000000"/>
              </w:rPr>
              <w:t>74.</w:t>
            </w:r>
            <w:r w:rsidR="004C7BB5">
              <w:rPr>
                <w:rFonts w:ascii="Calibri" w:hAnsi="Calibri"/>
                <w:color w:val="000000"/>
              </w:rPr>
              <w:t>2</w:t>
            </w:r>
            <w:r>
              <w:rPr>
                <w:rFonts w:ascii="Calibri" w:hAnsi="Calibri"/>
                <w:color w:val="000000"/>
              </w:rPr>
              <w:t>%</w:t>
            </w:r>
          </w:p>
        </w:tc>
      </w:tr>
      <w:tr w:rsidR="000A7B3D" w14:paraId="5D3AED53" w14:textId="77777777" w:rsidTr="00355A5F">
        <w:trPr>
          <w:trHeight w:val="322"/>
          <w:jc w:val="center"/>
        </w:trPr>
        <w:tc>
          <w:tcPr>
            <w:tcW w:w="2700" w:type="dxa"/>
            <w:noWrap/>
            <w:tcMar>
              <w:top w:w="0" w:type="dxa"/>
              <w:left w:w="108" w:type="dxa"/>
              <w:bottom w:w="0" w:type="dxa"/>
              <w:right w:w="108" w:type="dxa"/>
            </w:tcMar>
            <w:vAlign w:val="bottom"/>
            <w:hideMark/>
          </w:tcPr>
          <w:p w14:paraId="238B71E4" w14:textId="77777777" w:rsidR="000A7B3D" w:rsidRDefault="000A7B3D" w:rsidP="00E26631">
            <w:pPr>
              <w:spacing w:after="0"/>
              <w:ind w:firstLine="220"/>
              <w:rPr>
                <w:rFonts w:ascii="Calibri" w:hAnsi="Calibri"/>
                <w:color w:val="000000"/>
              </w:rPr>
            </w:pPr>
            <w:r>
              <w:rPr>
                <w:rFonts w:ascii="Calibri" w:hAnsi="Calibri"/>
                <w:color w:val="000000"/>
              </w:rPr>
              <w:t>Asian</w:t>
            </w:r>
          </w:p>
        </w:tc>
        <w:tc>
          <w:tcPr>
            <w:tcW w:w="1163" w:type="dxa"/>
            <w:noWrap/>
            <w:tcMar>
              <w:top w:w="0" w:type="dxa"/>
              <w:left w:w="108" w:type="dxa"/>
              <w:bottom w:w="0" w:type="dxa"/>
              <w:right w:w="108" w:type="dxa"/>
            </w:tcMar>
            <w:vAlign w:val="bottom"/>
            <w:hideMark/>
          </w:tcPr>
          <w:p w14:paraId="379D09A7" w14:textId="77777777" w:rsidR="000A7B3D" w:rsidRDefault="000A7B3D" w:rsidP="00E26631">
            <w:pPr>
              <w:spacing w:after="0"/>
              <w:jc w:val="center"/>
              <w:rPr>
                <w:rFonts w:ascii="Calibri" w:hAnsi="Calibri"/>
                <w:color w:val="000000"/>
              </w:rPr>
            </w:pPr>
            <w:r>
              <w:rPr>
                <w:rFonts w:ascii="Calibri" w:hAnsi="Calibri"/>
                <w:color w:val="000000"/>
              </w:rPr>
              <w:t>80,880</w:t>
            </w:r>
          </w:p>
        </w:tc>
        <w:tc>
          <w:tcPr>
            <w:tcW w:w="1151" w:type="dxa"/>
            <w:noWrap/>
            <w:tcMar>
              <w:top w:w="0" w:type="dxa"/>
              <w:left w:w="108" w:type="dxa"/>
              <w:bottom w:w="0" w:type="dxa"/>
              <w:right w:w="108" w:type="dxa"/>
            </w:tcMar>
            <w:vAlign w:val="bottom"/>
            <w:hideMark/>
          </w:tcPr>
          <w:p w14:paraId="1E880CA2" w14:textId="77777777" w:rsidR="000A7B3D" w:rsidRDefault="000A7B3D" w:rsidP="00E26631">
            <w:pPr>
              <w:spacing w:after="0"/>
              <w:jc w:val="center"/>
              <w:rPr>
                <w:rFonts w:ascii="Calibri" w:hAnsi="Calibri"/>
                <w:color w:val="000000"/>
              </w:rPr>
            </w:pPr>
            <w:r>
              <w:rPr>
                <w:rFonts w:ascii="Calibri" w:hAnsi="Calibri"/>
                <w:color w:val="000000"/>
              </w:rPr>
              <w:t>82.3%</w:t>
            </w:r>
          </w:p>
        </w:tc>
        <w:tc>
          <w:tcPr>
            <w:tcW w:w="2908" w:type="dxa"/>
            <w:noWrap/>
            <w:tcMar>
              <w:top w:w="0" w:type="dxa"/>
              <w:left w:w="108" w:type="dxa"/>
              <w:bottom w:w="0" w:type="dxa"/>
              <w:right w:w="108" w:type="dxa"/>
            </w:tcMar>
            <w:vAlign w:val="bottom"/>
            <w:hideMark/>
          </w:tcPr>
          <w:p w14:paraId="645968D5" w14:textId="77777777" w:rsidR="000A7B3D" w:rsidRDefault="000A7B3D" w:rsidP="00E26631">
            <w:pPr>
              <w:spacing w:after="0"/>
              <w:ind w:firstLine="220"/>
              <w:rPr>
                <w:rFonts w:ascii="Calibri" w:hAnsi="Calibri"/>
                <w:color w:val="000000"/>
              </w:rPr>
            </w:pPr>
            <w:r>
              <w:rPr>
                <w:rFonts w:ascii="Calibri" w:hAnsi="Calibri"/>
                <w:color w:val="000000"/>
              </w:rPr>
              <w:t>Quartile 2  (49.87 - 52.51)</w:t>
            </w:r>
          </w:p>
        </w:tc>
        <w:tc>
          <w:tcPr>
            <w:tcW w:w="1219" w:type="dxa"/>
            <w:noWrap/>
            <w:tcMar>
              <w:top w:w="0" w:type="dxa"/>
              <w:left w:w="108" w:type="dxa"/>
              <w:bottom w:w="0" w:type="dxa"/>
              <w:right w:w="108" w:type="dxa"/>
            </w:tcMar>
            <w:vAlign w:val="bottom"/>
            <w:hideMark/>
          </w:tcPr>
          <w:p w14:paraId="5517A63E" w14:textId="77777777" w:rsidR="000A7B3D" w:rsidRDefault="000A7B3D" w:rsidP="00E26631">
            <w:pPr>
              <w:spacing w:after="0"/>
              <w:jc w:val="center"/>
              <w:rPr>
                <w:rFonts w:ascii="Calibri" w:hAnsi="Calibri"/>
                <w:color w:val="000000"/>
              </w:rPr>
            </w:pPr>
            <w:r>
              <w:rPr>
                <w:rFonts w:ascii="Calibri" w:hAnsi="Calibri"/>
                <w:color w:val="000000"/>
              </w:rPr>
              <w:t>1,201,433</w:t>
            </w:r>
          </w:p>
        </w:tc>
        <w:tc>
          <w:tcPr>
            <w:tcW w:w="1349" w:type="dxa"/>
            <w:noWrap/>
            <w:tcMar>
              <w:top w:w="0" w:type="dxa"/>
              <w:left w:w="108" w:type="dxa"/>
              <w:bottom w:w="0" w:type="dxa"/>
              <w:right w:w="108" w:type="dxa"/>
            </w:tcMar>
            <w:vAlign w:val="bottom"/>
            <w:hideMark/>
          </w:tcPr>
          <w:p w14:paraId="075183D3" w14:textId="77777777" w:rsidR="000A7B3D" w:rsidRDefault="000A7B3D" w:rsidP="00E26631">
            <w:pPr>
              <w:spacing w:after="0"/>
              <w:jc w:val="center"/>
              <w:rPr>
                <w:rFonts w:ascii="Calibri" w:hAnsi="Calibri"/>
                <w:color w:val="000000"/>
              </w:rPr>
            </w:pPr>
            <w:r>
              <w:rPr>
                <w:rFonts w:ascii="Calibri" w:hAnsi="Calibri"/>
                <w:color w:val="000000"/>
              </w:rPr>
              <w:t>77.9%</w:t>
            </w:r>
          </w:p>
        </w:tc>
      </w:tr>
      <w:tr w:rsidR="000A7B3D" w14:paraId="72A44FCE" w14:textId="77777777" w:rsidTr="00355A5F">
        <w:trPr>
          <w:trHeight w:val="307"/>
          <w:jc w:val="center"/>
        </w:trPr>
        <w:tc>
          <w:tcPr>
            <w:tcW w:w="2700" w:type="dxa"/>
            <w:noWrap/>
            <w:tcMar>
              <w:top w:w="0" w:type="dxa"/>
              <w:left w:w="108" w:type="dxa"/>
              <w:bottom w:w="0" w:type="dxa"/>
              <w:right w:w="108" w:type="dxa"/>
            </w:tcMar>
            <w:vAlign w:val="bottom"/>
            <w:hideMark/>
          </w:tcPr>
          <w:p w14:paraId="38AF616B" w14:textId="77777777" w:rsidR="000A7B3D" w:rsidRDefault="000A7B3D" w:rsidP="00E26631">
            <w:pPr>
              <w:spacing w:after="0"/>
              <w:ind w:firstLine="220"/>
              <w:rPr>
                <w:rFonts w:ascii="Calibri" w:hAnsi="Calibri"/>
                <w:color w:val="000000"/>
              </w:rPr>
            </w:pPr>
            <w:r>
              <w:rPr>
                <w:rFonts w:ascii="Calibri" w:hAnsi="Calibri"/>
                <w:color w:val="000000"/>
              </w:rPr>
              <w:t>Hispanic</w:t>
            </w:r>
          </w:p>
        </w:tc>
        <w:tc>
          <w:tcPr>
            <w:tcW w:w="1163" w:type="dxa"/>
            <w:noWrap/>
            <w:tcMar>
              <w:top w:w="0" w:type="dxa"/>
              <w:left w:w="108" w:type="dxa"/>
              <w:bottom w:w="0" w:type="dxa"/>
              <w:right w:w="108" w:type="dxa"/>
            </w:tcMar>
            <w:vAlign w:val="bottom"/>
            <w:hideMark/>
          </w:tcPr>
          <w:p w14:paraId="3B391EA9" w14:textId="77777777" w:rsidR="000A7B3D" w:rsidRDefault="000A7B3D" w:rsidP="00E26631">
            <w:pPr>
              <w:spacing w:after="0"/>
              <w:jc w:val="center"/>
              <w:rPr>
                <w:rFonts w:ascii="Calibri" w:hAnsi="Calibri"/>
                <w:color w:val="000000"/>
              </w:rPr>
            </w:pPr>
            <w:r>
              <w:rPr>
                <w:rFonts w:ascii="Calibri" w:hAnsi="Calibri"/>
                <w:color w:val="000000"/>
              </w:rPr>
              <w:t>121,110</w:t>
            </w:r>
          </w:p>
        </w:tc>
        <w:tc>
          <w:tcPr>
            <w:tcW w:w="1151" w:type="dxa"/>
            <w:noWrap/>
            <w:tcMar>
              <w:top w:w="0" w:type="dxa"/>
              <w:left w:w="108" w:type="dxa"/>
              <w:bottom w:w="0" w:type="dxa"/>
              <w:right w:w="108" w:type="dxa"/>
            </w:tcMar>
            <w:vAlign w:val="bottom"/>
            <w:hideMark/>
          </w:tcPr>
          <w:p w14:paraId="195A1C9A" w14:textId="77777777" w:rsidR="000A7B3D" w:rsidRDefault="000A7B3D" w:rsidP="00E26631">
            <w:pPr>
              <w:spacing w:after="0"/>
              <w:jc w:val="center"/>
              <w:rPr>
                <w:rFonts w:ascii="Calibri" w:hAnsi="Calibri"/>
                <w:color w:val="000000"/>
              </w:rPr>
            </w:pPr>
            <w:r>
              <w:rPr>
                <w:rFonts w:ascii="Calibri" w:hAnsi="Calibri"/>
                <w:color w:val="000000"/>
              </w:rPr>
              <w:t>78.6%</w:t>
            </w:r>
          </w:p>
        </w:tc>
        <w:tc>
          <w:tcPr>
            <w:tcW w:w="2908" w:type="dxa"/>
            <w:noWrap/>
            <w:tcMar>
              <w:top w:w="0" w:type="dxa"/>
              <w:left w:w="108" w:type="dxa"/>
              <w:bottom w:w="0" w:type="dxa"/>
              <w:right w:w="108" w:type="dxa"/>
            </w:tcMar>
            <w:vAlign w:val="bottom"/>
            <w:hideMark/>
          </w:tcPr>
          <w:p w14:paraId="3108064E" w14:textId="77777777" w:rsidR="000A7B3D" w:rsidRDefault="000A7B3D" w:rsidP="00E26631">
            <w:pPr>
              <w:spacing w:after="0"/>
              <w:ind w:firstLine="220"/>
              <w:rPr>
                <w:rFonts w:ascii="Calibri" w:hAnsi="Calibri"/>
                <w:color w:val="000000"/>
              </w:rPr>
            </w:pPr>
            <w:r>
              <w:rPr>
                <w:rFonts w:ascii="Calibri" w:hAnsi="Calibri"/>
                <w:color w:val="000000"/>
              </w:rPr>
              <w:t>Quartile 3  (52.50 - 55.85)</w:t>
            </w:r>
          </w:p>
        </w:tc>
        <w:tc>
          <w:tcPr>
            <w:tcW w:w="1219" w:type="dxa"/>
            <w:noWrap/>
            <w:tcMar>
              <w:top w:w="0" w:type="dxa"/>
              <w:left w:w="108" w:type="dxa"/>
              <w:bottom w:w="0" w:type="dxa"/>
              <w:right w:w="108" w:type="dxa"/>
            </w:tcMar>
            <w:vAlign w:val="bottom"/>
            <w:hideMark/>
          </w:tcPr>
          <w:p w14:paraId="1BE6A752" w14:textId="77777777" w:rsidR="000A7B3D" w:rsidRDefault="000A7B3D" w:rsidP="00E26631">
            <w:pPr>
              <w:spacing w:after="0"/>
              <w:jc w:val="center"/>
              <w:rPr>
                <w:rFonts w:ascii="Calibri" w:hAnsi="Calibri"/>
                <w:color w:val="000000"/>
              </w:rPr>
            </w:pPr>
            <w:r>
              <w:rPr>
                <w:rFonts w:ascii="Calibri" w:hAnsi="Calibri"/>
                <w:color w:val="000000"/>
              </w:rPr>
              <w:t>1,231,413</w:t>
            </w:r>
          </w:p>
        </w:tc>
        <w:tc>
          <w:tcPr>
            <w:tcW w:w="1349" w:type="dxa"/>
            <w:noWrap/>
            <w:tcMar>
              <w:top w:w="0" w:type="dxa"/>
              <w:left w:w="108" w:type="dxa"/>
              <w:bottom w:w="0" w:type="dxa"/>
              <w:right w:w="108" w:type="dxa"/>
            </w:tcMar>
            <w:vAlign w:val="bottom"/>
            <w:hideMark/>
          </w:tcPr>
          <w:p w14:paraId="7AADA51D" w14:textId="77777777" w:rsidR="000A7B3D" w:rsidRDefault="000A7B3D" w:rsidP="00E26631">
            <w:pPr>
              <w:spacing w:after="0"/>
              <w:jc w:val="center"/>
              <w:rPr>
                <w:rFonts w:ascii="Calibri" w:hAnsi="Calibri"/>
                <w:color w:val="000000"/>
              </w:rPr>
            </w:pPr>
            <w:r>
              <w:rPr>
                <w:rFonts w:ascii="Calibri" w:hAnsi="Calibri"/>
                <w:color w:val="000000"/>
              </w:rPr>
              <w:t>79.8%</w:t>
            </w:r>
          </w:p>
        </w:tc>
      </w:tr>
      <w:tr w:rsidR="000A7B3D" w14:paraId="20078697" w14:textId="77777777" w:rsidTr="00355A5F">
        <w:trPr>
          <w:trHeight w:val="307"/>
          <w:jc w:val="center"/>
        </w:trPr>
        <w:tc>
          <w:tcPr>
            <w:tcW w:w="2700" w:type="dxa"/>
            <w:noWrap/>
            <w:tcMar>
              <w:top w:w="0" w:type="dxa"/>
              <w:left w:w="108" w:type="dxa"/>
              <w:bottom w:w="0" w:type="dxa"/>
              <w:right w:w="108" w:type="dxa"/>
            </w:tcMar>
            <w:vAlign w:val="bottom"/>
            <w:hideMark/>
          </w:tcPr>
          <w:p w14:paraId="24967EDC" w14:textId="77777777" w:rsidR="000A7B3D" w:rsidRDefault="000A7B3D" w:rsidP="00E26631">
            <w:pPr>
              <w:spacing w:after="0"/>
              <w:ind w:firstLine="220"/>
              <w:rPr>
                <w:rFonts w:ascii="Calibri" w:hAnsi="Calibri"/>
                <w:color w:val="000000"/>
              </w:rPr>
            </w:pPr>
            <w:r>
              <w:rPr>
                <w:rFonts w:ascii="Calibri" w:hAnsi="Calibri"/>
                <w:color w:val="000000"/>
              </w:rPr>
              <w:t>North American Native</w:t>
            </w:r>
          </w:p>
        </w:tc>
        <w:tc>
          <w:tcPr>
            <w:tcW w:w="1163" w:type="dxa"/>
            <w:noWrap/>
            <w:tcMar>
              <w:top w:w="0" w:type="dxa"/>
              <w:left w:w="108" w:type="dxa"/>
              <w:bottom w:w="0" w:type="dxa"/>
              <w:right w:w="108" w:type="dxa"/>
            </w:tcMar>
            <w:vAlign w:val="bottom"/>
            <w:hideMark/>
          </w:tcPr>
          <w:p w14:paraId="3C8D7C7D" w14:textId="77777777" w:rsidR="000A7B3D" w:rsidRDefault="000A7B3D" w:rsidP="00E26631">
            <w:pPr>
              <w:spacing w:after="0"/>
              <w:jc w:val="center"/>
              <w:rPr>
                <w:rFonts w:ascii="Calibri" w:hAnsi="Calibri"/>
                <w:color w:val="000000"/>
              </w:rPr>
            </w:pPr>
            <w:r>
              <w:rPr>
                <w:rFonts w:ascii="Calibri" w:hAnsi="Calibri"/>
                <w:color w:val="000000"/>
              </w:rPr>
              <w:t>17,246</w:t>
            </w:r>
          </w:p>
        </w:tc>
        <w:tc>
          <w:tcPr>
            <w:tcW w:w="1151" w:type="dxa"/>
            <w:noWrap/>
            <w:tcMar>
              <w:top w:w="0" w:type="dxa"/>
              <w:left w:w="108" w:type="dxa"/>
              <w:bottom w:w="0" w:type="dxa"/>
              <w:right w:w="108" w:type="dxa"/>
            </w:tcMar>
            <w:vAlign w:val="bottom"/>
            <w:hideMark/>
          </w:tcPr>
          <w:p w14:paraId="1AED9497" w14:textId="77777777" w:rsidR="000A7B3D" w:rsidRDefault="000A7B3D" w:rsidP="00E26631">
            <w:pPr>
              <w:spacing w:after="0"/>
              <w:jc w:val="center"/>
              <w:rPr>
                <w:rFonts w:ascii="Calibri" w:hAnsi="Calibri"/>
                <w:color w:val="000000"/>
              </w:rPr>
            </w:pPr>
            <w:r>
              <w:rPr>
                <w:rFonts w:ascii="Calibri" w:hAnsi="Calibri"/>
                <w:color w:val="000000"/>
              </w:rPr>
              <w:t>69.4%</w:t>
            </w:r>
          </w:p>
        </w:tc>
        <w:tc>
          <w:tcPr>
            <w:tcW w:w="2908" w:type="dxa"/>
            <w:noWrap/>
            <w:tcMar>
              <w:top w:w="0" w:type="dxa"/>
              <w:left w:w="108" w:type="dxa"/>
              <w:bottom w:w="0" w:type="dxa"/>
              <w:right w:w="108" w:type="dxa"/>
            </w:tcMar>
            <w:vAlign w:val="bottom"/>
            <w:hideMark/>
          </w:tcPr>
          <w:p w14:paraId="276A1BC8" w14:textId="77777777" w:rsidR="000A7B3D" w:rsidRDefault="000A7B3D" w:rsidP="00E26631">
            <w:pPr>
              <w:spacing w:after="0"/>
              <w:ind w:firstLine="220"/>
              <w:rPr>
                <w:rFonts w:ascii="Calibri" w:hAnsi="Calibri"/>
                <w:color w:val="000000"/>
              </w:rPr>
            </w:pPr>
            <w:r>
              <w:rPr>
                <w:rFonts w:ascii="Calibri" w:hAnsi="Calibri"/>
                <w:color w:val="000000"/>
              </w:rPr>
              <w:t>Quartile 4 ( 55.85 - 74.41)</w:t>
            </w:r>
          </w:p>
        </w:tc>
        <w:tc>
          <w:tcPr>
            <w:tcW w:w="1219" w:type="dxa"/>
            <w:noWrap/>
            <w:tcMar>
              <w:top w:w="0" w:type="dxa"/>
              <w:left w:w="108" w:type="dxa"/>
              <w:bottom w:w="0" w:type="dxa"/>
              <w:right w:w="108" w:type="dxa"/>
            </w:tcMar>
            <w:vAlign w:val="bottom"/>
            <w:hideMark/>
          </w:tcPr>
          <w:p w14:paraId="2CB8809A" w14:textId="77777777" w:rsidR="000A7B3D" w:rsidRDefault="000A7B3D" w:rsidP="00E26631">
            <w:pPr>
              <w:spacing w:after="0"/>
              <w:jc w:val="center"/>
              <w:rPr>
                <w:rFonts w:ascii="Calibri" w:hAnsi="Calibri"/>
                <w:color w:val="000000"/>
              </w:rPr>
            </w:pPr>
            <w:r>
              <w:rPr>
                <w:rFonts w:ascii="Calibri" w:hAnsi="Calibri"/>
                <w:color w:val="000000"/>
              </w:rPr>
              <w:t>1,264,379</w:t>
            </w:r>
          </w:p>
        </w:tc>
        <w:tc>
          <w:tcPr>
            <w:tcW w:w="1349" w:type="dxa"/>
            <w:noWrap/>
            <w:tcMar>
              <w:top w:w="0" w:type="dxa"/>
              <w:left w:w="108" w:type="dxa"/>
              <w:bottom w:w="0" w:type="dxa"/>
              <w:right w:w="108" w:type="dxa"/>
            </w:tcMar>
            <w:vAlign w:val="bottom"/>
            <w:hideMark/>
          </w:tcPr>
          <w:p w14:paraId="3D2A6F95" w14:textId="77777777" w:rsidR="000A7B3D" w:rsidRDefault="000A7B3D" w:rsidP="00E26631">
            <w:pPr>
              <w:spacing w:after="0"/>
              <w:jc w:val="center"/>
              <w:rPr>
                <w:rFonts w:ascii="Calibri" w:hAnsi="Calibri"/>
                <w:color w:val="000000"/>
              </w:rPr>
            </w:pPr>
            <w:r>
              <w:rPr>
                <w:rFonts w:ascii="Calibri" w:hAnsi="Calibri"/>
                <w:color w:val="000000"/>
              </w:rPr>
              <w:t>82.0%</w:t>
            </w:r>
          </w:p>
        </w:tc>
      </w:tr>
      <w:tr w:rsidR="000A7B3D" w14:paraId="7CF1F2FB" w14:textId="77777777" w:rsidTr="00355A5F">
        <w:trPr>
          <w:trHeight w:val="307"/>
          <w:jc w:val="center"/>
        </w:trPr>
        <w:tc>
          <w:tcPr>
            <w:tcW w:w="2700" w:type="dxa"/>
            <w:noWrap/>
            <w:tcMar>
              <w:top w:w="0" w:type="dxa"/>
              <w:left w:w="108" w:type="dxa"/>
              <w:bottom w:w="0" w:type="dxa"/>
              <w:right w:w="108" w:type="dxa"/>
            </w:tcMar>
            <w:vAlign w:val="bottom"/>
            <w:hideMark/>
          </w:tcPr>
          <w:p w14:paraId="5BC31211" w14:textId="77777777" w:rsidR="000A7B3D" w:rsidRDefault="000A7B3D" w:rsidP="00E26631">
            <w:pPr>
              <w:spacing w:after="0"/>
              <w:ind w:firstLine="220"/>
              <w:rPr>
                <w:rFonts w:ascii="Calibri" w:hAnsi="Calibri"/>
                <w:color w:val="000000"/>
              </w:rPr>
            </w:pPr>
            <w:r>
              <w:rPr>
                <w:rFonts w:ascii="Calibri" w:hAnsi="Calibri"/>
                <w:color w:val="000000"/>
              </w:rPr>
              <w:t>Other</w:t>
            </w:r>
          </w:p>
        </w:tc>
        <w:tc>
          <w:tcPr>
            <w:tcW w:w="1163" w:type="dxa"/>
            <w:noWrap/>
            <w:tcMar>
              <w:top w:w="0" w:type="dxa"/>
              <w:left w:w="108" w:type="dxa"/>
              <w:bottom w:w="0" w:type="dxa"/>
              <w:right w:w="108" w:type="dxa"/>
            </w:tcMar>
            <w:vAlign w:val="bottom"/>
            <w:hideMark/>
          </w:tcPr>
          <w:p w14:paraId="6598ED64" w14:textId="77777777" w:rsidR="000A7B3D" w:rsidRDefault="000A7B3D" w:rsidP="00E26631">
            <w:pPr>
              <w:spacing w:after="0"/>
              <w:jc w:val="center"/>
              <w:rPr>
                <w:rFonts w:ascii="Calibri" w:hAnsi="Calibri"/>
                <w:color w:val="000000"/>
              </w:rPr>
            </w:pPr>
            <w:r>
              <w:rPr>
                <w:rFonts w:ascii="Calibri" w:hAnsi="Calibri"/>
                <w:color w:val="000000"/>
              </w:rPr>
              <w:t>55,873</w:t>
            </w:r>
          </w:p>
        </w:tc>
        <w:tc>
          <w:tcPr>
            <w:tcW w:w="1151" w:type="dxa"/>
            <w:noWrap/>
            <w:tcMar>
              <w:top w:w="0" w:type="dxa"/>
              <w:left w:w="108" w:type="dxa"/>
              <w:bottom w:w="0" w:type="dxa"/>
              <w:right w:w="108" w:type="dxa"/>
            </w:tcMar>
            <w:vAlign w:val="bottom"/>
            <w:hideMark/>
          </w:tcPr>
          <w:p w14:paraId="36D7FFA7" w14:textId="77777777" w:rsidR="000A7B3D" w:rsidRDefault="000A7B3D" w:rsidP="00E26631">
            <w:pPr>
              <w:spacing w:after="0"/>
              <w:jc w:val="center"/>
              <w:rPr>
                <w:rFonts w:ascii="Calibri" w:hAnsi="Calibri"/>
                <w:color w:val="000000"/>
              </w:rPr>
            </w:pPr>
            <w:r>
              <w:rPr>
                <w:rFonts w:ascii="Calibri" w:hAnsi="Calibri"/>
                <w:color w:val="000000"/>
              </w:rPr>
              <w:t>80.5%</w:t>
            </w:r>
          </w:p>
        </w:tc>
        <w:tc>
          <w:tcPr>
            <w:tcW w:w="2908" w:type="dxa"/>
            <w:noWrap/>
            <w:tcMar>
              <w:top w:w="0" w:type="dxa"/>
              <w:left w:w="108" w:type="dxa"/>
              <w:bottom w:w="0" w:type="dxa"/>
              <w:right w:w="108" w:type="dxa"/>
            </w:tcMar>
            <w:vAlign w:val="bottom"/>
            <w:hideMark/>
          </w:tcPr>
          <w:p w14:paraId="177779D8" w14:textId="77777777" w:rsidR="000A7B3D" w:rsidRDefault="000A7B3D" w:rsidP="00E26631">
            <w:pPr>
              <w:spacing w:after="0"/>
              <w:ind w:firstLine="220"/>
              <w:rPr>
                <w:rFonts w:ascii="Calibri" w:hAnsi="Calibri"/>
                <w:color w:val="000000"/>
              </w:rPr>
            </w:pPr>
            <w:r>
              <w:rPr>
                <w:rFonts w:ascii="Calibri" w:hAnsi="Calibri"/>
                <w:color w:val="000000"/>
              </w:rPr>
              <w:t>Missing</w:t>
            </w:r>
          </w:p>
        </w:tc>
        <w:tc>
          <w:tcPr>
            <w:tcW w:w="1219" w:type="dxa"/>
            <w:noWrap/>
            <w:tcMar>
              <w:top w:w="0" w:type="dxa"/>
              <w:left w:w="108" w:type="dxa"/>
              <w:bottom w:w="0" w:type="dxa"/>
              <w:right w:w="108" w:type="dxa"/>
            </w:tcMar>
            <w:vAlign w:val="bottom"/>
            <w:hideMark/>
          </w:tcPr>
          <w:p w14:paraId="5D8A1494" w14:textId="77777777" w:rsidR="000A7B3D" w:rsidRDefault="000A7B3D" w:rsidP="00E26631">
            <w:pPr>
              <w:spacing w:after="0"/>
              <w:jc w:val="center"/>
              <w:rPr>
                <w:rFonts w:ascii="Calibri" w:hAnsi="Calibri"/>
                <w:color w:val="000000"/>
              </w:rPr>
            </w:pPr>
            <w:r>
              <w:rPr>
                <w:rFonts w:ascii="Calibri" w:hAnsi="Calibri"/>
                <w:color w:val="000000"/>
              </w:rPr>
              <w:t>84,714</w:t>
            </w:r>
          </w:p>
        </w:tc>
        <w:tc>
          <w:tcPr>
            <w:tcW w:w="1349" w:type="dxa"/>
            <w:noWrap/>
            <w:tcMar>
              <w:top w:w="0" w:type="dxa"/>
              <w:left w:w="108" w:type="dxa"/>
              <w:bottom w:w="0" w:type="dxa"/>
              <w:right w:w="108" w:type="dxa"/>
            </w:tcMar>
            <w:vAlign w:val="bottom"/>
            <w:hideMark/>
          </w:tcPr>
          <w:p w14:paraId="15446C0D" w14:textId="77777777" w:rsidR="000A7B3D" w:rsidRDefault="000A7B3D" w:rsidP="00E26631">
            <w:pPr>
              <w:spacing w:after="0"/>
              <w:jc w:val="center"/>
              <w:rPr>
                <w:rFonts w:ascii="Calibri" w:hAnsi="Calibri"/>
                <w:color w:val="000000"/>
              </w:rPr>
            </w:pPr>
            <w:r>
              <w:rPr>
                <w:rFonts w:ascii="Calibri" w:hAnsi="Calibri"/>
                <w:color w:val="000000"/>
              </w:rPr>
              <w:t>76.4%</w:t>
            </w:r>
          </w:p>
        </w:tc>
      </w:tr>
      <w:tr w:rsidR="000A7B3D" w14:paraId="2FDFB712" w14:textId="77777777" w:rsidTr="00355A5F">
        <w:trPr>
          <w:trHeight w:val="81"/>
          <w:jc w:val="center"/>
        </w:trPr>
        <w:tc>
          <w:tcPr>
            <w:tcW w:w="2700" w:type="dxa"/>
            <w:tcBorders>
              <w:top w:val="nil"/>
              <w:left w:val="nil"/>
              <w:bottom w:val="single" w:sz="8" w:space="0" w:color="auto"/>
              <w:right w:val="nil"/>
            </w:tcBorders>
            <w:noWrap/>
            <w:tcMar>
              <w:top w:w="0" w:type="dxa"/>
              <w:left w:w="108" w:type="dxa"/>
              <w:bottom w:w="0" w:type="dxa"/>
              <w:right w:w="108" w:type="dxa"/>
            </w:tcMar>
            <w:vAlign w:val="bottom"/>
            <w:hideMark/>
          </w:tcPr>
          <w:p w14:paraId="6903733A" w14:textId="77777777" w:rsidR="000A7B3D" w:rsidRDefault="000A7B3D" w:rsidP="00E26631">
            <w:pPr>
              <w:spacing w:after="0"/>
              <w:ind w:firstLine="220"/>
              <w:rPr>
                <w:rFonts w:ascii="Calibri" w:hAnsi="Calibri"/>
                <w:color w:val="000000"/>
              </w:rPr>
            </w:pPr>
            <w:r>
              <w:rPr>
                <w:rFonts w:ascii="Calibri" w:hAnsi="Calibri"/>
                <w:color w:val="000000"/>
              </w:rPr>
              <w:t>Missing</w:t>
            </w:r>
          </w:p>
        </w:tc>
        <w:tc>
          <w:tcPr>
            <w:tcW w:w="1163" w:type="dxa"/>
            <w:tcBorders>
              <w:top w:val="nil"/>
              <w:left w:val="nil"/>
              <w:bottom w:val="single" w:sz="8" w:space="0" w:color="auto"/>
              <w:right w:val="nil"/>
            </w:tcBorders>
            <w:noWrap/>
            <w:tcMar>
              <w:top w:w="0" w:type="dxa"/>
              <w:left w:w="108" w:type="dxa"/>
              <w:bottom w:w="0" w:type="dxa"/>
              <w:right w:w="108" w:type="dxa"/>
            </w:tcMar>
            <w:vAlign w:val="bottom"/>
            <w:hideMark/>
          </w:tcPr>
          <w:p w14:paraId="44687593" w14:textId="77777777" w:rsidR="000A7B3D" w:rsidRDefault="000A7B3D" w:rsidP="00E26631">
            <w:pPr>
              <w:spacing w:after="0"/>
              <w:jc w:val="center"/>
              <w:rPr>
                <w:rFonts w:ascii="Calibri" w:hAnsi="Calibri"/>
                <w:color w:val="000000"/>
              </w:rPr>
            </w:pPr>
            <w:r>
              <w:rPr>
                <w:rFonts w:ascii="Calibri" w:hAnsi="Calibri"/>
                <w:color w:val="000000"/>
              </w:rPr>
              <w:t>26,816</w:t>
            </w:r>
          </w:p>
        </w:tc>
        <w:tc>
          <w:tcPr>
            <w:tcW w:w="1151" w:type="dxa"/>
            <w:tcBorders>
              <w:top w:val="nil"/>
              <w:left w:val="nil"/>
              <w:bottom w:val="single" w:sz="8" w:space="0" w:color="auto"/>
              <w:right w:val="nil"/>
            </w:tcBorders>
            <w:noWrap/>
            <w:tcMar>
              <w:top w:w="0" w:type="dxa"/>
              <w:left w:w="108" w:type="dxa"/>
              <w:bottom w:w="0" w:type="dxa"/>
              <w:right w:w="108" w:type="dxa"/>
            </w:tcMar>
            <w:vAlign w:val="bottom"/>
            <w:hideMark/>
          </w:tcPr>
          <w:p w14:paraId="76736BC1" w14:textId="77777777" w:rsidR="000A7B3D" w:rsidRDefault="000A7B3D" w:rsidP="00E26631">
            <w:pPr>
              <w:spacing w:after="0"/>
              <w:jc w:val="center"/>
              <w:rPr>
                <w:rFonts w:ascii="Calibri" w:hAnsi="Calibri"/>
                <w:color w:val="000000"/>
              </w:rPr>
            </w:pPr>
            <w:r>
              <w:rPr>
                <w:rFonts w:ascii="Calibri" w:hAnsi="Calibri"/>
                <w:color w:val="000000"/>
              </w:rPr>
              <w:t>84.1%</w:t>
            </w:r>
          </w:p>
        </w:tc>
        <w:tc>
          <w:tcPr>
            <w:tcW w:w="2908" w:type="dxa"/>
            <w:tcBorders>
              <w:top w:val="nil"/>
              <w:left w:val="nil"/>
              <w:bottom w:val="single" w:sz="8" w:space="0" w:color="auto"/>
              <w:right w:val="nil"/>
            </w:tcBorders>
            <w:noWrap/>
            <w:tcMar>
              <w:top w:w="0" w:type="dxa"/>
              <w:left w:w="108" w:type="dxa"/>
              <w:bottom w:w="0" w:type="dxa"/>
              <w:right w:w="108" w:type="dxa"/>
            </w:tcMar>
            <w:vAlign w:val="bottom"/>
            <w:hideMark/>
          </w:tcPr>
          <w:p w14:paraId="44F9C5C5" w14:textId="77777777" w:rsidR="000A7B3D" w:rsidRDefault="000A7B3D" w:rsidP="00E26631">
            <w:pPr>
              <w:spacing w:after="0"/>
              <w:rPr>
                <w:rFonts w:ascii="Calibri" w:hAnsi="Calibri"/>
                <w:color w:val="000000"/>
              </w:rPr>
            </w:pPr>
            <w:r>
              <w:rPr>
                <w:rFonts w:ascii="Calibri" w:hAnsi="Calibri"/>
                <w:color w:val="000000"/>
              </w:rPr>
              <w:t> </w:t>
            </w:r>
          </w:p>
        </w:tc>
        <w:tc>
          <w:tcPr>
            <w:tcW w:w="1219" w:type="dxa"/>
            <w:tcBorders>
              <w:top w:val="nil"/>
              <w:left w:val="nil"/>
              <w:bottom w:val="single" w:sz="8" w:space="0" w:color="auto"/>
              <w:right w:val="nil"/>
            </w:tcBorders>
            <w:noWrap/>
            <w:tcMar>
              <w:top w:w="0" w:type="dxa"/>
              <w:left w:w="108" w:type="dxa"/>
              <w:bottom w:w="0" w:type="dxa"/>
              <w:right w:w="108" w:type="dxa"/>
            </w:tcMar>
            <w:vAlign w:val="bottom"/>
            <w:hideMark/>
          </w:tcPr>
          <w:p w14:paraId="3D24FDBE" w14:textId="77777777" w:rsidR="000A7B3D" w:rsidRDefault="000A7B3D" w:rsidP="00E26631">
            <w:pPr>
              <w:spacing w:after="0"/>
              <w:rPr>
                <w:rFonts w:ascii="Calibri" w:hAnsi="Calibri"/>
                <w:color w:val="000000"/>
              </w:rPr>
            </w:pPr>
            <w:r>
              <w:rPr>
                <w:rFonts w:ascii="Calibri" w:hAnsi="Calibri"/>
                <w:color w:val="000000"/>
              </w:rPr>
              <w:t> </w:t>
            </w:r>
          </w:p>
        </w:tc>
        <w:tc>
          <w:tcPr>
            <w:tcW w:w="1349" w:type="dxa"/>
            <w:tcBorders>
              <w:top w:val="nil"/>
              <w:left w:val="nil"/>
              <w:bottom w:val="single" w:sz="8" w:space="0" w:color="auto"/>
              <w:right w:val="nil"/>
            </w:tcBorders>
            <w:noWrap/>
            <w:tcMar>
              <w:top w:w="0" w:type="dxa"/>
              <w:left w:w="108" w:type="dxa"/>
              <w:bottom w:w="0" w:type="dxa"/>
              <w:right w:w="108" w:type="dxa"/>
            </w:tcMar>
            <w:vAlign w:val="bottom"/>
            <w:hideMark/>
          </w:tcPr>
          <w:p w14:paraId="4F27406F" w14:textId="77777777" w:rsidR="000A7B3D" w:rsidRDefault="000A7B3D" w:rsidP="00E26631">
            <w:pPr>
              <w:spacing w:after="0"/>
              <w:jc w:val="center"/>
              <w:rPr>
                <w:rFonts w:ascii="Calibri" w:hAnsi="Calibri"/>
                <w:color w:val="000000"/>
              </w:rPr>
            </w:pPr>
            <w:r>
              <w:rPr>
                <w:rFonts w:ascii="Calibri" w:hAnsi="Calibri"/>
                <w:color w:val="000000"/>
              </w:rPr>
              <w:t> </w:t>
            </w:r>
          </w:p>
        </w:tc>
      </w:tr>
    </w:tbl>
    <w:p w14:paraId="5D71D49B" w14:textId="582AFE10" w:rsidR="00086EDF" w:rsidRPr="00C90EDA" w:rsidRDefault="00086EDF" w:rsidP="00086EDF">
      <w:pPr>
        <w:spacing w:after="0" w:line="240" w:lineRule="auto"/>
        <w:rPr>
          <w:rFonts w:eastAsia="Calibri" w:cstheme="minorHAnsi"/>
          <w:sz w:val="18"/>
          <w:szCs w:val="18"/>
        </w:rPr>
      </w:pPr>
      <w:r w:rsidRPr="00C90EDA">
        <w:rPr>
          <w:rFonts w:eastAsia="Calibri" w:cstheme="minorHAnsi"/>
          <w:sz w:val="18"/>
          <w:szCs w:val="18"/>
        </w:rPr>
        <w:t xml:space="preserve">  * based on beneficiary residence. AHRQ = Agency for Healthcare Research and Quality. Source</w:t>
      </w:r>
      <w:r w:rsidR="0052358C">
        <w:rPr>
          <w:rFonts w:eastAsia="Calibri" w:cstheme="minorHAnsi"/>
          <w:sz w:val="18"/>
          <w:szCs w:val="18"/>
        </w:rPr>
        <w:t>:</w:t>
      </w:r>
      <w:r>
        <w:rPr>
          <w:rFonts w:eastAsia="Calibri" w:cstheme="minorHAnsi"/>
          <w:sz w:val="18"/>
          <w:szCs w:val="18"/>
        </w:rPr>
        <w:t xml:space="preserve"> </w:t>
      </w:r>
      <w:r w:rsidR="003C47FD">
        <w:rPr>
          <w:rFonts w:eastAsia="Calibri" w:cstheme="minorHAnsi"/>
          <w:sz w:val="18"/>
          <w:szCs w:val="18"/>
        </w:rPr>
        <w:t>Acumen</w:t>
      </w:r>
      <w:r w:rsidR="003C47FD" w:rsidRPr="00C90EDA">
        <w:rPr>
          <w:rFonts w:eastAsia="Calibri" w:cstheme="minorHAnsi"/>
          <w:sz w:val="18"/>
          <w:szCs w:val="18"/>
        </w:rPr>
        <w:t xml:space="preserve"> analysis of </w:t>
      </w:r>
      <w:r w:rsidR="003C47FD">
        <w:rPr>
          <w:rFonts w:eastAsia="Calibri" w:cstheme="minorHAnsi"/>
          <w:sz w:val="18"/>
          <w:szCs w:val="18"/>
        </w:rPr>
        <w:t>CY2015-2016</w:t>
      </w:r>
      <w:r w:rsidR="003C47FD" w:rsidRPr="00C90EDA">
        <w:rPr>
          <w:rFonts w:eastAsia="Calibri" w:cstheme="minorHAnsi"/>
          <w:sz w:val="18"/>
          <w:szCs w:val="18"/>
        </w:rPr>
        <w:t xml:space="preserve"> Medicare fee-for-service claims data</w:t>
      </w:r>
      <w:r w:rsidR="003C47FD">
        <w:rPr>
          <w:rFonts w:eastAsia="Calibri" w:cstheme="minorHAnsi"/>
          <w:sz w:val="18"/>
          <w:szCs w:val="18"/>
        </w:rPr>
        <w:t>, Medicare Enrollment Database, Common Medicare Environment database</w:t>
      </w:r>
      <w:r w:rsidR="003C47FD" w:rsidRPr="00C90EDA">
        <w:rPr>
          <w:rFonts w:eastAsia="Calibri" w:cstheme="minorHAnsi"/>
          <w:sz w:val="18"/>
          <w:szCs w:val="18"/>
        </w:rPr>
        <w:t xml:space="preserve"> </w:t>
      </w:r>
      <w:r w:rsidR="003C47FD">
        <w:rPr>
          <w:rFonts w:eastAsia="Calibri" w:cstheme="minorHAnsi"/>
          <w:sz w:val="18"/>
          <w:szCs w:val="18"/>
        </w:rPr>
        <w:t>and 2016 American Community Survey</w:t>
      </w:r>
      <w:r w:rsidR="003C47FD" w:rsidRPr="00C90EDA">
        <w:rPr>
          <w:rFonts w:eastAsia="Calibri" w:cstheme="minorHAnsi"/>
          <w:sz w:val="18"/>
          <w:szCs w:val="18"/>
        </w:rPr>
        <w:t xml:space="preserve">. </w:t>
      </w:r>
    </w:p>
    <w:p w14:paraId="5BB8A348" w14:textId="77777777" w:rsidR="000A7B3D" w:rsidRPr="00C90EDA" w:rsidRDefault="000A7B3D" w:rsidP="00236FCC">
      <w:pPr>
        <w:spacing w:after="0" w:line="240" w:lineRule="auto"/>
        <w:rPr>
          <w:rFonts w:eastAsia="Calibri" w:cstheme="minorHAnsi"/>
          <w:b/>
          <w:sz w:val="20"/>
          <w:szCs w:val="20"/>
        </w:rPr>
      </w:pPr>
    </w:p>
    <w:p w14:paraId="6B68FB93" w14:textId="77777777" w:rsidR="00505CB2" w:rsidRDefault="00505CB2" w:rsidP="000A7B3D">
      <w:pPr>
        <w:tabs>
          <w:tab w:val="left" w:pos="1605"/>
        </w:tabs>
        <w:spacing w:after="0" w:line="240" w:lineRule="auto"/>
        <w:rPr>
          <w:rFonts w:cstheme="minorHAnsi"/>
        </w:rPr>
      </w:pPr>
    </w:p>
    <w:p w14:paraId="30417F2D" w14:textId="73D6340C" w:rsidR="000A7B3D" w:rsidRDefault="000A7B3D" w:rsidP="000A7B3D">
      <w:pPr>
        <w:tabs>
          <w:tab w:val="left" w:pos="1605"/>
        </w:tabs>
        <w:spacing w:after="0" w:line="240" w:lineRule="auto"/>
        <w:rPr>
          <w:rFonts w:cstheme="minorHAnsi"/>
        </w:rPr>
      </w:pPr>
      <w:r>
        <w:rPr>
          <w:rFonts w:cstheme="minorHAnsi"/>
        </w:rPr>
        <w:tab/>
      </w:r>
    </w:p>
    <w:p w14:paraId="2E88B598" w14:textId="2A1F19A8" w:rsidR="00E547E2" w:rsidRPr="00C90EDA" w:rsidRDefault="00E547E2" w:rsidP="00E547E2">
      <w:pPr>
        <w:spacing w:after="0" w:line="240" w:lineRule="auto"/>
        <w:rPr>
          <w:rFonts w:eastAsia="Calibri" w:cstheme="minorHAnsi"/>
        </w:rPr>
      </w:pPr>
      <w:r w:rsidRPr="00C90EDA">
        <w:rPr>
          <w:rFonts w:eastAsia="Calibri" w:cstheme="minorHAnsi"/>
          <w:b/>
          <w:bCs/>
        </w:rPr>
        <w:t>Table B-3</w:t>
      </w:r>
      <w:r w:rsidRPr="00C90EDA">
        <w:rPr>
          <w:rFonts w:eastAsia="Calibri" w:cstheme="minorHAnsi"/>
        </w:rPr>
        <w:t xml:space="preserve"> shows the social risk factor</w:t>
      </w:r>
      <w:r w:rsidR="0007464C">
        <w:rPr>
          <w:rFonts w:eastAsia="Calibri" w:cstheme="minorHAnsi"/>
        </w:rPr>
        <w:t xml:space="preserve"> estimate</w:t>
      </w:r>
      <w:r w:rsidRPr="00C90EDA">
        <w:rPr>
          <w:rFonts w:eastAsia="Calibri" w:cstheme="minorHAnsi"/>
        </w:rPr>
        <w:t xml:space="preserve">s </w:t>
      </w:r>
      <w:r w:rsidR="0007464C">
        <w:rPr>
          <w:rFonts w:eastAsia="Calibri" w:cstheme="minorHAnsi"/>
        </w:rPr>
        <w:t xml:space="preserve">in </w:t>
      </w:r>
      <w:r w:rsidR="00CA0FEA">
        <w:rPr>
          <w:rFonts w:eastAsia="Calibri" w:cstheme="minorHAnsi"/>
        </w:rPr>
        <w:t>the</w:t>
      </w:r>
      <w:r w:rsidRPr="00C90EDA">
        <w:rPr>
          <w:rFonts w:eastAsia="Calibri" w:cstheme="minorHAnsi"/>
        </w:rPr>
        <w:t xml:space="preserve"> logistic regression model. </w:t>
      </w:r>
      <w:r w:rsidR="005D7721" w:rsidRPr="00C90EDA">
        <w:rPr>
          <w:rFonts w:eastAsia="Calibri" w:cstheme="minorHAnsi"/>
        </w:rPr>
        <w:t>D</w:t>
      </w:r>
      <w:r w:rsidRPr="00C90EDA">
        <w:rPr>
          <w:rFonts w:eastAsia="Calibri" w:cstheme="minorHAnsi"/>
        </w:rPr>
        <w:t>ual</w:t>
      </w:r>
      <w:r w:rsidR="005D7721">
        <w:rPr>
          <w:rFonts w:eastAsia="Calibri" w:cstheme="minorHAnsi"/>
        </w:rPr>
        <w:t xml:space="preserve"> </w:t>
      </w:r>
      <w:r w:rsidRPr="00C90EDA">
        <w:rPr>
          <w:rFonts w:eastAsia="Calibri" w:cstheme="minorHAnsi"/>
        </w:rPr>
        <w:t>eligibility</w:t>
      </w:r>
      <w:r w:rsidR="001D3613">
        <w:rPr>
          <w:rFonts w:eastAsia="Calibri" w:cstheme="minorHAnsi"/>
        </w:rPr>
        <w:t xml:space="preserve"> and</w:t>
      </w:r>
      <w:r w:rsidRPr="00C90EDA">
        <w:rPr>
          <w:rFonts w:eastAsia="Calibri" w:cstheme="minorHAnsi"/>
        </w:rPr>
        <w:t xml:space="preserve"> living in a rural area were strongly associated with lower odds of successful DTC</w:t>
      </w:r>
      <w:r w:rsidR="009D19F2">
        <w:rPr>
          <w:rFonts w:eastAsia="Calibri" w:cstheme="minorHAnsi"/>
        </w:rPr>
        <w:t>.</w:t>
      </w:r>
      <w:r w:rsidRPr="00C90EDA">
        <w:rPr>
          <w:rFonts w:eastAsia="Calibri" w:cstheme="minorHAnsi"/>
        </w:rPr>
        <w:t xml:space="preserve"> </w:t>
      </w:r>
      <w:r w:rsidR="00086EDF">
        <w:rPr>
          <w:rFonts w:eastAsia="Calibri" w:cstheme="minorHAnsi"/>
        </w:rPr>
        <w:t>Asian and Hispanic race/ethnic groups</w:t>
      </w:r>
      <w:r w:rsidRPr="00C90EDA">
        <w:rPr>
          <w:rFonts w:eastAsia="Calibri" w:cstheme="minorHAnsi"/>
        </w:rPr>
        <w:t xml:space="preserve"> were associated with higher odds of successful DTC compared to the </w:t>
      </w:r>
      <w:r w:rsidR="009D19F2">
        <w:rPr>
          <w:rFonts w:eastAsia="Calibri" w:cstheme="minorHAnsi"/>
        </w:rPr>
        <w:t xml:space="preserve">reference </w:t>
      </w:r>
      <w:r w:rsidRPr="00C90EDA">
        <w:rPr>
          <w:rFonts w:eastAsia="Calibri" w:cstheme="minorHAnsi"/>
        </w:rPr>
        <w:t xml:space="preserve">group </w:t>
      </w:r>
      <w:r w:rsidR="009D19F2">
        <w:rPr>
          <w:rFonts w:eastAsia="Calibri" w:cstheme="minorHAnsi"/>
        </w:rPr>
        <w:t>of w</w:t>
      </w:r>
      <w:r w:rsidRPr="00C90EDA">
        <w:rPr>
          <w:rFonts w:eastAsia="Calibri" w:cstheme="minorHAnsi"/>
        </w:rPr>
        <w:t>hite</w:t>
      </w:r>
      <w:r w:rsidR="006E5331">
        <w:rPr>
          <w:rFonts w:eastAsia="Calibri" w:cstheme="minorHAnsi"/>
        </w:rPr>
        <w:t>, with Asian having the largest protective effect</w:t>
      </w:r>
      <w:r w:rsidRPr="00C90EDA">
        <w:rPr>
          <w:rFonts w:eastAsia="Calibri" w:cstheme="minorHAnsi"/>
        </w:rPr>
        <w:t xml:space="preserve">. AHRQ SES Index </w:t>
      </w:r>
      <w:r w:rsidR="009D19F2">
        <w:rPr>
          <w:rFonts w:eastAsia="Calibri" w:cstheme="minorHAnsi"/>
        </w:rPr>
        <w:t>q</w:t>
      </w:r>
      <w:r w:rsidRPr="00C90EDA">
        <w:rPr>
          <w:rFonts w:eastAsia="Calibri" w:cstheme="minorHAnsi"/>
        </w:rPr>
        <w:t>uartiles 1-3 were associated with lower odds of successful DTC</w:t>
      </w:r>
      <w:r w:rsidR="002169EE">
        <w:rPr>
          <w:rFonts w:eastAsia="Calibri" w:cstheme="minorHAnsi"/>
        </w:rPr>
        <w:t xml:space="preserve"> compared with quartile 4</w:t>
      </w:r>
      <w:r w:rsidR="008A46C1">
        <w:rPr>
          <w:rFonts w:eastAsia="Calibri" w:cstheme="minorHAnsi"/>
        </w:rPr>
        <w:t>.</w:t>
      </w:r>
      <w:r w:rsidR="00CA0FEA">
        <w:rPr>
          <w:rFonts w:eastAsia="Calibri" w:cstheme="minorHAnsi"/>
        </w:rPr>
        <w:t xml:space="preserve"> Additionally</w:t>
      </w:r>
      <w:r w:rsidRPr="00C90EDA">
        <w:rPr>
          <w:rFonts w:eastAsia="Calibri" w:cstheme="minorHAnsi"/>
        </w:rPr>
        <w:t xml:space="preserve">, not shown in </w:t>
      </w:r>
      <w:r w:rsidRPr="00C90EDA">
        <w:rPr>
          <w:rFonts w:eastAsia="Calibri" w:cstheme="minorHAnsi"/>
          <w:b/>
        </w:rPr>
        <w:t>Table B-3</w:t>
      </w:r>
      <w:r w:rsidRPr="00C90EDA">
        <w:rPr>
          <w:rFonts w:eastAsia="Calibri" w:cstheme="minorHAnsi"/>
        </w:rPr>
        <w:t xml:space="preserve">, controlling for these </w:t>
      </w:r>
      <w:r w:rsidR="00702534">
        <w:rPr>
          <w:rFonts w:eastAsia="Calibri" w:cstheme="minorHAnsi"/>
        </w:rPr>
        <w:t>social risk factors</w:t>
      </w:r>
      <w:r w:rsidRPr="00C90EDA">
        <w:rPr>
          <w:rFonts w:eastAsia="Calibri" w:cstheme="minorHAnsi"/>
        </w:rPr>
        <w:t xml:space="preserve"> increased the model C-statistic by 0.</w:t>
      </w:r>
      <w:r w:rsidR="0052358C">
        <w:rPr>
          <w:rFonts w:eastAsia="Calibri" w:cstheme="minorHAnsi"/>
        </w:rPr>
        <w:t>0005</w:t>
      </w:r>
      <w:r w:rsidRPr="00C90EDA">
        <w:rPr>
          <w:rFonts w:eastAsia="Calibri" w:cstheme="minorHAnsi"/>
        </w:rPr>
        <w:t>.</w:t>
      </w:r>
    </w:p>
    <w:p w14:paraId="4DAB4A3B" w14:textId="1704E89A" w:rsidR="00E547E2" w:rsidRDefault="00E547E2" w:rsidP="00E547E2">
      <w:pPr>
        <w:spacing w:after="0" w:line="240" w:lineRule="auto"/>
        <w:rPr>
          <w:rFonts w:eastAsia="Calibri" w:cstheme="minorHAnsi"/>
        </w:rPr>
      </w:pPr>
    </w:p>
    <w:p w14:paraId="26BA79CD" w14:textId="42F02F48" w:rsidR="00236FCC" w:rsidRPr="0052358C" w:rsidRDefault="00236FCC" w:rsidP="00236FCC">
      <w:pPr>
        <w:spacing w:after="0" w:line="240" w:lineRule="auto"/>
        <w:rPr>
          <w:rFonts w:eastAsia="Calibri" w:cstheme="minorHAnsi"/>
          <w:b/>
          <w:sz w:val="20"/>
          <w:szCs w:val="20"/>
        </w:rPr>
      </w:pPr>
      <w:r w:rsidRPr="00C90EDA">
        <w:rPr>
          <w:rFonts w:eastAsia="Calibri" w:cstheme="minorHAnsi"/>
          <w:b/>
          <w:bCs/>
          <w:szCs w:val="20"/>
        </w:rPr>
        <w:t xml:space="preserve">Table B-3. </w:t>
      </w:r>
      <w:r w:rsidR="0052358C" w:rsidRPr="00DE5677">
        <w:rPr>
          <w:rFonts w:ascii="Calibri" w:hAnsi="Calibri"/>
          <w:b/>
          <w:color w:val="000000"/>
        </w:rPr>
        <w:t>Effect of Social Risk Factors in DTC-PAC HHA Random Effects Logistic Regression Model (N =</w:t>
      </w:r>
      <w:r w:rsidR="002D06D5" w:rsidRPr="00DE5677">
        <w:rPr>
          <w:rFonts w:ascii="Calibri" w:hAnsi="Calibri"/>
          <w:b/>
          <w:color w:val="000000"/>
        </w:rPr>
        <w:t> 6,279,286</w:t>
      </w:r>
      <w:r w:rsidR="0052358C" w:rsidRPr="00DE5677">
        <w:rPr>
          <w:rFonts w:ascii="Calibri" w:hAnsi="Calibri"/>
          <w:b/>
          <w:color w:val="000000"/>
        </w:rPr>
        <w:t>)</w:t>
      </w:r>
    </w:p>
    <w:p w14:paraId="08DD667B" w14:textId="77777777" w:rsidR="00086EDF" w:rsidRDefault="00086EDF" w:rsidP="00236FCC">
      <w:pPr>
        <w:spacing w:after="0" w:line="240" w:lineRule="auto"/>
        <w:rPr>
          <w:rFonts w:eastAsia="Calibri" w:cstheme="minorHAnsi"/>
          <w:b/>
        </w:rPr>
      </w:pPr>
    </w:p>
    <w:tbl>
      <w:tblPr>
        <w:tblW w:w="9360" w:type="dxa"/>
        <w:tblCellMar>
          <w:left w:w="0" w:type="dxa"/>
          <w:right w:w="0" w:type="dxa"/>
        </w:tblCellMar>
        <w:tblLook w:val="04A0" w:firstRow="1" w:lastRow="0" w:firstColumn="1" w:lastColumn="0" w:noHBand="0" w:noVBand="1"/>
      </w:tblPr>
      <w:tblGrid>
        <w:gridCol w:w="4010"/>
        <w:gridCol w:w="1391"/>
        <w:gridCol w:w="1391"/>
        <w:gridCol w:w="1391"/>
        <w:gridCol w:w="1177"/>
      </w:tblGrid>
      <w:tr w:rsidR="00086EDF" w14:paraId="157A1BE4" w14:textId="77777777" w:rsidTr="008C3AFE">
        <w:trPr>
          <w:trHeight w:val="300"/>
        </w:trPr>
        <w:tc>
          <w:tcPr>
            <w:tcW w:w="4010"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034255CB" w14:textId="77777777" w:rsidR="00086EDF" w:rsidRDefault="00086EDF" w:rsidP="00E26631">
            <w:pPr>
              <w:spacing w:before="120" w:after="120"/>
              <w:jc w:val="center"/>
              <w:rPr>
                <w:rFonts w:ascii="Calibri" w:eastAsiaTheme="minorHAnsi" w:hAnsi="Calibri"/>
                <w:b/>
                <w:bCs/>
                <w:color w:val="000000"/>
              </w:rPr>
            </w:pPr>
            <w:r>
              <w:rPr>
                <w:rFonts w:ascii="Calibri" w:hAnsi="Calibri"/>
                <w:b/>
                <w:bCs/>
                <w:color w:val="000000"/>
              </w:rPr>
              <w:t xml:space="preserve">Social Risk Factor </w:t>
            </w:r>
          </w:p>
        </w:tc>
        <w:tc>
          <w:tcPr>
            <w:tcW w:w="1391"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22E20864" w14:textId="77777777" w:rsidR="00086EDF" w:rsidRDefault="00086EDF" w:rsidP="00E26631">
            <w:pPr>
              <w:spacing w:before="120" w:after="120"/>
              <w:jc w:val="center"/>
              <w:rPr>
                <w:rFonts w:ascii="Calibri" w:hAnsi="Calibri"/>
                <w:b/>
                <w:bCs/>
                <w:color w:val="000000"/>
              </w:rPr>
            </w:pPr>
            <w:r>
              <w:rPr>
                <w:rFonts w:ascii="Calibri" w:hAnsi="Calibri"/>
                <w:b/>
                <w:bCs/>
                <w:color w:val="000000"/>
              </w:rPr>
              <w:t>Estimate</w:t>
            </w:r>
          </w:p>
        </w:tc>
        <w:tc>
          <w:tcPr>
            <w:tcW w:w="1391"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5468AE49" w14:textId="77777777" w:rsidR="00086EDF" w:rsidRDefault="00086EDF" w:rsidP="00E26631">
            <w:pPr>
              <w:spacing w:before="120" w:after="120"/>
              <w:jc w:val="center"/>
              <w:rPr>
                <w:rFonts w:ascii="Calibri" w:hAnsi="Calibri"/>
                <w:b/>
                <w:bCs/>
                <w:color w:val="000000"/>
              </w:rPr>
            </w:pPr>
            <w:r>
              <w:rPr>
                <w:rFonts w:ascii="Calibri" w:hAnsi="Calibri"/>
                <w:b/>
                <w:bCs/>
                <w:color w:val="000000"/>
              </w:rPr>
              <w:t>SE</w:t>
            </w:r>
          </w:p>
        </w:tc>
        <w:tc>
          <w:tcPr>
            <w:tcW w:w="1391"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4EF2FBB6" w14:textId="77777777" w:rsidR="00086EDF" w:rsidRDefault="00086EDF" w:rsidP="00E26631">
            <w:pPr>
              <w:spacing w:before="120" w:after="120"/>
              <w:jc w:val="center"/>
              <w:rPr>
                <w:rFonts w:ascii="Calibri" w:hAnsi="Calibri"/>
                <w:b/>
                <w:bCs/>
                <w:i/>
                <w:iCs/>
                <w:color w:val="000000"/>
              </w:rPr>
            </w:pPr>
            <w:r>
              <w:rPr>
                <w:rFonts w:ascii="Calibri" w:hAnsi="Calibri"/>
                <w:b/>
                <w:bCs/>
                <w:i/>
                <w:iCs/>
                <w:color w:val="000000"/>
              </w:rPr>
              <w:t>p-value</w:t>
            </w:r>
          </w:p>
        </w:tc>
        <w:tc>
          <w:tcPr>
            <w:tcW w:w="1177"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5AAF631C" w14:textId="77777777" w:rsidR="00086EDF" w:rsidRDefault="00086EDF" w:rsidP="00E26631">
            <w:pPr>
              <w:spacing w:before="120" w:after="120"/>
              <w:jc w:val="center"/>
              <w:rPr>
                <w:rFonts w:ascii="Calibri" w:hAnsi="Calibri"/>
                <w:b/>
                <w:bCs/>
                <w:color w:val="000000"/>
              </w:rPr>
            </w:pPr>
            <w:r>
              <w:rPr>
                <w:rFonts w:ascii="Calibri" w:hAnsi="Calibri"/>
                <w:b/>
                <w:bCs/>
                <w:color w:val="000000"/>
              </w:rPr>
              <w:t>OR</w:t>
            </w:r>
          </w:p>
        </w:tc>
      </w:tr>
      <w:tr w:rsidR="00086EDF" w14:paraId="7AAAD6B0" w14:textId="77777777" w:rsidTr="008C3AFE">
        <w:trPr>
          <w:trHeight w:val="300"/>
        </w:trPr>
        <w:tc>
          <w:tcPr>
            <w:tcW w:w="4010" w:type="dxa"/>
            <w:noWrap/>
            <w:tcMar>
              <w:top w:w="0" w:type="dxa"/>
              <w:left w:w="108" w:type="dxa"/>
              <w:bottom w:w="0" w:type="dxa"/>
              <w:right w:w="108" w:type="dxa"/>
            </w:tcMar>
            <w:vAlign w:val="bottom"/>
            <w:hideMark/>
          </w:tcPr>
          <w:p w14:paraId="088CB0D4" w14:textId="77777777" w:rsidR="00086EDF" w:rsidRDefault="00086EDF" w:rsidP="00E26631">
            <w:pPr>
              <w:spacing w:after="0"/>
              <w:rPr>
                <w:rFonts w:ascii="Calibri" w:hAnsi="Calibri"/>
                <w:b/>
                <w:bCs/>
                <w:color w:val="000000"/>
              </w:rPr>
            </w:pPr>
            <w:r w:rsidRPr="00EA02B5">
              <w:rPr>
                <w:rFonts w:ascii="Calibri" w:hAnsi="Calibri"/>
                <w:b/>
                <w:bCs/>
                <w:i/>
                <w:color w:val="000000"/>
              </w:rPr>
              <w:t xml:space="preserve">Dual Eligibility </w:t>
            </w:r>
            <w:r w:rsidRPr="00EA02B5">
              <w:rPr>
                <w:rFonts w:ascii="Calibri" w:hAnsi="Calibri"/>
                <w:b/>
                <w:bCs/>
                <w:i/>
                <w:iCs/>
                <w:color w:val="000000"/>
              </w:rPr>
              <w:t>(</w:t>
            </w:r>
            <w:r>
              <w:rPr>
                <w:rFonts w:ascii="Calibri" w:hAnsi="Calibri"/>
                <w:b/>
                <w:bCs/>
                <w:i/>
                <w:iCs/>
                <w:color w:val="000000"/>
              </w:rPr>
              <w:t>reference = Non-dual)</w:t>
            </w:r>
          </w:p>
        </w:tc>
        <w:tc>
          <w:tcPr>
            <w:tcW w:w="1391" w:type="dxa"/>
            <w:noWrap/>
            <w:tcMar>
              <w:top w:w="0" w:type="dxa"/>
              <w:left w:w="108" w:type="dxa"/>
              <w:bottom w:w="0" w:type="dxa"/>
              <w:right w:w="108" w:type="dxa"/>
            </w:tcMar>
            <w:vAlign w:val="bottom"/>
            <w:hideMark/>
          </w:tcPr>
          <w:p w14:paraId="186874EF" w14:textId="77777777" w:rsidR="00086EDF" w:rsidRDefault="00086EDF" w:rsidP="00E26631">
            <w:pPr>
              <w:spacing w:after="0"/>
              <w:rPr>
                <w:rFonts w:ascii="Calibri" w:hAnsi="Calibri"/>
                <w:b/>
                <w:bCs/>
                <w:color w:val="000000"/>
              </w:rPr>
            </w:pPr>
          </w:p>
        </w:tc>
        <w:tc>
          <w:tcPr>
            <w:tcW w:w="1391" w:type="dxa"/>
            <w:noWrap/>
            <w:tcMar>
              <w:top w:w="0" w:type="dxa"/>
              <w:left w:w="108" w:type="dxa"/>
              <w:bottom w:w="0" w:type="dxa"/>
              <w:right w:w="108" w:type="dxa"/>
            </w:tcMar>
            <w:vAlign w:val="bottom"/>
            <w:hideMark/>
          </w:tcPr>
          <w:p w14:paraId="7A5AA5F9" w14:textId="77777777" w:rsidR="00086EDF" w:rsidRDefault="00086EDF" w:rsidP="00E26631">
            <w:pPr>
              <w:spacing w:after="0"/>
              <w:rPr>
                <w:rFonts w:eastAsia="Times New Roman"/>
                <w:sz w:val="20"/>
                <w:szCs w:val="20"/>
              </w:rPr>
            </w:pPr>
          </w:p>
        </w:tc>
        <w:tc>
          <w:tcPr>
            <w:tcW w:w="1391" w:type="dxa"/>
            <w:noWrap/>
            <w:tcMar>
              <w:top w:w="0" w:type="dxa"/>
              <w:left w:w="108" w:type="dxa"/>
              <w:bottom w:w="0" w:type="dxa"/>
              <w:right w:w="108" w:type="dxa"/>
            </w:tcMar>
            <w:vAlign w:val="bottom"/>
            <w:hideMark/>
          </w:tcPr>
          <w:p w14:paraId="029E47A8" w14:textId="77777777" w:rsidR="00086EDF" w:rsidRDefault="00086EDF" w:rsidP="00E26631">
            <w:pPr>
              <w:spacing w:after="0"/>
              <w:rPr>
                <w:rFonts w:eastAsia="Times New Roman"/>
                <w:sz w:val="20"/>
                <w:szCs w:val="20"/>
              </w:rPr>
            </w:pPr>
          </w:p>
        </w:tc>
        <w:tc>
          <w:tcPr>
            <w:tcW w:w="1177" w:type="dxa"/>
            <w:noWrap/>
            <w:tcMar>
              <w:top w:w="0" w:type="dxa"/>
              <w:left w:w="108" w:type="dxa"/>
              <w:bottom w:w="0" w:type="dxa"/>
              <w:right w:w="108" w:type="dxa"/>
            </w:tcMar>
            <w:vAlign w:val="bottom"/>
            <w:hideMark/>
          </w:tcPr>
          <w:p w14:paraId="0D2FB7CC" w14:textId="77777777" w:rsidR="00086EDF" w:rsidRDefault="00086EDF" w:rsidP="00E26631">
            <w:pPr>
              <w:spacing w:after="0"/>
              <w:rPr>
                <w:rFonts w:eastAsia="Times New Roman"/>
                <w:sz w:val="20"/>
                <w:szCs w:val="20"/>
              </w:rPr>
            </w:pPr>
          </w:p>
        </w:tc>
      </w:tr>
      <w:tr w:rsidR="008C3AFE" w14:paraId="622BF658" w14:textId="77777777" w:rsidTr="008C3AFE">
        <w:trPr>
          <w:trHeight w:val="300"/>
        </w:trPr>
        <w:tc>
          <w:tcPr>
            <w:tcW w:w="4010" w:type="dxa"/>
            <w:noWrap/>
            <w:tcMar>
              <w:top w:w="0" w:type="dxa"/>
              <w:left w:w="108" w:type="dxa"/>
              <w:bottom w:w="0" w:type="dxa"/>
              <w:right w:w="108" w:type="dxa"/>
            </w:tcMar>
            <w:vAlign w:val="bottom"/>
            <w:hideMark/>
          </w:tcPr>
          <w:p w14:paraId="06FB1D03" w14:textId="78541779" w:rsidR="008C3AFE" w:rsidRDefault="00355A5F" w:rsidP="008C3AFE">
            <w:pPr>
              <w:spacing w:after="0"/>
              <w:ind w:firstLine="220"/>
              <w:rPr>
                <w:rFonts w:ascii="Calibri" w:eastAsiaTheme="minorHAnsi" w:hAnsi="Calibri"/>
                <w:color w:val="000000"/>
              </w:rPr>
            </w:pPr>
            <w:r>
              <w:rPr>
                <w:rFonts w:ascii="Calibri" w:hAnsi="Calibri"/>
                <w:color w:val="000000"/>
              </w:rPr>
              <w:t>Dual without full Medicaid</w:t>
            </w:r>
          </w:p>
        </w:tc>
        <w:tc>
          <w:tcPr>
            <w:tcW w:w="1391" w:type="dxa"/>
            <w:noWrap/>
            <w:tcMar>
              <w:top w:w="0" w:type="dxa"/>
              <w:left w:w="108" w:type="dxa"/>
              <w:bottom w:w="0" w:type="dxa"/>
              <w:right w:w="108" w:type="dxa"/>
            </w:tcMar>
            <w:vAlign w:val="bottom"/>
            <w:hideMark/>
          </w:tcPr>
          <w:p w14:paraId="6A94A2D3" w14:textId="1352B43A" w:rsidR="008C3AFE" w:rsidRDefault="008C3AFE" w:rsidP="008C3AFE">
            <w:pPr>
              <w:spacing w:after="0"/>
              <w:jc w:val="center"/>
              <w:rPr>
                <w:rFonts w:ascii="Calibri" w:hAnsi="Calibri"/>
                <w:color w:val="000000"/>
              </w:rPr>
            </w:pPr>
            <w:r>
              <w:rPr>
                <w:rFonts w:ascii="Calibri" w:hAnsi="Calibri" w:cs="Calibri"/>
                <w:color w:val="000000"/>
              </w:rPr>
              <w:t>-0.0724</w:t>
            </w:r>
          </w:p>
        </w:tc>
        <w:tc>
          <w:tcPr>
            <w:tcW w:w="1391" w:type="dxa"/>
            <w:noWrap/>
            <w:tcMar>
              <w:top w:w="0" w:type="dxa"/>
              <w:left w:w="108" w:type="dxa"/>
              <w:bottom w:w="0" w:type="dxa"/>
              <w:right w:w="108" w:type="dxa"/>
            </w:tcMar>
            <w:vAlign w:val="bottom"/>
            <w:hideMark/>
          </w:tcPr>
          <w:p w14:paraId="63377555" w14:textId="66D8CB17" w:rsidR="008C3AFE" w:rsidRDefault="008C3AFE" w:rsidP="008C3AFE">
            <w:pPr>
              <w:spacing w:after="0"/>
              <w:jc w:val="center"/>
              <w:rPr>
                <w:rFonts w:ascii="Calibri" w:hAnsi="Calibri"/>
                <w:color w:val="000000"/>
              </w:rPr>
            </w:pPr>
            <w:r>
              <w:rPr>
                <w:rFonts w:ascii="Calibri" w:hAnsi="Calibri" w:cs="Calibri"/>
                <w:color w:val="000000"/>
              </w:rPr>
              <w:t>0.0045</w:t>
            </w:r>
          </w:p>
        </w:tc>
        <w:tc>
          <w:tcPr>
            <w:tcW w:w="1391" w:type="dxa"/>
            <w:noWrap/>
            <w:tcMar>
              <w:top w:w="0" w:type="dxa"/>
              <w:left w:w="108" w:type="dxa"/>
              <w:bottom w:w="0" w:type="dxa"/>
              <w:right w:w="108" w:type="dxa"/>
            </w:tcMar>
            <w:vAlign w:val="bottom"/>
            <w:hideMark/>
          </w:tcPr>
          <w:p w14:paraId="619D214F" w14:textId="25F43023" w:rsidR="008C3AFE" w:rsidRDefault="008C3AFE" w:rsidP="008C3AFE">
            <w:pPr>
              <w:spacing w:after="0"/>
              <w:jc w:val="center"/>
              <w:rPr>
                <w:rFonts w:ascii="Calibri" w:hAnsi="Calibri"/>
                <w:color w:val="000000"/>
              </w:rPr>
            </w:pPr>
            <w:r>
              <w:rPr>
                <w:rFonts w:ascii="Calibri" w:hAnsi="Calibri" w:cs="Calibri"/>
                <w:color w:val="000000"/>
              </w:rPr>
              <w:t>&lt;.0001</w:t>
            </w:r>
          </w:p>
        </w:tc>
        <w:tc>
          <w:tcPr>
            <w:tcW w:w="1177" w:type="dxa"/>
            <w:noWrap/>
            <w:tcMar>
              <w:top w:w="0" w:type="dxa"/>
              <w:left w:w="108" w:type="dxa"/>
              <w:bottom w:w="0" w:type="dxa"/>
              <w:right w:w="108" w:type="dxa"/>
            </w:tcMar>
            <w:vAlign w:val="bottom"/>
            <w:hideMark/>
          </w:tcPr>
          <w:p w14:paraId="6413AEF6" w14:textId="23E76F15" w:rsidR="008C3AFE" w:rsidRDefault="008C3AFE" w:rsidP="008C3AFE">
            <w:pPr>
              <w:spacing w:after="0"/>
              <w:jc w:val="center"/>
              <w:rPr>
                <w:rFonts w:ascii="Calibri" w:hAnsi="Calibri"/>
                <w:color w:val="000000"/>
              </w:rPr>
            </w:pPr>
            <w:r>
              <w:rPr>
                <w:rFonts w:ascii="Calibri" w:hAnsi="Calibri" w:cs="Calibri"/>
                <w:color w:val="000000"/>
              </w:rPr>
              <w:t>0.930</w:t>
            </w:r>
          </w:p>
        </w:tc>
      </w:tr>
      <w:tr w:rsidR="008C3AFE" w14:paraId="1344D545" w14:textId="77777777" w:rsidTr="008C3AFE">
        <w:trPr>
          <w:trHeight w:val="300"/>
        </w:trPr>
        <w:tc>
          <w:tcPr>
            <w:tcW w:w="4010" w:type="dxa"/>
            <w:noWrap/>
            <w:tcMar>
              <w:top w:w="0" w:type="dxa"/>
              <w:left w:w="108" w:type="dxa"/>
              <w:bottom w:w="0" w:type="dxa"/>
              <w:right w:w="108" w:type="dxa"/>
            </w:tcMar>
            <w:vAlign w:val="bottom"/>
            <w:hideMark/>
          </w:tcPr>
          <w:p w14:paraId="4B968C26" w14:textId="3471F88B" w:rsidR="008C3AFE" w:rsidRDefault="00355A5F" w:rsidP="008C3AFE">
            <w:pPr>
              <w:spacing w:after="0"/>
              <w:ind w:firstLine="220"/>
              <w:rPr>
                <w:rFonts w:ascii="Calibri" w:hAnsi="Calibri"/>
                <w:color w:val="000000"/>
              </w:rPr>
            </w:pPr>
            <w:r>
              <w:rPr>
                <w:rFonts w:ascii="Calibri" w:hAnsi="Calibri"/>
                <w:color w:val="000000"/>
              </w:rPr>
              <w:t>Dual with full Medicaid</w:t>
            </w:r>
          </w:p>
        </w:tc>
        <w:tc>
          <w:tcPr>
            <w:tcW w:w="1391" w:type="dxa"/>
            <w:noWrap/>
            <w:tcMar>
              <w:top w:w="0" w:type="dxa"/>
              <w:left w:w="108" w:type="dxa"/>
              <w:bottom w:w="0" w:type="dxa"/>
              <w:right w:w="108" w:type="dxa"/>
            </w:tcMar>
            <w:vAlign w:val="bottom"/>
            <w:hideMark/>
          </w:tcPr>
          <w:p w14:paraId="698B6325" w14:textId="009D2D3C" w:rsidR="008C3AFE" w:rsidRDefault="008C3AFE" w:rsidP="008C3AFE">
            <w:pPr>
              <w:spacing w:after="0"/>
              <w:jc w:val="center"/>
              <w:rPr>
                <w:rFonts w:ascii="Calibri" w:hAnsi="Calibri"/>
                <w:color w:val="000000"/>
              </w:rPr>
            </w:pPr>
            <w:r>
              <w:rPr>
                <w:rFonts w:ascii="Calibri" w:hAnsi="Calibri" w:cs="Calibri"/>
                <w:color w:val="000000"/>
              </w:rPr>
              <w:t>-0.1562</w:t>
            </w:r>
          </w:p>
        </w:tc>
        <w:tc>
          <w:tcPr>
            <w:tcW w:w="1391" w:type="dxa"/>
            <w:noWrap/>
            <w:tcMar>
              <w:top w:w="0" w:type="dxa"/>
              <w:left w:w="108" w:type="dxa"/>
              <w:bottom w:w="0" w:type="dxa"/>
              <w:right w:w="108" w:type="dxa"/>
            </w:tcMar>
            <w:vAlign w:val="bottom"/>
            <w:hideMark/>
          </w:tcPr>
          <w:p w14:paraId="23677E60" w14:textId="28DCF78B" w:rsidR="008C3AFE" w:rsidRDefault="008C3AFE" w:rsidP="008C3AFE">
            <w:pPr>
              <w:spacing w:after="0"/>
              <w:jc w:val="center"/>
              <w:rPr>
                <w:rFonts w:ascii="Calibri" w:hAnsi="Calibri"/>
                <w:color w:val="000000"/>
              </w:rPr>
            </w:pPr>
            <w:r>
              <w:rPr>
                <w:rFonts w:ascii="Calibri" w:hAnsi="Calibri" w:cs="Calibri"/>
                <w:color w:val="000000"/>
              </w:rPr>
              <w:t>0.0031</w:t>
            </w:r>
          </w:p>
        </w:tc>
        <w:tc>
          <w:tcPr>
            <w:tcW w:w="1391" w:type="dxa"/>
            <w:noWrap/>
            <w:tcMar>
              <w:top w:w="0" w:type="dxa"/>
              <w:left w:w="108" w:type="dxa"/>
              <w:bottom w:w="0" w:type="dxa"/>
              <w:right w:w="108" w:type="dxa"/>
            </w:tcMar>
            <w:vAlign w:val="bottom"/>
            <w:hideMark/>
          </w:tcPr>
          <w:p w14:paraId="5467ECFC" w14:textId="4011516F" w:rsidR="008C3AFE" w:rsidRDefault="008C3AFE" w:rsidP="008C3AFE">
            <w:pPr>
              <w:spacing w:after="0"/>
              <w:jc w:val="center"/>
              <w:rPr>
                <w:rFonts w:ascii="Calibri" w:hAnsi="Calibri"/>
                <w:color w:val="000000"/>
              </w:rPr>
            </w:pPr>
            <w:r>
              <w:rPr>
                <w:rFonts w:ascii="Calibri" w:hAnsi="Calibri" w:cs="Calibri"/>
                <w:color w:val="000000"/>
              </w:rPr>
              <w:t>&lt;.0001</w:t>
            </w:r>
          </w:p>
        </w:tc>
        <w:tc>
          <w:tcPr>
            <w:tcW w:w="1177" w:type="dxa"/>
            <w:noWrap/>
            <w:tcMar>
              <w:top w:w="0" w:type="dxa"/>
              <w:left w:w="108" w:type="dxa"/>
              <w:bottom w:w="0" w:type="dxa"/>
              <w:right w:w="108" w:type="dxa"/>
            </w:tcMar>
            <w:vAlign w:val="bottom"/>
            <w:hideMark/>
          </w:tcPr>
          <w:p w14:paraId="31FB5DA8" w14:textId="736DEEAB" w:rsidR="008C3AFE" w:rsidRDefault="008C3AFE" w:rsidP="008C3AFE">
            <w:pPr>
              <w:spacing w:after="0"/>
              <w:jc w:val="center"/>
              <w:rPr>
                <w:rFonts w:ascii="Calibri" w:hAnsi="Calibri"/>
                <w:color w:val="000000"/>
              </w:rPr>
            </w:pPr>
            <w:r>
              <w:rPr>
                <w:rFonts w:ascii="Calibri" w:hAnsi="Calibri" w:cs="Calibri"/>
                <w:color w:val="000000"/>
              </w:rPr>
              <w:t>0.855</w:t>
            </w:r>
          </w:p>
        </w:tc>
      </w:tr>
      <w:tr w:rsidR="00086EDF" w14:paraId="47219025" w14:textId="77777777" w:rsidTr="008C3AFE">
        <w:trPr>
          <w:trHeight w:val="300"/>
        </w:trPr>
        <w:tc>
          <w:tcPr>
            <w:tcW w:w="4010" w:type="dxa"/>
            <w:noWrap/>
            <w:tcMar>
              <w:top w:w="0" w:type="dxa"/>
              <w:left w:w="108" w:type="dxa"/>
              <w:bottom w:w="0" w:type="dxa"/>
              <w:right w:w="108" w:type="dxa"/>
            </w:tcMar>
            <w:vAlign w:val="bottom"/>
            <w:hideMark/>
          </w:tcPr>
          <w:p w14:paraId="52B6665F" w14:textId="77777777" w:rsidR="00086EDF" w:rsidRDefault="00086EDF" w:rsidP="00E26631">
            <w:pPr>
              <w:spacing w:after="0"/>
              <w:rPr>
                <w:rFonts w:ascii="Calibri" w:hAnsi="Calibri"/>
                <w:b/>
                <w:bCs/>
                <w:color w:val="000000"/>
              </w:rPr>
            </w:pPr>
            <w:r w:rsidRPr="00EA02B5">
              <w:rPr>
                <w:rFonts w:ascii="Calibri" w:hAnsi="Calibri"/>
                <w:b/>
                <w:bCs/>
                <w:i/>
                <w:color w:val="000000"/>
              </w:rPr>
              <w:t>Race/Ethnicity</w:t>
            </w:r>
            <w:r>
              <w:rPr>
                <w:rFonts w:ascii="Calibri" w:hAnsi="Calibri"/>
                <w:b/>
                <w:bCs/>
                <w:color w:val="000000"/>
              </w:rPr>
              <w:t xml:space="preserve"> </w:t>
            </w:r>
            <w:r>
              <w:rPr>
                <w:rFonts w:ascii="Calibri" w:hAnsi="Calibri"/>
                <w:b/>
                <w:bCs/>
                <w:i/>
                <w:iCs/>
                <w:color w:val="000000"/>
              </w:rPr>
              <w:t>(reference = White)</w:t>
            </w:r>
          </w:p>
        </w:tc>
        <w:tc>
          <w:tcPr>
            <w:tcW w:w="1391" w:type="dxa"/>
            <w:noWrap/>
            <w:tcMar>
              <w:top w:w="0" w:type="dxa"/>
              <w:left w:w="108" w:type="dxa"/>
              <w:bottom w:w="0" w:type="dxa"/>
              <w:right w:w="108" w:type="dxa"/>
            </w:tcMar>
            <w:vAlign w:val="bottom"/>
            <w:hideMark/>
          </w:tcPr>
          <w:p w14:paraId="3A822E18" w14:textId="77777777" w:rsidR="00086EDF" w:rsidRDefault="00086EDF" w:rsidP="00E26631">
            <w:pPr>
              <w:spacing w:after="0"/>
              <w:rPr>
                <w:rFonts w:ascii="Calibri" w:hAnsi="Calibri"/>
                <w:b/>
                <w:bCs/>
                <w:color w:val="000000"/>
              </w:rPr>
            </w:pPr>
          </w:p>
        </w:tc>
        <w:tc>
          <w:tcPr>
            <w:tcW w:w="1391" w:type="dxa"/>
            <w:noWrap/>
            <w:tcMar>
              <w:top w:w="0" w:type="dxa"/>
              <w:left w:w="108" w:type="dxa"/>
              <w:bottom w:w="0" w:type="dxa"/>
              <w:right w:w="108" w:type="dxa"/>
            </w:tcMar>
            <w:vAlign w:val="bottom"/>
            <w:hideMark/>
          </w:tcPr>
          <w:p w14:paraId="2F2F118E" w14:textId="77777777" w:rsidR="00086EDF" w:rsidRDefault="00086EDF" w:rsidP="00E26631">
            <w:pPr>
              <w:spacing w:after="0"/>
              <w:rPr>
                <w:rFonts w:eastAsia="Times New Roman"/>
                <w:sz w:val="20"/>
                <w:szCs w:val="20"/>
              </w:rPr>
            </w:pPr>
          </w:p>
        </w:tc>
        <w:tc>
          <w:tcPr>
            <w:tcW w:w="1391" w:type="dxa"/>
            <w:noWrap/>
            <w:tcMar>
              <w:top w:w="0" w:type="dxa"/>
              <w:left w:w="108" w:type="dxa"/>
              <w:bottom w:w="0" w:type="dxa"/>
              <w:right w:w="108" w:type="dxa"/>
            </w:tcMar>
            <w:vAlign w:val="bottom"/>
            <w:hideMark/>
          </w:tcPr>
          <w:p w14:paraId="3BC14F53" w14:textId="77777777" w:rsidR="00086EDF" w:rsidRDefault="00086EDF" w:rsidP="00E26631">
            <w:pPr>
              <w:spacing w:after="0"/>
              <w:rPr>
                <w:rFonts w:eastAsia="Times New Roman"/>
                <w:sz w:val="20"/>
                <w:szCs w:val="20"/>
              </w:rPr>
            </w:pPr>
          </w:p>
        </w:tc>
        <w:tc>
          <w:tcPr>
            <w:tcW w:w="1177" w:type="dxa"/>
            <w:noWrap/>
            <w:tcMar>
              <w:top w:w="0" w:type="dxa"/>
              <w:left w:w="108" w:type="dxa"/>
              <w:bottom w:w="0" w:type="dxa"/>
              <w:right w:w="108" w:type="dxa"/>
            </w:tcMar>
            <w:vAlign w:val="bottom"/>
            <w:hideMark/>
          </w:tcPr>
          <w:p w14:paraId="020CFBB9" w14:textId="77777777" w:rsidR="00086EDF" w:rsidRDefault="00086EDF" w:rsidP="00E26631">
            <w:pPr>
              <w:spacing w:after="0"/>
              <w:rPr>
                <w:rFonts w:eastAsia="Times New Roman"/>
                <w:sz w:val="20"/>
                <w:szCs w:val="20"/>
              </w:rPr>
            </w:pPr>
          </w:p>
        </w:tc>
      </w:tr>
      <w:tr w:rsidR="008C3AFE" w14:paraId="3183BB3D" w14:textId="77777777" w:rsidTr="008C3AFE">
        <w:trPr>
          <w:trHeight w:val="300"/>
        </w:trPr>
        <w:tc>
          <w:tcPr>
            <w:tcW w:w="4010" w:type="dxa"/>
            <w:noWrap/>
            <w:tcMar>
              <w:top w:w="0" w:type="dxa"/>
              <w:left w:w="108" w:type="dxa"/>
              <w:bottom w:w="0" w:type="dxa"/>
              <w:right w:w="108" w:type="dxa"/>
            </w:tcMar>
            <w:vAlign w:val="bottom"/>
            <w:hideMark/>
          </w:tcPr>
          <w:p w14:paraId="6DA3AE2A" w14:textId="77777777" w:rsidR="008C3AFE" w:rsidRDefault="008C3AFE" w:rsidP="008C3AFE">
            <w:pPr>
              <w:spacing w:after="0"/>
              <w:ind w:firstLine="220"/>
              <w:rPr>
                <w:rFonts w:ascii="Calibri" w:eastAsiaTheme="minorHAnsi" w:hAnsi="Calibri"/>
                <w:color w:val="000000"/>
              </w:rPr>
            </w:pPr>
            <w:r>
              <w:rPr>
                <w:rFonts w:ascii="Calibri" w:hAnsi="Calibri"/>
                <w:color w:val="000000"/>
              </w:rPr>
              <w:t>Black</w:t>
            </w:r>
          </w:p>
        </w:tc>
        <w:tc>
          <w:tcPr>
            <w:tcW w:w="1391" w:type="dxa"/>
            <w:noWrap/>
            <w:tcMar>
              <w:top w:w="0" w:type="dxa"/>
              <w:left w:w="108" w:type="dxa"/>
              <w:bottom w:w="0" w:type="dxa"/>
              <w:right w:w="108" w:type="dxa"/>
            </w:tcMar>
            <w:vAlign w:val="bottom"/>
            <w:hideMark/>
          </w:tcPr>
          <w:p w14:paraId="3B5D601E" w14:textId="5B6A0876" w:rsidR="008C3AFE" w:rsidRDefault="008C3AFE" w:rsidP="008C3AFE">
            <w:pPr>
              <w:spacing w:after="0"/>
              <w:jc w:val="center"/>
              <w:rPr>
                <w:rFonts w:ascii="Calibri" w:hAnsi="Calibri"/>
                <w:color w:val="000000"/>
              </w:rPr>
            </w:pPr>
            <w:r>
              <w:rPr>
                <w:rFonts w:ascii="Calibri" w:hAnsi="Calibri" w:cs="Calibri"/>
                <w:color w:val="000000"/>
              </w:rPr>
              <w:t>-0.0030</w:t>
            </w:r>
          </w:p>
        </w:tc>
        <w:tc>
          <w:tcPr>
            <w:tcW w:w="1391" w:type="dxa"/>
            <w:noWrap/>
            <w:tcMar>
              <w:top w:w="0" w:type="dxa"/>
              <w:left w:w="108" w:type="dxa"/>
              <w:bottom w:w="0" w:type="dxa"/>
              <w:right w:w="108" w:type="dxa"/>
            </w:tcMar>
            <w:vAlign w:val="bottom"/>
            <w:hideMark/>
          </w:tcPr>
          <w:p w14:paraId="083D373E" w14:textId="0DD377E7" w:rsidR="008C3AFE" w:rsidRDefault="008C3AFE" w:rsidP="008C3AFE">
            <w:pPr>
              <w:spacing w:after="0"/>
              <w:jc w:val="center"/>
              <w:rPr>
                <w:rFonts w:ascii="Calibri" w:hAnsi="Calibri"/>
                <w:color w:val="000000"/>
              </w:rPr>
            </w:pPr>
            <w:r>
              <w:rPr>
                <w:rFonts w:ascii="Calibri" w:hAnsi="Calibri" w:cs="Calibri"/>
                <w:color w:val="000000"/>
              </w:rPr>
              <w:t>0.0037</w:t>
            </w:r>
          </w:p>
        </w:tc>
        <w:tc>
          <w:tcPr>
            <w:tcW w:w="1391" w:type="dxa"/>
            <w:noWrap/>
            <w:tcMar>
              <w:top w:w="0" w:type="dxa"/>
              <w:left w:w="108" w:type="dxa"/>
              <w:bottom w:w="0" w:type="dxa"/>
              <w:right w:w="108" w:type="dxa"/>
            </w:tcMar>
            <w:vAlign w:val="bottom"/>
            <w:hideMark/>
          </w:tcPr>
          <w:p w14:paraId="2F7CFEEB" w14:textId="04AB9504" w:rsidR="008C3AFE" w:rsidRDefault="008C3AFE" w:rsidP="008C3AFE">
            <w:pPr>
              <w:spacing w:after="0"/>
              <w:jc w:val="center"/>
              <w:rPr>
                <w:rFonts w:ascii="Calibri" w:hAnsi="Calibri"/>
                <w:color w:val="000000"/>
              </w:rPr>
            </w:pPr>
            <w:r>
              <w:rPr>
                <w:rFonts w:ascii="Calibri" w:hAnsi="Calibri" w:cs="Calibri"/>
                <w:color w:val="000000"/>
              </w:rPr>
              <w:t>0.4149</w:t>
            </w:r>
          </w:p>
        </w:tc>
        <w:tc>
          <w:tcPr>
            <w:tcW w:w="1177" w:type="dxa"/>
            <w:noWrap/>
            <w:tcMar>
              <w:top w:w="0" w:type="dxa"/>
              <w:left w:w="108" w:type="dxa"/>
              <w:bottom w:w="0" w:type="dxa"/>
              <w:right w:w="108" w:type="dxa"/>
            </w:tcMar>
            <w:vAlign w:val="bottom"/>
            <w:hideMark/>
          </w:tcPr>
          <w:p w14:paraId="694C5C74" w14:textId="4580617E" w:rsidR="008C3AFE" w:rsidRDefault="008C3AFE" w:rsidP="008C3AFE">
            <w:pPr>
              <w:spacing w:after="0"/>
              <w:jc w:val="center"/>
              <w:rPr>
                <w:rFonts w:ascii="Calibri" w:hAnsi="Calibri"/>
                <w:color w:val="000000"/>
              </w:rPr>
            </w:pPr>
            <w:r>
              <w:rPr>
                <w:rFonts w:ascii="Calibri" w:hAnsi="Calibri" w:cs="Calibri"/>
                <w:color w:val="000000"/>
              </w:rPr>
              <w:t>0.997</w:t>
            </w:r>
          </w:p>
        </w:tc>
      </w:tr>
      <w:tr w:rsidR="008C3AFE" w14:paraId="53664774" w14:textId="77777777" w:rsidTr="008C3AFE">
        <w:trPr>
          <w:trHeight w:val="300"/>
        </w:trPr>
        <w:tc>
          <w:tcPr>
            <w:tcW w:w="4010" w:type="dxa"/>
            <w:noWrap/>
            <w:tcMar>
              <w:top w:w="0" w:type="dxa"/>
              <w:left w:w="108" w:type="dxa"/>
              <w:bottom w:w="0" w:type="dxa"/>
              <w:right w:w="108" w:type="dxa"/>
            </w:tcMar>
            <w:vAlign w:val="bottom"/>
            <w:hideMark/>
          </w:tcPr>
          <w:p w14:paraId="25B2D89F" w14:textId="77777777" w:rsidR="008C3AFE" w:rsidRDefault="008C3AFE" w:rsidP="008C3AFE">
            <w:pPr>
              <w:spacing w:after="0"/>
              <w:ind w:firstLine="220"/>
              <w:rPr>
                <w:rFonts w:ascii="Calibri" w:hAnsi="Calibri"/>
                <w:color w:val="000000"/>
              </w:rPr>
            </w:pPr>
            <w:r>
              <w:rPr>
                <w:rFonts w:ascii="Calibri" w:hAnsi="Calibri"/>
                <w:color w:val="000000"/>
              </w:rPr>
              <w:t>Asian</w:t>
            </w:r>
          </w:p>
        </w:tc>
        <w:tc>
          <w:tcPr>
            <w:tcW w:w="1391" w:type="dxa"/>
            <w:noWrap/>
            <w:tcMar>
              <w:top w:w="0" w:type="dxa"/>
              <w:left w:w="108" w:type="dxa"/>
              <w:bottom w:w="0" w:type="dxa"/>
              <w:right w:w="108" w:type="dxa"/>
            </w:tcMar>
            <w:vAlign w:val="bottom"/>
            <w:hideMark/>
          </w:tcPr>
          <w:p w14:paraId="592D0DD9" w14:textId="6928EA99" w:rsidR="008C3AFE" w:rsidRDefault="008C3AFE" w:rsidP="008C3AFE">
            <w:pPr>
              <w:spacing w:after="0"/>
              <w:jc w:val="center"/>
              <w:rPr>
                <w:rFonts w:ascii="Calibri" w:hAnsi="Calibri"/>
                <w:color w:val="000000"/>
              </w:rPr>
            </w:pPr>
            <w:r>
              <w:rPr>
                <w:rFonts w:ascii="Calibri" w:hAnsi="Calibri" w:cs="Calibri"/>
                <w:color w:val="000000"/>
              </w:rPr>
              <w:t>0.2266</w:t>
            </w:r>
          </w:p>
        </w:tc>
        <w:tc>
          <w:tcPr>
            <w:tcW w:w="1391" w:type="dxa"/>
            <w:noWrap/>
            <w:tcMar>
              <w:top w:w="0" w:type="dxa"/>
              <w:left w:w="108" w:type="dxa"/>
              <w:bottom w:w="0" w:type="dxa"/>
              <w:right w:w="108" w:type="dxa"/>
            </w:tcMar>
            <w:vAlign w:val="bottom"/>
            <w:hideMark/>
          </w:tcPr>
          <w:p w14:paraId="30791F9D" w14:textId="61BCE8E4" w:rsidR="008C3AFE" w:rsidRDefault="008C3AFE" w:rsidP="008C3AFE">
            <w:pPr>
              <w:spacing w:after="0"/>
              <w:jc w:val="center"/>
              <w:rPr>
                <w:rFonts w:ascii="Calibri" w:hAnsi="Calibri"/>
                <w:color w:val="000000"/>
              </w:rPr>
            </w:pPr>
            <w:r>
              <w:rPr>
                <w:rFonts w:ascii="Calibri" w:hAnsi="Calibri" w:cs="Calibri"/>
                <w:color w:val="000000"/>
              </w:rPr>
              <w:t>0.0100</w:t>
            </w:r>
          </w:p>
        </w:tc>
        <w:tc>
          <w:tcPr>
            <w:tcW w:w="1391" w:type="dxa"/>
            <w:noWrap/>
            <w:tcMar>
              <w:top w:w="0" w:type="dxa"/>
              <w:left w:w="108" w:type="dxa"/>
              <w:bottom w:w="0" w:type="dxa"/>
              <w:right w:w="108" w:type="dxa"/>
            </w:tcMar>
            <w:vAlign w:val="bottom"/>
            <w:hideMark/>
          </w:tcPr>
          <w:p w14:paraId="31BEA573" w14:textId="273F4F97" w:rsidR="008C3AFE" w:rsidRDefault="008C3AFE" w:rsidP="008C3AFE">
            <w:pPr>
              <w:spacing w:after="0"/>
              <w:jc w:val="center"/>
              <w:rPr>
                <w:rFonts w:ascii="Calibri" w:hAnsi="Calibri"/>
                <w:color w:val="000000"/>
              </w:rPr>
            </w:pPr>
            <w:r>
              <w:rPr>
                <w:rFonts w:ascii="Calibri" w:hAnsi="Calibri" w:cs="Calibri"/>
                <w:color w:val="000000"/>
              </w:rPr>
              <w:t>&lt;.0001</w:t>
            </w:r>
          </w:p>
        </w:tc>
        <w:tc>
          <w:tcPr>
            <w:tcW w:w="1177" w:type="dxa"/>
            <w:noWrap/>
            <w:tcMar>
              <w:top w:w="0" w:type="dxa"/>
              <w:left w:w="108" w:type="dxa"/>
              <w:bottom w:w="0" w:type="dxa"/>
              <w:right w:w="108" w:type="dxa"/>
            </w:tcMar>
            <w:vAlign w:val="bottom"/>
            <w:hideMark/>
          </w:tcPr>
          <w:p w14:paraId="79DDF754" w14:textId="42DD28C0" w:rsidR="008C3AFE" w:rsidRDefault="008C3AFE" w:rsidP="008C3AFE">
            <w:pPr>
              <w:spacing w:after="0"/>
              <w:jc w:val="center"/>
              <w:rPr>
                <w:rFonts w:ascii="Calibri" w:hAnsi="Calibri"/>
                <w:color w:val="000000"/>
              </w:rPr>
            </w:pPr>
            <w:r>
              <w:rPr>
                <w:rFonts w:ascii="Calibri" w:hAnsi="Calibri" w:cs="Calibri"/>
                <w:color w:val="000000"/>
              </w:rPr>
              <w:t>1.254</w:t>
            </w:r>
          </w:p>
        </w:tc>
      </w:tr>
      <w:tr w:rsidR="008C3AFE" w14:paraId="3A8033DE" w14:textId="77777777" w:rsidTr="008C3AFE">
        <w:trPr>
          <w:trHeight w:val="300"/>
        </w:trPr>
        <w:tc>
          <w:tcPr>
            <w:tcW w:w="4010" w:type="dxa"/>
            <w:noWrap/>
            <w:tcMar>
              <w:top w:w="0" w:type="dxa"/>
              <w:left w:w="108" w:type="dxa"/>
              <w:bottom w:w="0" w:type="dxa"/>
              <w:right w:w="108" w:type="dxa"/>
            </w:tcMar>
            <w:vAlign w:val="bottom"/>
            <w:hideMark/>
          </w:tcPr>
          <w:p w14:paraId="15D00363" w14:textId="77777777" w:rsidR="008C3AFE" w:rsidRDefault="008C3AFE" w:rsidP="008C3AFE">
            <w:pPr>
              <w:spacing w:after="0"/>
              <w:ind w:firstLine="220"/>
              <w:rPr>
                <w:rFonts w:ascii="Calibri" w:hAnsi="Calibri"/>
                <w:color w:val="000000"/>
              </w:rPr>
            </w:pPr>
            <w:r>
              <w:rPr>
                <w:rFonts w:ascii="Calibri" w:hAnsi="Calibri"/>
                <w:color w:val="000000"/>
              </w:rPr>
              <w:t>Hispanic</w:t>
            </w:r>
          </w:p>
        </w:tc>
        <w:tc>
          <w:tcPr>
            <w:tcW w:w="1391" w:type="dxa"/>
            <w:noWrap/>
            <w:tcMar>
              <w:top w:w="0" w:type="dxa"/>
              <w:left w:w="108" w:type="dxa"/>
              <w:bottom w:w="0" w:type="dxa"/>
              <w:right w:w="108" w:type="dxa"/>
            </w:tcMar>
            <w:vAlign w:val="bottom"/>
            <w:hideMark/>
          </w:tcPr>
          <w:p w14:paraId="681EA310" w14:textId="39711FDF" w:rsidR="008C3AFE" w:rsidRDefault="008C3AFE" w:rsidP="008C3AFE">
            <w:pPr>
              <w:spacing w:after="0"/>
              <w:jc w:val="center"/>
              <w:rPr>
                <w:rFonts w:ascii="Calibri" w:hAnsi="Calibri"/>
                <w:color w:val="000000"/>
              </w:rPr>
            </w:pPr>
            <w:r>
              <w:rPr>
                <w:rFonts w:ascii="Calibri" w:hAnsi="Calibri" w:cs="Calibri"/>
                <w:color w:val="000000"/>
              </w:rPr>
              <w:t>0.1607</w:t>
            </w:r>
          </w:p>
        </w:tc>
        <w:tc>
          <w:tcPr>
            <w:tcW w:w="1391" w:type="dxa"/>
            <w:noWrap/>
            <w:tcMar>
              <w:top w:w="0" w:type="dxa"/>
              <w:left w:w="108" w:type="dxa"/>
              <w:bottom w:w="0" w:type="dxa"/>
              <w:right w:w="108" w:type="dxa"/>
            </w:tcMar>
            <w:vAlign w:val="bottom"/>
            <w:hideMark/>
          </w:tcPr>
          <w:p w14:paraId="7A627C31" w14:textId="43E08AD9" w:rsidR="008C3AFE" w:rsidRDefault="008C3AFE" w:rsidP="008C3AFE">
            <w:pPr>
              <w:spacing w:after="0"/>
              <w:jc w:val="center"/>
              <w:rPr>
                <w:rFonts w:ascii="Calibri" w:hAnsi="Calibri"/>
                <w:color w:val="000000"/>
              </w:rPr>
            </w:pPr>
            <w:r>
              <w:rPr>
                <w:rFonts w:ascii="Calibri" w:hAnsi="Calibri" w:cs="Calibri"/>
                <w:color w:val="000000"/>
              </w:rPr>
              <w:t>0.0076</w:t>
            </w:r>
          </w:p>
        </w:tc>
        <w:tc>
          <w:tcPr>
            <w:tcW w:w="1391" w:type="dxa"/>
            <w:noWrap/>
            <w:tcMar>
              <w:top w:w="0" w:type="dxa"/>
              <w:left w:w="108" w:type="dxa"/>
              <w:bottom w:w="0" w:type="dxa"/>
              <w:right w:w="108" w:type="dxa"/>
            </w:tcMar>
            <w:vAlign w:val="bottom"/>
            <w:hideMark/>
          </w:tcPr>
          <w:p w14:paraId="2F436CC5" w14:textId="183B82B2" w:rsidR="008C3AFE" w:rsidRDefault="008C3AFE" w:rsidP="008C3AFE">
            <w:pPr>
              <w:spacing w:after="0"/>
              <w:jc w:val="center"/>
              <w:rPr>
                <w:rFonts w:ascii="Calibri" w:hAnsi="Calibri"/>
                <w:color w:val="000000"/>
              </w:rPr>
            </w:pPr>
            <w:r>
              <w:rPr>
                <w:rFonts w:ascii="Calibri" w:hAnsi="Calibri" w:cs="Calibri"/>
                <w:color w:val="000000"/>
              </w:rPr>
              <w:t>&lt;.0001</w:t>
            </w:r>
          </w:p>
        </w:tc>
        <w:tc>
          <w:tcPr>
            <w:tcW w:w="1177" w:type="dxa"/>
            <w:noWrap/>
            <w:tcMar>
              <w:top w:w="0" w:type="dxa"/>
              <w:left w:w="108" w:type="dxa"/>
              <w:bottom w:w="0" w:type="dxa"/>
              <w:right w:w="108" w:type="dxa"/>
            </w:tcMar>
            <w:vAlign w:val="bottom"/>
            <w:hideMark/>
          </w:tcPr>
          <w:p w14:paraId="48B09CE7" w14:textId="3E11B4AA" w:rsidR="008C3AFE" w:rsidRDefault="008C3AFE" w:rsidP="008C3AFE">
            <w:pPr>
              <w:spacing w:after="0"/>
              <w:jc w:val="center"/>
              <w:rPr>
                <w:rFonts w:ascii="Calibri" w:hAnsi="Calibri"/>
                <w:color w:val="000000"/>
              </w:rPr>
            </w:pPr>
            <w:r>
              <w:rPr>
                <w:rFonts w:ascii="Calibri" w:hAnsi="Calibri" w:cs="Calibri"/>
                <w:color w:val="000000"/>
              </w:rPr>
              <w:t>1.174</w:t>
            </w:r>
          </w:p>
        </w:tc>
      </w:tr>
      <w:tr w:rsidR="008C3AFE" w14:paraId="77E4D128" w14:textId="77777777" w:rsidTr="008C3AFE">
        <w:trPr>
          <w:trHeight w:val="300"/>
        </w:trPr>
        <w:tc>
          <w:tcPr>
            <w:tcW w:w="4010" w:type="dxa"/>
            <w:noWrap/>
            <w:tcMar>
              <w:top w:w="0" w:type="dxa"/>
              <w:left w:w="108" w:type="dxa"/>
              <w:bottom w:w="0" w:type="dxa"/>
              <w:right w:w="108" w:type="dxa"/>
            </w:tcMar>
            <w:vAlign w:val="bottom"/>
            <w:hideMark/>
          </w:tcPr>
          <w:p w14:paraId="63529F57" w14:textId="77777777" w:rsidR="008C3AFE" w:rsidRDefault="008C3AFE" w:rsidP="008C3AFE">
            <w:pPr>
              <w:spacing w:after="0"/>
              <w:ind w:firstLine="220"/>
              <w:rPr>
                <w:rFonts w:ascii="Calibri" w:hAnsi="Calibri"/>
                <w:color w:val="000000"/>
              </w:rPr>
            </w:pPr>
            <w:r>
              <w:rPr>
                <w:rFonts w:ascii="Calibri" w:hAnsi="Calibri"/>
                <w:color w:val="000000"/>
              </w:rPr>
              <w:t>North American Native</w:t>
            </w:r>
          </w:p>
        </w:tc>
        <w:tc>
          <w:tcPr>
            <w:tcW w:w="1391" w:type="dxa"/>
            <w:noWrap/>
            <w:tcMar>
              <w:top w:w="0" w:type="dxa"/>
              <w:left w:w="108" w:type="dxa"/>
              <w:bottom w:w="0" w:type="dxa"/>
              <w:right w:w="108" w:type="dxa"/>
            </w:tcMar>
            <w:vAlign w:val="bottom"/>
            <w:hideMark/>
          </w:tcPr>
          <w:p w14:paraId="73B7C8AF" w14:textId="484CBAF8" w:rsidR="008C3AFE" w:rsidRDefault="008C3AFE" w:rsidP="008C3AFE">
            <w:pPr>
              <w:spacing w:after="0"/>
              <w:jc w:val="center"/>
              <w:rPr>
                <w:rFonts w:ascii="Calibri" w:hAnsi="Calibri"/>
                <w:color w:val="000000"/>
              </w:rPr>
            </w:pPr>
            <w:r>
              <w:rPr>
                <w:rFonts w:ascii="Calibri" w:hAnsi="Calibri" w:cs="Calibri"/>
                <w:color w:val="000000"/>
              </w:rPr>
              <w:t>-0.0075</w:t>
            </w:r>
          </w:p>
        </w:tc>
        <w:tc>
          <w:tcPr>
            <w:tcW w:w="1391" w:type="dxa"/>
            <w:noWrap/>
            <w:tcMar>
              <w:top w:w="0" w:type="dxa"/>
              <w:left w:w="108" w:type="dxa"/>
              <w:bottom w:w="0" w:type="dxa"/>
              <w:right w:w="108" w:type="dxa"/>
            </w:tcMar>
            <w:vAlign w:val="bottom"/>
            <w:hideMark/>
          </w:tcPr>
          <w:p w14:paraId="6C9AD9FB" w14:textId="42AD946F" w:rsidR="008C3AFE" w:rsidRDefault="008C3AFE" w:rsidP="008C3AFE">
            <w:pPr>
              <w:spacing w:after="0"/>
              <w:jc w:val="center"/>
              <w:rPr>
                <w:rFonts w:ascii="Calibri" w:hAnsi="Calibri"/>
                <w:color w:val="000000"/>
              </w:rPr>
            </w:pPr>
            <w:r>
              <w:rPr>
                <w:rFonts w:ascii="Calibri" w:hAnsi="Calibri" w:cs="Calibri"/>
                <w:color w:val="000000"/>
              </w:rPr>
              <w:t>0.0161</w:t>
            </w:r>
          </w:p>
        </w:tc>
        <w:tc>
          <w:tcPr>
            <w:tcW w:w="1391" w:type="dxa"/>
            <w:noWrap/>
            <w:tcMar>
              <w:top w:w="0" w:type="dxa"/>
              <w:left w:w="108" w:type="dxa"/>
              <w:bottom w:w="0" w:type="dxa"/>
              <w:right w:w="108" w:type="dxa"/>
            </w:tcMar>
            <w:vAlign w:val="bottom"/>
            <w:hideMark/>
          </w:tcPr>
          <w:p w14:paraId="0BA96E7E" w14:textId="18244616" w:rsidR="008C3AFE" w:rsidRDefault="008C3AFE" w:rsidP="008C3AFE">
            <w:pPr>
              <w:spacing w:after="0"/>
              <w:jc w:val="center"/>
              <w:rPr>
                <w:rFonts w:ascii="Calibri" w:hAnsi="Calibri"/>
                <w:color w:val="000000"/>
              </w:rPr>
            </w:pPr>
            <w:r>
              <w:rPr>
                <w:rFonts w:ascii="Calibri" w:hAnsi="Calibri" w:cs="Calibri"/>
                <w:color w:val="000000"/>
              </w:rPr>
              <w:t>0.6410</w:t>
            </w:r>
          </w:p>
        </w:tc>
        <w:tc>
          <w:tcPr>
            <w:tcW w:w="1177" w:type="dxa"/>
            <w:noWrap/>
            <w:tcMar>
              <w:top w:w="0" w:type="dxa"/>
              <w:left w:w="108" w:type="dxa"/>
              <w:bottom w:w="0" w:type="dxa"/>
              <w:right w:w="108" w:type="dxa"/>
            </w:tcMar>
            <w:vAlign w:val="bottom"/>
            <w:hideMark/>
          </w:tcPr>
          <w:p w14:paraId="7E00986F" w14:textId="42A172B7" w:rsidR="008C3AFE" w:rsidRDefault="008C3AFE" w:rsidP="008C3AFE">
            <w:pPr>
              <w:spacing w:after="0"/>
              <w:jc w:val="center"/>
              <w:rPr>
                <w:rFonts w:ascii="Calibri" w:hAnsi="Calibri"/>
                <w:color w:val="000000"/>
              </w:rPr>
            </w:pPr>
            <w:r>
              <w:rPr>
                <w:rFonts w:ascii="Calibri" w:hAnsi="Calibri" w:cs="Calibri"/>
                <w:color w:val="000000"/>
              </w:rPr>
              <w:t>0.993</w:t>
            </w:r>
          </w:p>
        </w:tc>
      </w:tr>
      <w:tr w:rsidR="008C3AFE" w14:paraId="6D28994D" w14:textId="77777777" w:rsidTr="008C3AFE">
        <w:trPr>
          <w:trHeight w:val="300"/>
        </w:trPr>
        <w:tc>
          <w:tcPr>
            <w:tcW w:w="4010" w:type="dxa"/>
            <w:noWrap/>
            <w:tcMar>
              <w:top w:w="0" w:type="dxa"/>
              <w:left w:w="108" w:type="dxa"/>
              <w:bottom w:w="0" w:type="dxa"/>
              <w:right w:w="108" w:type="dxa"/>
            </w:tcMar>
            <w:vAlign w:val="bottom"/>
            <w:hideMark/>
          </w:tcPr>
          <w:p w14:paraId="2038EF08" w14:textId="77777777" w:rsidR="008C3AFE" w:rsidRDefault="008C3AFE" w:rsidP="008C3AFE">
            <w:pPr>
              <w:spacing w:after="0"/>
              <w:ind w:firstLine="220"/>
              <w:rPr>
                <w:rFonts w:ascii="Calibri" w:hAnsi="Calibri"/>
                <w:color w:val="000000"/>
              </w:rPr>
            </w:pPr>
            <w:r>
              <w:rPr>
                <w:rFonts w:ascii="Calibri" w:hAnsi="Calibri"/>
                <w:color w:val="000000"/>
              </w:rPr>
              <w:t>Other</w:t>
            </w:r>
          </w:p>
        </w:tc>
        <w:tc>
          <w:tcPr>
            <w:tcW w:w="1391" w:type="dxa"/>
            <w:noWrap/>
            <w:tcMar>
              <w:top w:w="0" w:type="dxa"/>
              <w:left w:w="108" w:type="dxa"/>
              <w:bottom w:w="0" w:type="dxa"/>
              <w:right w:w="108" w:type="dxa"/>
            </w:tcMar>
            <w:vAlign w:val="bottom"/>
            <w:hideMark/>
          </w:tcPr>
          <w:p w14:paraId="4336D75A" w14:textId="46BA9D36" w:rsidR="008C3AFE" w:rsidRDefault="008C3AFE" w:rsidP="008C3AFE">
            <w:pPr>
              <w:spacing w:after="0"/>
              <w:jc w:val="center"/>
              <w:rPr>
                <w:rFonts w:ascii="Calibri" w:hAnsi="Calibri"/>
                <w:color w:val="000000"/>
              </w:rPr>
            </w:pPr>
            <w:r>
              <w:rPr>
                <w:rFonts w:ascii="Calibri" w:hAnsi="Calibri" w:cs="Calibri"/>
                <w:color w:val="000000"/>
              </w:rPr>
              <w:t>0.0900</w:t>
            </w:r>
          </w:p>
        </w:tc>
        <w:tc>
          <w:tcPr>
            <w:tcW w:w="1391" w:type="dxa"/>
            <w:noWrap/>
            <w:tcMar>
              <w:top w:w="0" w:type="dxa"/>
              <w:left w:w="108" w:type="dxa"/>
              <w:bottom w:w="0" w:type="dxa"/>
              <w:right w:w="108" w:type="dxa"/>
            </w:tcMar>
            <w:vAlign w:val="bottom"/>
            <w:hideMark/>
          </w:tcPr>
          <w:p w14:paraId="29F0828B" w14:textId="002E0C71" w:rsidR="008C3AFE" w:rsidRDefault="008C3AFE" w:rsidP="008C3AFE">
            <w:pPr>
              <w:spacing w:after="0"/>
              <w:jc w:val="center"/>
              <w:rPr>
                <w:rFonts w:ascii="Calibri" w:hAnsi="Calibri"/>
                <w:color w:val="000000"/>
              </w:rPr>
            </w:pPr>
            <w:r>
              <w:rPr>
                <w:rFonts w:ascii="Calibri" w:hAnsi="Calibri" w:cs="Calibri"/>
                <w:color w:val="000000"/>
              </w:rPr>
              <w:t>0.0167</w:t>
            </w:r>
          </w:p>
        </w:tc>
        <w:tc>
          <w:tcPr>
            <w:tcW w:w="1391" w:type="dxa"/>
            <w:noWrap/>
            <w:tcMar>
              <w:top w:w="0" w:type="dxa"/>
              <w:left w:w="108" w:type="dxa"/>
              <w:bottom w:w="0" w:type="dxa"/>
              <w:right w:w="108" w:type="dxa"/>
            </w:tcMar>
            <w:vAlign w:val="bottom"/>
            <w:hideMark/>
          </w:tcPr>
          <w:p w14:paraId="0ACCE917" w14:textId="01A00D24" w:rsidR="008C3AFE" w:rsidRDefault="008C3AFE" w:rsidP="008C3AFE">
            <w:pPr>
              <w:spacing w:after="0"/>
              <w:jc w:val="center"/>
              <w:rPr>
                <w:rFonts w:ascii="Calibri" w:hAnsi="Calibri"/>
                <w:color w:val="000000"/>
              </w:rPr>
            </w:pPr>
            <w:r>
              <w:rPr>
                <w:rFonts w:ascii="Calibri" w:hAnsi="Calibri" w:cs="Calibri"/>
                <w:color w:val="000000"/>
              </w:rPr>
              <w:t>&lt;.0001</w:t>
            </w:r>
          </w:p>
        </w:tc>
        <w:tc>
          <w:tcPr>
            <w:tcW w:w="1177" w:type="dxa"/>
            <w:noWrap/>
            <w:tcMar>
              <w:top w:w="0" w:type="dxa"/>
              <w:left w:w="108" w:type="dxa"/>
              <w:bottom w:w="0" w:type="dxa"/>
              <w:right w:w="108" w:type="dxa"/>
            </w:tcMar>
            <w:vAlign w:val="bottom"/>
            <w:hideMark/>
          </w:tcPr>
          <w:p w14:paraId="7216BB9E" w14:textId="7424D97F" w:rsidR="008C3AFE" w:rsidRDefault="008C3AFE" w:rsidP="008C3AFE">
            <w:pPr>
              <w:spacing w:after="0"/>
              <w:jc w:val="center"/>
              <w:rPr>
                <w:rFonts w:ascii="Calibri" w:hAnsi="Calibri"/>
                <w:color w:val="000000"/>
              </w:rPr>
            </w:pPr>
            <w:r>
              <w:rPr>
                <w:rFonts w:ascii="Calibri" w:hAnsi="Calibri" w:cs="Calibri"/>
                <w:color w:val="000000"/>
              </w:rPr>
              <w:t>1.094</w:t>
            </w:r>
          </w:p>
        </w:tc>
      </w:tr>
      <w:tr w:rsidR="008C3AFE" w14:paraId="6C0C5A8B" w14:textId="77777777" w:rsidTr="008C3AFE">
        <w:trPr>
          <w:trHeight w:val="300"/>
        </w:trPr>
        <w:tc>
          <w:tcPr>
            <w:tcW w:w="4010" w:type="dxa"/>
            <w:noWrap/>
            <w:tcMar>
              <w:top w:w="0" w:type="dxa"/>
              <w:left w:w="108" w:type="dxa"/>
              <w:bottom w:w="0" w:type="dxa"/>
              <w:right w:w="108" w:type="dxa"/>
            </w:tcMar>
            <w:vAlign w:val="bottom"/>
            <w:hideMark/>
          </w:tcPr>
          <w:p w14:paraId="498E1762" w14:textId="77777777" w:rsidR="008C3AFE" w:rsidRDefault="008C3AFE" w:rsidP="008C3AFE">
            <w:pPr>
              <w:spacing w:after="0"/>
              <w:ind w:firstLine="220"/>
              <w:rPr>
                <w:rFonts w:ascii="Calibri" w:hAnsi="Calibri"/>
                <w:color w:val="000000"/>
              </w:rPr>
            </w:pPr>
            <w:r>
              <w:rPr>
                <w:rFonts w:ascii="Calibri" w:hAnsi="Calibri"/>
                <w:color w:val="000000"/>
              </w:rPr>
              <w:t>Missing</w:t>
            </w:r>
          </w:p>
        </w:tc>
        <w:tc>
          <w:tcPr>
            <w:tcW w:w="1391" w:type="dxa"/>
            <w:noWrap/>
            <w:tcMar>
              <w:top w:w="0" w:type="dxa"/>
              <w:left w:w="108" w:type="dxa"/>
              <w:bottom w:w="0" w:type="dxa"/>
              <w:right w:w="108" w:type="dxa"/>
            </w:tcMar>
            <w:vAlign w:val="bottom"/>
            <w:hideMark/>
          </w:tcPr>
          <w:p w14:paraId="6B23E08B" w14:textId="44B8C6EC" w:rsidR="008C3AFE" w:rsidRDefault="008C3AFE" w:rsidP="008C3AFE">
            <w:pPr>
              <w:spacing w:after="0"/>
              <w:jc w:val="center"/>
              <w:rPr>
                <w:rFonts w:ascii="Calibri" w:hAnsi="Calibri"/>
                <w:color w:val="000000"/>
              </w:rPr>
            </w:pPr>
            <w:r>
              <w:rPr>
                <w:rFonts w:ascii="Calibri" w:hAnsi="Calibri" w:cs="Calibri"/>
                <w:color w:val="000000"/>
              </w:rPr>
              <w:t>0.0902</w:t>
            </w:r>
          </w:p>
        </w:tc>
        <w:tc>
          <w:tcPr>
            <w:tcW w:w="1391" w:type="dxa"/>
            <w:noWrap/>
            <w:tcMar>
              <w:top w:w="0" w:type="dxa"/>
              <w:left w:w="108" w:type="dxa"/>
              <w:bottom w:w="0" w:type="dxa"/>
              <w:right w:w="108" w:type="dxa"/>
            </w:tcMar>
            <w:vAlign w:val="bottom"/>
            <w:hideMark/>
          </w:tcPr>
          <w:p w14:paraId="5A6A1B72" w14:textId="7FB42C9D" w:rsidR="008C3AFE" w:rsidRDefault="008C3AFE" w:rsidP="008C3AFE">
            <w:pPr>
              <w:spacing w:after="0"/>
              <w:jc w:val="center"/>
              <w:rPr>
                <w:rFonts w:ascii="Calibri" w:hAnsi="Calibri"/>
                <w:color w:val="000000"/>
              </w:rPr>
            </w:pPr>
            <w:r>
              <w:rPr>
                <w:rFonts w:ascii="Calibri" w:hAnsi="Calibri" w:cs="Calibri"/>
                <w:color w:val="000000"/>
              </w:rPr>
              <w:t>0.0105</w:t>
            </w:r>
          </w:p>
        </w:tc>
        <w:tc>
          <w:tcPr>
            <w:tcW w:w="1391" w:type="dxa"/>
            <w:noWrap/>
            <w:tcMar>
              <w:top w:w="0" w:type="dxa"/>
              <w:left w:w="108" w:type="dxa"/>
              <w:bottom w:w="0" w:type="dxa"/>
              <w:right w:w="108" w:type="dxa"/>
            </w:tcMar>
            <w:vAlign w:val="bottom"/>
            <w:hideMark/>
          </w:tcPr>
          <w:p w14:paraId="33ABD46F" w14:textId="3E207DEB" w:rsidR="008C3AFE" w:rsidRDefault="008C3AFE" w:rsidP="008C3AFE">
            <w:pPr>
              <w:spacing w:after="0"/>
              <w:jc w:val="center"/>
              <w:rPr>
                <w:rFonts w:ascii="Calibri" w:hAnsi="Calibri"/>
                <w:color w:val="000000"/>
              </w:rPr>
            </w:pPr>
            <w:r>
              <w:rPr>
                <w:rFonts w:ascii="Calibri" w:hAnsi="Calibri" w:cs="Calibri"/>
                <w:color w:val="000000"/>
              </w:rPr>
              <w:t>&lt;.0001</w:t>
            </w:r>
          </w:p>
        </w:tc>
        <w:tc>
          <w:tcPr>
            <w:tcW w:w="1177" w:type="dxa"/>
            <w:noWrap/>
            <w:tcMar>
              <w:top w:w="0" w:type="dxa"/>
              <w:left w:w="108" w:type="dxa"/>
              <w:bottom w:w="0" w:type="dxa"/>
              <w:right w:w="108" w:type="dxa"/>
            </w:tcMar>
            <w:vAlign w:val="bottom"/>
            <w:hideMark/>
          </w:tcPr>
          <w:p w14:paraId="62016F01" w14:textId="7F8B7603" w:rsidR="008C3AFE" w:rsidRDefault="008C3AFE" w:rsidP="008C3AFE">
            <w:pPr>
              <w:spacing w:after="0"/>
              <w:jc w:val="center"/>
              <w:rPr>
                <w:rFonts w:ascii="Calibri" w:hAnsi="Calibri"/>
                <w:color w:val="000000"/>
              </w:rPr>
            </w:pPr>
            <w:r>
              <w:rPr>
                <w:rFonts w:ascii="Calibri" w:hAnsi="Calibri" w:cs="Calibri"/>
                <w:color w:val="000000"/>
              </w:rPr>
              <w:t>1.094</w:t>
            </w:r>
          </w:p>
        </w:tc>
      </w:tr>
      <w:tr w:rsidR="00086EDF" w14:paraId="0496F777" w14:textId="77777777" w:rsidTr="008C3AFE">
        <w:trPr>
          <w:trHeight w:val="300"/>
        </w:trPr>
        <w:tc>
          <w:tcPr>
            <w:tcW w:w="4010" w:type="dxa"/>
            <w:noWrap/>
            <w:tcMar>
              <w:top w:w="0" w:type="dxa"/>
              <w:left w:w="108" w:type="dxa"/>
              <w:bottom w:w="0" w:type="dxa"/>
              <w:right w:w="108" w:type="dxa"/>
            </w:tcMar>
            <w:vAlign w:val="bottom"/>
            <w:hideMark/>
          </w:tcPr>
          <w:p w14:paraId="30FA76E4" w14:textId="77777777" w:rsidR="00086EDF" w:rsidRDefault="00086EDF" w:rsidP="00E26631">
            <w:pPr>
              <w:spacing w:after="0"/>
              <w:rPr>
                <w:rFonts w:ascii="Calibri" w:hAnsi="Calibri"/>
                <w:b/>
                <w:bCs/>
                <w:color w:val="000000"/>
              </w:rPr>
            </w:pPr>
            <w:r w:rsidRPr="00EA02B5">
              <w:rPr>
                <w:rFonts w:ascii="Calibri" w:hAnsi="Calibri"/>
                <w:b/>
                <w:bCs/>
                <w:i/>
                <w:color w:val="000000"/>
              </w:rPr>
              <w:t>Urbanicity*</w:t>
            </w:r>
            <w:r>
              <w:rPr>
                <w:rFonts w:ascii="Calibri" w:hAnsi="Calibri"/>
                <w:b/>
                <w:bCs/>
                <w:color w:val="000000"/>
              </w:rPr>
              <w:t xml:space="preserve"> </w:t>
            </w:r>
            <w:r>
              <w:rPr>
                <w:rFonts w:ascii="Calibri" w:hAnsi="Calibri"/>
                <w:b/>
                <w:bCs/>
                <w:i/>
                <w:iCs/>
                <w:color w:val="000000"/>
              </w:rPr>
              <w:t>(reference = Urban)</w:t>
            </w:r>
          </w:p>
        </w:tc>
        <w:tc>
          <w:tcPr>
            <w:tcW w:w="1391" w:type="dxa"/>
            <w:noWrap/>
            <w:tcMar>
              <w:top w:w="0" w:type="dxa"/>
              <w:left w:w="108" w:type="dxa"/>
              <w:bottom w:w="0" w:type="dxa"/>
              <w:right w:w="108" w:type="dxa"/>
            </w:tcMar>
            <w:vAlign w:val="bottom"/>
            <w:hideMark/>
          </w:tcPr>
          <w:p w14:paraId="13AFCDFD" w14:textId="77777777" w:rsidR="00086EDF" w:rsidRDefault="00086EDF" w:rsidP="00E26631">
            <w:pPr>
              <w:spacing w:after="0"/>
              <w:rPr>
                <w:rFonts w:ascii="Calibri" w:hAnsi="Calibri"/>
                <w:b/>
                <w:bCs/>
                <w:color w:val="000000"/>
              </w:rPr>
            </w:pPr>
          </w:p>
        </w:tc>
        <w:tc>
          <w:tcPr>
            <w:tcW w:w="1391" w:type="dxa"/>
            <w:noWrap/>
            <w:tcMar>
              <w:top w:w="0" w:type="dxa"/>
              <w:left w:w="108" w:type="dxa"/>
              <w:bottom w:w="0" w:type="dxa"/>
              <w:right w:w="108" w:type="dxa"/>
            </w:tcMar>
            <w:vAlign w:val="bottom"/>
            <w:hideMark/>
          </w:tcPr>
          <w:p w14:paraId="5A7E2F7C" w14:textId="77777777" w:rsidR="00086EDF" w:rsidRDefault="00086EDF" w:rsidP="00E26631">
            <w:pPr>
              <w:spacing w:after="0"/>
              <w:rPr>
                <w:rFonts w:eastAsia="Times New Roman"/>
                <w:sz w:val="20"/>
                <w:szCs w:val="20"/>
              </w:rPr>
            </w:pPr>
          </w:p>
        </w:tc>
        <w:tc>
          <w:tcPr>
            <w:tcW w:w="1391" w:type="dxa"/>
            <w:noWrap/>
            <w:tcMar>
              <w:top w:w="0" w:type="dxa"/>
              <w:left w:w="108" w:type="dxa"/>
              <w:bottom w:w="0" w:type="dxa"/>
              <w:right w:w="108" w:type="dxa"/>
            </w:tcMar>
            <w:vAlign w:val="bottom"/>
            <w:hideMark/>
          </w:tcPr>
          <w:p w14:paraId="35F09A50" w14:textId="77777777" w:rsidR="00086EDF" w:rsidRDefault="00086EDF" w:rsidP="00E26631">
            <w:pPr>
              <w:spacing w:after="0"/>
              <w:rPr>
                <w:rFonts w:eastAsia="Times New Roman"/>
                <w:sz w:val="20"/>
                <w:szCs w:val="20"/>
              </w:rPr>
            </w:pPr>
          </w:p>
        </w:tc>
        <w:tc>
          <w:tcPr>
            <w:tcW w:w="1177" w:type="dxa"/>
            <w:noWrap/>
            <w:tcMar>
              <w:top w:w="0" w:type="dxa"/>
              <w:left w:w="108" w:type="dxa"/>
              <w:bottom w:w="0" w:type="dxa"/>
              <w:right w:w="108" w:type="dxa"/>
            </w:tcMar>
            <w:vAlign w:val="bottom"/>
            <w:hideMark/>
          </w:tcPr>
          <w:p w14:paraId="6A5CC8F9" w14:textId="77777777" w:rsidR="00086EDF" w:rsidRDefault="00086EDF" w:rsidP="00E26631">
            <w:pPr>
              <w:spacing w:after="0"/>
              <w:rPr>
                <w:rFonts w:eastAsia="Times New Roman"/>
                <w:sz w:val="20"/>
                <w:szCs w:val="20"/>
              </w:rPr>
            </w:pPr>
          </w:p>
        </w:tc>
      </w:tr>
      <w:tr w:rsidR="008C3AFE" w14:paraId="731B9E6D" w14:textId="77777777" w:rsidTr="008C3AFE">
        <w:trPr>
          <w:trHeight w:val="300"/>
        </w:trPr>
        <w:tc>
          <w:tcPr>
            <w:tcW w:w="4010" w:type="dxa"/>
            <w:noWrap/>
            <w:tcMar>
              <w:top w:w="0" w:type="dxa"/>
              <w:left w:w="108" w:type="dxa"/>
              <w:bottom w:w="0" w:type="dxa"/>
              <w:right w:w="108" w:type="dxa"/>
            </w:tcMar>
            <w:vAlign w:val="bottom"/>
            <w:hideMark/>
          </w:tcPr>
          <w:p w14:paraId="2EA03F23" w14:textId="77777777" w:rsidR="008C3AFE" w:rsidRDefault="008C3AFE" w:rsidP="008C3AFE">
            <w:pPr>
              <w:spacing w:after="0"/>
              <w:ind w:firstLine="220"/>
              <w:rPr>
                <w:rFonts w:ascii="Calibri" w:eastAsiaTheme="minorHAnsi" w:hAnsi="Calibri"/>
                <w:color w:val="000000"/>
              </w:rPr>
            </w:pPr>
            <w:r>
              <w:rPr>
                <w:rFonts w:ascii="Calibri" w:hAnsi="Calibri"/>
                <w:color w:val="000000"/>
              </w:rPr>
              <w:t>Suburban</w:t>
            </w:r>
          </w:p>
        </w:tc>
        <w:tc>
          <w:tcPr>
            <w:tcW w:w="1391" w:type="dxa"/>
            <w:noWrap/>
            <w:tcMar>
              <w:top w:w="0" w:type="dxa"/>
              <w:left w:w="108" w:type="dxa"/>
              <w:bottom w:w="0" w:type="dxa"/>
              <w:right w:w="108" w:type="dxa"/>
            </w:tcMar>
            <w:vAlign w:val="bottom"/>
            <w:hideMark/>
          </w:tcPr>
          <w:p w14:paraId="54A2F050" w14:textId="243B4289" w:rsidR="008C3AFE" w:rsidRDefault="008C3AFE" w:rsidP="008C3AFE">
            <w:pPr>
              <w:spacing w:after="0"/>
              <w:jc w:val="center"/>
              <w:rPr>
                <w:rFonts w:ascii="Calibri" w:hAnsi="Calibri"/>
                <w:color w:val="000000"/>
              </w:rPr>
            </w:pPr>
            <w:r>
              <w:rPr>
                <w:rFonts w:ascii="Calibri" w:hAnsi="Calibri" w:cs="Calibri"/>
                <w:color w:val="000000"/>
              </w:rPr>
              <w:t>-0.0061</w:t>
            </w:r>
          </w:p>
        </w:tc>
        <w:tc>
          <w:tcPr>
            <w:tcW w:w="1391" w:type="dxa"/>
            <w:noWrap/>
            <w:tcMar>
              <w:top w:w="0" w:type="dxa"/>
              <w:left w:w="108" w:type="dxa"/>
              <w:bottom w:w="0" w:type="dxa"/>
              <w:right w:w="108" w:type="dxa"/>
            </w:tcMar>
            <w:vAlign w:val="bottom"/>
            <w:hideMark/>
          </w:tcPr>
          <w:p w14:paraId="09EA1BA9" w14:textId="1074358C" w:rsidR="008C3AFE" w:rsidRDefault="008C3AFE" w:rsidP="008C3AFE">
            <w:pPr>
              <w:spacing w:after="0"/>
              <w:jc w:val="center"/>
              <w:rPr>
                <w:rFonts w:ascii="Calibri" w:hAnsi="Calibri"/>
                <w:color w:val="000000"/>
              </w:rPr>
            </w:pPr>
            <w:r>
              <w:rPr>
                <w:rFonts w:ascii="Calibri" w:hAnsi="Calibri" w:cs="Calibri"/>
                <w:color w:val="000000"/>
              </w:rPr>
              <w:t>0.0044</w:t>
            </w:r>
          </w:p>
        </w:tc>
        <w:tc>
          <w:tcPr>
            <w:tcW w:w="1391" w:type="dxa"/>
            <w:noWrap/>
            <w:tcMar>
              <w:top w:w="0" w:type="dxa"/>
              <w:left w:w="108" w:type="dxa"/>
              <w:bottom w:w="0" w:type="dxa"/>
              <w:right w:w="108" w:type="dxa"/>
            </w:tcMar>
            <w:vAlign w:val="bottom"/>
            <w:hideMark/>
          </w:tcPr>
          <w:p w14:paraId="7533D9C3" w14:textId="5537030A" w:rsidR="008C3AFE" w:rsidRDefault="008C3AFE" w:rsidP="008C3AFE">
            <w:pPr>
              <w:spacing w:after="0"/>
              <w:jc w:val="center"/>
              <w:rPr>
                <w:rFonts w:ascii="Calibri" w:hAnsi="Calibri"/>
                <w:color w:val="000000"/>
              </w:rPr>
            </w:pPr>
            <w:r>
              <w:rPr>
                <w:rFonts w:ascii="Calibri" w:hAnsi="Calibri" w:cs="Calibri"/>
                <w:color w:val="000000"/>
              </w:rPr>
              <w:t>0.1680</w:t>
            </w:r>
          </w:p>
        </w:tc>
        <w:tc>
          <w:tcPr>
            <w:tcW w:w="1177" w:type="dxa"/>
            <w:noWrap/>
            <w:tcMar>
              <w:top w:w="0" w:type="dxa"/>
              <w:left w:w="108" w:type="dxa"/>
              <w:bottom w:w="0" w:type="dxa"/>
              <w:right w:w="108" w:type="dxa"/>
            </w:tcMar>
            <w:vAlign w:val="bottom"/>
            <w:hideMark/>
          </w:tcPr>
          <w:p w14:paraId="613616F5" w14:textId="3A7C85E7" w:rsidR="008C3AFE" w:rsidRDefault="008C3AFE" w:rsidP="008C3AFE">
            <w:pPr>
              <w:spacing w:after="0"/>
              <w:jc w:val="center"/>
              <w:rPr>
                <w:rFonts w:ascii="Calibri" w:hAnsi="Calibri"/>
                <w:color w:val="000000"/>
              </w:rPr>
            </w:pPr>
            <w:r>
              <w:rPr>
                <w:rFonts w:ascii="Calibri" w:hAnsi="Calibri" w:cs="Calibri"/>
                <w:color w:val="000000"/>
              </w:rPr>
              <w:t>0.994</w:t>
            </w:r>
          </w:p>
        </w:tc>
      </w:tr>
      <w:tr w:rsidR="008C3AFE" w14:paraId="0E761E24" w14:textId="77777777" w:rsidTr="008C3AFE">
        <w:trPr>
          <w:trHeight w:val="300"/>
        </w:trPr>
        <w:tc>
          <w:tcPr>
            <w:tcW w:w="4010" w:type="dxa"/>
            <w:noWrap/>
            <w:tcMar>
              <w:top w:w="0" w:type="dxa"/>
              <w:left w:w="108" w:type="dxa"/>
              <w:bottom w:w="0" w:type="dxa"/>
              <w:right w:w="108" w:type="dxa"/>
            </w:tcMar>
            <w:vAlign w:val="bottom"/>
            <w:hideMark/>
          </w:tcPr>
          <w:p w14:paraId="0599AB3F" w14:textId="77777777" w:rsidR="008C3AFE" w:rsidRDefault="008C3AFE" w:rsidP="008C3AFE">
            <w:pPr>
              <w:spacing w:after="0"/>
              <w:ind w:firstLine="220"/>
              <w:rPr>
                <w:rFonts w:ascii="Calibri" w:hAnsi="Calibri"/>
                <w:color w:val="000000"/>
              </w:rPr>
            </w:pPr>
            <w:r>
              <w:rPr>
                <w:rFonts w:ascii="Calibri" w:hAnsi="Calibri"/>
                <w:color w:val="000000"/>
              </w:rPr>
              <w:t>Rural</w:t>
            </w:r>
          </w:p>
        </w:tc>
        <w:tc>
          <w:tcPr>
            <w:tcW w:w="1391" w:type="dxa"/>
            <w:noWrap/>
            <w:tcMar>
              <w:top w:w="0" w:type="dxa"/>
              <w:left w:w="108" w:type="dxa"/>
              <w:bottom w:w="0" w:type="dxa"/>
              <w:right w:w="108" w:type="dxa"/>
            </w:tcMar>
            <w:vAlign w:val="bottom"/>
            <w:hideMark/>
          </w:tcPr>
          <w:p w14:paraId="734B35DF" w14:textId="5629BEA4" w:rsidR="008C3AFE" w:rsidRDefault="008C3AFE" w:rsidP="008C3AFE">
            <w:pPr>
              <w:spacing w:after="0"/>
              <w:jc w:val="center"/>
              <w:rPr>
                <w:rFonts w:ascii="Calibri" w:hAnsi="Calibri"/>
                <w:color w:val="000000"/>
              </w:rPr>
            </w:pPr>
            <w:r>
              <w:rPr>
                <w:rFonts w:ascii="Calibri" w:hAnsi="Calibri" w:cs="Calibri"/>
                <w:color w:val="000000"/>
              </w:rPr>
              <w:t>-0.0155</w:t>
            </w:r>
          </w:p>
        </w:tc>
        <w:tc>
          <w:tcPr>
            <w:tcW w:w="1391" w:type="dxa"/>
            <w:noWrap/>
            <w:tcMar>
              <w:top w:w="0" w:type="dxa"/>
              <w:left w:w="108" w:type="dxa"/>
              <w:bottom w:w="0" w:type="dxa"/>
              <w:right w:w="108" w:type="dxa"/>
            </w:tcMar>
            <w:vAlign w:val="bottom"/>
            <w:hideMark/>
          </w:tcPr>
          <w:p w14:paraId="275EAFBD" w14:textId="1A837D9C" w:rsidR="008C3AFE" w:rsidRDefault="008C3AFE" w:rsidP="008C3AFE">
            <w:pPr>
              <w:spacing w:after="0"/>
              <w:jc w:val="center"/>
              <w:rPr>
                <w:rFonts w:ascii="Calibri" w:hAnsi="Calibri"/>
                <w:color w:val="000000"/>
              </w:rPr>
            </w:pPr>
            <w:r>
              <w:rPr>
                <w:rFonts w:ascii="Calibri" w:hAnsi="Calibri" w:cs="Calibri"/>
                <w:color w:val="000000"/>
              </w:rPr>
              <w:t>0.0069</w:t>
            </w:r>
          </w:p>
        </w:tc>
        <w:tc>
          <w:tcPr>
            <w:tcW w:w="1391" w:type="dxa"/>
            <w:noWrap/>
            <w:tcMar>
              <w:top w:w="0" w:type="dxa"/>
              <w:left w:w="108" w:type="dxa"/>
              <w:bottom w:w="0" w:type="dxa"/>
              <w:right w:w="108" w:type="dxa"/>
            </w:tcMar>
            <w:vAlign w:val="bottom"/>
            <w:hideMark/>
          </w:tcPr>
          <w:p w14:paraId="7688A5B9" w14:textId="41768FF4" w:rsidR="008C3AFE" w:rsidRDefault="008C3AFE" w:rsidP="008C3AFE">
            <w:pPr>
              <w:spacing w:after="0"/>
              <w:jc w:val="center"/>
              <w:rPr>
                <w:rFonts w:ascii="Calibri" w:hAnsi="Calibri"/>
                <w:color w:val="000000"/>
              </w:rPr>
            </w:pPr>
            <w:r>
              <w:rPr>
                <w:rFonts w:ascii="Calibri" w:hAnsi="Calibri" w:cs="Calibri"/>
                <w:color w:val="000000"/>
              </w:rPr>
              <w:t>0.0242</w:t>
            </w:r>
          </w:p>
        </w:tc>
        <w:tc>
          <w:tcPr>
            <w:tcW w:w="1177" w:type="dxa"/>
            <w:noWrap/>
            <w:tcMar>
              <w:top w:w="0" w:type="dxa"/>
              <w:left w:w="108" w:type="dxa"/>
              <w:bottom w:w="0" w:type="dxa"/>
              <w:right w:w="108" w:type="dxa"/>
            </w:tcMar>
            <w:vAlign w:val="bottom"/>
            <w:hideMark/>
          </w:tcPr>
          <w:p w14:paraId="734A8FA8" w14:textId="7C7D6C03" w:rsidR="008C3AFE" w:rsidRDefault="008C3AFE" w:rsidP="008C3AFE">
            <w:pPr>
              <w:spacing w:after="0"/>
              <w:jc w:val="center"/>
              <w:rPr>
                <w:rFonts w:ascii="Calibri" w:hAnsi="Calibri"/>
                <w:color w:val="000000"/>
              </w:rPr>
            </w:pPr>
            <w:r>
              <w:rPr>
                <w:rFonts w:ascii="Calibri" w:hAnsi="Calibri" w:cs="Calibri"/>
                <w:color w:val="000000"/>
              </w:rPr>
              <w:t>0.985</w:t>
            </w:r>
          </w:p>
        </w:tc>
      </w:tr>
      <w:tr w:rsidR="008C3AFE" w14:paraId="70DA2CAF" w14:textId="77777777" w:rsidTr="008C3AFE">
        <w:trPr>
          <w:trHeight w:val="300"/>
        </w:trPr>
        <w:tc>
          <w:tcPr>
            <w:tcW w:w="4010" w:type="dxa"/>
            <w:noWrap/>
            <w:tcMar>
              <w:top w:w="0" w:type="dxa"/>
              <w:left w:w="108" w:type="dxa"/>
              <w:bottom w:w="0" w:type="dxa"/>
              <w:right w:w="108" w:type="dxa"/>
            </w:tcMar>
            <w:vAlign w:val="bottom"/>
            <w:hideMark/>
          </w:tcPr>
          <w:p w14:paraId="646EF32A" w14:textId="77777777" w:rsidR="008C3AFE" w:rsidRDefault="008C3AFE" w:rsidP="008C3AFE">
            <w:pPr>
              <w:spacing w:after="0"/>
              <w:ind w:firstLine="220"/>
              <w:rPr>
                <w:rFonts w:ascii="Calibri" w:hAnsi="Calibri"/>
                <w:color w:val="000000"/>
              </w:rPr>
            </w:pPr>
            <w:r>
              <w:rPr>
                <w:rFonts w:ascii="Calibri" w:hAnsi="Calibri"/>
                <w:color w:val="000000"/>
              </w:rPr>
              <w:t>Missing</w:t>
            </w:r>
          </w:p>
        </w:tc>
        <w:tc>
          <w:tcPr>
            <w:tcW w:w="1391" w:type="dxa"/>
            <w:noWrap/>
            <w:tcMar>
              <w:top w:w="0" w:type="dxa"/>
              <w:left w:w="108" w:type="dxa"/>
              <w:bottom w:w="0" w:type="dxa"/>
              <w:right w:w="108" w:type="dxa"/>
            </w:tcMar>
            <w:vAlign w:val="bottom"/>
            <w:hideMark/>
          </w:tcPr>
          <w:p w14:paraId="0F7372EB" w14:textId="72A5B043" w:rsidR="008C3AFE" w:rsidRDefault="008C3AFE" w:rsidP="008C3AFE">
            <w:pPr>
              <w:spacing w:after="0"/>
              <w:jc w:val="center"/>
              <w:rPr>
                <w:rFonts w:ascii="Calibri" w:hAnsi="Calibri"/>
                <w:color w:val="000000"/>
              </w:rPr>
            </w:pPr>
            <w:r>
              <w:rPr>
                <w:rFonts w:ascii="Calibri" w:hAnsi="Calibri" w:cs="Calibri"/>
                <w:color w:val="000000"/>
              </w:rPr>
              <w:t>0.0474</w:t>
            </w:r>
          </w:p>
        </w:tc>
        <w:tc>
          <w:tcPr>
            <w:tcW w:w="1391" w:type="dxa"/>
            <w:noWrap/>
            <w:tcMar>
              <w:top w:w="0" w:type="dxa"/>
              <w:left w:w="108" w:type="dxa"/>
              <w:bottom w:w="0" w:type="dxa"/>
              <w:right w:w="108" w:type="dxa"/>
            </w:tcMar>
            <w:vAlign w:val="bottom"/>
            <w:hideMark/>
          </w:tcPr>
          <w:p w14:paraId="5B0C60FC" w14:textId="5968003C" w:rsidR="008C3AFE" w:rsidRDefault="008C3AFE" w:rsidP="008C3AFE">
            <w:pPr>
              <w:spacing w:after="0"/>
              <w:jc w:val="center"/>
              <w:rPr>
                <w:rFonts w:ascii="Calibri" w:hAnsi="Calibri"/>
                <w:color w:val="000000"/>
              </w:rPr>
            </w:pPr>
            <w:r>
              <w:rPr>
                <w:rFonts w:ascii="Calibri" w:hAnsi="Calibri" w:cs="Calibri"/>
                <w:color w:val="000000"/>
              </w:rPr>
              <w:t>0.0316</w:t>
            </w:r>
          </w:p>
        </w:tc>
        <w:tc>
          <w:tcPr>
            <w:tcW w:w="1391" w:type="dxa"/>
            <w:noWrap/>
            <w:tcMar>
              <w:top w:w="0" w:type="dxa"/>
              <w:left w:w="108" w:type="dxa"/>
              <w:bottom w:w="0" w:type="dxa"/>
              <w:right w:w="108" w:type="dxa"/>
            </w:tcMar>
            <w:vAlign w:val="bottom"/>
            <w:hideMark/>
          </w:tcPr>
          <w:p w14:paraId="04F1858F" w14:textId="05DDEE6B" w:rsidR="008C3AFE" w:rsidRDefault="008C3AFE" w:rsidP="008C3AFE">
            <w:pPr>
              <w:spacing w:after="0"/>
              <w:jc w:val="center"/>
              <w:rPr>
                <w:rFonts w:ascii="Calibri" w:hAnsi="Calibri"/>
                <w:color w:val="000000"/>
              </w:rPr>
            </w:pPr>
            <w:r>
              <w:rPr>
                <w:rFonts w:ascii="Calibri" w:hAnsi="Calibri" w:cs="Calibri"/>
                <w:color w:val="000000"/>
              </w:rPr>
              <w:t>0.1340</w:t>
            </w:r>
          </w:p>
        </w:tc>
        <w:tc>
          <w:tcPr>
            <w:tcW w:w="1177" w:type="dxa"/>
            <w:noWrap/>
            <w:tcMar>
              <w:top w:w="0" w:type="dxa"/>
              <w:left w:w="108" w:type="dxa"/>
              <w:bottom w:w="0" w:type="dxa"/>
              <w:right w:w="108" w:type="dxa"/>
            </w:tcMar>
            <w:vAlign w:val="bottom"/>
            <w:hideMark/>
          </w:tcPr>
          <w:p w14:paraId="409D628A" w14:textId="2E103293" w:rsidR="008C3AFE" w:rsidRDefault="008C3AFE" w:rsidP="008C3AFE">
            <w:pPr>
              <w:spacing w:after="0"/>
              <w:jc w:val="center"/>
              <w:rPr>
                <w:rFonts w:ascii="Calibri" w:hAnsi="Calibri"/>
                <w:color w:val="000000"/>
              </w:rPr>
            </w:pPr>
            <w:r>
              <w:rPr>
                <w:rFonts w:ascii="Calibri" w:hAnsi="Calibri" w:cs="Calibri"/>
                <w:color w:val="000000"/>
              </w:rPr>
              <w:t>1.049</w:t>
            </w:r>
          </w:p>
        </w:tc>
      </w:tr>
      <w:tr w:rsidR="00086EDF" w14:paraId="3B305E3D" w14:textId="77777777" w:rsidTr="008C3AFE">
        <w:trPr>
          <w:trHeight w:val="300"/>
        </w:trPr>
        <w:tc>
          <w:tcPr>
            <w:tcW w:w="5401" w:type="dxa"/>
            <w:gridSpan w:val="2"/>
            <w:noWrap/>
            <w:tcMar>
              <w:top w:w="0" w:type="dxa"/>
              <w:left w:w="108" w:type="dxa"/>
              <w:bottom w:w="0" w:type="dxa"/>
              <w:right w:w="108" w:type="dxa"/>
            </w:tcMar>
            <w:vAlign w:val="bottom"/>
            <w:hideMark/>
          </w:tcPr>
          <w:p w14:paraId="7CF12CA2" w14:textId="77777777" w:rsidR="00086EDF" w:rsidRDefault="00086EDF" w:rsidP="00E26631">
            <w:pPr>
              <w:spacing w:after="0"/>
              <w:rPr>
                <w:rFonts w:ascii="Calibri" w:hAnsi="Calibri"/>
                <w:b/>
                <w:bCs/>
                <w:color w:val="000000"/>
              </w:rPr>
            </w:pPr>
            <w:r w:rsidRPr="00EA02B5">
              <w:rPr>
                <w:rFonts w:ascii="Calibri" w:hAnsi="Calibri"/>
                <w:b/>
                <w:bCs/>
                <w:i/>
                <w:color w:val="000000"/>
              </w:rPr>
              <w:t>AHRQ SES Index*</w:t>
            </w:r>
            <w:r>
              <w:rPr>
                <w:rFonts w:ascii="Calibri" w:hAnsi="Calibri"/>
                <w:b/>
                <w:bCs/>
                <w:color w:val="000000"/>
              </w:rPr>
              <w:t xml:space="preserve"> </w:t>
            </w:r>
            <w:r>
              <w:rPr>
                <w:rFonts w:ascii="Calibri" w:hAnsi="Calibri"/>
                <w:b/>
                <w:bCs/>
                <w:i/>
                <w:iCs/>
                <w:color w:val="000000"/>
              </w:rPr>
              <w:t>(reference = Quartile 4 ( 55.85 - 74.41))</w:t>
            </w:r>
          </w:p>
        </w:tc>
        <w:tc>
          <w:tcPr>
            <w:tcW w:w="1391" w:type="dxa"/>
            <w:noWrap/>
            <w:tcMar>
              <w:top w:w="0" w:type="dxa"/>
              <w:left w:w="108" w:type="dxa"/>
              <w:bottom w:w="0" w:type="dxa"/>
              <w:right w:w="108" w:type="dxa"/>
            </w:tcMar>
            <w:vAlign w:val="bottom"/>
            <w:hideMark/>
          </w:tcPr>
          <w:p w14:paraId="4B4A34D1" w14:textId="77777777" w:rsidR="00086EDF" w:rsidRDefault="00086EDF" w:rsidP="00E26631">
            <w:pPr>
              <w:spacing w:after="0"/>
              <w:rPr>
                <w:rFonts w:ascii="Calibri" w:hAnsi="Calibri"/>
                <w:b/>
                <w:bCs/>
                <w:color w:val="000000"/>
              </w:rPr>
            </w:pPr>
          </w:p>
        </w:tc>
        <w:tc>
          <w:tcPr>
            <w:tcW w:w="1391" w:type="dxa"/>
            <w:noWrap/>
            <w:tcMar>
              <w:top w:w="0" w:type="dxa"/>
              <w:left w:w="108" w:type="dxa"/>
              <w:bottom w:w="0" w:type="dxa"/>
              <w:right w:w="108" w:type="dxa"/>
            </w:tcMar>
            <w:vAlign w:val="bottom"/>
            <w:hideMark/>
          </w:tcPr>
          <w:p w14:paraId="78D91A67" w14:textId="77777777" w:rsidR="00086EDF" w:rsidRDefault="00086EDF" w:rsidP="00E26631">
            <w:pPr>
              <w:spacing w:after="0"/>
              <w:rPr>
                <w:rFonts w:eastAsia="Times New Roman"/>
                <w:sz w:val="20"/>
                <w:szCs w:val="20"/>
              </w:rPr>
            </w:pPr>
          </w:p>
        </w:tc>
        <w:tc>
          <w:tcPr>
            <w:tcW w:w="1177" w:type="dxa"/>
            <w:noWrap/>
            <w:tcMar>
              <w:top w:w="0" w:type="dxa"/>
              <w:left w:w="108" w:type="dxa"/>
              <w:bottom w:w="0" w:type="dxa"/>
              <w:right w:w="108" w:type="dxa"/>
            </w:tcMar>
            <w:vAlign w:val="bottom"/>
            <w:hideMark/>
          </w:tcPr>
          <w:p w14:paraId="3BD6D183" w14:textId="77777777" w:rsidR="00086EDF" w:rsidRDefault="00086EDF" w:rsidP="00E26631">
            <w:pPr>
              <w:spacing w:after="0"/>
              <w:rPr>
                <w:rFonts w:eastAsia="Times New Roman"/>
                <w:sz w:val="20"/>
                <w:szCs w:val="20"/>
              </w:rPr>
            </w:pPr>
          </w:p>
        </w:tc>
      </w:tr>
      <w:tr w:rsidR="008C3AFE" w14:paraId="4E868622" w14:textId="77777777" w:rsidTr="008C3AFE">
        <w:trPr>
          <w:trHeight w:val="300"/>
        </w:trPr>
        <w:tc>
          <w:tcPr>
            <w:tcW w:w="4010" w:type="dxa"/>
            <w:noWrap/>
            <w:tcMar>
              <w:top w:w="0" w:type="dxa"/>
              <w:left w:w="108" w:type="dxa"/>
              <w:bottom w:w="0" w:type="dxa"/>
              <w:right w:w="108" w:type="dxa"/>
            </w:tcMar>
            <w:vAlign w:val="bottom"/>
            <w:hideMark/>
          </w:tcPr>
          <w:p w14:paraId="499C2739" w14:textId="77777777" w:rsidR="008C3AFE" w:rsidRDefault="008C3AFE" w:rsidP="008C3AFE">
            <w:pPr>
              <w:spacing w:after="0"/>
              <w:ind w:firstLine="220"/>
              <w:rPr>
                <w:rFonts w:ascii="Calibri" w:eastAsiaTheme="minorHAnsi" w:hAnsi="Calibri"/>
                <w:color w:val="000000"/>
              </w:rPr>
            </w:pPr>
            <w:r>
              <w:rPr>
                <w:rFonts w:ascii="Calibri" w:hAnsi="Calibri"/>
                <w:color w:val="000000"/>
              </w:rPr>
              <w:t>Quartile 1 (22.66- 49.87)</w:t>
            </w:r>
          </w:p>
        </w:tc>
        <w:tc>
          <w:tcPr>
            <w:tcW w:w="1391" w:type="dxa"/>
            <w:noWrap/>
            <w:tcMar>
              <w:top w:w="0" w:type="dxa"/>
              <w:left w:w="108" w:type="dxa"/>
              <w:bottom w:w="0" w:type="dxa"/>
              <w:right w:w="108" w:type="dxa"/>
            </w:tcMar>
            <w:vAlign w:val="bottom"/>
            <w:hideMark/>
          </w:tcPr>
          <w:p w14:paraId="0699801D" w14:textId="3E70F19E" w:rsidR="008C3AFE" w:rsidRDefault="008C3AFE" w:rsidP="008C3AFE">
            <w:pPr>
              <w:spacing w:after="0"/>
              <w:jc w:val="center"/>
              <w:rPr>
                <w:rFonts w:ascii="Calibri" w:hAnsi="Calibri"/>
                <w:color w:val="000000"/>
              </w:rPr>
            </w:pPr>
            <w:r>
              <w:rPr>
                <w:rFonts w:ascii="Calibri" w:hAnsi="Calibri" w:cs="Calibri"/>
                <w:color w:val="000000"/>
              </w:rPr>
              <w:t>-0.0862</w:t>
            </w:r>
          </w:p>
        </w:tc>
        <w:tc>
          <w:tcPr>
            <w:tcW w:w="1391" w:type="dxa"/>
            <w:noWrap/>
            <w:tcMar>
              <w:top w:w="0" w:type="dxa"/>
              <w:left w:w="108" w:type="dxa"/>
              <w:bottom w:w="0" w:type="dxa"/>
              <w:right w:w="108" w:type="dxa"/>
            </w:tcMar>
            <w:vAlign w:val="bottom"/>
            <w:hideMark/>
          </w:tcPr>
          <w:p w14:paraId="49D49A2C" w14:textId="0DF2076E" w:rsidR="008C3AFE" w:rsidRDefault="008C3AFE" w:rsidP="008C3AFE">
            <w:pPr>
              <w:spacing w:after="0"/>
              <w:jc w:val="center"/>
              <w:rPr>
                <w:rFonts w:ascii="Calibri" w:hAnsi="Calibri"/>
                <w:color w:val="000000"/>
              </w:rPr>
            </w:pPr>
            <w:r>
              <w:rPr>
                <w:rFonts w:ascii="Calibri" w:hAnsi="Calibri" w:cs="Calibri"/>
                <w:color w:val="000000"/>
              </w:rPr>
              <w:t>0.0038</w:t>
            </w:r>
          </w:p>
        </w:tc>
        <w:tc>
          <w:tcPr>
            <w:tcW w:w="1391" w:type="dxa"/>
            <w:noWrap/>
            <w:tcMar>
              <w:top w:w="0" w:type="dxa"/>
              <w:left w:w="108" w:type="dxa"/>
              <w:bottom w:w="0" w:type="dxa"/>
              <w:right w:w="108" w:type="dxa"/>
            </w:tcMar>
            <w:vAlign w:val="bottom"/>
            <w:hideMark/>
          </w:tcPr>
          <w:p w14:paraId="7C2B6851" w14:textId="1913AFF3" w:rsidR="008C3AFE" w:rsidRDefault="008C3AFE" w:rsidP="008C3AFE">
            <w:pPr>
              <w:spacing w:after="0"/>
              <w:jc w:val="center"/>
              <w:rPr>
                <w:rFonts w:ascii="Calibri" w:hAnsi="Calibri"/>
                <w:color w:val="000000"/>
              </w:rPr>
            </w:pPr>
            <w:r>
              <w:rPr>
                <w:rFonts w:ascii="Calibri" w:hAnsi="Calibri" w:cs="Calibri"/>
                <w:color w:val="000000"/>
              </w:rPr>
              <w:t>&lt;.0001</w:t>
            </w:r>
          </w:p>
        </w:tc>
        <w:tc>
          <w:tcPr>
            <w:tcW w:w="1177" w:type="dxa"/>
            <w:noWrap/>
            <w:tcMar>
              <w:top w:w="0" w:type="dxa"/>
              <w:left w:w="108" w:type="dxa"/>
              <w:bottom w:w="0" w:type="dxa"/>
              <w:right w:w="108" w:type="dxa"/>
            </w:tcMar>
            <w:vAlign w:val="bottom"/>
            <w:hideMark/>
          </w:tcPr>
          <w:p w14:paraId="284DDF91" w14:textId="2351BE78" w:rsidR="008C3AFE" w:rsidRDefault="008C3AFE" w:rsidP="008C3AFE">
            <w:pPr>
              <w:spacing w:after="0"/>
              <w:jc w:val="center"/>
              <w:rPr>
                <w:rFonts w:ascii="Calibri" w:hAnsi="Calibri"/>
                <w:color w:val="000000"/>
              </w:rPr>
            </w:pPr>
            <w:r>
              <w:rPr>
                <w:rFonts w:ascii="Calibri" w:hAnsi="Calibri" w:cs="Calibri"/>
                <w:color w:val="000000"/>
              </w:rPr>
              <w:t>0.917</w:t>
            </w:r>
          </w:p>
        </w:tc>
      </w:tr>
      <w:tr w:rsidR="008C3AFE" w14:paraId="0ED8F075" w14:textId="77777777" w:rsidTr="008C3AFE">
        <w:trPr>
          <w:trHeight w:val="315"/>
        </w:trPr>
        <w:tc>
          <w:tcPr>
            <w:tcW w:w="4010" w:type="dxa"/>
            <w:noWrap/>
            <w:tcMar>
              <w:top w:w="0" w:type="dxa"/>
              <w:left w:w="108" w:type="dxa"/>
              <w:bottom w:w="0" w:type="dxa"/>
              <w:right w:w="108" w:type="dxa"/>
            </w:tcMar>
            <w:vAlign w:val="bottom"/>
            <w:hideMark/>
          </w:tcPr>
          <w:p w14:paraId="19D492A2" w14:textId="77777777" w:rsidR="008C3AFE" w:rsidRDefault="008C3AFE" w:rsidP="008C3AFE">
            <w:pPr>
              <w:spacing w:after="0"/>
              <w:ind w:firstLine="220"/>
              <w:rPr>
                <w:rFonts w:ascii="Calibri" w:hAnsi="Calibri"/>
                <w:color w:val="000000"/>
              </w:rPr>
            </w:pPr>
            <w:r>
              <w:rPr>
                <w:rFonts w:ascii="Calibri" w:hAnsi="Calibri"/>
                <w:color w:val="000000"/>
              </w:rPr>
              <w:t>Quartile 2  (49.87 - 52.51)</w:t>
            </w:r>
          </w:p>
        </w:tc>
        <w:tc>
          <w:tcPr>
            <w:tcW w:w="1391" w:type="dxa"/>
            <w:noWrap/>
            <w:tcMar>
              <w:top w:w="0" w:type="dxa"/>
              <w:left w:w="108" w:type="dxa"/>
              <w:bottom w:w="0" w:type="dxa"/>
              <w:right w:w="108" w:type="dxa"/>
            </w:tcMar>
            <w:vAlign w:val="bottom"/>
            <w:hideMark/>
          </w:tcPr>
          <w:p w14:paraId="0B0A00E2" w14:textId="1204B61F" w:rsidR="008C3AFE" w:rsidRDefault="008C3AFE" w:rsidP="008C3AFE">
            <w:pPr>
              <w:spacing w:after="0"/>
              <w:jc w:val="center"/>
              <w:rPr>
                <w:rFonts w:ascii="Calibri" w:hAnsi="Calibri"/>
                <w:color w:val="000000"/>
              </w:rPr>
            </w:pPr>
            <w:r>
              <w:rPr>
                <w:rFonts w:ascii="Calibri" w:hAnsi="Calibri" w:cs="Calibri"/>
                <w:color w:val="000000"/>
              </w:rPr>
              <w:t>-0.0565</w:t>
            </w:r>
          </w:p>
        </w:tc>
        <w:tc>
          <w:tcPr>
            <w:tcW w:w="1391" w:type="dxa"/>
            <w:noWrap/>
            <w:tcMar>
              <w:top w:w="0" w:type="dxa"/>
              <w:left w:w="108" w:type="dxa"/>
              <w:bottom w:w="0" w:type="dxa"/>
              <w:right w:w="108" w:type="dxa"/>
            </w:tcMar>
            <w:vAlign w:val="bottom"/>
            <w:hideMark/>
          </w:tcPr>
          <w:p w14:paraId="19D0A224" w14:textId="59CB8366" w:rsidR="008C3AFE" w:rsidRDefault="008C3AFE" w:rsidP="008C3AFE">
            <w:pPr>
              <w:spacing w:after="0"/>
              <w:jc w:val="center"/>
              <w:rPr>
                <w:rFonts w:ascii="Calibri" w:hAnsi="Calibri"/>
                <w:color w:val="000000"/>
              </w:rPr>
            </w:pPr>
            <w:r>
              <w:rPr>
                <w:rFonts w:ascii="Calibri" w:hAnsi="Calibri" w:cs="Calibri"/>
                <w:color w:val="000000"/>
              </w:rPr>
              <w:t>0.0036</w:t>
            </w:r>
          </w:p>
        </w:tc>
        <w:tc>
          <w:tcPr>
            <w:tcW w:w="1391" w:type="dxa"/>
            <w:noWrap/>
            <w:tcMar>
              <w:top w:w="0" w:type="dxa"/>
              <w:left w:w="108" w:type="dxa"/>
              <w:bottom w:w="0" w:type="dxa"/>
              <w:right w:w="108" w:type="dxa"/>
            </w:tcMar>
            <w:vAlign w:val="bottom"/>
            <w:hideMark/>
          </w:tcPr>
          <w:p w14:paraId="73E8EFDB" w14:textId="6F7CCC79" w:rsidR="008C3AFE" w:rsidRDefault="008C3AFE" w:rsidP="008C3AFE">
            <w:pPr>
              <w:spacing w:after="0"/>
              <w:jc w:val="center"/>
              <w:rPr>
                <w:rFonts w:ascii="Calibri" w:hAnsi="Calibri"/>
                <w:color w:val="000000"/>
              </w:rPr>
            </w:pPr>
            <w:r>
              <w:rPr>
                <w:rFonts w:ascii="Calibri" w:hAnsi="Calibri" w:cs="Calibri"/>
                <w:color w:val="000000"/>
              </w:rPr>
              <w:t>&lt;.0001</w:t>
            </w:r>
          </w:p>
        </w:tc>
        <w:tc>
          <w:tcPr>
            <w:tcW w:w="1177" w:type="dxa"/>
            <w:noWrap/>
            <w:tcMar>
              <w:top w:w="0" w:type="dxa"/>
              <w:left w:w="108" w:type="dxa"/>
              <w:bottom w:w="0" w:type="dxa"/>
              <w:right w:w="108" w:type="dxa"/>
            </w:tcMar>
            <w:vAlign w:val="bottom"/>
            <w:hideMark/>
          </w:tcPr>
          <w:p w14:paraId="4A4687EA" w14:textId="21BD37CB" w:rsidR="008C3AFE" w:rsidRDefault="008C3AFE" w:rsidP="008C3AFE">
            <w:pPr>
              <w:spacing w:after="0"/>
              <w:jc w:val="center"/>
              <w:rPr>
                <w:rFonts w:ascii="Calibri" w:hAnsi="Calibri"/>
                <w:color w:val="000000"/>
              </w:rPr>
            </w:pPr>
            <w:r>
              <w:rPr>
                <w:rFonts w:ascii="Calibri" w:hAnsi="Calibri" w:cs="Calibri"/>
                <w:color w:val="000000"/>
              </w:rPr>
              <w:t>0.945</w:t>
            </w:r>
          </w:p>
        </w:tc>
      </w:tr>
      <w:tr w:rsidR="008C3AFE" w14:paraId="6EAA5AD1" w14:textId="77777777" w:rsidTr="008C3AFE">
        <w:trPr>
          <w:trHeight w:val="300"/>
        </w:trPr>
        <w:tc>
          <w:tcPr>
            <w:tcW w:w="4010" w:type="dxa"/>
            <w:noWrap/>
            <w:tcMar>
              <w:top w:w="0" w:type="dxa"/>
              <w:left w:w="108" w:type="dxa"/>
              <w:bottom w:w="0" w:type="dxa"/>
              <w:right w:w="108" w:type="dxa"/>
            </w:tcMar>
            <w:vAlign w:val="bottom"/>
            <w:hideMark/>
          </w:tcPr>
          <w:p w14:paraId="338D60D1" w14:textId="77777777" w:rsidR="008C3AFE" w:rsidRDefault="008C3AFE" w:rsidP="008C3AFE">
            <w:pPr>
              <w:spacing w:after="0"/>
              <w:ind w:firstLine="220"/>
              <w:rPr>
                <w:rFonts w:ascii="Calibri" w:hAnsi="Calibri"/>
                <w:color w:val="000000"/>
              </w:rPr>
            </w:pPr>
            <w:r>
              <w:rPr>
                <w:rFonts w:ascii="Calibri" w:hAnsi="Calibri"/>
                <w:color w:val="000000"/>
              </w:rPr>
              <w:t>Quartile 3  (52.50 - 55.85)</w:t>
            </w:r>
          </w:p>
        </w:tc>
        <w:tc>
          <w:tcPr>
            <w:tcW w:w="1391" w:type="dxa"/>
            <w:noWrap/>
            <w:tcMar>
              <w:top w:w="0" w:type="dxa"/>
              <w:left w:w="108" w:type="dxa"/>
              <w:bottom w:w="0" w:type="dxa"/>
              <w:right w:w="108" w:type="dxa"/>
            </w:tcMar>
            <w:vAlign w:val="bottom"/>
            <w:hideMark/>
          </w:tcPr>
          <w:p w14:paraId="51C80120" w14:textId="731227B5" w:rsidR="008C3AFE" w:rsidRDefault="008C3AFE" w:rsidP="008C3AFE">
            <w:pPr>
              <w:spacing w:after="0"/>
              <w:jc w:val="center"/>
              <w:rPr>
                <w:rFonts w:ascii="Calibri" w:hAnsi="Calibri"/>
                <w:color w:val="000000"/>
              </w:rPr>
            </w:pPr>
            <w:r>
              <w:rPr>
                <w:rFonts w:ascii="Calibri" w:hAnsi="Calibri" w:cs="Calibri"/>
                <w:color w:val="000000"/>
              </w:rPr>
              <w:t>-0.0373</w:t>
            </w:r>
          </w:p>
        </w:tc>
        <w:tc>
          <w:tcPr>
            <w:tcW w:w="1391" w:type="dxa"/>
            <w:noWrap/>
            <w:tcMar>
              <w:top w:w="0" w:type="dxa"/>
              <w:left w:w="108" w:type="dxa"/>
              <w:bottom w:w="0" w:type="dxa"/>
              <w:right w:w="108" w:type="dxa"/>
            </w:tcMar>
            <w:vAlign w:val="bottom"/>
            <w:hideMark/>
          </w:tcPr>
          <w:p w14:paraId="00E0023E" w14:textId="1A8A371A" w:rsidR="008C3AFE" w:rsidRDefault="008C3AFE" w:rsidP="008C3AFE">
            <w:pPr>
              <w:spacing w:after="0"/>
              <w:jc w:val="center"/>
              <w:rPr>
                <w:rFonts w:ascii="Calibri" w:hAnsi="Calibri"/>
                <w:color w:val="000000"/>
              </w:rPr>
            </w:pPr>
            <w:r>
              <w:rPr>
                <w:rFonts w:ascii="Calibri" w:hAnsi="Calibri" w:cs="Calibri"/>
                <w:color w:val="000000"/>
              </w:rPr>
              <w:t>0.0034</w:t>
            </w:r>
          </w:p>
        </w:tc>
        <w:tc>
          <w:tcPr>
            <w:tcW w:w="1391" w:type="dxa"/>
            <w:noWrap/>
            <w:tcMar>
              <w:top w:w="0" w:type="dxa"/>
              <w:left w:w="108" w:type="dxa"/>
              <w:bottom w:w="0" w:type="dxa"/>
              <w:right w:w="108" w:type="dxa"/>
            </w:tcMar>
            <w:vAlign w:val="bottom"/>
            <w:hideMark/>
          </w:tcPr>
          <w:p w14:paraId="2CC2C14B" w14:textId="4370AD19" w:rsidR="008C3AFE" w:rsidRDefault="008C3AFE" w:rsidP="008C3AFE">
            <w:pPr>
              <w:spacing w:after="0"/>
              <w:jc w:val="center"/>
              <w:rPr>
                <w:rFonts w:ascii="Calibri" w:hAnsi="Calibri"/>
                <w:color w:val="000000"/>
              </w:rPr>
            </w:pPr>
            <w:r>
              <w:rPr>
                <w:rFonts w:ascii="Calibri" w:hAnsi="Calibri" w:cs="Calibri"/>
                <w:color w:val="000000"/>
              </w:rPr>
              <w:t>&lt;.0001</w:t>
            </w:r>
          </w:p>
        </w:tc>
        <w:tc>
          <w:tcPr>
            <w:tcW w:w="1177" w:type="dxa"/>
            <w:noWrap/>
            <w:tcMar>
              <w:top w:w="0" w:type="dxa"/>
              <w:left w:w="108" w:type="dxa"/>
              <w:bottom w:w="0" w:type="dxa"/>
              <w:right w:w="108" w:type="dxa"/>
            </w:tcMar>
            <w:vAlign w:val="bottom"/>
            <w:hideMark/>
          </w:tcPr>
          <w:p w14:paraId="467E19A3" w14:textId="54AD6AF4" w:rsidR="008C3AFE" w:rsidRDefault="008C3AFE" w:rsidP="008C3AFE">
            <w:pPr>
              <w:spacing w:after="0"/>
              <w:jc w:val="center"/>
              <w:rPr>
                <w:rFonts w:ascii="Calibri" w:hAnsi="Calibri"/>
                <w:color w:val="000000"/>
              </w:rPr>
            </w:pPr>
            <w:r>
              <w:rPr>
                <w:rFonts w:ascii="Calibri" w:hAnsi="Calibri" w:cs="Calibri"/>
                <w:color w:val="000000"/>
              </w:rPr>
              <w:t>0.963</w:t>
            </w:r>
          </w:p>
        </w:tc>
      </w:tr>
      <w:tr w:rsidR="008C3AFE" w14:paraId="15E42485" w14:textId="77777777" w:rsidTr="008C3AFE">
        <w:trPr>
          <w:trHeight w:val="300"/>
        </w:trPr>
        <w:tc>
          <w:tcPr>
            <w:tcW w:w="4010" w:type="dxa"/>
            <w:tcBorders>
              <w:top w:val="nil"/>
              <w:left w:val="nil"/>
              <w:bottom w:val="single" w:sz="8" w:space="0" w:color="auto"/>
              <w:right w:val="nil"/>
            </w:tcBorders>
            <w:noWrap/>
            <w:tcMar>
              <w:top w:w="0" w:type="dxa"/>
              <w:left w:w="108" w:type="dxa"/>
              <w:bottom w:w="0" w:type="dxa"/>
              <w:right w:w="108" w:type="dxa"/>
            </w:tcMar>
            <w:vAlign w:val="bottom"/>
            <w:hideMark/>
          </w:tcPr>
          <w:p w14:paraId="186AE8EF" w14:textId="77777777" w:rsidR="008C3AFE" w:rsidRDefault="008C3AFE" w:rsidP="008C3AFE">
            <w:pPr>
              <w:spacing w:after="0"/>
              <w:ind w:firstLine="220"/>
              <w:rPr>
                <w:rFonts w:ascii="Calibri" w:hAnsi="Calibri"/>
                <w:color w:val="000000"/>
              </w:rPr>
            </w:pPr>
            <w:r>
              <w:rPr>
                <w:rFonts w:ascii="Calibri" w:hAnsi="Calibri"/>
                <w:color w:val="000000"/>
              </w:rPr>
              <w:t>Missing</w:t>
            </w:r>
          </w:p>
        </w:tc>
        <w:tc>
          <w:tcPr>
            <w:tcW w:w="1391" w:type="dxa"/>
            <w:tcBorders>
              <w:top w:val="nil"/>
              <w:left w:val="nil"/>
              <w:bottom w:val="single" w:sz="8" w:space="0" w:color="auto"/>
              <w:right w:val="nil"/>
            </w:tcBorders>
            <w:noWrap/>
            <w:tcMar>
              <w:top w:w="0" w:type="dxa"/>
              <w:left w:w="108" w:type="dxa"/>
              <w:bottom w:w="0" w:type="dxa"/>
              <w:right w:w="108" w:type="dxa"/>
            </w:tcMar>
            <w:vAlign w:val="bottom"/>
            <w:hideMark/>
          </w:tcPr>
          <w:p w14:paraId="5876C69B" w14:textId="1BECE870" w:rsidR="008C3AFE" w:rsidRDefault="008C3AFE" w:rsidP="008C3AFE">
            <w:pPr>
              <w:spacing w:after="0"/>
              <w:jc w:val="center"/>
              <w:rPr>
                <w:rFonts w:ascii="Calibri" w:hAnsi="Calibri"/>
                <w:color w:val="000000"/>
              </w:rPr>
            </w:pPr>
            <w:r>
              <w:rPr>
                <w:rFonts w:ascii="Calibri" w:hAnsi="Calibri" w:cs="Calibri"/>
                <w:color w:val="000000"/>
              </w:rPr>
              <w:t>-0.0587</w:t>
            </w:r>
          </w:p>
        </w:tc>
        <w:tc>
          <w:tcPr>
            <w:tcW w:w="1391" w:type="dxa"/>
            <w:tcBorders>
              <w:top w:val="nil"/>
              <w:left w:val="nil"/>
              <w:bottom w:val="single" w:sz="8" w:space="0" w:color="auto"/>
              <w:right w:val="nil"/>
            </w:tcBorders>
            <w:noWrap/>
            <w:tcMar>
              <w:top w:w="0" w:type="dxa"/>
              <w:left w:w="108" w:type="dxa"/>
              <w:bottom w:w="0" w:type="dxa"/>
              <w:right w:w="108" w:type="dxa"/>
            </w:tcMar>
            <w:vAlign w:val="bottom"/>
            <w:hideMark/>
          </w:tcPr>
          <w:p w14:paraId="5FAE0179" w14:textId="6A9DC356" w:rsidR="008C3AFE" w:rsidRDefault="008C3AFE" w:rsidP="008C3AFE">
            <w:pPr>
              <w:spacing w:after="0"/>
              <w:jc w:val="center"/>
              <w:rPr>
                <w:rFonts w:ascii="Calibri" w:hAnsi="Calibri"/>
                <w:color w:val="000000"/>
              </w:rPr>
            </w:pPr>
            <w:r>
              <w:rPr>
                <w:rFonts w:ascii="Calibri" w:hAnsi="Calibri" w:cs="Calibri"/>
                <w:color w:val="000000"/>
              </w:rPr>
              <w:t>0.0085</w:t>
            </w:r>
          </w:p>
        </w:tc>
        <w:tc>
          <w:tcPr>
            <w:tcW w:w="1391" w:type="dxa"/>
            <w:tcBorders>
              <w:top w:val="nil"/>
              <w:left w:val="nil"/>
              <w:bottom w:val="single" w:sz="8" w:space="0" w:color="auto"/>
              <w:right w:val="nil"/>
            </w:tcBorders>
            <w:noWrap/>
            <w:tcMar>
              <w:top w:w="0" w:type="dxa"/>
              <w:left w:w="108" w:type="dxa"/>
              <w:bottom w:w="0" w:type="dxa"/>
              <w:right w:w="108" w:type="dxa"/>
            </w:tcMar>
            <w:vAlign w:val="bottom"/>
            <w:hideMark/>
          </w:tcPr>
          <w:p w14:paraId="317B5EA4" w14:textId="415BB25A" w:rsidR="008C3AFE" w:rsidRDefault="008C3AFE" w:rsidP="008C3AFE">
            <w:pPr>
              <w:spacing w:after="0"/>
              <w:jc w:val="center"/>
              <w:rPr>
                <w:rFonts w:ascii="Calibri" w:hAnsi="Calibri"/>
                <w:color w:val="000000"/>
              </w:rPr>
            </w:pPr>
            <w:r>
              <w:rPr>
                <w:rFonts w:ascii="Calibri" w:hAnsi="Calibri" w:cs="Calibri"/>
                <w:color w:val="000000"/>
              </w:rPr>
              <w:t>&lt;.0001</w:t>
            </w:r>
          </w:p>
        </w:tc>
        <w:tc>
          <w:tcPr>
            <w:tcW w:w="1177" w:type="dxa"/>
            <w:tcBorders>
              <w:top w:val="nil"/>
              <w:left w:val="nil"/>
              <w:bottom w:val="single" w:sz="8" w:space="0" w:color="auto"/>
              <w:right w:val="nil"/>
            </w:tcBorders>
            <w:noWrap/>
            <w:tcMar>
              <w:top w:w="0" w:type="dxa"/>
              <w:left w:w="108" w:type="dxa"/>
              <w:bottom w:w="0" w:type="dxa"/>
              <w:right w:w="108" w:type="dxa"/>
            </w:tcMar>
            <w:vAlign w:val="bottom"/>
            <w:hideMark/>
          </w:tcPr>
          <w:p w14:paraId="64EA91B1" w14:textId="2ED96E31" w:rsidR="008C3AFE" w:rsidRDefault="008C3AFE" w:rsidP="008C3AFE">
            <w:pPr>
              <w:spacing w:after="0"/>
              <w:jc w:val="center"/>
              <w:rPr>
                <w:rFonts w:ascii="Calibri" w:hAnsi="Calibri"/>
                <w:color w:val="000000"/>
              </w:rPr>
            </w:pPr>
            <w:r>
              <w:rPr>
                <w:rFonts w:ascii="Calibri" w:hAnsi="Calibri" w:cs="Calibri"/>
                <w:color w:val="000000"/>
              </w:rPr>
              <w:t>0.943</w:t>
            </w:r>
          </w:p>
        </w:tc>
      </w:tr>
    </w:tbl>
    <w:p w14:paraId="714AD8CF" w14:textId="34989773" w:rsidR="00086EDF" w:rsidRPr="00C90EDA" w:rsidRDefault="00086EDF" w:rsidP="00086EDF">
      <w:pPr>
        <w:spacing w:after="0" w:line="240" w:lineRule="auto"/>
        <w:rPr>
          <w:rFonts w:eastAsia="Calibri" w:cstheme="minorHAnsi"/>
          <w:sz w:val="18"/>
          <w:szCs w:val="18"/>
        </w:rPr>
      </w:pPr>
      <w:r w:rsidRPr="00C90EDA">
        <w:rPr>
          <w:rFonts w:eastAsia="Calibri" w:cstheme="minorHAnsi"/>
          <w:sz w:val="18"/>
          <w:szCs w:val="18"/>
        </w:rPr>
        <w:t>Note: SE=Standard error; OR=Odds ratio</w:t>
      </w:r>
      <w:r>
        <w:rPr>
          <w:rFonts w:eastAsia="Calibri" w:cstheme="minorHAnsi"/>
          <w:sz w:val="18"/>
          <w:szCs w:val="18"/>
        </w:rPr>
        <w:t xml:space="preserve"> </w:t>
      </w:r>
      <w:r w:rsidRPr="00C90EDA">
        <w:rPr>
          <w:rFonts w:eastAsia="Calibri" w:cstheme="minorHAnsi"/>
          <w:sz w:val="18"/>
          <w:szCs w:val="18"/>
        </w:rPr>
        <w:t xml:space="preserve">  * based on beneficiary residence. AHRQ = Agency for Healthcare Research and Quality. Source</w:t>
      </w:r>
      <w:r w:rsidR="0052358C">
        <w:rPr>
          <w:rFonts w:eastAsia="Calibri" w:cstheme="minorHAnsi"/>
          <w:sz w:val="18"/>
          <w:szCs w:val="18"/>
        </w:rPr>
        <w:t>:</w:t>
      </w:r>
      <w:r>
        <w:rPr>
          <w:rFonts w:eastAsia="Calibri" w:cstheme="minorHAnsi"/>
          <w:sz w:val="18"/>
          <w:szCs w:val="18"/>
        </w:rPr>
        <w:t xml:space="preserve"> </w:t>
      </w:r>
      <w:r w:rsidR="003C47FD">
        <w:rPr>
          <w:rFonts w:eastAsia="Calibri" w:cstheme="minorHAnsi"/>
          <w:sz w:val="18"/>
          <w:szCs w:val="18"/>
        </w:rPr>
        <w:t>Acumen</w:t>
      </w:r>
      <w:r w:rsidR="003C47FD" w:rsidRPr="00C90EDA">
        <w:rPr>
          <w:rFonts w:eastAsia="Calibri" w:cstheme="minorHAnsi"/>
          <w:sz w:val="18"/>
          <w:szCs w:val="18"/>
        </w:rPr>
        <w:t xml:space="preserve"> analysis of </w:t>
      </w:r>
      <w:r w:rsidR="003C47FD">
        <w:rPr>
          <w:rFonts w:eastAsia="Calibri" w:cstheme="minorHAnsi"/>
          <w:sz w:val="18"/>
          <w:szCs w:val="18"/>
        </w:rPr>
        <w:t>CY2015-2016</w:t>
      </w:r>
      <w:r w:rsidR="003C47FD" w:rsidRPr="00C90EDA">
        <w:rPr>
          <w:rFonts w:eastAsia="Calibri" w:cstheme="minorHAnsi"/>
          <w:sz w:val="18"/>
          <w:szCs w:val="18"/>
        </w:rPr>
        <w:t xml:space="preserve"> Medicare fee-for-service claims data</w:t>
      </w:r>
      <w:r w:rsidR="003C47FD">
        <w:rPr>
          <w:rFonts w:eastAsia="Calibri" w:cstheme="minorHAnsi"/>
          <w:sz w:val="18"/>
          <w:szCs w:val="18"/>
        </w:rPr>
        <w:t>, Medicare Enrollment Database, Common Medicare Environment database</w:t>
      </w:r>
      <w:r w:rsidR="003C47FD" w:rsidRPr="00C90EDA">
        <w:rPr>
          <w:rFonts w:eastAsia="Calibri" w:cstheme="minorHAnsi"/>
          <w:sz w:val="18"/>
          <w:szCs w:val="18"/>
        </w:rPr>
        <w:t xml:space="preserve"> </w:t>
      </w:r>
      <w:r w:rsidR="003C47FD">
        <w:rPr>
          <w:rFonts w:eastAsia="Calibri" w:cstheme="minorHAnsi"/>
          <w:sz w:val="18"/>
          <w:szCs w:val="18"/>
        </w:rPr>
        <w:t>and 2016 American Community Survey</w:t>
      </w:r>
      <w:r w:rsidR="003C47FD" w:rsidRPr="00C90EDA">
        <w:rPr>
          <w:rFonts w:eastAsia="Calibri" w:cstheme="minorHAnsi"/>
          <w:sz w:val="18"/>
          <w:szCs w:val="18"/>
        </w:rPr>
        <w:t xml:space="preserve">. </w:t>
      </w:r>
    </w:p>
    <w:p w14:paraId="3B5E2B93" w14:textId="77777777" w:rsidR="00236FCC" w:rsidRPr="00C90EDA" w:rsidRDefault="00236FCC" w:rsidP="00E547E2">
      <w:pPr>
        <w:spacing w:after="0" w:line="240" w:lineRule="auto"/>
        <w:rPr>
          <w:rFonts w:eastAsia="Calibri" w:cstheme="minorHAnsi"/>
        </w:rPr>
      </w:pPr>
    </w:p>
    <w:p w14:paraId="35881842" w14:textId="77777777" w:rsidR="00505CB2" w:rsidRDefault="00505CB2" w:rsidP="00E547E2">
      <w:pPr>
        <w:spacing w:after="0" w:line="240" w:lineRule="auto"/>
        <w:rPr>
          <w:rFonts w:eastAsia="Calibri" w:cstheme="minorHAnsi"/>
          <w:b/>
        </w:rPr>
      </w:pPr>
    </w:p>
    <w:p w14:paraId="41177E82" w14:textId="77777777" w:rsidR="00505CB2" w:rsidRDefault="00505CB2" w:rsidP="00E547E2">
      <w:pPr>
        <w:spacing w:after="0" w:line="240" w:lineRule="auto"/>
        <w:rPr>
          <w:rFonts w:eastAsia="Calibri" w:cstheme="minorHAnsi"/>
          <w:b/>
        </w:rPr>
      </w:pPr>
    </w:p>
    <w:p w14:paraId="3D5D1599" w14:textId="77777777" w:rsidR="00505CB2" w:rsidRDefault="00505CB2" w:rsidP="00E547E2">
      <w:pPr>
        <w:spacing w:after="0" w:line="240" w:lineRule="auto"/>
        <w:rPr>
          <w:rFonts w:eastAsia="Calibri" w:cstheme="minorHAnsi"/>
          <w:b/>
        </w:rPr>
      </w:pPr>
    </w:p>
    <w:p w14:paraId="3712564A" w14:textId="77777777" w:rsidR="00505CB2" w:rsidRDefault="00505CB2" w:rsidP="00E547E2">
      <w:pPr>
        <w:spacing w:after="0" w:line="240" w:lineRule="auto"/>
        <w:rPr>
          <w:rFonts w:eastAsia="Calibri" w:cstheme="minorHAnsi"/>
          <w:b/>
        </w:rPr>
      </w:pPr>
    </w:p>
    <w:p w14:paraId="55852834" w14:textId="77777777" w:rsidR="00505CB2" w:rsidRDefault="00505CB2" w:rsidP="00E547E2">
      <w:pPr>
        <w:spacing w:after="0" w:line="240" w:lineRule="auto"/>
        <w:rPr>
          <w:rFonts w:eastAsia="Calibri" w:cstheme="minorHAnsi"/>
          <w:b/>
        </w:rPr>
      </w:pPr>
    </w:p>
    <w:p w14:paraId="70642C21" w14:textId="77777777" w:rsidR="00505CB2" w:rsidRDefault="00505CB2" w:rsidP="00E547E2">
      <w:pPr>
        <w:spacing w:after="0" w:line="240" w:lineRule="auto"/>
        <w:rPr>
          <w:rFonts w:eastAsia="Calibri" w:cstheme="minorHAnsi"/>
          <w:b/>
        </w:rPr>
      </w:pPr>
    </w:p>
    <w:p w14:paraId="4DFDD4A4" w14:textId="77777777" w:rsidR="00505CB2" w:rsidRDefault="00505CB2" w:rsidP="00E547E2">
      <w:pPr>
        <w:spacing w:after="0" w:line="240" w:lineRule="auto"/>
        <w:rPr>
          <w:rFonts w:eastAsia="Calibri" w:cstheme="minorHAnsi"/>
          <w:b/>
        </w:rPr>
      </w:pPr>
    </w:p>
    <w:p w14:paraId="1DD36BBA" w14:textId="77777777" w:rsidR="00505CB2" w:rsidRDefault="00505CB2" w:rsidP="00E547E2">
      <w:pPr>
        <w:spacing w:after="0" w:line="240" w:lineRule="auto"/>
        <w:rPr>
          <w:rFonts w:eastAsia="Calibri" w:cstheme="minorHAnsi"/>
          <w:b/>
        </w:rPr>
      </w:pPr>
    </w:p>
    <w:p w14:paraId="52D8715F" w14:textId="77777777" w:rsidR="00505CB2" w:rsidRDefault="00505CB2" w:rsidP="00E547E2">
      <w:pPr>
        <w:spacing w:after="0" w:line="240" w:lineRule="auto"/>
        <w:rPr>
          <w:rFonts w:eastAsia="Calibri" w:cstheme="minorHAnsi"/>
          <w:b/>
        </w:rPr>
      </w:pPr>
    </w:p>
    <w:p w14:paraId="3F4B943F" w14:textId="4AD1788A" w:rsidR="00E547E2" w:rsidRDefault="00E547E2" w:rsidP="00E547E2">
      <w:pPr>
        <w:spacing w:after="0" w:line="240" w:lineRule="auto"/>
        <w:rPr>
          <w:rFonts w:eastAsia="Calibri" w:cstheme="minorHAnsi"/>
        </w:rPr>
      </w:pPr>
      <w:r w:rsidRPr="00C90EDA">
        <w:rPr>
          <w:rFonts w:eastAsia="Calibri" w:cstheme="minorHAnsi"/>
          <w:b/>
        </w:rPr>
        <w:t>Table B-4</w:t>
      </w:r>
      <w:r w:rsidRPr="00C90EDA">
        <w:rPr>
          <w:rFonts w:eastAsia="Calibri" w:cstheme="minorHAnsi"/>
        </w:rPr>
        <w:t xml:space="preserve"> shows the distribution of DTC performance measure scores </w:t>
      </w:r>
      <w:r w:rsidR="00BB4B20">
        <w:rPr>
          <w:rFonts w:eastAsia="Calibri" w:cstheme="minorHAnsi"/>
        </w:rPr>
        <w:t xml:space="preserve">with and without </w:t>
      </w:r>
      <w:r w:rsidRPr="00C90EDA">
        <w:rPr>
          <w:rFonts w:eastAsia="Calibri" w:cstheme="minorHAnsi"/>
        </w:rPr>
        <w:t>social risk factor</w:t>
      </w:r>
      <w:r w:rsidR="00BB4B20">
        <w:rPr>
          <w:rFonts w:eastAsia="Calibri" w:cstheme="minorHAnsi"/>
        </w:rPr>
        <w:t xml:space="preserve"> </w:t>
      </w:r>
      <w:r w:rsidR="00BB4B20" w:rsidRPr="00C90EDA">
        <w:rPr>
          <w:rFonts w:eastAsia="Calibri" w:cstheme="minorHAnsi"/>
        </w:rPr>
        <w:t>adjust</w:t>
      </w:r>
      <w:r w:rsidR="00BB4B20">
        <w:rPr>
          <w:rFonts w:eastAsia="Calibri" w:cstheme="minorHAnsi"/>
        </w:rPr>
        <w:t>ment</w:t>
      </w:r>
      <w:r w:rsidRPr="00C90EDA">
        <w:rPr>
          <w:rFonts w:eastAsia="Calibri" w:cstheme="minorHAnsi"/>
        </w:rPr>
        <w:t xml:space="preserve">. </w:t>
      </w:r>
      <w:r w:rsidR="00A82576">
        <w:rPr>
          <w:rFonts w:eastAsia="Calibri" w:cstheme="minorHAnsi"/>
        </w:rPr>
        <w:t>Overall, social risk factor adjustment had minimal impact on provider</w:t>
      </w:r>
      <w:r w:rsidR="00726422">
        <w:rPr>
          <w:rFonts w:eastAsia="Calibri" w:cstheme="minorHAnsi"/>
        </w:rPr>
        <w:t>s’ performance</w:t>
      </w:r>
      <w:r w:rsidR="00A82576">
        <w:rPr>
          <w:rFonts w:eastAsia="Calibri" w:cstheme="minorHAnsi"/>
        </w:rPr>
        <w:t xml:space="preserve"> scores. </w:t>
      </w:r>
      <w:bookmarkStart w:id="2" w:name="_Hlk529010427"/>
      <w:r w:rsidRPr="00C90EDA">
        <w:rPr>
          <w:rFonts w:eastAsia="Calibri" w:cstheme="minorHAnsi"/>
        </w:rPr>
        <w:t xml:space="preserve">The </w:t>
      </w:r>
      <w:r w:rsidR="00BF700F">
        <w:rPr>
          <w:rFonts w:eastAsia="Calibri" w:cstheme="minorHAnsi"/>
        </w:rPr>
        <w:t xml:space="preserve">mean </w:t>
      </w:r>
      <w:r w:rsidRPr="00C90EDA">
        <w:rPr>
          <w:rFonts w:eastAsia="Calibri" w:cstheme="minorHAnsi"/>
        </w:rPr>
        <w:t>difference between</w:t>
      </w:r>
      <w:r w:rsidR="0053200F">
        <w:rPr>
          <w:rFonts w:eastAsia="Calibri" w:cstheme="minorHAnsi"/>
        </w:rPr>
        <w:t xml:space="preserve"> </w:t>
      </w:r>
      <w:r w:rsidRPr="00C90EDA">
        <w:rPr>
          <w:rFonts w:eastAsia="Calibri" w:cstheme="minorHAnsi"/>
        </w:rPr>
        <w:t xml:space="preserve">the two sets of scores </w:t>
      </w:r>
      <w:r w:rsidR="00496549">
        <w:rPr>
          <w:rFonts w:eastAsia="Calibri" w:cstheme="minorHAnsi"/>
        </w:rPr>
        <w:t xml:space="preserve">was </w:t>
      </w:r>
      <w:r w:rsidR="008C3AFE">
        <w:rPr>
          <w:rFonts w:eastAsia="Calibri" w:cstheme="minorHAnsi"/>
        </w:rPr>
        <w:t>0.00</w:t>
      </w:r>
      <w:r w:rsidR="00496549" w:rsidRPr="00C90EDA">
        <w:rPr>
          <w:rFonts w:eastAsia="Calibri" w:cstheme="minorHAnsi"/>
        </w:rPr>
        <w:t xml:space="preserve"> </w:t>
      </w:r>
      <w:r w:rsidR="00496549">
        <w:rPr>
          <w:rFonts w:eastAsia="Calibri" w:cstheme="minorHAnsi"/>
        </w:rPr>
        <w:t>percentage points, with a standard de</w:t>
      </w:r>
      <w:r w:rsidR="00DD0A1A">
        <w:rPr>
          <w:rFonts w:eastAsia="Calibri" w:cstheme="minorHAnsi"/>
        </w:rPr>
        <w:t xml:space="preserve">viation of </w:t>
      </w:r>
      <w:r w:rsidR="000A426E">
        <w:rPr>
          <w:rFonts w:eastAsia="Calibri" w:cstheme="minorHAnsi"/>
        </w:rPr>
        <w:t>0</w:t>
      </w:r>
      <w:r w:rsidR="00DD0A1A">
        <w:rPr>
          <w:rFonts w:eastAsia="Calibri" w:cstheme="minorHAnsi"/>
        </w:rPr>
        <w:t>.6</w:t>
      </w:r>
      <w:r w:rsidR="008C3AFE">
        <w:rPr>
          <w:rFonts w:eastAsia="Calibri" w:cstheme="minorHAnsi"/>
        </w:rPr>
        <w:t>4</w:t>
      </w:r>
      <w:r w:rsidR="00496549">
        <w:rPr>
          <w:rFonts w:eastAsia="Calibri" w:cstheme="minorHAnsi"/>
        </w:rPr>
        <w:t xml:space="preserve"> and interquartile range of </w:t>
      </w:r>
      <w:bookmarkEnd w:id="2"/>
      <w:r w:rsidR="000A426E">
        <w:rPr>
          <w:rFonts w:eastAsia="Calibri" w:cstheme="minorHAnsi"/>
        </w:rPr>
        <w:t>0</w:t>
      </w:r>
      <w:r w:rsidR="00DD0A1A">
        <w:rPr>
          <w:rFonts w:eastAsia="Calibri" w:cstheme="minorHAnsi"/>
        </w:rPr>
        <w:t>.73</w:t>
      </w:r>
      <w:r w:rsidRPr="00C90EDA">
        <w:rPr>
          <w:rFonts w:eastAsia="Calibri" w:cstheme="minorHAnsi"/>
        </w:rPr>
        <w:t>.</w:t>
      </w:r>
    </w:p>
    <w:p w14:paraId="63A1BC4B" w14:textId="77777777" w:rsidR="00505CB2" w:rsidRDefault="00505CB2" w:rsidP="00E547E2">
      <w:pPr>
        <w:spacing w:after="0" w:line="240" w:lineRule="auto"/>
        <w:rPr>
          <w:rFonts w:eastAsia="Calibri" w:cstheme="minorHAnsi"/>
        </w:rPr>
      </w:pPr>
    </w:p>
    <w:p w14:paraId="0E1D1FCA" w14:textId="4B2DC2E1" w:rsidR="00DD0A1A" w:rsidRPr="00C0233F" w:rsidRDefault="00DD0A1A" w:rsidP="00DD0A1A">
      <w:pPr>
        <w:rPr>
          <w:rFonts w:ascii="Calibri" w:eastAsiaTheme="minorHAnsi" w:hAnsi="Calibri"/>
          <w:b/>
          <w:color w:val="000000"/>
        </w:rPr>
      </w:pPr>
      <w:r w:rsidRPr="00C0233F">
        <w:rPr>
          <w:rFonts w:ascii="Calibri" w:hAnsi="Calibri"/>
          <w:b/>
          <w:color w:val="000000"/>
        </w:rPr>
        <w:t>T</w:t>
      </w:r>
      <w:r w:rsidR="00505CB2">
        <w:rPr>
          <w:rFonts w:ascii="Calibri" w:hAnsi="Calibri"/>
          <w:b/>
          <w:color w:val="000000"/>
        </w:rPr>
        <w:t>able B</w:t>
      </w:r>
      <w:r w:rsidRPr="00C0233F">
        <w:rPr>
          <w:rFonts w:ascii="Calibri" w:hAnsi="Calibri"/>
          <w:b/>
          <w:color w:val="000000"/>
        </w:rPr>
        <w:t>- 4. Distribution of DTC-PAC HHA Performance Measure Scores With and Without Adjustment for Social Risk Factors (K = 11,674)</w:t>
      </w:r>
    </w:p>
    <w:tbl>
      <w:tblPr>
        <w:tblW w:w="9236" w:type="dxa"/>
        <w:tblCellMar>
          <w:left w:w="0" w:type="dxa"/>
          <w:right w:w="0" w:type="dxa"/>
        </w:tblCellMar>
        <w:tblLook w:val="04A0" w:firstRow="1" w:lastRow="0" w:firstColumn="1" w:lastColumn="0" w:noHBand="0" w:noVBand="1"/>
      </w:tblPr>
      <w:tblGrid>
        <w:gridCol w:w="3637"/>
        <w:gridCol w:w="808"/>
        <w:gridCol w:w="723"/>
        <w:gridCol w:w="726"/>
        <w:gridCol w:w="734"/>
        <w:gridCol w:w="932"/>
        <w:gridCol w:w="786"/>
        <w:gridCol w:w="890"/>
      </w:tblGrid>
      <w:tr w:rsidR="00DD0A1A" w14:paraId="418F41C5" w14:textId="77777777" w:rsidTr="00E26631">
        <w:trPr>
          <w:trHeight w:val="340"/>
        </w:trPr>
        <w:tc>
          <w:tcPr>
            <w:tcW w:w="3637" w:type="dxa"/>
            <w:tcBorders>
              <w:top w:val="single" w:sz="8" w:space="0" w:color="auto"/>
              <w:left w:val="nil"/>
              <w:bottom w:val="single" w:sz="8" w:space="0" w:color="auto"/>
              <w:right w:val="nil"/>
            </w:tcBorders>
            <w:shd w:val="clear" w:color="auto" w:fill="D9D9D9"/>
            <w:noWrap/>
            <w:tcMar>
              <w:top w:w="0" w:type="dxa"/>
              <w:left w:w="108" w:type="dxa"/>
              <w:bottom w:w="0" w:type="dxa"/>
              <w:right w:w="108" w:type="dxa"/>
            </w:tcMar>
            <w:vAlign w:val="bottom"/>
            <w:hideMark/>
          </w:tcPr>
          <w:p w14:paraId="0E592E86" w14:textId="77777777" w:rsidR="00DD0A1A" w:rsidRDefault="00DD0A1A" w:rsidP="00E26631">
            <w:pPr>
              <w:spacing w:after="0"/>
              <w:jc w:val="center"/>
              <w:rPr>
                <w:rFonts w:ascii="Calibri" w:hAnsi="Calibri"/>
                <w:b/>
                <w:bCs/>
                <w:color w:val="000000"/>
              </w:rPr>
            </w:pPr>
            <w:r>
              <w:rPr>
                <w:rFonts w:ascii="Calibri" w:hAnsi="Calibri"/>
                <w:b/>
                <w:bCs/>
                <w:color w:val="000000"/>
              </w:rPr>
              <w:t>DTC-PAC HHA Performance Measure Scores</w:t>
            </w:r>
          </w:p>
        </w:tc>
        <w:tc>
          <w:tcPr>
            <w:tcW w:w="808" w:type="dxa"/>
            <w:tcBorders>
              <w:top w:val="single" w:sz="8" w:space="0" w:color="auto"/>
              <w:left w:val="nil"/>
              <w:bottom w:val="nil"/>
              <w:right w:val="nil"/>
            </w:tcBorders>
            <w:shd w:val="clear" w:color="auto" w:fill="D9D9D9"/>
            <w:noWrap/>
            <w:tcMar>
              <w:top w:w="0" w:type="dxa"/>
              <w:left w:w="108" w:type="dxa"/>
              <w:bottom w:w="0" w:type="dxa"/>
              <w:right w:w="108" w:type="dxa"/>
            </w:tcMar>
            <w:vAlign w:val="bottom"/>
            <w:hideMark/>
          </w:tcPr>
          <w:p w14:paraId="0E5A8F9E" w14:textId="77777777" w:rsidR="00DD0A1A" w:rsidRDefault="00DD0A1A" w:rsidP="00E26631">
            <w:pPr>
              <w:spacing w:after="0"/>
              <w:jc w:val="center"/>
              <w:rPr>
                <w:rFonts w:ascii="Calibri" w:hAnsi="Calibri"/>
                <w:b/>
                <w:bCs/>
                <w:color w:val="000000"/>
              </w:rPr>
            </w:pPr>
            <w:r>
              <w:rPr>
                <w:rFonts w:ascii="Calibri" w:hAnsi="Calibri"/>
                <w:b/>
                <w:bCs/>
                <w:color w:val="000000"/>
              </w:rPr>
              <w:t>Mean</w:t>
            </w:r>
          </w:p>
        </w:tc>
        <w:tc>
          <w:tcPr>
            <w:tcW w:w="723" w:type="dxa"/>
            <w:tcBorders>
              <w:top w:val="single" w:sz="8" w:space="0" w:color="auto"/>
              <w:left w:val="nil"/>
              <w:bottom w:val="nil"/>
              <w:right w:val="nil"/>
            </w:tcBorders>
            <w:shd w:val="clear" w:color="auto" w:fill="D9D9D9"/>
            <w:noWrap/>
            <w:tcMar>
              <w:top w:w="0" w:type="dxa"/>
              <w:left w:w="108" w:type="dxa"/>
              <w:bottom w:w="0" w:type="dxa"/>
              <w:right w:w="108" w:type="dxa"/>
            </w:tcMar>
            <w:vAlign w:val="bottom"/>
            <w:hideMark/>
          </w:tcPr>
          <w:p w14:paraId="43445812" w14:textId="77777777" w:rsidR="00DD0A1A" w:rsidRDefault="00DD0A1A" w:rsidP="00E26631">
            <w:pPr>
              <w:spacing w:after="0"/>
              <w:jc w:val="center"/>
              <w:rPr>
                <w:rFonts w:ascii="Calibri" w:hAnsi="Calibri"/>
                <w:b/>
                <w:bCs/>
                <w:color w:val="000000"/>
              </w:rPr>
            </w:pPr>
            <w:r>
              <w:rPr>
                <w:rFonts w:ascii="Calibri" w:hAnsi="Calibri"/>
                <w:b/>
                <w:bCs/>
                <w:color w:val="000000"/>
              </w:rPr>
              <w:t>SD</w:t>
            </w:r>
          </w:p>
        </w:tc>
        <w:tc>
          <w:tcPr>
            <w:tcW w:w="726" w:type="dxa"/>
            <w:tcBorders>
              <w:top w:val="single" w:sz="8" w:space="0" w:color="auto"/>
              <w:left w:val="nil"/>
              <w:bottom w:val="nil"/>
              <w:right w:val="nil"/>
            </w:tcBorders>
            <w:shd w:val="clear" w:color="auto" w:fill="D9D9D9"/>
            <w:noWrap/>
            <w:tcMar>
              <w:top w:w="0" w:type="dxa"/>
              <w:left w:w="108" w:type="dxa"/>
              <w:bottom w:w="0" w:type="dxa"/>
              <w:right w:w="108" w:type="dxa"/>
            </w:tcMar>
            <w:vAlign w:val="bottom"/>
            <w:hideMark/>
          </w:tcPr>
          <w:p w14:paraId="2FF382CE" w14:textId="77777777" w:rsidR="00DD0A1A" w:rsidRDefault="00DD0A1A" w:rsidP="00E26631">
            <w:pPr>
              <w:spacing w:after="0"/>
              <w:jc w:val="center"/>
              <w:rPr>
                <w:rFonts w:ascii="Calibri" w:hAnsi="Calibri"/>
                <w:b/>
                <w:bCs/>
                <w:color w:val="000000"/>
              </w:rPr>
            </w:pPr>
            <w:r>
              <w:rPr>
                <w:rFonts w:ascii="Calibri" w:hAnsi="Calibri"/>
                <w:b/>
                <w:bCs/>
                <w:color w:val="000000"/>
              </w:rPr>
              <w:t>Min</w:t>
            </w:r>
          </w:p>
        </w:tc>
        <w:tc>
          <w:tcPr>
            <w:tcW w:w="734" w:type="dxa"/>
            <w:tcBorders>
              <w:top w:val="single" w:sz="8" w:space="0" w:color="auto"/>
              <w:left w:val="nil"/>
              <w:bottom w:val="nil"/>
              <w:right w:val="nil"/>
            </w:tcBorders>
            <w:shd w:val="clear" w:color="auto" w:fill="D9D9D9"/>
            <w:noWrap/>
            <w:tcMar>
              <w:top w:w="0" w:type="dxa"/>
              <w:left w:w="108" w:type="dxa"/>
              <w:bottom w:w="0" w:type="dxa"/>
              <w:right w:w="108" w:type="dxa"/>
            </w:tcMar>
            <w:vAlign w:val="bottom"/>
            <w:hideMark/>
          </w:tcPr>
          <w:p w14:paraId="2BEDF1A1" w14:textId="77777777" w:rsidR="00DD0A1A" w:rsidRDefault="00DD0A1A" w:rsidP="00E26631">
            <w:pPr>
              <w:spacing w:after="0"/>
              <w:jc w:val="center"/>
              <w:rPr>
                <w:rFonts w:ascii="Calibri" w:hAnsi="Calibri"/>
                <w:b/>
                <w:bCs/>
                <w:color w:val="000000"/>
              </w:rPr>
            </w:pPr>
            <w:r>
              <w:rPr>
                <w:rFonts w:ascii="Calibri" w:hAnsi="Calibri"/>
                <w:b/>
                <w:bCs/>
                <w:color w:val="000000"/>
              </w:rPr>
              <w:t>25th Pct*</w:t>
            </w:r>
          </w:p>
        </w:tc>
        <w:tc>
          <w:tcPr>
            <w:tcW w:w="932" w:type="dxa"/>
            <w:tcBorders>
              <w:top w:val="single" w:sz="8" w:space="0" w:color="auto"/>
              <w:left w:val="nil"/>
              <w:bottom w:val="nil"/>
              <w:right w:val="nil"/>
            </w:tcBorders>
            <w:shd w:val="clear" w:color="auto" w:fill="D9D9D9"/>
            <w:noWrap/>
            <w:tcMar>
              <w:top w:w="0" w:type="dxa"/>
              <w:left w:w="108" w:type="dxa"/>
              <w:bottom w:w="0" w:type="dxa"/>
              <w:right w:w="108" w:type="dxa"/>
            </w:tcMar>
            <w:vAlign w:val="bottom"/>
            <w:hideMark/>
          </w:tcPr>
          <w:p w14:paraId="625B6A54" w14:textId="77777777" w:rsidR="00DD0A1A" w:rsidRDefault="00DD0A1A" w:rsidP="00E26631">
            <w:pPr>
              <w:spacing w:after="0"/>
              <w:jc w:val="center"/>
              <w:rPr>
                <w:rFonts w:ascii="Calibri" w:hAnsi="Calibri"/>
                <w:b/>
                <w:bCs/>
                <w:color w:val="000000"/>
              </w:rPr>
            </w:pPr>
            <w:r>
              <w:rPr>
                <w:rFonts w:ascii="Calibri" w:hAnsi="Calibri"/>
                <w:b/>
                <w:bCs/>
                <w:color w:val="000000"/>
              </w:rPr>
              <w:t>Median</w:t>
            </w:r>
          </w:p>
        </w:tc>
        <w:tc>
          <w:tcPr>
            <w:tcW w:w="786" w:type="dxa"/>
            <w:tcBorders>
              <w:top w:val="single" w:sz="8" w:space="0" w:color="auto"/>
              <w:left w:val="nil"/>
              <w:bottom w:val="nil"/>
              <w:right w:val="nil"/>
            </w:tcBorders>
            <w:shd w:val="clear" w:color="auto" w:fill="D9D9D9"/>
            <w:noWrap/>
            <w:tcMar>
              <w:top w:w="0" w:type="dxa"/>
              <w:left w:w="108" w:type="dxa"/>
              <w:bottom w:w="0" w:type="dxa"/>
              <w:right w:w="108" w:type="dxa"/>
            </w:tcMar>
            <w:vAlign w:val="bottom"/>
            <w:hideMark/>
          </w:tcPr>
          <w:p w14:paraId="680B053C" w14:textId="77777777" w:rsidR="00DD0A1A" w:rsidRDefault="00DD0A1A" w:rsidP="00E26631">
            <w:pPr>
              <w:spacing w:after="0"/>
              <w:jc w:val="center"/>
              <w:rPr>
                <w:rFonts w:ascii="Calibri" w:hAnsi="Calibri"/>
                <w:b/>
                <w:bCs/>
                <w:color w:val="000000"/>
              </w:rPr>
            </w:pPr>
            <w:r>
              <w:rPr>
                <w:rFonts w:ascii="Calibri" w:hAnsi="Calibri"/>
                <w:b/>
                <w:bCs/>
                <w:color w:val="000000"/>
              </w:rPr>
              <w:t>75th Pct*</w:t>
            </w:r>
          </w:p>
        </w:tc>
        <w:tc>
          <w:tcPr>
            <w:tcW w:w="890" w:type="dxa"/>
            <w:tcBorders>
              <w:top w:val="single" w:sz="8" w:space="0" w:color="auto"/>
              <w:left w:val="nil"/>
              <w:bottom w:val="nil"/>
              <w:right w:val="nil"/>
            </w:tcBorders>
            <w:shd w:val="clear" w:color="auto" w:fill="D9D9D9"/>
            <w:noWrap/>
            <w:tcMar>
              <w:top w:w="0" w:type="dxa"/>
              <w:left w:w="108" w:type="dxa"/>
              <w:bottom w:w="0" w:type="dxa"/>
              <w:right w:w="108" w:type="dxa"/>
            </w:tcMar>
            <w:vAlign w:val="bottom"/>
            <w:hideMark/>
          </w:tcPr>
          <w:p w14:paraId="09D4BE25" w14:textId="77777777" w:rsidR="00DD0A1A" w:rsidRDefault="00DD0A1A" w:rsidP="00E26631">
            <w:pPr>
              <w:spacing w:after="0"/>
              <w:jc w:val="center"/>
              <w:rPr>
                <w:rFonts w:ascii="Calibri" w:hAnsi="Calibri"/>
                <w:b/>
                <w:bCs/>
                <w:color w:val="000000"/>
              </w:rPr>
            </w:pPr>
            <w:r>
              <w:rPr>
                <w:rFonts w:ascii="Calibri" w:hAnsi="Calibri"/>
                <w:b/>
                <w:bCs/>
                <w:color w:val="000000"/>
              </w:rPr>
              <w:t>Max</w:t>
            </w:r>
          </w:p>
        </w:tc>
      </w:tr>
      <w:tr w:rsidR="00DD0A1A" w14:paraId="6A147D44" w14:textId="77777777" w:rsidTr="00E26631">
        <w:trPr>
          <w:trHeight w:val="181"/>
        </w:trPr>
        <w:tc>
          <w:tcPr>
            <w:tcW w:w="3637" w:type="dxa"/>
            <w:noWrap/>
            <w:tcMar>
              <w:top w:w="0" w:type="dxa"/>
              <w:left w:w="108" w:type="dxa"/>
              <w:bottom w:w="0" w:type="dxa"/>
              <w:right w:w="108" w:type="dxa"/>
            </w:tcMar>
            <w:vAlign w:val="bottom"/>
            <w:hideMark/>
          </w:tcPr>
          <w:p w14:paraId="2FDB027A" w14:textId="4BE23E31" w:rsidR="00DD0A1A" w:rsidRDefault="00EA066A" w:rsidP="00E26631">
            <w:pPr>
              <w:spacing w:after="0"/>
              <w:rPr>
                <w:rFonts w:ascii="Calibri" w:hAnsi="Calibri"/>
                <w:color w:val="000000"/>
              </w:rPr>
            </w:pPr>
            <w:r>
              <w:rPr>
                <w:rFonts w:ascii="Calibri" w:hAnsi="Calibri"/>
                <w:color w:val="000000"/>
              </w:rPr>
              <w:t xml:space="preserve">Original Model - </w:t>
            </w:r>
            <w:r w:rsidR="00DD0A1A">
              <w:rPr>
                <w:rFonts w:ascii="Calibri" w:hAnsi="Calibri"/>
                <w:color w:val="000000"/>
              </w:rPr>
              <w:t>Not adjusting for SRF</w:t>
            </w:r>
          </w:p>
        </w:tc>
        <w:tc>
          <w:tcPr>
            <w:tcW w:w="808" w:type="dxa"/>
            <w:tcBorders>
              <w:top w:val="single" w:sz="8" w:space="0" w:color="auto"/>
              <w:left w:val="nil"/>
              <w:bottom w:val="nil"/>
              <w:right w:val="nil"/>
            </w:tcBorders>
            <w:noWrap/>
            <w:tcMar>
              <w:top w:w="0" w:type="dxa"/>
              <w:left w:w="108" w:type="dxa"/>
              <w:bottom w:w="0" w:type="dxa"/>
              <w:right w:w="108" w:type="dxa"/>
            </w:tcMar>
            <w:vAlign w:val="bottom"/>
            <w:hideMark/>
          </w:tcPr>
          <w:p w14:paraId="7FFAC8F9" w14:textId="77777777" w:rsidR="00DD0A1A" w:rsidRDefault="00DD0A1A" w:rsidP="00E26631">
            <w:pPr>
              <w:spacing w:after="0"/>
              <w:jc w:val="right"/>
              <w:rPr>
                <w:rFonts w:ascii="Calibri" w:hAnsi="Calibri"/>
                <w:color w:val="000000"/>
              </w:rPr>
            </w:pPr>
            <w:r>
              <w:rPr>
                <w:rFonts w:ascii="Calibri" w:hAnsi="Calibri"/>
                <w:color w:val="000000"/>
              </w:rPr>
              <w:t>75.97</w:t>
            </w:r>
          </w:p>
        </w:tc>
        <w:tc>
          <w:tcPr>
            <w:tcW w:w="723" w:type="dxa"/>
            <w:tcBorders>
              <w:top w:val="single" w:sz="8" w:space="0" w:color="auto"/>
              <w:left w:val="nil"/>
              <w:bottom w:val="nil"/>
              <w:right w:val="nil"/>
            </w:tcBorders>
            <w:noWrap/>
            <w:tcMar>
              <w:top w:w="0" w:type="dxa"/>
              <w:left w:w="108" w:type="dxa"/>
              <w:bottom w:w="0" w:type="dxa"/>
              <w:right w:w="108" w:type="dxa"/>
            </w:tcMar>
            <w:vAlign w:val="bottom"/>
            <w:hideMark/>
          </w:tcPr>
          <w:p w14:paraId="52FD03AC" w14:textId="77777777" w:rsidR="00DD0A1A" w:rsidRDefault="00DD0A1A" w:rsidP="00E26631">
            <w:pPr>
              <w:spacing w:after="0"/>
              <w:jc w:val="right"/>
              <w:rPr>
                <w:rFonts w:ascii="Calibri" w:hAnsi="Calibri"/>
                <w:color w:val="000000"/>
              </w:rPr>
            </w:pPr>
            <w:r>
              <w:rPr>
                <w:rFonts w:ascii="Calibri" w:hAnsi="Calibri"/>
                <w:color w:val="000000"/>
              </w:rPr>
              <w:t>17.46</w:t>
            </w:r>
          </w:p>
        </w:tc>
        <w:tc>
          <w:tcPr>
            <w:tcW w:w="726" w:type="dxa"/>
            <w:tcBorders>
              <w:top w:val="single" w:sz="8" w:space="0" w:color="auto"/>
              <w:left w:val="nil"/>
              <w:bottom w:val="nil"/>
              <w:right w:val="nil"/>
            </w:tcBorders>
            <w:noWrap/>
            <w:tcMar>
              <w:top w:w="0" w:type="dxa"/>
              <w:left w:w="108" w:type="dxa"/>
              <w:bottom w:w="0" w:type="dxa"/>
              <w:right w:w="108" w:type="dxa"/>
            </w:tcMar>
            <w:vAlign w:val="bottom"/>
            <w:hideMark/>
          </w:tcPr>
          <w:p w14:paraId="4F82CA34" w14:textId="77777777" w:rsidR="00DD0A1A" w:rsidRDefault="00DD0A1A" w:rsidP="00E26631">
            <w:pPr>
              <w:spacing w:after="0"/>
              <w:jc w:val="right"/>
              <w:rPr>
                <w:rFonts w:ascii="Calibri" w:hAnsi="Calibri"/>
                <w:color w:val="000000"/>
              </w:rPr>
            </w:pPr>
            <w:r>
              <w:rPr>
                <w:rFonts w:ascii="Calibri" w:hAnsi="Calibri"/>
                <w:color w:val="000000"/>
              </w:rPr>
              <w:t>1.69</w:t>
            </w:r>
          </w:p>
        </w:tc>
        <w:tc>
          <w:tcPr>
            <w:tcW w:w="734" w:type="dxa"/>
            <w:tcBorders>
              <w:top w:val="single" w:sz="8" w:space="0" w:color="auto"/>
              <w:left w:val="nil"/>
              <w:bottom w:val="nil"/>
              <w:right w:val="nil"/>
            </w:tcBorders>
            <w:noWrap/>
            <w:tcMar>
              <w:top w:w="0" w:type="dxa"/>
              <w:left w:w="108" w:type="dxa"/>
              <w:bottom w:w="0" w:type="dxa"/>
              <w:right w:w="108" w:type="dxa"/>
            </w:tcMar>
            <w:vAlign w:val="bottom"/>
            <w:hideMark/>
          </w:tcPr>
          <w:p w14:paraId="67941C3B" w14:textId="77777777" w:rsidR="00DD0A1A" w:rsidRDefault="00DD0A1A" w:rsidP="00E26631">
            <w:pPr>
              <w:spacing w:after="0"/>
              <w:jc w:val="right"/>
              <w:rPr>
                <w:rFonts w:ascii="Calibri" w:hAnsi="Calibri"/>
                <w:color w:val="000000"/>
              </w:rPr>
            </w:pPr>
            <w:r>
              <w:rPr>
                <w:rFonts w:ascii="Calibri" w:hAnsi="Calibri"/>
                <w:color w:val="000000"/>
              </w:rPr>
              <w:t>68.33</w:t>
            </w:r>
          </w:p>
        </w:tc>
        <w:tc>
          <w:tcPr>
            <w:tcW w:w="932" w:type="dxa"/>
            <w:tcBorders>
              <w:top w:val="single" w:sz="8" w:space="0" w:color="auto"/>
              <w:left w:val="nil"/>
              <w:bottom w:val="nil"/>
              <w:right w:val="nil"/>
            </w:tcBorders>
            <w:noWrap/>
            <w:tcMar>
              <w:top w:w="0" w:type="dxa"/>
              <w:left w:w="108" w:type="dxa"/>
              <w:bottom w:w="0" w:type="dxa"/>
              <w:right w:w="108" w:type="dxa"/>
            </w:tcMar>
            <w:vAlign w:val="bottom"/>
            <w:hideMark/>
          </w:tcPr>
          <w:p w14:paraId="380C007D" w14:textId="77777777" w:rsidR="00DD0A1A" w:rsidRDefault="00DD0A1A" w:rsidP="00E26631">
            <w:pPr>
              <w:spacing w:after="0"/>
              <w:jc w:val="right"/>
              <w:rPr>
                <w:rFonts w:ascii="Calibri" w:hAnsi="Calibri"/>
                <w:color w:val="000000"/>
              </w:rPr>
            </w:pPr>
            <w:r>
              <w:rPr>
                <w:rFonts w:ascii="Calibri" w:hAnsi="Calibri"/>
                <w:color w:val="000000"/>
              </w:rPr>
              <w:t>81.73</w:t>
            </w:r>
          </w:p>
        </w:tc>
        <w:tc>
          <w:tcPr>
            <w:tcW w:w="786" w:type="dxa"/>
            <w:tcBorders>
              <w:top w:val="single" w:sz="8" w:space="0" w:color="auto"/>
              <w:left w:val="nil"/>
              <w:bottom w:val="nil"/>
              <w:right w:val="nil"/>
            </w:tcBorders>
            <w:noWrap/>
            <w:tcMar>
              <w:top w:w="0" w:type="dxa"/>
              <w:left w:w="108" w:type="dxa"/>
              <w:bottom w:w="0" w:type="dxa"/>
              <w:right w:w="108" w:type="dxa"/>
            </w:tcMar>
            <w:vAlign w:val="bottom"/>
            <w:hideMark/>
          </w:tcPr>
          <w:p w14:paraId="3F7B9B52" w14:textId="77777777" w:rsidR="00DD0A1A" w:rsidRDefault="00DD0A1A" w:rsidP="00E26631">
            <w:pPr>
              <w:spacing w:after="0"/>
              <w:jc w:val="right"/>
              <w:rPr>
                <w:rFonts w:ascii="Calibri" w:hAnsi="Calibri"/>
                <w:color w:val="000000"/>
              </w:rPr>
            </w:pPr>
            <w:r>
              <w:rPr>
                <w:rFonts w:ascii="Calibri" w:hAnsi="Calibri"/>
                <w:color w:val="000000"/>
              </w:rPr>
              <w:t>88.25</w:t>
            </w:r>
          </w:p>
        </w:tc>
        <w:tc>
          <w:tcPr>
            <w:tcW w:w="890" w:type="dxa"/>
            <w:tcBorders>
              <w:top w:val="single" w:sz="8" w:space="0" w:color="auto"/>
              <w:left w:val="nil"/>
              <w:bottom w:val="nil"/>
              <w:right w:val="nil"/>
            </w:tcBorders>
            <w:noWrap/>
            <w:tcMar>
              <w:top w:w="0" w:type="dxa"/>
              <w:left w:w="108" w:type="dxa"/>
              <w:bottom w:w="0" w:type="dxa"/>
              <w:right w:w="108" w:type="dxa"/>
            </w:tcMar>
            <w:vAlign w:val="bottom"/>
            <w:hideMark/>
          </w:tcPr>
          <w:p w14:paraId="04025F73" w14:textId="77777777" w:rsidR="00DD0A1A" w:rsidRDefault="00DD0A1A" w:rsidP="00E26631">
            <w:pPr>
              <w:spacing w:after="0"/>
              <w:jc w:val="right"/>
              <w:rPr>
                <w:rFonts w:ascii="Calibri" w:hAnsi="Calibri"/>
                <w:color w:val="000000"/>
              </w:rPr>
            </w:pPr>
            <w:r>
              <w:rPr>
                <w:rFonts w:ascii="Calibri" w:hAnsi="Calibri"/>
                <w:color w:val="000000"/>
              </w:rPr>
              <w:t>100.00</w:t>
            </w:r>
          </w:p>
        </w:tc>
      </w:tr>
      <w:tr w:rsidR="008C3AFE" w14:paraId="54F6AEE8" w14:textId="77777777" w:rsidTr="00E26631">
        <w:trPr>
          <w:trHeight w:val="340"/>
        </w:trPr>
        <w:tc>
          <w:tcPr>
            <w:tcW w:w="3637" w:type="dxa"/>
            <w:noWrap/>
            <w:tcMar>
              <w:top w:w="0" w:type="dxa"/>
              <w:left w:w="108" w:type="dxa"/>
              <w:bottom w:w="0" w:type="dxa"/>
              <w:right w:w="108" w:type="dxa"/>
            </w:tcMar>
            <w:vAlign w:val="bottom"/>
            <w:hideMark/>
          </w:tcPr>
          <w:p w14:paraId="2F168647" w14:textId="517A059C" w:rsidR="008C3AFE" w:rsidRDefault="00EA066A" w:rsidP="008C3AFE">
            <w:pPr>
              <w:spacing w:after="0"/>
              <w:rPr>
                <w:rFonts w:ascii="Calibri" w:hAnsi="Calibri"/>
                <w:color w:val="000000"/>
              </w:rPr>
            </w:pPr>
            <w:r>
              <w:rPr>
                <w:rFonts w:ascii="Calibri" w:hAnsi="Calibri"/>
                <w:color w:val="000000"/>
              </w:rPr>
              <w:t xml:space="preserve">SDS Model - </w:t>
            </w:r>
            <w:bookmarkStart w:id="3" w:name="_GoBack"/>
            <w:bookmarkEnd w:id="3"/>
            <w:r w:rsidR="008C3AFE">
              <w:rPr>
                <w:rFonts w:ascii="Calibri" w:hAnsi="Calibri"/>
                <w:color w:val="000000"/>
              </w:rPr>
              <w:t>Adjusting for SRF</w:t>
            </w:r>
          </w:p>
        </w:tc>
        <w:tc>
          <w:tcPr>
            <w:tcW w:w="808" w:type="dxa"/>
            <w:noWrap/>
            <w:tcMar>
              <w:top w:w="0" w:type="dxa"/>
              <w:left w:w="108" w:type="dxa"/>
              <w:bottom w:w="0" w:type="dxa"/>
              <w:right w:w="108" w:type="dxa"/>
            </w:tcMar>
            <w:vAlign w:val="bottom"/>
            <w:hideMark/>
          </w:tcPr>
          <w:p w14:paraId="0E2A0CD7" w14:textId="50D2D7E5" w:rsidR="008C3AFE" w:rsidRDefault="008C3AFE" w:rsidP="008C3AFE">
            <w:pPr>
              <w:spacing w:after="0"/>
              <w:jc w:val="right"/>
              <w:rPr>
                <w:rFonts w:ascii="Calibri" w:hAnsi="Calibri"/>
                <w:color w:val="000000"/>
              </w:rPr>
            </w:pPr>
            <w:r>
              <w:rPr>
                <w:rFonts w:ascii="Calibri" w:hAnsi="Calibri" w:cs="Calibri"/>
                <w:color w:val="000000"/>
              </w:rPr>
              <w:t>75.96</w:t>
            </w:r>
          </w:p>
        </w:tc>
        <w:tc>
          <w:tcPr>
            <w:tcW w:w="723" w:type="dxa"/>
            <w:noWrap/>
            <w:tcMar>
              <w:top w:w="0" w:type="dxa"/>
              <w:left w:w="108" w:type="dxa"/>
              <w:bottom w:w="0" w:type="dxa"/>
              <w:right w:w="108" w:type="dxa"/>
            </w:tcMar>
            <w:vAlign w:val="bottom"/>
            <w:hideMark/>
          </w:tcPr>
          <w:p w14:paraId="7E3B4CAC" w14:textId="43B158EA" w:rsidR="008C3AFE" w:rsidRDefault="008C3AFE" w:rsidP="008C3AFE">
            <w:pPr>
              <w:spacing w:after="0"/>
              <w:jc w:val="right"/>
              <w:rPr>
                <w:rFonts w:ascii="Calibri" w:hAnsi="Calibri"/>
                <w:color w:val="000000"/>
              </w:rPr>
            </w:pPr>
            <w:r>
              <w:rPr>
                <w:rFonts w:ascii="Calibri" w:hAnsi="Calibri" w:cs="Calibri"/>
                <w:color w:val="000000"/>
              </w:rPr>
              <w:t>17.41</w:t>
            </w:r>
          </w:p>
        </w:tc>
        <w:tc>
          <w:tcPr>
            <w:tcW w:w="726" w:type="dxa"/>
            <w:noWrap/>
            <w:tcMar>
              <w:top w:w="0" w:type="dxa"/>
              <w:left w:w="108" w:type="dxa"/>
              <w:bottom w:w="0" w:type="dxa"/>
              <w:right w:w="108" w:type="dxa"/>
            </w:tcMar>
            <w:vAlign w:val="bottom"/>
            <w:hideMark/>
          </w:tcPr>
          <w:p w14:paraId="43F96802" w14:textId="05ACD1FE" w:rsidR="008C3AFE" w:rsidRDefault="008C3AFE" w:rsidP="008C3AFE">
            <w:pPr>
              <w:spacing w:after="0"/>
              <w:jc w:val="right"/>
              <w:rPr>
                <w:rFonts w:ascii="Calibri" w:hAnsi="Calibri"/>
                <w:color w:val="000000"/>
              </w:rPr>
            </w:pPr>
            <w:r>
              <w:rPr>
                <w:rFonts w:ascii="Calibri" w:hAnsi="Calibri" w:cs="Calibri"/>
                <w:color w:val="000000"/>
              </w:rPr>
              <w:t>1.68</w:t>
            </w:r>
          </w:p>
        </w:tc>
        <w:tc>
          <w:tcPr>
            <w:tcW w:w="734" w:type="dxa"/>
            <w:noWrap/>
            <w:tcMar>
              <w:top w:w="0" w:type="dxa"/>
              <w:left w:w="108" w:type="dxa"/>
              <w:bottom w:w="0" w:type="dxa"/>
              <w:right w:w="108" w:type="dxa"/>
            </w:tcMar>
            <w:vAlign w:val="bottom"/>
            <w:hideMark/>
          </w:tcPr>
          <w:p w14:paraId="5217E294" w14:textId="5200AD9A" w:rsidR="008C3AFE" w:rsidRDefault="008C3AFE" w:rsidP="008C3AFE">
            <w:pPr>
              <w:spacing w:after="0"/>
              <w:jc w:val="right"/>
              <w:rPr>
                <w:rFonts w:ascii="Calibri" w:hAnsi="Calibri"/>
                <w:color w:val="000000"/>
              </w:rPr>
            </w:pPr>
            <w:r>
              <w:rPr>
                <w:rFonts w:ascii="Calibri" w:hAnsi="Calibri" w:cs="Calibri"/>
                <w:color w:val="000000"/>
              </w:rPr>
              <w:t>68.30</w:t>
            </w:r>
          </w:p>
        </w:tc>
        <w:tc>
          <w:tcPr>
            <w:tcW w:w="932" w:type="dxa"/>
            <w:noWrap/>
            <w:tcMar>
              <w:top w:w="0" w:type="dxa"/>
              <w:left w:w="108" w:type="dxa"/>
              <w:bottom w:w="0" w:type="dxa"/>
              <w:right w:w="108" w:type="dxa"/>
            </w:tcMar>
            <w:vAlign w:val="bottom"/>
            <w:hideMark/>
          </w:tcPr>
          <w:p w14:paraId="795C1709" w14:textId="7F10CCDA" w:rsidR="008C3AFE" w:rsidRDefault="008C3AFE" w:rsidP="008C3AFE">
            <w:pPr>
              <w:spacing w:after="0"/>
              <w:jc w:val="right"/>
              <w:rPr>
                <w:rFonts w:ascii="Calibri" w:hAnsi="Calibri"/>
                <w:color w:val="000000"/>
              </w:rPr>
            </w:pPr>
            <w:r>
              <w:rPr>
                <w:rFonts w:ascii="Calibri" w:hAnsi="Calibri" w:cs="Calibri"/>
                <w:color w:val="000000"/>
              </w:rPr>
              <w:t>81.66</w:t>
            </w:r>
          </w:p>
        </w:tc>
        <w:tc>
          <w:tcPr>
            <w:tcW w:w="786" w:type="dxa"/>
            <w:noWrap/>
            <w:tcMar>
              <w:top w:w="0" w:type="dxa"/>
              <w:left w:w="108" w:type="dxa"/>
              <w:bottom w:w="0" w:type="dxa"/>
              <w:right w:w="108" w:type="dxa"/>
            </w:tcMar>
            <w:vAlign w:val="bottom"/>
            <w:hideMark/>
          </w:tcPr>
          <w:p w14:paraId="5CECBB37" w14:textId="428FB437" w:rsidR="008C3AFE" w:rsidRDefault="008C3AFE" w:rsidP="008C3AFE">
            <w:pPr>
              <w:spacing w:after="0"/>
              <w:jc w:val="right"/>
              <w:rPr>
                <w:rFonts w:ascii="Calibri" w:hAnsi="Calibri"/>
                <w:color w:val="000000"/>
              </w:rPr>
            </w:pPr>
            <w:r>
              <w:rPr>
                <w:rFonts w:ascii="Calibri" w:hAnsi="Calibri" w:cs="Calibri"/>
                <w:color w:val="000000"/>
              </w:rPr>
              <w:t>88.09</w:t>
            </w:r>
          </w:p>
        </w:tc>
        <w:tc>
          <w:tcPr>
            <w:tcW w:w="890" w:type="dxa"/>
            <w:noWrap/>
            <w:tcMar>
              <w:top w:w="0" w:type="dxa"/>
              <w:left w:w="108" w:type="dxa"/>
              <w:bottom w:w="0" w:type="dxa"/>
              <w:right w:w="108" w:type="dxa"/>
            </w:tcMar>
            <w:vAlign w:val="bottom"/>
            <w:hideMark/>
          </w:tcPr>
          <w:p w14:paraId="00D70C12" w14:textId="1E0186E9" w:rsidR="008C3AFE" w:rsidRDefault="008C3AFE" w:rsidP="008C3AFE">
            <w:pPr>
              <w:spacing w:after="0"/>
              <w:jc w:val="right"/>
              <w:rPr>
                <w:rFonts w:ascii="Calibri" w:hAnsi="Calibri"/>
                <w:color w:val="000000"/>
              </w:rPr>
            </w:pPr>
            <w:r>
              <w:rPr>
                <w:rFonts w:ascii="Calibri" w:hAnsi="Calibri" w:cs="Calibri"/>
                <w:color w:val="000000"/>
              </w:rPr>
              <w:t>100.00</w:t>
            </w:r>
          </w:p>
        </w:tc>
      </w:tr>
      <w:tr w:rsidR="008C3AFE" w14:paraId="7DAD8685" w14:textId="77777777" w:rsidTr="00E26631">
        <w:trPr>
          <w:trHeight w:val="340"/>
        </w:trPr>
        <w:tc>
          <w:tcPr>
            <w:tcW w:w="3637" w:type="dxa"/>
            <w:tcBorders>
              <w:top w:val="nil"/>
              <w:left w:val="nil"/>
              <w:bottom w:val="single" w:sz="8" w:space="0" w:color="auto"/>
              <w:right w:val="nil"/>
            </w:tcBorders>
            <w:noWrap/>
            <w:tcMar>
              <w:top w:w="0" w:type="dxa"/>
              <w:left w:w="108" w:type="dxa"/>
              <w:bottom w:w="0" w:type="dxa"/>
              <w:right w:w="108" w:type="dxa"/>
            </w:tcMar>
            <w:vAlign w:val="bottom"/>
            <w:hideMark/>
          </w:tcPr>
          <w:p w14:paraId="16A0E61B" w14:textId="77777777" w:rsidR="008C3AFE" w:rsidRDefault="008C3AFE" w:rsidP="008C3AFE">
            <w:pPr>
              <w:spacing w:after="0"/>
              <w:rPr>
                <w:rFonts w:ascii="Calibri" w:hAnsi="Calibri"/>
                <w:color w:val="000000"/>
              </w:rPr>
            </w:pPr>
            <w:r>
              <w:rPr>
                <w:rFonts w:ascii="Calibri" w:hAnsi="Calibri"/>
                <w:color w:val="000000"/>
              </w:rPr>
              <w:t>Difference in SRF-adjusted and non-SRF-adjusted scores**</w:t>
            </w:r>
          </w:p>
        </w:tc>
        <w:tc>
          <w:tcPr>
            <w:tcW w:w="808" w:type="dxa"/>
            <w:tcBorders>
              <w:top w:val="nil"/>
              <w:left w:val="nil"/>
              <w:bottom w:val="single" w:sz="8" w:space="0" w:color="auto"/>
              <w:right w:val="nil"/>
            </w:tcBorders>
            <w:noWrap/>
            <w:tcMar>
              <w:top w:w="0" w:type="dxa"/>
              <w:left w:w="108" w:type="dxa"/>
              <w:bottom w:w="0" w:type="dxa"/>
              <w:right w:w="108" w:type="dxa"/>
            </w:tcMar>
            <w:vAlign w:val="bottom"/>
            <w:hideMark/>
          </w:tcPr>
          <w:p w14:paraId="35A8675C" w14:textId="3BA165D2" w:rsidR="008C3AFE" w:rsidRDefault="008C3AFE" w:rsidP="008C3AFE">
            <w:pPr>
              <w:spacing w:after="0"/>
              <w:jc w:val="right"/>
              <w:rPr>
                <w:rFonts w:ascii="Calibri" w:hAnsi="Calibri"/>
                <w:color w:val="000000"/>
              </w:rPr>
            </w:pPr>
            <w:r>
              <w:rPr>
                <w:rFonts w:ascii="Calibri" w:hAnsi="Calibri" w:cs="Calibri"/>
                <w:color w:val="000000"/>
              </w:rPr>
              <w:t>0.00</w:t>
            </w:r>
          </w:p>
        </w:tc>
        <w:tc>
          <w:tcPr>
            <w:tcW w:w="723" w:type="dxa"/>
            <w:tcBorders>
              <w:top w:val="nil"/>
              <w:left w:val="nil"/>
              <w:bottom w:val="single" w:sz="8" w:space="0" w:color="auto"/>
              <w:right w:val="nil"/>
            </w:tcBorders>
            <w:noWrap/>
            <w:tcMar>
              <w:top w:w="0" w:type="dxa"/>
              <w:left w:w="108" w:type="dxa"/>
              <w:bottom w:w="0" w:type="dxa"/>
              <w:right w:w="108" w:type="dxa"/>
            </w:tcMar>
            <w:vAlign w:val="bottom"/>
            <w:hideMark/>
          </w:tcPr>
          <w:p w14:paraId="18920E30" w14:textId="39CC0693" w:rsidR="008C3AFE" w:rsidRDefault="008C3AFE" w:rsidP="008C3AFE">
            <w:pPr>
              <w:spacing w:after="0"/>
              <w:jc w:val="right"/>
              <w:rPr>
                <w:rFonts w:ascii="Calibri" w:hAnsi="Calibri"/>
                <w:color w:val="000000"/>
              </w:rPr>
            </w:pPr>
            <w:r>
              <w:rPr>
                <w:rFonts w:ascii="Calibri" w:hAnsi="Calibri" w:cs="Calibri"/>
                <w:color w:val="000000"/>
              </w:rPr>
              <w:t>0.64</w:t>
            </w:r>
          </w:p>
        </w:tc>
        <w:tc>
          <w:tcPr>
            <w:tcW w:w="726" w:type="dxa"/>
            <w:tcBorders>
              <w:top w:val="nil"/>
              <w:left w:val="nil"/>
              <w:bottom w:val="single" w:sz="8" w:space="0" w:color="auto"/>
              <w:right w:val="nil"/>
            </w:tcBorders>
            <w:noWrap/>
            <w:tcMar>
              <w:top w:w="0" w:type="dxa"/>
              <w:left w:w="108" w:type="dxa"/>
              <w:bottom w:w="0" w:type="dxa"/>
              <w:right w:w="108" w:type="dxa"/>
            </w:tcMar>
            <w:vAlign w:val="bottom"/>
            <w:hideMark/>
          </w:tcPr>
          <w:p w14:paraId="36371224" w14:textId="632514B6" w:rsidR="008C3AFE" w:rsidRDefault="008C3AFE" w:rsidP="008C3AFE">
            <w:pPr>
              <w:spacing w:after="0"/>
              <w:jc w:val="right"/>
              <w:rPr>
                <w:rFonts w:ascii="Calibri" w:hAnsi="Calibri"/>
                <w:color w:val="000000"/>
              </w:rPr>
            </w:pPr>
            <w:r>
              <w:rPr>
                <w:rFonts w:ascii="Calibri" w:hAnsi="Calibri" w:cs="Calibri"/>
                <w:color w:val="000000"/>
              </w:rPr>
              <w:t>-4.82</w:t>
            </w:r>
          </w:p>
        </w:tc>
        <w:tc>
          <w:tcPr>
            <w:tcW w:w="734" w:type="dxa"/>
            <w:tcBorders>
              <w:top w:val="nil"/>
              <w:left w:val="nil"/>
              <w:bottom w:val="single" w:sz="8" w:space="0" w:color="auto"/>
              <w:right w:val="nil"/>
            </w:tcBorders>
            <w:noWrap/>
            <w:tcMar>
              <w:top w:w="0" w:type="dxa"/>
              <w:left w:w="108" w:type="dxa"/>
              <w:bottom w:w="0" w:type="dxa"/>
              <w:right w:w="108" w:type="dxa"/>
            </w:tcMar>
            <w:vAlign w:val="bottom"/>
            <w:hideMark/>
          </w:tcPr>
          <w:p w14:paraId="79BFCC96" w14:textId="209865C2" w:rsidR="008C3AFE" w:rsidRDefault="008C3AFE" w:rsidP="008C3AFE">
            <w:pPr>
              <w:spacing w:after="0"/>
              <w:jc w:val="right"/>
              <w:rPr>
                <w:rFonts w:ascii="Calibri" w:hAnsi="Calibri"/>
                <w:color w:val="000000"/>
              </w:rPr>
            </w:pPr>
            <w:r>
              <w:rPr>
                <w:rFonts w:ascii="Calibri" w:hAnsi="Calibri" w:cs="Calibri"/>
                <w:color w:val="000000"/>
              </w:rPr>
              <w:t>-0.39</w:t>
            </w:r>
          </w:p>
        </w:tc>
        <w:tc>
          <w:tcPr>
            <w:tcW w:w="932" w:type="dxa"/>
            <w:tcBorders>
              <w:top w:val="nil"/>
              <w:left w:val="nil"/>
              <w:bottom w:val="single" w:sz="8" w:space="0" w:color="auto"/>
              <w:right w:val="nil"/>
            </w:tcBorders>
            <w:noWrap/>
            <w:tcMar>
              <w:top w:w="0" w:type="dxa"/>
              <w:left w:w="108" w:type="dxa"/>
              <w:bottom w:w="0" w:type="dxa"/>
              <w:right w:w="108" w:type="dxa"/>
            </w:tcMar>
            <w:vAlign w:val="bottom"/>
            <w:hideMark/>
          </w:tcPr>
          <w:p w14:paraId="4E188AB5" w14:textId="11847C93" w:rsidR="008C3AFE" w:rsidRDefault="008C3AFE" w:rsidP="008C3AFE">
            <w:pPr>
              <w:spacing w:after="0"/>
              <w:jc w:val="right"/>
              <w:rPr>
                <w:rFonts w:ascii="Calibri" w:hAnsi="Calibri"/>
                <w:color w:val="000000"/>
              </w:rPr>
            </w:pPr>
            <w:r>
              <w:rPr>
                <w:rFonts w:ascii="Calibri" w:hAnsi="Calibri" w:cs="Calibri"/>
                <w:color w:val="000000"/>
              </w:rPr>
              <w:t>0.00</w:t>
            </w:r>
          </w:p>
        </w:tc>
        <w:tc>
          <w:tcPr>
            <w:tcW w:w="786" w:type="dxa"/>
            <w:tcBorders>
              <w:top w:val="nil"/>
              <w:left w:val="nil"/>
              <w:bottom w:val="single" w:sz="8" w:space="0" w:color="auto"/>
              <w:right w:val="nil"/>
            </w:tcBorders>
            <w:noWrap/>
            <w:tcMar>
              <w:top w:w="0" w:type="dxa"/>
              <w:left w:w="108" w:type="dxa"/>
              <w:bottom w:w="0" w:type="dxa"/>
              <w:right w:w="108" w:type="dxa"/>
            </w:tcMar>
            <w:vAlign w:val="bottom"/>
            <w:hideMark/>
          </w:tcPr>
          <w:p w14:paraId="1E8E111B" w14:textId="22ABD69D" w:rsidR="008C3AFE" w:rsidRDefault="008C3AFE" w:rsidP="008C3AFE">
            <w:pPr>
              <w:spacing w:after="0"/>
              <w:jc w:val="right"/>
              <w:rPr>
                <w:rFonts w:ascii="Calibri" w:hAnsi="Calibri"/>
                <w:color w:val="000000"/>
              </w:rPr>
            </w:pPr>
            <w:r>
              <w:rPr>
                <w:rFonts w:ascii="Calibri" w:hAnsi="Calibri" w:cs="Calibri"/>
                <w:color w:val="000000"/>
              </w:rPr>
              <w:t>0.34</w:t>
            </w:r>
          </w:p>
        </w:tc>
        <w:tc>
          <w:tcPr>
            <w:tcW w:w="890" w:type="dxa"/>
            <w:tcBorders>
              <w:top w:val="nil"/>
              <w:left w:val="nil"/>
              <w:bottom w:val="single" w:sz="8" w:space="0" w:color="auto"/>
              <w:right w:val="nil"/>
            </w:tcBorders>
            <w:noWrap/>
            <w:tcMar>
              <w:top w:w="0" w:type="dxa"/>
              <w:left w:w="108" w:type="dxa"/>
              <w:bottom w:w="0" w:type="dxa"/>
              <w:right w:w="108" w:type="dxa"/>
            </w:tcMar>
            <w:vAlign w:val="bottom"/>
            <w:hideMark/>
          </w:tcPr>
          <w:p w14:paraId="4B32F9FF" w14:textId="35551C41" w:rsidR="008C3AFE" w:rsidRDefault="008C3AFE" w:rsidP="008C3AFE">
            <w:pPr>
              <w:spacing w:after="0"/>
              <w:jc w:val="right"/>
              <w:rPr>
                <w:rFonts w:ascii="Calibri" w:hAnsi="Calibri"/>
                <w:color w:val="000000"/>
              </w:rPr>
            </w:pPr>
            <w:r>
              <w:rPr>
                <w:rFonts w:ascii="Calibri" w:hAnsi="Calibri" w:cs="Calibri"/>
                <w:color w:val="000000"/>
              </w:rPr>
              <w:t>3.51</w:t>
            </w:r>
          </w:p>
        </w:tc>
      </w:tr>
    </w:tbl>
    <w:p w14:paraId="39BCB353" w14:textId="77777777" w:rsidR="00DD0A1A" w:rsidRPr="00C90EDA" w:rsidRDefault="00DD0A1A" w:rsidP="00DD0A1A">
      <w:pPr>
        <w:spacing w:after="0" w:line="240" w:lineRule="auto"/>
        <w:rPr>
          <w:rFonts w:eastAsiaTheme="minorBidi" w:cstheme="minorHAnsi"/>
          <w:sz w:val="18"/>
          <w:szCs w:val="18"/>
        </w:rPr>
      </w:pPr>
      <w:r w:rsidRPr="00C90EDA">
        <w:rPr>
          <w:rFonts w:cstheme="minorHAnsi"/>
          <w:sz w:val="18"/>
          <w:szCs w:val="18"/>
        </w:rPr>
        <w:t>* Pct = percentile. SRF = social risk factors.</w:t>
      </w:r>
      <w:r w:rsidRPr="00C90EDA">
        <w:rPr>
          <w:rFonts w:eastAsiaTheme="minorBidi" w:cstheme="minorHAnsi"/>
          <w:sz w:val="18"/>
          <w:szCs w:val="18"/>
        </w:rPr>
        <w:t xml:space="preserve"> **Calculated as SRF-adjusted score minus non-SRF adjusted score for each facility.</w:t>
      </w:r>
    </w:p>
    <w:p w14:paraId="17383B57" w14:textId="1E86BC3D" w:rsidR="00DD0A1A" w:rsidRDefault="00DD0A1A" w:rsidP="00DD0A1A">
      <w:pPr>
        <w:spacing w:after="0" w:line="240" w:lineRule="auto"/>
        <w:rPr>
          <w:rFonts w:eastAsia="Calibri" w:cstheme="minorHAnsi"/>
          <w:sz w:val="18"/>
          <w:szCs w:val="18"/>
        </w:rPr>
      </w:pPr>
      <w:r w:rsidRPr="00C90EDA">
        <w:rPr>
          <w:rFonts w:eastAsia="Calibri" w:cstheme="minorHAnsi"/>
          <w:sz w:val="18"/>
          <w:szCs w:val="18"/>
        </w:rPr>
        <w:t>Source</w:t>
      </w:r>
      <w:r>
        <w:rPr>
          <w:rFonts w:eastAsia="Calibri" w:cstheme="minorHAnsi"/>
          <w:sz w:val="18"/>
          <w:szCs w:val="18"/>
        </w:rPr>
        <w:t xml:space="preserve">: </w:t>
      </w:r>
      <w:r w:rsidR="003C47FD">
        <w:rPr>
          <w:rFonts w:eastAsia="Calibri" w:cstheme="minorHAnsi"/>
          <w:sz w:val="18"/>
          <w:szCs w:val="18"/>
        </w:rPr>
        <w:t>Acumen</w:t>
      </w:r>
      <w:r w:rsidR="003C47FD" w:rsidRPr="00C90EDA">
        <w:rPr>
          <w:rFonts w:eastAsia="Calibri" w:cstheme="minorHAnsi"/>
          <w:sz w:val="18"/>
          <w:szCs w:val="18"/>
        </w:rPr>
        <w:t xml:space="preserve"> analysis of </w:t>
      </w:r>
      <w:r w:rsidR="003C47FD">
        <w:rPr>
          <w:rFonts w:eastAsia="Calibri" w:cstheme="minorHAnsi"/>
          <w:sz w:val="18"/>
          <w:szCs w:val="18"/>
        </w:rPr>
        <w:t>CY2015-2016</w:t>
      </w:r>
      <w:r w:rsidR="003C47FD" w:rsidRPr="00C90EDA">
        <w:rPr>
          <w:rFonts w:eastAsia="Calibri" w:cstheme="minorHAnsi"/>
          <w:sz w:val="18"/>
          <w:szCs w:val="18"/>
        </w:rPr>
        <w:t xml:space="preserve"> Medicare fee-for-service claims data</w:t>
      </w:r>
      <w:r w:rsidR="003C47FD">
        <w:rPr>
          <w:rFonts w:eastAsia="Calibri" w:cstheme="minorHAnsi"/>
          <w:sz w:val="18"/>
          <w:szCs w:val="18"/>
        </w:rPr>
        <w:t>, Medicare Enrollment Database, Common Medicare Environment database</w:t>
      </w:r>
      <w:r w:rsidR="003C47FD" w:rsidRPr="00C90EDA">
        <w:rPr>
          <w:rFonts w:eastAsia="Calibri" w:cstheme="minorHAnsi"/>
          <w:sz w:val="18"/>
          <w:szCs w:val="18"/>
        </w:rPr>
        <w:t xml:space="preserve"> </w:t>
      </w:r>
      <w:r w:rsidR="003C47FD">
        <w:rPr>
          <w:rFonts w:eastAsia="Calibri" w:cstheme="minorHAnsi"/>
          <w:sz w:val="18"/>
          <w:szCs w:val="18"/>
        </w:rPr>
        <w:t>and 2016 American Community Survey</w:t>
      </w:r>
      <w:r w:rsidR="003C47FD" w:rsidRPr="00C90EDA">
        <w:rPr>
          <w:rFonts w:eastAsia="Calibri" w:cstheme="minorHAnsi"/>
          <w:sz w:val="18"/>
          <w:szCs w:val="18"/>
        </w:rPr>
        <w:t xml:space="preserve">. </w:t>
      </w:r>
    </w:p>
    <w:p w14:paraId="515DAEFA" w14:textId="77777777" w:rsidR="00236FCC" w:rsidRPr="00C90EDA" w:rsidRDefault="00236FCC" w:rsidP="00236FCC">
      <w:pPr>
        <w:spacing w:after="0" w:line="240" w:lineRule="auto"/>
        <w:rPr>
          <w:rFonts w:eastAsia="Calibri" w:cstheme="minorHAnsi"/>
          <w:b/>
          <w:sz w:val="20"/>
          <w:szCs w:val="20"/>
        </w:rPr>
      </w:pPr>
    </w:p>
    <w:p w14:paraId="58DC1D4C" w14:textId="77777777" w:rsidR="00DD0A1A" w:rsidRDefault="00DD0A1A" w:rsidP="00E547E2">
      <w:pPr>
        <w:spacing w:after="0" w:line="240" w:lineRule="auto"/>
      </w:pPr>
    </w:p>
    <w:p w14:paraId="2CB33D6A" w14:textId="34C37E2A" w:rsidR="00B10DD4" w:rsidRDefault="00D7465B" w:rsidP="00E547E2">
      <w:pPr>
        <w:spacing w:after="0" w:line="240" w:lineRule="auto"/>
      </w:pPr>
      <w:r>
        <w:rPr>
          <w:rFonts w:cstheme="minorHAnsi"/>
        </w:rPr>
        <w:t>Though dual eligibility</w:t>
      </w:r>
      <w:r w:rsidR="008A46C1">
        <w:rPr>
          <w:rFonts w:cstheme="minorHAnsi"/>
        </w:rPr>
        <w:t xml:space="preserve">, </w:t>
      </w:r>
      <w:r>
        <w:rPr>
          <w:rFonts w:cstheme="minorHAnsi"/>
        </w:rPr>
        <w:t>living in non-urban</w:t>
      </w:r>
      <w:r w:rsidR="008A46C1">
        <w:rPr>
          <w:rFonts w:cstheme="minorHAnsi"/>
        </w:rPr>
        <w:t xml:space="preserve"> setting, and</w:t>
      </w:r>
      <w:r>
        <w:rPr>
          <w:rFonts w:cstheme="minorHAnsi"/>
        </w:rPr>
        <w:t xml:space="preserve"> lower SES index areas were</w:t>
      </w:r>
      <w:r w:rsidR="008A46C1">
        <w:rPr>
          <w:rFonts w:cstheme="minorHAnsi"/>
        </w:rPr>
        <w:t xml:space="preserve"> each</w:t>
      </w:r>
      <w:r>
        <w:rPr>
          <w:rFonts w:cstheme="minorHAnsi"/>
        </w:rPr>
        <w:t xml:space="preserve"> associated with lower DTC rates</w:t>
      </w:r>
      <w:r w:rsidR="00E547E2" w:rsidRPr="00C90EDA">
        <w:rPr>
          <w:rFonts w:cstheme="minorHAnsi"/>
        </w:rPr>
        <w:t>,</w:t>
      </w:r>
      <w:r w:rsidR="00CA0FEA">
        <w:rPr>
          <w:rFonts w:cstheme="minorHAnsi"/>
        </w:rPr>
        <w:t xml:space="preserve"> </w:t>
      </w:r>
      <w:r w:rsidR="006B4831" w:rsidRPr="00C90EDA">
        <w:rPr>
          <w:rFonts w:cstheme="minorHAnsi"/>
        </w:rPr>
        <w:t xml:space="preserve">we believe </w:t>
      </w:r>
      <w:r w:rsidR="006B4831">
        <w:rPr>
          <w:rFonts w:cstheme="minorHAnsi"/>
        </w:rPr>
        <w:t xml:space="preserve">that </w:t>
      </w:r>
      <w:r w:rsidR="006B4831" w:rsidRPr="00C90EDA">
        <w:rPr>
          <w:rFonts w:cstheme="minorHAnsi"/>
        </w:rPr>
        <w:t xml:space="preserve">adjusting for social risk factors may mask potential disparities in quality of care for certain vulnerable patient groups. </w:t>
      </w:r>
      <w:r w:rsidR="00E547E2" w:rsidRPr="00C90EDA">
        <w:rPr>
          <w:rFonts w:cstheme="minorHAnsi"/>
        </w:rPr>
        <w:t xml:space="preserve">Therefore, we do not adjust for social risk factors in our risk adjustment model for the DTC-PAC </w:t>
      </w:r>
      <w:r w:rsidR="00DD0A1A">
        <w:rPr>
          <w:rFonts w:cstheme="minorHAnsi"/>
        </w:rPr>
        <w:t>HHA</w:t>
      </w:r>
      <w:r w:rsidR="00E547E2" w:rsidRPr="00C90EDA">
        <w:rPr>
          <w:rFonts w:cstheme="minorHAnsi"/>
        </w:rPr>
        <w:t xml:space="preserve"> measure.</w:t>
      </w:r>
      <w:r w:rsidR="00E547E2" w:rsidRPr="00C90EDA">
        <w:t xml:space="preserve"> We will continue to monitor the impact of soci</w:t>
      </w:r>
      <w:r w:rsidR="003C200D">
        <w:t>al risk factors</w:t>
      </w:r>
      <w:r w:rsidR="00E547E2" w:rsidRPr="00C90EDA">
        <w:t xml:space="preserve"> on providers’ </w:t>
      </w:r>
      <w:r w:rsidR="003C200D">
        <w:t>performance scores</w:t>
      </w:r>
      <w:r w:rsidR="00E547E2" w:rsidRPr="00C90EDA">
        <w:t>.</w:t>
      </w:r>
    </w:p>
    <w:p w14:paraId="38F49D0E" w14:textId="77777777" w:rsidR="00B10DD4" w:rsidRDefault="00B10DD4">
      <w:pPr>
        <w:spacing w:after="160" w:line="259" w:lineRule="auto"/>
      </w:pPr>
      <w:r>
        <w:br w:type="page"/>
      </w:r>
    </w:p>
    <w:p w14:paraId="69F640E4" w14:textId="4A2C90F3" w:rsidR="00E547E2" w:rsidRPr="00D44188" w:rsidRDefault="00B10DD4" w:rsidP="00B10DD4">
      <w:pPr>
        <w:spacing w:after="0" w:line="240" w:lineRule="auto"/>
        <w:jc w:val="center"/>
        <w:rPr>
          <w:rFonts w:eastAsia="Calibri" w:cstheme="minorHAnsi"/>
          <w:b/>
        </w:rPr>
      </w:pPr>
      <w:r w:rsidRPr="00D44188">
        <w:rPr>
          <w:rFonts w:eastAsia="Calibri" w:cstheme="minorHAnsi"/>
          <w:b/>
        </w:rPr>
        <w:lastRenderedPageBreak/>
        <w:t>Appendix C. Intent to Submit Form</w:t>
      </w:r>
    </w:p>
    <w:p w14:paraId="30ABBF46" w14:textId="08478973" w:rsidR="00B10DD4" w:rsidRPr="00D44188" w:rsidRDefault="00B10DD4" w:rsidP="00B10DD4">
      <w:pPr>
        <w:spacing w:after="0" w:line="240" w:lineRule="auto"/>
        <w:jc w:val="center"/>
        <w:rPr>
          <w:rFonts w:eastAsia="Calibri" w:cstheme="minorHAnsi"/>
          <w:b/>
        </w:rPr>
      </w:pPr>
    </w:p>
    <w:p w14:paraId="3B70C4D0" w14:textId="703B36B4" w:rsidR="008134A0" w:rsidRPr="00D44188" w:rsidRDefault="008134A0" w:rsidP="00B10DD4">
      <w:pPr>
        <w:spacing w:after="0" w:line="240" w:lineRule="auto"/>
        <w:jc w:val="center"/>
        <w:rPr>
          <w:rFonts w:eastAsia="Calibri" w:cstheme="minorHAnsi"/>
          <w:b/>
        </w:rPr>
      </w:pPr>
    </w:p>
    <w:p w14:paraId="1ACFA6DE" w14:textId="77777777" w:rsidR="00E26631" w:rsidRPr="00D44188" w:rsidRDefault="00E26631" w:rsidP="00E26631">
      <w:pPr>
        <w:rPr>
          <w:rStyle w:val="requiredfield"/>
          <w:rFonts w:ascii="Trebuchet MS" w:eastAsia="Trebuchet MS" w:hAnsi="Trebuchet MS" w:cs="Trebuchet MS"/>
          <w:b/>
          <w:bCs/>
          <w:sz w:val="20"/>
          <w:szCs w:val="20"/>
        </w:rPr>
      </w:pPr>
      <w:r w:rsidRPr="00D44188">
        <w:rPr>
          <w:rFonts w:ascii="Trebuchet MS" w:eastAsia="Trebuchet MS" w:hAnsi="Trebuchet MS" w:cs="Trebuchet MS"/>
          <w:b/>
          <w:bCs/>
          <w:sz w:val="20"/>
          <w:szCs w:val="20"/>
          <w:shd w:val="clear" w:color="auto" w:fill="FFFFFF"/>
        </w:rPr>
        <w:t>De.2. Measure Title</w:t>
      </w:r>
      <w:r w:rsidRPr="00D44188">
        <w:rPr>
          <w:rStyle w:val="requiredfield"/>
          <w:rFonts w:ascii="Trebuchet MS" w:eastAsia="Trebuchet MS" w:hAnsi="Trebuchet MS" w:cs="Trebuchet MS"/>
          <w:b/>
          <w:bCs/>
          <w:sz w:val="20"/>
          <w:szCs w:val="20"/>
          <w:shd w:val="clear" w:color="auto" w:fill="FFFFFF"/>
        </w:rPr>
        <w:t>*</w:t>
      </w:r>
    </w:p>
    <w:p w14:paraId="2B41569C" w14:textId="77777777" w:rsidR="00E26631" w:rsidRPr="00D44188" w:rsidRDefault="00884A26" w:rsidP="00E26631">
      <w:pPr>
        <w:rPr>
          <w:rFonts w:asciiTheme="minorEastAsia" w:hAnsiTheme="minorEastAsia" w:cstheme="minorEastAsia"/>
          <w:noProof/>
        </w:rPr>
      </w:pPr>
      <w:sdt>
        <w:sdtPr>
          <w:rPr>
            <w:rStyle w:val="Style1"/>
          </w:rPr>
          <w:id w:val="-882640736"/>
          <w:placeholder>
            <w:docPart w:val="2DFDE70186F34CF7A49800AFE090BEF4"/>
          </w:placeholder>
        </w:sdtPr>
        <w:sdtEndPr>
          <w:rPr>
            <w:rStyle w:val="DefaultParagraphFont"/>
            <w:noProof/>
          </w:rPr>
        </w:sdtEndPr>
        <w:sdtContent>
          <w:r w:rsidR="00E26631" w:rsidRPr="00D44188">
            <w:rPr>
              <w:rStyle w:val="Style1"/>
            </w:rPr>
            <w:t xml:space="preserve">Discharge to Community-Post Acute Care Measure for Home Health Agencies  </w:t>
          </w:r>
        </w:sdtContent>
      </w:sdt>
      <w:r w:rsidR="00E26631" w:rsidRPr="00D44188">
        <w:rPr>
          <w:rFonts w:asciiTheme="minorEastAsia" w:hAnsiTheme="minorEastAsia" w:cstheme="minorEastAsia"/>
          <w:noProof/>
        </w:rPr>
        <w:t xml:space="preserve"> </w:t>
      </w:r>
    </w:p>
    <w:p w14:paraId="04A46ED9" w14:textId="77777777" w:rsidR="00E26631" w:rsidRPr="00D44188" w:rsidRDefault="00E26631" w:rsidP="00E26631">
      <w:pPr>
        <w:rPr>
          <w:rStyle w:val="requiredfield"/>
          <w:rFonts w:ascii="Trebuchet MS" w:eastAsia="Trebuchet MS" w:hAnsi="Trebuchet MS" w:cs="Trebuchet MS"/>
          <w:b/>
          <w:bCs/>
          <w:sz w:val="20"/>
          <w:szCs w:val="20"/>
        </w:rPr>
      </w:pPr>
    </w:p>
    <w:p w14:paraId="333D3BF2" w14:textId="77777777" w:rsidR="00E26631" w:rsidRPr="00D44188" w:rsidRDefault="00E26631" w:rsidP="00E26631">
      <w:pPr>
        <w:rPr>
          <w:rStyle w:val="requiredfield"/>
          <w:rFonts w:ascii="Trebuchet MS" w:eastAsia="Trebuchet MS" w:hAnsi="Trebuchet MS" w:cs="Trebuchet MS"/>
          <w:b/>
          <w:bCs/>
          <w:sz w:val="20"/>
          <w:szCs w:val="20"/>
        </w:rPr>
      </w:pPr>
      <w:r w:rsidRPr="00D44188">
        <w:rPr>
          <w:rFonts w:ascii="Trebuchet MS" w:eastAsia="Trebuchet MS" w:hAnsi="Trebuchet MS" w:cs="Trebuchet MS"/>
          <w:b/>
          <w:bCs/>
          <w:sz w:val="20"/>
          <w:szCs w:val="20"/>
          <w:shd w:val="clear" w:color="auto" w:fill="FFFFFF"/>
        </w:rPr>
        <w:t>De.3. Measure Description</w:t>
      </w:r>
      <w:r w:rsidRPr="00D44188">
        <w:rPr>
          <w:rFonts w:ascii="Trebuchet MS" w:eastAsia="Trebuchet MS" w:hAnsi="Trebuchet MS" w:cs="Trebuchet MS"/>
          <w:i/>
          <w:iCs/>
          <w:sz w:val="20"/>
          <w:szCs w:val="20"/>
          <w:shd w:val="clear" w:color="auto" w:fill="FFFFFF"/>
        </w:rPr>
        <w:t> Type a brief narrative of the measure that includes the type of score, measure focus, target population, or time frame</w:t>
      </w:r>
      <w:r w:rsidRPr="00D44188">
        <w:rPr>
          <w:rStyle w:val="requiredfield"/>
          <w:rFonts w:ascii="Trebuchet MS" w:eastAsia="Trebuchet MS" w:hAnsi="Trebuchet MS" w:cs="Trebuchet MS"/>
          <w:b/>
          <w:bCs/>
          <w:sz w:val="20"/>
          <w:szCs w:val="20"/>
          <w:shd w:val="clear" w:color="auto" w:fill="FFFFFF"/>
        </w:rPr>
        <w:t>*</w:t>
      </w:r>
    </w:p>
    <w:p w14:paraId="4F3186D5" w14:textId="77777777" w:rsidR="00E26631" w:rsidRPr="00D44188" w:rsidRDefault="00E26631" w:rsidP="00E26631">
      <w:pPr>
        <w:rPr>
          <w:rFonts w:eastAsia="Trebuchet MS,Calibri" w:cstheme="minorHAnsi"/>
        </w:rPr>
      </w:pPr>
      <w:r w:rsidRPr="00D44188">
        <w:rPr>
          <w:rFonts w:eastAsia="Trebuchet MS" w:cstheme="minorHAnsi"/>
        </w:rPr>
        <w:t xml:space="preserve">The </w:t>
      </w:r>
      <w:sdt>
        <w:sdtPr>
          <w:rPr>
            <w:rStyle w:val="Style1"/>
            <w:rFonts w:cstheme="minorHAnsi"/>
          </w:rPr>
          <w:id w:val="-1123072541"/>
          <w:placeholder>
            <w:docPart w:val="6393F25D78004B3DA49DF870A906F540"/>
          </w:placeholder>
        </w:sdtPr>
        <w:sdtEndPr>
          <w:rPr>
            <w:rStyle w:val="DefaultParagraphFont"/>
            <w:noProof/>
          </w:rPr>
        </w:sdtEndPr>
        <w:sdtContent>
          <w:r w:rsidRPr="00D44188">
            <w:rPr>
              <w:rStyle w:val="Style1"/>
              <w:rFonts w:cstheme="minorHAnsi"/>
            </w:rPr>
            <w:t xml:space="preserve">Discharge to Community-Post Acute Care </w:t>
          </w:r>
          <w:r w:rsidRPr="00D44188">
            <w:rPr>
              <w:rStyle w:val="Style1"/>
            </w:rPr>
            <w:t xml:space="preserve">Measure for Home Health Agencies  </w:t>
          </w:r>
          <w:r w:rsidRPr="00D44188">
            <w:rPr>
              <w:rStyle w:val="Style1"/>
              <w:rFonts w:cstheme="minorHAnsi"/>
            </w:rPr>
            <w:t xml:space="preserve"> </w:t>
          </w:r>
        </w:sdtContent>
      </w:sdt>
      <w:r w:rsidRPr="00D44188">
        <w:rPr>
          <w:rFonts w:eastAsia="Trebuchet MS," w:cstheme="minorHAnsi"/>
          <w:noProof/>
        </w:rPr>
        <w:t xml:space="preserve"> </w:t>
      </w:r>
      <w:r w:rsidRPr="00D44188">
        <w:rPr>
          <w:rFonts w:eastAsia="Trebuchet MS" w:cstheme="minorHAnsi"/>
          <w:noProof/>
        </w:rPr>
        <w:t>(DTC-PAC HHA)</w:t>
      </w:r>
      <w:r w:rsidRPr="00D44188">
        <w:rPr>
          <w:rFonts w:eastAsia="Trebuchet MS" w:cstheme="minorHAnsi"/>
        </w:rPr>
        <w:t xml:space="preserve"> measure was developed to address the resource use and other measures domain of </w:t>
      </w:r>
      <w:r w:rsidRPr="00D44188">
        <w:rPr>
          <w:rFonts w:eastAsia="Trebuchet MS" w:cstheme="minorHAnsi"/>
          <w:i/>
        </w:rPr>
        <w:t>Discharge to the Community</w:t>
      </w:r>
      <w:r w:rsidRPr="00D44188">
        <w:rPr>
          <w:rFonts w:eastAsia="Trebuchet MS" w:cstheme="minorHAnsi"/>
        </w:rPr>
        <w:t xml:space="preserve">, a domain mandated by the Improving Medicare Post-Acute Care Transformation Act of 2014 (IMPACT Act). The measure was developed using calendar year 2012-2013 data. </w:t>
      </w:r>
    </w:p>
    <w:p w14:paraId="3A0E8401" w14:textId="77777777" w:rsidR="00E26631" w:rsidRPr="00D44188" w:rsidRDefault="00E26631" w:rsidP="00E26631">
      <w:pPr>
        <w:rPr>
          <w:rStyle w:val="Style1"/>
          <w:rFonts w:cstheme="minorHAnsi"/>
        </w:rPr>
      </w:pPr>
      <w:r w:rsidRPr="00D44188">
        <w:rPr>
          <w:rStyle w:val="Style1"/>
          <w:rFonts w:eastAsia="Trebuchet MS" w:cstheme="minorHAnsi"/>
        </w:rPr>
        <w:t>This Medicare claims-based outcome measure assesses successful discharge to community from an HHA, with successful discharge to community including no unplanned hospitalizations and no death in the 31 days following discharge. Specifically, this measure reports an HHA’s risk-standardized rate of Medicare fee-for-service (FFS</w:t>
      </w:r>
      <w:r w:rsidRPr="00D44188">
        <w:rPr>
          <w:rStyle w:val="Style1"/>
          <w:rFonts w:eastAsia="Trebuchet MS," w:cstheme="minorHAnsi"/>
        </w:rPr>
        <w:t>)</w:t>
      </w:r>
      <w:r w:rsidRPr="00D44188">
        <w:rPr>
          <w:rStyle w:val="Style1"/>
          <w:rFonts w:eastAsia="Trebuchet MS" w:cstheme="minorHAnsi"/>
        </w:rPr>
        <w:t xml:space="preserve"> patients who are discharged to the community following an HHA stay, and do not have an unplanned admission to an acute care hospital or long-term care hospital (LTCH) in the 31 days following discharge to community, and who remain alive during the 31 days following discharge to community. The measure is based on Medicare FFS claims data and is calculated using two consecutive years of data. This measure submission is based on CY 2015-2016 data; i.e., HHA discharges from January 1, 2015 through December 31, 2016. </w:t>
      </w:r>
    </w:p>
    <w:p w14:paraId="59EAE00C" w14:textId="77777777" w:rsidR="00E26631" w:rsidRPr="00D44188" w:rsidRDefault="00E26631" w:rsidP="00E26631">
      <w:pPr>
        <w:rPr>
          <w:rFonts w:eastAsia="Trebuchet MS,Calibri" w:cstheme="minorHAnsi"/>
        </w:rPr>
      </w:pPr>
      <w:bookmarkStart w:id="4" w:name="_Hlk520802781"/>
      <w:r w:rsidRPr="00D44188">
        <w:rPr>
          <w:rFonts w:eastAsia="Trebuchet MS" w:cstheme="minorHAnsi"/>
        </w:rPr>
        <w:t xml:space="preserve">The measure was adopted by the Centers for Medicare &amp; Medicaid Services (CMS) for the HH Quality Reporting Program finalized in the Calendar Year (CY) 2017 HH Quality Reporting Program (QRP) Final Rule and implementation began October 2016. Confidential feedback reports on measure performance were distributed to HH providers in early 2018. The measure will be publicly reported on the </w:t>
      </w:r>
      <w:r w:rsidRPr="00D44188">
        <w:rPr>
          <w:rFonts w:eastAsia="Trebuchet MS" w:cstheme="minorHAnsi"/>
          <w:i/>
        </w:rPr>
        <w:t>Home Health Compare</w:t>
      </w:r>
      <w:r w:rsidRPr="00D44188">
        <w:rPr>
          <w:rFonts w:eastAsia="Trebuchet MS" w:cstheme="minorHAnsi"/>
        </w:rPr>
        <w:t xml:space="preserve"> website (https://www.medicare.gov/homehealthcompare</w:t>
      </w:r>
      <w:hyperlink r:id="rId8" w:history="1"/>
      <w:r w:rsidRPr="00D44188">
        <w:rPr>
          <w:rFonts w:eastAsia="Trebuchet MS" w:cstheme="minorHAnsi"/>
        </w:rPr>
        <w:t>) in January 2019 using CY 2016-2017 data.</w:t>
      </w:r>
      <w:r w:rsidRPr="00D44188">
        <w:rPr>
          <w:rFonts w:eastAsia="Trebuchet MS,Calibri" w:cstheme="minorHAnsi"/>
        </w:rPr>
        <w:t xml:space="preserve"> Four </w:t>
      </w:r>
      <w:r w:rsidRPr="00D44188">
        <w:t>claims-based discharge to community measures were developed for IRF, LTCH, skilled nursing facility, and home health agency settings, respectively to meet the mandate of the IMPACT Act. These measures were conceptualized uniformly across the four settings, in terms of the definition of the discharge to community outcome, the approach to risk adjustment, and the measure calculation.</w:t>
      </w:r>
    </w:p>
    <w:bookmarkEnd w:id="4"/>
    <w:p w14:paraId="22A2035A" w14:textId="77777777" w:rsidR="00E26631" w:rsidRPr="00D44188" w:rsidRDefault="00E26631" w:rsidP="00E26631">
      <w:pPr>
        <w:rPr>
          <w:rFonts w:eastAsia="Calibri" w:cstheme="minorHAnsi"/>
        </w:rPr>
      </w:pPr>
    </w:p>
    <w:p w14:paraId="3C67691D" w14:textId="77777777" w:rsidR="00E26631" w:rsidRPr="00D44188" w:rsidRDefault="00E26631" w:rsidP="00E26631">
      <w:pPr>
        <w:rPr>
          <w:rStyle w:val="requiredfield"/>
          <w:rFonts w:ascii="Trebuchet MS" w:eastAsia="Trebuchet MS" w:hAnsi="Trebuchet MS" w:cs="Trebuchet MS"/>
          <w:b/>
          <w:bCs/>
          <w:sz w:val="20"/>
          <w:szCs w:val="20"/>
        </w:rPr>
      </w:pPr>
      <w:r w:rsidRPr="00D44188">
        <w:rPr>
          <w:rFonts w:ascii="Trebuchet MS" w:eastAsia="Trebuchet MS" w:hAnsi="Trebuchet MS" w:cs="Trebuchet MS"/>
          <w:b/>
          <w:bCs/>
          <w:sz w:val="20"/>
          <w:szCs w:val="20"/>
        </w:rPr>
        <w:t>De.1. Measure Type </w:t>
      </w:r>
      <w:r w:rsidRPr="00D44188">
        <w:rPr>
          <w:rStyle w:val="requiredfield"/>
          <w:rFonts w:ascii="Trebuchet MS" w:eastAsia="Trebuchet MS" w:hAnsi="Trebuchet MS" w:cs="Trebuchet MS"/>
          <w:b/>
          <w:bCs/>
          <w:sz w:val="20"/>
          <w:szCs w:val="20"/>
        </w:rPr>
        <w:t xml:space="preserve">* </w:t>
      </w:r>
    </w:p>
    <w:p w14:paraId="66385A12" w14:textId="77777777" w:rsidR="00E26631" w:rsidRPr="00D44188" w:rsidRDefault="00E26631" w:rsidP="00E26631">
      <w:pPr>
        <w:rPr>
          <w:rStyle w:val="Style1"/>
          <w:rFonts w:cstheme="minorHAnsi"/>
        </w:rPr>
      </w:pPr>
      <w:r w:rsidRPr="00D44188">
        <w:rPr>
          <w:rStyle w:val="Style1"/>
          <w:rFonts w:cstheme="minorHAnsi"/>
        </w:rPr>
        <w:t xml:space="preserve">Outcome </w:t>
      </w:r>
    </w:p>
    <w:p w14:paraId="1AE44AE5" w14:textId="77777777" w:rsidR="00E26631" w:rsidRPr="00D44188" w:rsidRDefault="00E26631" w:rsidP="00E26631">
      <w:pPr>
        <w:rPr>
          <w:rStyle w:val="Style1"/>
          <w:rFonts w:asciiTheme="minorEastAsia" w:hAnsiTheme="minorEastAsia" w:cstheme="minorEastAsia"/>
        </w:rPr>
      </w:pPr>
    </w:p>
    <w:p w14:paraId="4319EB50" w14:textId="77777777" w:rsidR="00E26631" w:rsidRPr="00D44188" w:rsidRDefault="00E26631" w:rsidP="00E26631">
      <w:pPr>
        <w:rPr>
          <w:rFonts w:ascii="Trebuchet MS" w:eastAsia="Trebuchet MS" w:hAnsi="Trebuchet MS" w:cs="Trebuchet MS"/>
          <w:i/>
          <w:iCs/>
          <w:sz w:val="18"/>
          <w:szCs w:val="18"/>
          <w:lang w:val="en"/>
        </w:rPr>
      </w:pPr>
      <w:r w:rsidRPr="00D44188">
        <w:rPr>
          <w:rFonts w:ascii="Trebuchet MS" w:eastAsia="Trebuchet MS" w:hAnsi="Trebuchet MS" w:cs="Trebuchet MS"/>
          <w:b/>
          <w:bCs/>
          <w:sz w:val="18"/>
          <w:szCs w:val="18"/>
          <w:lang w:val="en"/>
        </w:rPr>
        <w:lastRenderedPageBreak/>
        <w:t>S.1. Measure-specific Web Page</w:t>
      </w:r>
      <w:r w:rsidRPr="00D44188">
        <w:rPr>
          <w:rFonts w:ascii="Trebuchet MS" w:eastAsia="Trebuchet MS" w:hAnsi="Trebuchet MS" w:cs="Trebuchet MS"/>
          <w:i/>
          <w:iCs/>
          <w:sz w:val="18"/>
          <w:szCs w:val="18"/>
          <w:lang w:val="en"/>
        </w:rPr>
        <w:t xml:space="preserve"> (Provide a URL link to a web page specific for this measure that contains current detailed specifications including code lists, risk model details, and supplemental materials. Do not enter a URL linking to a home page or to general information.)</w:t>
      </w:r>
    </w:p>
    <w:p w14:paraId="546537C6" w14:textId="77777777" w:rsidR="00E26631" w:rsidRPr="00D44188" w:rsidRDefault="00E26631" w:rsidP="00E26631">
      <w:pPr>
        <w:shd w:val="clear" w:color="auto" w:fill="FFFFFF" w:themeFill="background1"/>
        <w:spacing w:after="0" w:line="240" w:lineRule="auto"/>
      </w:pPr>
      <w:r w:rsidRPr="00D44188">
        <w:t xml:space="preserve">Measure specifications posted with the CY 2017 HH QRP Final Rule are publicly available at: </w:t>
      </w:r>
    </w:p>
    <w:p w14:paraId="4A198D5B" w14:textId="77777777" w:rsidR="00E26631" w:rsidRPr="00D44188" w:rsidRDefault="00884A26" w:rsidP="00E26631">
      <w:pPr>
        <w:shd w:val="clear" w:color="auto" w:fill="FFFFFF" w:themeFill="background1"/>
        <w:spacing w:after="0" w:line="240" w:lineRule="auto"/>
        <w:rPr>
          <w:rFonts w:eastAsia="Trebuchet MS" w:cs="Trebuchet MS"/>
          <w:b/>
          <w:bCs/>
          <w:lang w:val="en"/>
        </w:rPr>
      </w:pPr>
      <w:hyperlink r:id="rId9" w:history="1">
        <w:r w:rsidR="00E26631" w:rsidRPr="00D44188">
          <w:rPr>
            <w:rStyle w:val="Hyperlink"/>
            <w:rFonts w:eastAsia="Trebuchet MS" w:cs="Trebuchet MS"/>
            <w:b/>
            <w:bCs/>
            <w:color w:val="auto"/>
            <w:lang w:val="en"/>
          </w:rPr>
          <w:t>https://www.cms.gov/Medicare/Quality-Initiatives-Patient-Assessment-Instruments/HomeHealthQualityInits/Downloads/MeasureSpecificationsForCY17-HH-QRP-FR.pdf</w:t>
        </w:r>
      </w:hyperlink>
    </w:p>
    <w:p w14:paraId="5150C183" w14:textId="77777777" w:rsidR="00E26631" w:rsidRPr="00D44188" w:rsidRDefault="00E26631" w:rsidP="00E26631">
      <w:pPr>
        <w:shd w:val="clear" w:color="auto" w:fill="FFFFFF" w:themeFill="background1"/>
        <w:spacing w:after="0" w:line="240" w:lineRule="auto"/>
        <w:rPr>
          <w:rFonts w:eastAsia="Trebuchet MS" w:cs="Trebuchet MS"/>
          <w:b/>
          <w:bCs/>
          <w:lang w:val="en"/>
        </w:rPr>
      </w:pPr>
    </w:p>
    <w:p w14:paraId="221C962F" w14:textId="77777777" w:rsidR="00E26631" w:rsidRPr="00D44188" w:rsidRDefault="00E26631" w:rsidP="00E26631">
      <w:pPr>
        <w:shd w:val="clear" w:color="auto" w:fill="FFFFFF" w:themeFill="background1"/>
        <w:spacing w:after="0" w:line="240" w:lineRule="auto"/>
        <w:rPr>
          <w:rFonts w:eastAsia="Trebuchet MS" w:cs="Trebuchet MS"/>
          <w:b/>
          <w:bCs/>
          <w:lang w:val="en"/>
        </w:rPr>
      </w:pPr>
      <w:r w:rsidRPr="00D44188">
        <w:rPr>
          <w:rFonts w:cstheme="minorHAnsi"/>
        </w:rPr>
        <w:t xml:space="preserve">The results included in these posted measure specifications are based on CY 2012-2013 data. This submission is based on CY 2015-2016data. We re-estimate the risk adjustment model in each measurement period to account for changes in patient-mix or practice patterns over time, and to provide accurate and precise risk adjustment based on the current data. Thus, though the logistic model is fundamentally the same across measurement periods, specific risk adjusters (e.g., comorbidities) and coefficients may vary slightly across measurement periods. Further, some differences between logistic model results using CY 2012-2013 data and CY 2015-2016 data are related to the transition from the </w:t>
      </w:r>
      <w:r w:rsidRPr="00D44188">
        <w:rPr>
          <w:rStyle w:val="Style1"/>
          <w:rFonts w:cstheme="minorHAnsi"/>
        </w:rPr>
        <w:t xml:space="preserve">ICD-9-CM </w:t>
      </w:r>
      <w:r w:rsidRPr="00D44188">
        <w:rPr>
          <w:rStyle w:val="tgc"/>
          <w:rFonts w:cstheme="minorHAnsi"/>
        </w:rPr>
        <w:t xml:space="preserve">(International Classification of Diseases, Ninth Revision, Clinical Modification) to ICD-10-CM diagnosis classification system. </w:t>
      </w:r>
    </w:p>
    <w:p w14:paraId="3DBA4983" w14:textId="77777777" w:rsidR="00E26631" w:rsidRPr="00D44188" w:rsidRDefault="00E26631" w:rsidP="00E26631">
      <w:pPr>
        <w:shd w:val="clear" w:color="auto" w:fill="FFFFFF" w:themeFill="background1"/>
        <w:spacing w:after="0" w:line="240" w:lineRule="auto"/>
        <w:rPr>
          <w:rFonts w:ascii="Trebuchet MS" w:eastAsia="Trebuchet MS" w:hAnsi="Trebuchet MS" w:cs="Trebuchet MS"/>
          <w:b/>
          <w:bCs/>
          <w:sz w:val="18"/>
          <w:szCs w:val="18"/>
          <w:lang w:val="en"/>
        </w:rPr>
      </w:pPr>
    </w:p>
    <w:p w14:paraId="2EA30886" w14:textId="77777777" w:rsidR="00E26631" w:rsidRPr="00D44188" w:rsidRDefault="00E26631" w:rsidP="00E26631">
      <w:pPr>
        <w:shd w:val="clear" w:color="auto" w:fill="FFFFFF" w:themeFill="background1"/>
        <w:spacing w:after="0" w:line="240" w:lineRule="auto"/>
      </w:pPr>
      <w:r w:rsidRPr="00D44188">
        <w:rPr>
          <w:rFonts w:ascii="Trebuchet MS" w:eastAsia="Trebuchet MS" w:hAnsi="Trebuchet MS" w:cs="Trebuchet MS"/>
          <w:b/>
          <w:bCs/>
          <w:sz w:val="18"/>
          <w:szCs w:val="18"/>
          <w:lang w:val="en"/>
        </w:rPr>
        <w:t>S.2a. HQMF specifications</w:t>
      </w:r>
    </w:p>
    <w:p w14:paraId="3F8ABFAA" w14:textId="77777777" w:rsidR="00E26631" w:rsidRPr="00D44188" w:rsidRDefault="00E26631" w:rsidP="00E26631">
      <w:pPr>
        <w:shd w:val="clear" w:color="auto" w:fill="FFFFFF" w:themeFill="background1"/>
        <w:spacing w:after="0" w:line="240" w:lineRule="auto"/>
        <w:rPr>
          <w:rFonts w:ascii="Trebuchet MS,Times New Roman" w:eastAsia="Trebuchet MS,Times New Roman" w:hAnsi="Trebuchet MS,Times New Roman" w:cs="Trebuchet MS,Times New Roman"/>
          <w:sz w:val="18"/>
          <w:szCs w:val="18"/>
          <w:lang w:val="en"/>
        </w:rPr>
      </w:pPr>
      <w:r w:rsidRPr="00D44188">
        <w:rPr>
          <w:rFonts w:ascii="Trebuchet MS" w:eastAsia="Trebuchet MS" w:hAnsi="Trebuchet MS" w:cs="Trebuchet MS"/>
          <w:b/>
          <w:bCs/>
          <w:sz w:val="18"/>
          <w:szCs w:val="18"/>
          <w:lang w:val="en"/>
        </w:rPr>
        <w:t>If this is an eCQM</w:t>
      </w:r>
      <w:r w:rsidRPr="00D44188">
        <w:rPr>
          <w:rFonts w:ascii="Trebuchet MS" w:eastAsia="Trebuchet MS" w:hAnsi="Trebuchet MS" w:cs="Trebuchet MS"/>
          <w:sz w:val="18"/>
          <w:szCs w:val="18"/>
          <w:lang w:val="en"/>
        </w:rPr>
        <w:t>, HQMF specifications and BONNIE testing must be attached. Attach the zipped output from the eCQM Measure Authoring Tool (MAT) and BONNIE tool - if the MAT or BONNIE was not used, contact NQF staff. (Use the specification fields in this online form for the plain-language description of the specifications)</w:t>
      </w:r>
    </w:p>
    <w:p w14:paraId="48E7C56F" w14:textId="77777777" w:rsidR="00E26631" w:rsidRPr="00D44188" w:rsidRDefault="00E26631" w:rsidP="00E26631">
      <w:pPr>
        <w:shd w:val="clear" w:color="auto" w:fill="FFFFFF" w:themeFill="background1"/>
        <w:spacing w:after="0" w:line="240" w:lineRule="auto"/>
        <w:rPr>
          <w:rFonts w:eastAsia="Trebuchet MS,Times New Roman" w:cstheme="minorHAnsi"/>
          <w:sz w:val="18"/>
          <w:szCs w:val="18"/>
          <w:lang w:val="en"/>
        </w:rPr>
      </w:pPr>
    </w:p>
    <w:p w14:paraId="7E8E03A5" w14:textId="77777777" w:rsidR="00E26631" w:rsidRPr="00D44188" w:rsidRDefault="00E26631" w:rsidP="00E26631">
      <w:pPr>
        <w:shd w:val="clear" w:color="auto" w:fill="FFFFFF" w:themeFill="background1"/>
        <w:spacing w:after="0" w:line="240" w:lineRule="auto"/>
        <w:rPr>
          <w:rStyle w:val="Style1"/>
          <w:rFonts w:cstheme="minorHAnsi"/>
          <w:lang w:val="en"/>
        </w:rPr>
      </w:pPr>
      <w:r w:rsidRPr="00D44188">
        <w:rPr>
          <w:rStyle w:val="Style1"/>
          <w:rFonts w:cstheme="minorHAnsi"/>
          <w:lang w:val="en"/>
        </w:rPr>
        <w:t>Not applicable; this is not an eMeasure.</w:t>
      </w:r>
    </w:p>
    <w:p w14:paraId="292EC65B" w14:textId="77777777" w:rsidR="00E26631" w:rsidRPr="00D44188" w:rsidRDefault="00E26631" w:rsidP="00E26631">
      <w:pPr>
        <w:shd w:val="clear" w:color="auto" w:fill="FFFFFF" w:themeFill="background1"/>
        <w:spacing w:after="0" w:line="240" w:lineRule="auto"/>
        <w:rPr>
          <w:rStyle w:val="Style1"/>
          <w:rFonts w:asciiTheme="minorEastAsia" w:hAnsiTheme="minorEastAsia" w:cstheme="minorEastAsia"/>
          <w:lang w:val="en"/>
        </w:rPr>
      </w:pPr>
    </w:p>
    <w:p w14:paraId="027C5CD1" w14:textId="77777777" w:rsidR="00E26631" w:rsidRPr="00D44188" w:rsidRDefault="00E26631" w:rsidP="00E26631">
      <w:pPr>
        <w:rPr>
          <w:rFonts w:ascii="Trebuchet MS" w:eastAsia="Trebuchet MS" w:hAnsi="Trebuchet MS" w:cs="Trebuchet MS"/>
          <w:b/>
          <w:bCs/>
          <w:sz w:val="18"/>
          <w:szCs w:val="18"/>
          <w:lang w:val="en"/>
        </w:rPr>
      </w:pPr>
    </w:p>
    <w:p w14:paraId="78016389" w14:textId="77777777" w:rsidR="00E26631" w:rsidRPr="00D44188" w:rsidRDefault="00E26631" w:rsidP="00E26631">
      <w:pPr>
        <w:rPr>
          <w:rFonts w:ascii="Trebuchet MS" w:eastAsia="Trebuchet MS" w:hAnsi="Trebuchet MS" w:cs="Trebuchet MS"/>
          <w:i/>
          <w:iCs/>
          <w:sz w:val="18"/>
          <w:szCs w:val="18"/>
          <w:lang w:val="en"/>
        </w:rPr>
      </w:pPr>
      <w:r w:rsidRPr="00D44188">
        <w:rPr>
          <w:rFonts w:ascii="Trebuchet MS" w:eastAsia="Trebuchet MS" w:hAnsi="Trebuchet MS" w:cs="Trebuchet MS"/>
          <w:b/>
          <w:bCs/>
          <w:sz w:val="18"/>
          <w:szCs w:val="18"/>
          <w:lang w:val="en"/>
        </w:rPr>
        <w:t xml:space="preserve">S.2b. </w:t>
      </w:r>
      <w:r w:rsidRPr="00D44188">
        <w:rPr>
          <w:rFonts w:ascii="Trebuchet MS" w:eastAsia="Trebuchet MS" w:hAnsi="Trebuchet MS" w:cs="Trebuchet MS"/>
          <w:b/>
          <w:bCs/>
          <w:sz w:val="18"/>
          <w:szCs w:val="18"/>
          <w:highlight w:val="yellow"/>
          <w:lang w:val="en"/>
        </w:rPr>
        <w:t>Data Dictionary, Code Table, or Value Sets</w:t>
      </w:r>
      <w:r w:rsidRPr="00D44188">
        <w:rPr>
          <w:rFonts w:ascii="Trebuchet MS" w:eastAsia="Trebuchet MS" w:hAnsi="Trebuchet MS" w:cs="Trebuchet MS"/>
          <w:b/>
          <w:bCs/>
          <w:sz w:val="18"/>
          <w:szCs w:val="18"/>
          <w:lang w:val="en"/>
        </w:rPr>
        <w:t xml:space="preserve"> </w:t>
      </w:r>
      <w:r w:rsidRPr="00D44188">
        <w:rPr>
          <w:rFonts w:ascii="Trebuchet MS" w:eastAsia="Trebuchet MS" w:hAnsi="Trebuchet MS" w:cs="Trebuchet MS"/>
          <w:i/>
          <w:iCs/>
          <w:sz w:val="18"/>
          <w:szCs w:val="18"/>
          <w:lang w:val="en"/>
        </w:rPr>
        <w:t>(and risk model codes and coefficients when applicable) must be attached. (Excel or csv file in the suggested format preferred - if not, contact staff. Provide descriptors for any codes. Use one file with multiple worksheets as needed.)</w:t>
      </w:r>
    </w:p>
    <w:p w14:paraId="68548604" w14:textId="77777777" w:rsidR="00E26631" w:rsidRPr="00D44188" w:rsidRDefault="00E26631" w:rsidP="00E26631">
      <w:pPr>
        <w:pStyle w:val="ListParagraph"/>
        <w:numPr>
          <w:ilvl w:val="0"/>
          <w:numId w:val="14"/>
        </w:numPr>
        <w:spacing w:after="160" w:line="259" w:lineRule="auto"/>
        <w:rPr>
          <w:rFonts w:eastAsia="Trebuchet MS" w:cstheme="minorHAnsi"/>
          <w:b/>
          <w:bCs/>
        </w:rPr>
      </w:pPr>
      <w:r w:rsidRPr="00D44188">
        <w:rPr>
          <w:rFonts w:eastAsia="Trebuchet MS" w:cstheme="minorHAnsi"/>
          <w:lang w:val="en"/>
        </w:rPr>
        <w:t>Available in attached Excel file (Note: we will attach the hierarchical logistic regression model results)</w:t>
      </w:r>
    </w:p>
    <w:p w14:paraId="0DA632FB" w14:textId="77777777" w:rsidR="00E26631" w:rsidRPr="00D44188" w:rsidRDefault="00E26631" w:rsidP="00E26631">
      <w:pPr>
        <w:pStyle w:val="ListParagraph"/>
        <w:rPr>
          <w:rFonts w:ascii="Trebuchet MS" w:eastAsia="Trebuchet MS" w:hAnsi="Trebuchet MS" w:cs="Trebuchet MS"/>
          <w:b/>
          <w:bCs/>
          <w:sz w:val="20"/>
          <w:szCs w:val="20"/>
        </w:rPr>
      </w:pPr>
    </w:p>
    <w:p w14:paraId="3BFE6D66" w14:textId="77777777" w:rsidR="00E26631" w:rsidRPr="00D44188" w:rsidRDefault="00E26631" w:rsidP="00E26631">
      <w:pPr>
        <w:rPr>
          <w:rFonts w:ascii="Trebuchet MS" w:eastAsia="Trebuchet MS" w:hAnsi="Trebuchet MS" w:cs="Trebuchet MS"/>
          <w:sz w:val="18"/>
          <w:szCs w:val="18"/>
          <w:lang w:val="en"/>
        </w:rPr>
      </w:pPr>
      <w:r w:rsidRPr="00D44188">
        <w:rPr>
          <w:rFonts w:ascii="Trebuchet MS" w:eastAsia="Trebuchet MS" w:hAnsi="Trebuchet MS" w:cs="Trebuchet MS"/>
          <w:b/>
          <w:bCs/>
          <w:sz w:val="18"/>
          <w:szCs w:val="18"/>
          <w:lang w:val="en"/>
        </w:rPr>
        <w:t xml:space="preserve">S.2c. </w:t>
      </w:r>
      <w:r w:rsidRPr="00D44188">
        <w:rPr>
          <w:rFonts w:ascii="Trebuchet MS" w:eastAsia="Trebuchet MS" w:hAnsi="Trebuchet MS" w:cs="Trebuchet MS"/>
          <w:sz w:val="18"/>
          <w:szCs w:val="18"/>
          <w:lang w:val="en"/>
        </w:rPr>
        <w:t>Is this an instrument-based measure (i.e., data collected via instruments, surveys, tools, questionnaires, scales, etc.)? Attach copy of instrument if available.</w:t>
      </w:r>
    </w:p>
    <w:p w14:paraId="2AB7ADF5" w14:textId="77777777" w:rsidR="00E26631" w:rsidRPr="00D44188" w:rsidRDefault="00E26631" w:rsidP="00E26631">
      <w:pPr>
        <w:rPr>
          <w:rFonts w:eastAsia="Trebuchet MS" w:cstheme="minorHAnsi"/>
          <w:lang w:val="en"/>
        </w:rPr>
      </w:pPr>
      <w:r w:rsidRPr="00D44188">
        <w:rPr>
          <w:rStyle w:val="Style1"/>
          <w:rFonts w:cstheme="minorHAnsi"/>
          <w:lang w:val="en"/>
        </w:rPr>
        <w:t>No</w:t>
      </w:r>
      <w:r w:rsidRPr="00D44188">
        <w:rPr>
          <w:rFonts w:eastAsia="Trebuchet MS" w:cstheme="minorHAnsi"/>
          <w:lang w:val="en"/>
        </w:rPr>
        <w:t>.</w:t>
      </w:r>
    </w:p>
    <w:p w14:paraId="639969EA" w14:textId="77777777" w:rsidR="00E26631" w:rsidRPr="00D44188" w:rsidRDefault="00E26631" w:rsidP="00E26631">
      <w:pPr>
        <w:rPr>
          <w:rFonts w:ascii="Trebuchet MS" w:eastAsia="Trebuchet MS" w:hAnsi="Trebuchet MS" w:cs="Trebuchet MS"/>
          <w:sz w:val="18"/>
          <w:szCs w:val="18"/>
          <w:lang w:val="en"/>
        </w:rPr>
      </w:pPr>
    </w:p>
    <w:p w14:paraId="0F813504" w14:textId="77777777" w:rsidR="00E26631" w:rsidRPr="00D44188" w:rsidRDefault="00E26631" w:rsidP="00E26631">
      <w:pPr>
        <w:rPr>
          <w:rStyle w:val="requiredfield"/>
          <w:rFonts w:ascii="Trebuchet MS" w:eastAsia="Trebuchet MS" w:hAnsi="Trebuchet MS" w:cs="Trebuchet MS"/>
          <w:b/>
          <w:bCs/>
          <w:sz w:val="20"/>
          <w:szCs w:val="20"/>
        </w:rPr>
      </w:pPr>
      <w:r w:rsidRPr="00D44188">
        <w:rPr>
          <w:rFonts w:ascii="Trebuchet MS" w:eastAsia="Trebuchet MS" w:hAnsi="Trebuchet MS" w:cs="Trebuchet MS"/>
          <w:b/>
          <w:bCs/>
          <w:sz w:val="20"/>
          <w:szCs w:val="20"/>
          <w:shd w:val="clear" w:color="auto" w:fill="FFFFFF"/>
        </w:rPr>
        <w:t>S.4. Numerator Statement </w:t>
      </w:r>
      <w:r w:rsidRPr="00D44188">
        <w:rPr>
          <w:rFonts w:ascii="Trebuchet MS" w:eastAsia="Trebuchet MS" w:hAnsi="Trebuchet MS" w:cs="Trebuchet MS"/>
          <w:i/>
          <w:iCs/>
          <w:sz w:val="20"/>
          <w:szCs w:val="20"/>
          <w:shd w:val="clear" w:color="auto" w:fill="FFFFFF"/>
        </w:rPr>
        <w:t>(Provide a brief description of the measure focus or what is being measured)</w:t>
      </w:r>
      <w:r w:rsidRPr="00D44188">
        <w:rPr>
          <w:rStyle w:val="requiredfield"/>
          <w:rFonts w:ascii="Trebuchet MS" w:eastAsia="Trebuchet MS" w:hAnsi="Trebuchet MS" w:cs="Trebuchet MS"/>
          <w:b/>
          <w:bCs/>
          <w:sz w:val="20"/>
          <w:szCs w:val="20"/>
          <w:shd w:val="clear" w:color="auto" w:fill="FFFFFF"/>
        </w:rPr>
        <w:t xml:space="preserve">* </w:t>
      </w:r>
    </w:p>
    <w:p w14:paraId="6ADB895B" w14:textId="77777777" w:rsidR="00E26631" w:rsidRPr="00D44188" w:rsidRDefault="00E26631" w:rsidP="00E26631">
      <w:pPr>
        <w:rPr>
          <w:rStyle w:val="Style1"/>
          <w:rFonts w:eastAsia="Trebuchet MS," w:cstheme="minorHAnsi"/>
        </w:rPr>
      </w:pPr>
      <w:r w:rsidRPr="00D44188">
        <w:rPr>
          <w:rStyle w:val="Style1"/>
          <w:rFonts w:eastAsia="Trebuchet MS" w:cstheme="minorHAnsi"/>
        </w:rPr>
        <w:t>The measure does not have a simple form for the numerator and denominator—that is, the risk- adjustment method does not make the observed number of community discharges the numerator, and a predicted number the denominator</w:t>
      </w:r>
      <w:r w:rsidRPr="00D44188">
        <w:rPr>
          <w:rStyle w:val="Style1"/>
          <w:rFonts w:eastAsia="Trebuchet MS," w:cstheme="minorHAnsi"/>
        </w:rPr>
        <w:t xml:space="preserve">. </w:t>
      </w:r>
    </w:p>
    <w:p w14:paraId="03315D07" w14:textId="77777777" w:rsidR="00E26631" w:rsidRPr="00D44188" w:rsidRDefault="00E26631" w:rsidP="00E26631">
      <w:pPr>
        <w:rPr>
          <w:rStyle w:val="Style1"/>
          <w:rFonts w:eastAsia="Trebuchet MS" w:cstheme="minorHAnsi"/>
        </w:rPr>
      </w:pPr>
      <w:r w:rsidRPr="00D44188">
        <w:rPr>
          <w:rStyle w:val="Style1"/>
          <w:rFonts w:eastAsia="Trebuchet MS" w:cstheme="minorHAnsi"/>
        </w:rPr>
        <w:t>The measure numerator is the risk-adjusted predicted estimate of the number of patients</w:t>
      </w:r>
      <w:r w:rsidRPr="00D44188">
        <w:rPr>
          <w:rStyle w:val="Style1"/>
          <w:rFonts w:eastAsia="Trebuchet MS," w:cstheme="minorHAnsi"/>
        </w:rPr>
        <w:t xml:space="preserve"> </w:t>
      </w:r>
      <w:r w:rsidRPr="00D44188">
        <w:rPr>
          <w:rStyle w:val="Style1"/>
          <w:rFonts w:eastAsia="Trebuchet MS" w:cstheme="minorHAnsi"/>
        </w:rPr>
        <w:t xml:space="preserve">who are discharged to the community, do not have an unplanned readmission to an acute care hospital or LTCH </w:t>
      </w:r>
      <w:r w:rsidRPr="00D44188">
        <w:rPr>
          <w:rStyle w:val="Style1"/>
          <w:rFonts w:eastAsia="Trebuchet MS" w:cstheme="minorHAnsi"/>
        </w:rPr>
        <w:lastRenderedPageBreak/>
        <w:t xml:space="preserve">in the 31-day post-discharge observation window, and who remain alive during the post-discharge observation window. </w:t>
      </w:r>
    </w:p>
    <w:p w14:paraId="17CA777D" w14:textId="77777777" w:rsidR="00E26631" w:rsidRPr="00D44188" w:rsidRDefault="00E26631" w:rsidP="00E26631">
      <w:pPr>
        <w:rPr>
          <w:rStyle w:val="Style1"/>
          <w:rFonts w:eastAsia="Trebuchet MS" w:cstheme="minorHAnsi"/>
        </w:rPr>
      </w:pPr>
      <w:r w:rsidRPr="00D44188">
        <w:rPr>
          <w:rStyle w:val="Style1"/>
          <w:rFonts w:eastAsia="Trebuchet MS" w:cstheme="minorHAnsi"/>
        </w:rPr>
        <w:t xml:space="preserve">This estimate starts with the observed number of discharges to community, defined as </w:t>
      </w:r>
    </w:p>
    <w:p w14:paraId="4D56B4C1" w14:textId="77777777" w:rsidR="00E26631" w:rsidRPr="00D44188" w:rsidRDefault="00E26631" w:rsidP="00E26631">
      <w:pPr>
        <w:ind w:left="720"/>
        <w:rPr>
          <w:rStyle w:val="Style1"/>
          <w:rFonts w:eastAsia="Trebuchet MS" w:cstheme="minorHAnsi"/>
        </w:rPr>
      </w:pPr>
      <w:r w:rsidRPr="00D44188">
        <w:rPr>
          <w:rStyle w:val="Style1"/>
          <w:rFonts w:eastAsia="Trebuchet MS" w:cstheme="minorHAnsi"/>
        </w:rPr>
        <w:t xml:space="preserve">(i) discharges to home or self-care based on Patient Discharge Status Codes 01, 81, the Medicare FFS claim [1]; and </w:t>
      </w:r>
    </w:p>
    <w:p w14:paraId="12611F64" w14:textId="77777777" w:rsidR="00E26631" w:rsidRPr="00D44188" w:rsidRDefault="00E26631" w:rsidP="00E26631">
      <w:pPr>
        <w:ind w:left="720"/>
        <w:rPr>
          <w:rStyle w:val="Style1"/>
          <w:rFonts w:eastAsia="Trebuchet MS" w:cstheme="minorHAnsi"/>
        </w:rPr>
      </w:pPr>
      <w:r w:rsidRPr="00D44188">
        <w:rPr>
          <w:rStyle w:val="Style1"/>
          <w:rFonts w:eastAsia="Trebuchet MS" w:cstheme="minorHAnsi"/>
        </w:rPr>
        <w:t xml:space="preserve">(ii) no unplanned acute or LTCH hospitalizations in the 31-day post-discharge window; and </w:t>
      </w:r>
    </w:p>
    <w:p w14:paraId="32FDF98C" w14:textId="77777777" w:rsidR="00E26631" w:rsidRPr="00D44188" w:rsidRDefault="00E26631" w:rsidP="00E26631">
      <w:pPr>
        <w:ind w:left="720"/>
        <w:rPr>
          <w:rStyle w:val="Style1"/>
          <w:rFonts w:eastAsia="Trebuchet MS" w:cstheme="minorHAnsi"/>
        </w:rPr>
      </w:pPr>
      <w:r w:rsidRPr="00D44188">
        <w:rPr>
          <w:rStyle w:val="Style1"/>
          <w:rFonts w:eastAsia="Trebuchet MS" w:cstheme="minorHAnsi"/>
        </w:rPr>
        <w:t xml:space="preserve">(iii) no death in the 31-day post-discharge window. </w:t>
      </w:r>
    </w:p>
    <w:p w14:paraId="545B4EDE" w14:textId="77777777" w:rsidR="00E26631" w:rsidRPr="00D44188" w:rsidRDefault="00E26631" w:rsidP="00E26631">
      <w:pPr>
        <w:rPr>
          <w:rStyle w:val="Style1"/>
          <w:rFonts w:eastAsia="Trebuchet MS," w:cstheme="minorHAnsi"/>
        </w:rPr>
      </w:pPr>
      <w:r w:rsidRPr="00D44188">
        <w:rPr>
          <w:rStyle w:val="Style1"/>
          <w:rFonts w:eastAsia="Trebuchet MS" w:cstheme="minorHAnsi"/>
        </w:rPr>
        <w:t>Discharges to community are risk-adjusted for patient characteristics and a statistical estimate of the facility effect beyond case</w:t>
      </w:r>
      <w:r w:rsidRPr="00D44188">
        <w:rPr>
          <w:rStyle w:val="Style1"/>
          <w:rFonts w:eastAsia="Trebuchet MS," w:cstheme="minorHAnsi"/>
        </w:rPr>
        <w:t>-</w:t>
      </w:r>
      <w:r w:rsidRPr="00D44188">
        <w:rPr>
          <w:rStyle w:val="Style1"/>
          <w:rFonts w:eastAsia="Trebuchet MS" w:cstheme="minorHAnsi"/>
        </w:rPr>
        <w:t>mix (described below).</w:t>
      </w:r>
    </w:p>
    <w:p w14:paraId="4DED80C6" w14:textId="77777777" w:rsidR="00E26631" w:rsidRPr="00D44188" w:rsidRDefault="00E26631" w:rsidP="00E26631">
      <w:pPr>
        <w:rPr>
          <w:rStyle w:val="Style1"/>
          <w:rFonts w:eastAsia="Trebuchet MS" w:cstheme="minorHAnsi"/>
        </w:rPr>
      </w:pPr>
      <w:r w:rsidRPr="00D44188">
        <w:rPr>
          <w:rStyle w:val="Style1"/>
          <w:rFonts w:eastAsia="Trebuchet MS" w:cstheme="minorHAnsi"/>
        </w:rPr>
        <w:t xml:space="preserve">The numerator uses a model estimated on full national data specific to the PAC setting; it is applied to the HHA’s patient stays included in the measure and includes the estimated effect of that HHA. The prediction equation is based on a logistic regression model with a two-level hierarchical structure. </w:t>
      </w:r>
    </w:p>
    <w:p w14:paraId="2B721BE0" w14:textId="77777777" w:rsidR="00E26631" w:rsidRPr="00D44188" w:rsidRDefault="00E26631" w:rsidP="00E26631">
      <w:pPr>
        <w:rPr>
          <w:rStyle w:val="Style1"/>
          <w:rFonts w:eastAsia="Trebuchet MS" w:cstheme="minorHAnsi"/>
        </w:rPr>
      </w:pPr>
      <w:r w:rsidRPr="00D44188">
        <w:rPr>
          <w:rStyle w:val="Style1"/>
          <w:rFonts w:eastAsia="Trebuchet MS" w:cstheme="minorHAnsi"/>
        </w:rPr>
        <w:t xml:space="preserve">The patient stays in the model have an indicator of the HHA they are discharged from; the effect of the HHA is measured as a positive or negative shift in the intercept term of the equation. The HHA effects are modeled as belonging to a normal (Gaussian) distribution centered at 0 and are estimated along with the effects of patient characteristics in the model. </w:t>
      </w:r>
    </w:p>
    <w:p w14:paraId="53A42216" w14:textId="77777777" w:rsidR="00E26631" w:rsidRPr="00D44188" w:rsidRDefault="00E26631" w:rsidP="00E26631">
      <w:pPr>
        <w:rPr>
          <w:rStyle w:val="Style1"/>
          <w:rFonts w:eastAsia="Trebuchet MS" w:cstheme="minorHAnsi"/>
        </w:rPr>
      </w:pPr>
      <w:r w:rsidRPr="00D44188">
        <w:rPr>
          <w:rStyle w:val="Style1"/>
          <w:rFonts w:eastAsia="Trebuchet MS" w:cstheme="minorHAnsi"/>
        </w:rPr>
        <w:t>The risk adjustment logistic model is re-estimated for every measurement period and model coefficients corresponding to the measurement period are used for measure calculation. Results of the hierarchical logistic regression model presented in this submission are based CY 2015-2016 data.</w:t>
      </w:r>
    </w:p>
    <w:p w14:paraId="5ABC8B4B" w14:textId="77777777" w:rsidR="00E26631" w:rsidRPr="00D44188" w:rsidRDefault="00E26631" w:rsidP="00E26631">
      <w:pPr>
        <w:rPr>
          <w:rStyle w:val="Style1"/>
          <w:rFonts w:eastAsia="Trebuchet MS," w:cstheme="minorHAnsi"/>
        </w:rPr>
      </w:pPr>
      <w:r w:rsidRPr="00D44188">
        <w:rPr>
          <w:rStyle w:val="Style1"/>
          <w:rFonts w:eastAsia="Trebuchet MS" w:cstheme="minorHAnsi"/>
        </w:rPr>
        <w:t xml:space="preserve"> </w:t>
      </w:r>
    </w:p>
    <w:p w14:paraId="0E38AC44" w14:textId="77777777" w:rsidR="00E26631" w:rsidRPr="00D44188" w:rsidRDefault="00E26631" w:rsidP="00E26631">
      <w:pPr>
        <w:rPr>
          <w:rStyle w:val="underlinecls"/>
          <w:rFonts w:ascii="Trebuchet MS" w:eastAsia="Trebuchet MS" w:hAnsi="Trebuchet MS" w:cs="Trebuchet MS"/>
          <w:i/>
          <w:iCs/>
          <w:sz w:val="18"/>
          <w:szCs w:val="18"/>
          <w:lang w:val="en"/>
        </w:rPr>
      </w:pPr>
      <w:r w:rsidRPr="00D44188">
        <w:rPr>
          <w:rFonts w:ascii="Trebuchet MS" w:eastAsia="Trebuchet MS" w:hAnsi="Trebuchet MS" w:cs="Trebuchet MS"/>
          <w:b/>
          <w:bCs/>
          <w:sz w:val="18"/>
          <w:szCs w:val="18"/>
          <w:lang w:val="en"/>
        </w:rPr>
        <w:t xml:space="preserve">S.5. Numerator Details </w:t>
      </w:r>
      <w:r w:rsidRPr="00D44188">
        <w:rPr>
          <w:rFonts w:ascii="Trebuchet MS" w:eastAsia="Trebuchet MS" w:hAnsi="Trebuchet MS" w:cs="Trebuchet MS"/>
          <w:i/>
          <w:iCs/>
          <w:sz w:val="18"/>
          <w:szCs w:val="18"/>
          <w:lang w:val="en"/>
        </w:rPr>
        <w:t>(All information required to identify and calculate the cases from the target population with the target process, condition, event, or outcome such as definitions, time period for data collection, specific data collection items/responses, code/value sets – Note: lists of individual codes with descriptors that exceed 1 page should be provided in an Excel or csv file in required format at S.2b)</w:t>
      </w:r>
      <w:r w:rsidRPr="00D44188">
        <w:rPr>
          <w:rFonts w:ascii="Trebuchet MS" w:hAnsi="Trebuchet MS"/>
          <w:i/>
          <w:iCs/>
          <w:sz w:val="18"/>
          <w:szCs w:val="18"/>
          <w:lang w:val="en"/>
        </w:rPr>
        <w:br/>
      </w:r>
      <w:r w:rsidRPr="00D44188">
        <w:rPr>
          <w:rStyle w:val="underlinecls"/>
          <w:rFonts w:ascii="Trebuchet MS" w:eastAsia="Trebuchet MS" w:hAnsi="Trebuchet MS" w:cs="Trebuchet MS"/>
          <w:i/>
          <w:iCs/>
          <w:sz w:val="18"/>
          <w:szCs w:val="18"/>
          <w:lang w:val="en"/>
        </w:rPr>
        <w:t>IF an OUTCOME MEASURE, describe how the observed outcome is identified/counted. Calculation of the risk-adjusted outcome should be described in the calculation algorithm (S.14).</w:t>
      </w:r>
    </w:p>
    <w:p w14:paraId="2F357563" w14:textId="77777777" w:rsidR="00E26631" w:rsidRPr="00D44188" w:rsidRDefault="00E26631" w:rsidP="00E26631">
      <w:pPr>
        <w:pStyle w:val="Heading5"/>
        <w:rPr>
          <w:rStyle w:val="Style1"/>
          <w:rFonts w:eastAsiaTheme="minorEastAsia" w:cstheme="minorHAnsi"/>
          <w:szCs w:val="22"/>
        </w:rPr>
      </w:pPr>
      <w:bookmarkStart w:id="5" w:name="_Hlk518899215"/>
      <w:r w:rsidRPr="00D44188">
        <w:rPr>
          <w:rStyle w:val="Style1"/>
          <w:rFonts w:eastAsiaTheme="minorEastAsia" w:cstheme="minorHAnsi"/>
          <w:szCs w:val="22"/>
        </w:rPr>
        <w:t>Discharge Destination of Community</w:t>
      </w:r>
    </w:p>
    <w:p w14:paraId="30E511C9" w14:textId="77777777" w:rsidR="00E26631" w:rsidRPr="00D44188" w:rsidRDefault="00E26631" w:rsidP="00E26631">
      <w:pPr>
        <w:pStyle w:val="BodyText"/>
        <w:ind w:firstLine="0"/>
      </w:pPr>
    </w:p>
    <w:p w14:paraId="5EE8160C" w14:textId="77777777" w:rsidR="00E26631" w:rsidRPr="00D44188" w:rsidRDefault="00E26631" w:rsidP="00E26631">
      <w:pPr>
        <w:pStyle w:val="BodyText"/>
        <w:ind w:firstLine="0"/>
        <w:rPr>
          <w:rStyle w:val="Style1"/>
          <w:rFonts w:eastAsiaTheme="minorEastAsia" w:cstheme="minorHAnsi"/>
          <w:szCs w:val="22"/>
        </w:rPr>
      </w:pPr>
      <w:r w:rsidRPr="00D44188">
        <w:rPr>
          <w:rStyle w:val="Style1"/>
          <w:rFonts w:eastAsiaTheme="minorEastAsia" w:cstheme="minorHAnsi"/>
          <w:szCs w:val="22"/>
        </w:rPr>
        <w:lastRenderedPageBreak/>
        <w:t>Discharge to community is determined based on the “Patient Discharge Status Code” from the PAC claim. Discharge to community is defined as discharge to home/self-care [</w:t>
      </w:r>
      <w:r w:rsidRPr="00D44188">
        <w:rPr>
          <w:rStyle w:val="FootnoteReference"/>
          <w:rFonts w:asciiTheme="minorHAnsi" w:eastAsiaTheme="minorEastAsia" w:hAnsiTheme="minorHAnsi" w:cstheme="minorHAnsi"/>
          <w:sz w:val="22"/>
          <w:szCs w:val="22"/>
        </w:rPr>
        <w:footnoteReference w:id="4"/>
      </w:r>
      <w:r w:rsidRPr="00D44188">
        <w:rPr>
          <w:rStyle w:val="Style1"/>
          <w:rFonts w:eastAsiaTheme="minorEastAsia" w:cstheme="minorHAnsi"/>
          <w:szCs w:val="22"/>
        </w:rPr>
        <w:t>][</w:t>
      </w:r>
      <w:r w:rsidRPr="00D44188">
        <w:rPr>
          <w:rStyle w:val="FootnoteReference"/>
          <w:rFonts w:asciiTheme="minorHAnsi" w:eastAsiaTheme="minorEastAsia" w:hAnsiTheme="minorHAnsi" w:cstheme="minorHAnsi"/>
          <w:sz w:val="22"/>
          <w:szCs w:val="22"/>
        </w:rPr>
        <w:footnoteReference w:id="5"/>
      </w:r>
      <w:r w:rsidRPr="00D44188">
        <w:rPr>
          <w:rStyle w:val="Style1"/>
          <w:rFonts w:eastAsiaTheme="minorEastAsia" w:cstheme="minorHAnsi"/>
          <w:szCs w:val="22"/>
        </w:rPr>
        <w:t>] . Table 1 below lists the Patient Discharge Status Codes used to define community.</w:t>
      </w:r>
    </w:p>
    <w:p w14:paraId="08A2B5E3" w14:textId="77777777" w:rsidR="00E26631" w:rsidRPr="00D44188" w:rsidRDefault="00E26631" w:rsidP="00E26631">
      <w:pPr>
        <w:pStyle w:val="TableTitle"/>
        <w:rPr>
          <w:rStyle w:val="Style1"/>
          <w:rFonts w:eastAsiaTheme="minorEastAsia" w:cstheme="minorHAnsi"/>
          <w:b w:val="0"/>
          <w:bCs w:val="0"/>
        </w:rPr>
      </w:pPr>
      <w:bookmarkStart w:id="6" w:name="_Toc434477998"/>
      <w:bookmarkStart w:id="7" w:name="_Toc457398894"/>
      <w:bookmarkStart w:id="8" w:name="_Hlk518894247"/>
      <w:r w:rsidRPr="00D44188">
        <w:rPr>
          <w:rStyle w:val="Style1"/>
          <w:rFonts w:eastAsiaTheme="minorEastAsia" w:cstheme="minorHAnsi"/>
        </w:rPr>
        <w:t xml:space="preserve">Table </w:t>
      </w:r>
      <w:r w:rsidRPr="00D44188">
        <w:rPr>
          <w:rFonts w:asciiTheme="minorHAnsi" w:hAnsiTheme="minorHAnsi" w:cstheme="minorHAnsi"/>
          <w:sz w:val="22"/>
        </w:rPr>
        <w:fldChar w:fldCharType="begin"/>
      </w:r>
      <w:r w:rsidRPr="00D44188">
        <w:rPr>
          <w:rStyle w:val="Style1"/>
          <w:rFonts w:eastAsiaTheme="minorEastAsia" w:cstheme="minorHAnsi"/>
          <w:bCs w:val="0"/>
        </w:rPr>
        <w:instrText xml:space="preserve"> SEQ Table \* ARABIC </w:instrText>
      </w:r>
      <w:r w:rsidRPr="00D44188">
        <w:rPr>
          <w:rStyle w:val="Style1"/>
          <w:rFonts w:eastAsiaTheme="minorEastAsia"/>
          <w:bCs w:val="0"/>
        </w:rPr>
        <w:fldChar w:fldCharType="separate"/>
      </w:r>
      <w:r w:rsidRPr="00D44188">
        <w:rPr>
          <w:rStyle w:val="Style1"/>
          <w:rFonts w:eastAsiaTheme="minorEastAsia" w:cstheme="minorHAnsi"/>
        </w:rPr>
        <w:t>1</w:t>
      </w:r>
      <w:r w:rsidRPr="00D44188">
        <w:rPr>
          <w:rFonts w:asciiTheme="minorHAnsi" w:hAnsiTheme="minorHAnsi" w:cstheme="minorHAnsi"/>
          <w:sz w:val="22"/>
        </w:rPr>
        <w:fldChar w:fldCharType="end"/>
      </w:r>
      <w:r w:rsidRPr="00D44188">
        <w:rPr>
          <w:rStyle w:val="Style1"/>
          <w:rFonts w:eastAsiaTheme="minorEastAsia" w:cstheme="minorHAnsi"/>
          <w:b w:val="0"/>
          <w:bCs w:val="0"/>
        </w:rPr>
        <w:br/>
        <w:t>Patient Discharge Status Codes Used to Determine Discharge to Community</w:t>
      </w:r>
      <w:bookmarkEnd w:id="6"/>
      <w:bookmarkEnd w:id="7"/>
      <w:r w:rsidRPr="00D44188">
        <w:rPr>
          <w:rStyle w:val="Style1"/>
          <w:rFonts w:eastAsiaTheme="minorEastAsia" w:cstheme="minorHAnsi"/>
          <w:b w:val="0"/>
          <w:bCs w:val="0"/>
        </w:rPr>
        <w:t xml:space="preserve"> from the HHA</w:t>
      </w:r>
    </w:p>
    <w:tbl>
      <w:tblPr>
        <w:tblW w:w="0" w:type="auto"/>
        <w:jc w:val="center"/>
        <w:tblBorders>
          <w:top w:val="single" w:sz="12" w:space="0" w:color="auto"/>
          <w:bottom w:val="single" w:sz="12" w:space="0" w:color="auto"/>
        </w:tblBorders>
        <w:tblLayout w:type="fixed"/>
        <w:tblLook w:val="04A0" w:firstRow="1" w:lastRow="0" w:firstColumn="1" w:lastColumn="0" w:noHBand="0" w:noVBand="1"/>
      </w:tblPr>
      <w:tblGrid>
        <w:gridCol w:w="649"/>
        <w:gridCol w:w="5831"/>
        <w:gridCol w:w="270"/>
      </w:tblGrid>
      <w:tr w:rsidR="00E26631" w:rsidRPr="00D44188" w14:paraId="56053873" w14:textId="77777777" w:rsidTr="00E26631">
        <w:trPr>
          <w:cantSplit/>
          <w:tblHeader/>
          <w:jc w:val="center"/>
        </w:trPr>
        <w:tc>
          <w:tcPr>
            <w:tcW w:w="6480" w:type="dxa"/>
            <w:gridSpan w:val="2"/>
            <w:tcBorders>
              <w:top w:val="single" w:sz="12" w:space="0" w:color="auto"/>
              <w:bottom w:val="single" w:sz="4" w:space="0" w:color="auto"/>
            </w:tcBorders>
            <w:shd w:val="clear" w:color="auto" w:fill="auto"/>
            <w:vAlign w:val="center"/>
          </w:tcPr>
          <w:p w14:paraId="65286BAD" w14:textId="77777777" w:rsidR="00E26631" w:rsidRPr="00D44188" w:rsidRDefault="00E26631" w:rsidP="00E26631">
            <w:pPr>
              <w:pStyle w:val="TableHeaders"/>
              <w:jc w:val="left"/>
              <w:rPr>
                <w:rStyle w:val="Style1"/>
                <w:rFonts w:eastAsiaTheme="minorEastAsia" w:cstheme="minorHAnsi"/>
                <w:snapToGrid/>
                <w:szCs w:val="22"/>
              </w:rPr>
            </w:pPr>
            <w:r w:rsidRPr="00D44188">
              <w:rPr>
                <w:rStyle w:val="Style1"/>
                <w:rFonts w:eastAsiaTheme="minorEastAsia" w:cstheme="minorHAnsi"/>
                <w:snapToGrid/>
                <w:szCs w:val="22"/>
              </w:rPr>
              <w:t>Discharge Status Codes Indicating Community Discharge</w:t>
            </w:r>
          </w:p>
        </w:tc>
        <w:tc>
          <w:tcPr>
            <w:tcW w:w="270" w:type="dxa"/>
            <w:tcBorders>
              <w:top w:val="single" w:sz="12" w:space="0" w:color="auto"/>
              <w:bottom w:val="single" w:sz="4" w:space="0" w:color="auto"/>
            </w:tcBorders>
            <w:shd w:val="clear" w:color="auto" w:fill="auto"/>
            <w:vAlign w:val="center"/>
          </w:tcPr>
          <w:p w14:paraId="5AB7BE1D" w14:textId="77777777" w:rsidR="00E26631" w:rsidRPr="00D44188" w:rsidRDefault="00E26631" w:rsidP="00E26631">
            <w:pPr>
              <w:pStyle w:val="TableHeaders"/>
              <w:jc w:val="left"/>
              <w:rPr>
                <w:rStyle w:val="Style1"/>
                <w:rFonts w:eastAsiaTheme="minorEastAsia" w:cstheme="minorHAnsi"/>
                <w:snapToGrid/>
                <w:szCs w:val="22"/>
              </w:rPr>
            </w:pPr>
          </w:p>
        </w:tc>
      </w:tr>
      <w:tr w:rsidR="00E26631" w:rsidRPr="00D44188" w14:paraId="12BEA5AE" w14:textId="77777777" w:rsidTr="00E26631">
        <w:trPr>
          <w:cantSplit/>
          <w:jc w:val="center"/>
        </w:trPr>
        <w:tc>
          <w:tcPr>
            <w:tcW w:w="649" w:type="dxa"/>
            <w:tcBorders>
              <w:top w:val="single" w:sz="4" w:space="0" w:color="auto"/>
              <w:bottom w:val="nil"/>
            </w:tcBorders>
          </w:tcPr>
          <w:p w14:paraId="21536C6B" w14:textId="77777777" w:rsidR="00E26631" w:rsidRPr="00D44188" w:rsidRDefault="00E26631" w:rsidP="00E26631">
            <w:pPr>
              <w:pStyle w:val="TableTextCenter"/>
              <w:jc w:val="left"/>
              <w:rPr>
                <w:rStyle w:val="Style1"/>
                <w:rFonts w:eastAsiaTheme="minorEastAsia" w:cstheme="minorHAnsi"/>
                <w:szCs w:val="22"/>
              </w:rPr>
            </w:pPr>
            <w:r w:rsidRPr="00D44188">
              <w:rPr>
                <w:rStyle w:val="Style1"/>
                <w:rFonts w:eastAsiaTheme="minorEastAsia" w:cstheme="minorHAnsi"/>
                <w:szCs w:val="22"/>
              </w:rPr>
              <w:t>01</w:t>
            </w:r>
          </w:p>
        </w:tc>
        <w:tc>
          <w:tcPr>
            <w:tcW w:w="6101" w:type="dxa"/>
            <w:gridSpan w:val="2"/>
            <w:tcBorders>
              <w:top w:val="single" w:sz="4" w:space="0" w:color="auto"/>
              <w:bottom w:val="nil"/>
            </w:tcBorders>
            <w:vAlign w:val="center"/>
          </w:tcPr>
          <w:p w14:paraId="18731A24" w14:textId="77777777" w:rsidR="00E26631" w:rsidRPr="00D44188" w:rsidRDefault="00E26631" w:rsidP="00E26631">
            <w:pPr>
              <w:pStyle w:val="TableText"/>
              <w:rPr>
                <w:rStyle w:val="Style1"/>
                <w:rFonts w:eastAsiaTheme="minorEastAsia" w:cstheme="minorHAnsi"/>
                <w:szCs w:val="22"/>
              </w:rPr>
            </w:pPr>
            <w:r w:rsidRPr="00D44188">
              <w:rPr>
                <w:rStyle w:val="Style1"/>
                <w:rFonts w:eastAsiaTheme="minorEastAsia" w:cstheme="minorHAnsi"/>
                <w:szCs w:val="22"/>
              </w:rPr>
              <w:t>Discharged to home or self-care (routine discharge)</w:t>
            </w:r>
          </w:p>
        </w:tc>
      </w:tr>
      <w:tr w:rsidR="00E26631" w:rsidRPr="00D44188" w14:paraId="151849C7" w14:textId="77777777" w:rsidTr="00E26631">
        <w:trPr>
          <w:cantSplit/>
          <w:jc w:val="center"/>
        </w:trPr>
        <w:tc>
          <w:tcPr>
            <w:tcW w:w="649" w:type="dxa"/>
            <w:tcBorders>
              <w:top w:val="nil"/>
              <w:bottom w:val="single" w:sz="4" w:space="0" w:color="auto"/>
            </w:tcBorders>
          </w:tcPr>
          <w:p w14:paraId="36E6CC71" w14:textId="77777777" w:rsidR="00E26631" w:rsidRPr="00D44188" w:rsidRDefault="00E26631" w:rsidP="00E26631">
            <w:pPr>
              <w:pStyle w:val="TableTextCenter"/>
              <w:jc w:val="left"/>
              <w:rPr>
                <w:rStyle w:val="Style1"/>
                <w:rFonts w:eastAsiaTheme="minorEastAsia" w:cstheme="minorHAnsi"/>
                <w:szCs w:val="22"/>
              </w:rPr>
            </w:pPr>
            <w:r w:rsidRPr="00D44188">
              <w:rPr>
                <w:rStyle w:val="Style1"/>
                <w:rFonts w:eastAsiaTheme="minorEastAsia" w:cstheme="minorHAnsi"/>
                <w:szCs w:val="22"/>
              </w:rPr>
              <w:t>81</w:t>
            </w:r>
          </w:p>
        </w:tc>
        <w:tc>
          <w:tcPr>
            <w:tcW w:w="6101" w:type="dxa"/>
            <w:gridSpan w:val="2"/>
            <w:tcBorders>
              <w:top w:val="nil"/>
              <w:bottom w:val="single" w:sz="4" w:space="0" w:color="auto"/>
            </w:tcBorders>
            <w:vAlign w:val="center"/>
          </w:tcPr>
          <w:p w14:paraId="4F3DE8C9" w14:textId="77777777" w:rsidR="00E26631" w:rsidRPr="00D44188" w:rsidRDefault="00E26631" w:rsidP="00E26631">
            <w:pPr>
              <w:pStyle w:val="TableText"/>
              <w:rPr>
                <w:rStyle w:val="Style1"/>
                <w:rFonts w:eastAsiaTheme="minorEastAsia" w:cstheme="minorHAnsi"/>
                <w:szCs w:val="22"/>
              </w:rPr>
            </w:pPr>
            <w:r w:rsidRPr="00D44188">
              <w:rPr>
                <w:rStyle w:val="Style1"/>
                <w:rFonts w:eastAsiaTheme="minorEastAsia" w:cstheme="minorHAnsi"/>
                <w:szCs w:val="22"/>
              </w:rPr>
              <w:t>Discharged to home or self-care with a planned acute care hospital readmission</w:t>
            </w:r>
          </w:p>
        </w:tc>
      </w:tr>
    </w:tbl>
    <w:p w14:paraId="5FD31A34" w14:textId="77777777" w:rsidR="00E26631" w:rsidRPr="00D44188" w:rsidRDefault="00E26631" w:rsidP="00E26631">
      <w:pPr>
        <w:pStyle w:val="SourceTable"/>
        <w:rPr>
          <w:rStyle w:val="Style1"/>
          <w:rFonts w:eastAsiaTheme="minorEastAsia" w:cstheme="minorHAnsi"/>
          <w:szCs w:val="22"/>
        </w:rPr>
      </w:pPr>
    </w:p>
    <w:bookmarkEnd w:id="8"/>
    <w:p w14:paraId="40A11E99" w14:textId="77777777" w:rsidR="00E26631" w:rsidRPr="00D44188" w:rsidRDefault="00E26631" w:rsidP="00E26631">
      <w:pPr>
        <w:pStyle w:val="Heading5"/>
        <w:rPr>
          <w:rStyle w:val="Style1"/>
          <w:rFonts w:eastAsiaTheme="minorEastAsia" w:cstheme="minorHAnsi"/>
          <w:szCs w:val="22"/>
        </w:rPr>
      </w:pPr>
      <w:r w:rsidRPr="00D44188">
        <w:rPr>
          <w:rStyle w:val="Style1"/>
          <w:rFonts w:eastAsiaTheme="minorEastAsia" w:cstheme="minorHAnsi"/>
          <w:szCs w:val="22"/>
        </w:rPr>
        <w:t>Unplanned Admissions in the 31-Day Post-Discharge Observation Window</w:t>
      </w:r>
    </w:p>
    <w:p w14:paraId="001FA808" w14:textId="77777777" w:rsidR="00E26631" w:rsidRPr="00D44188" w:rsidRDefault="00E26631" w:rsidP="00E26631">
      <w:pPr>
        <w:pStyle w:val="BodyText"/>
        <w:ind w:firstLine="0"/>
        <w:rPr>
          <w:rStyle w:val="Style1"/>
          <w:rFonts w:eastAsiaTheme="minorEastAsia" w:cstheme="minorHAnsi"/>
          <w:szCs w:val="22"/>
        </w:rPr>
      </w:pPr>
      <w:r w:rsidRPr="00D44188">
        <w:rPr>
          <w:rStyle w:val="Style1"/>
          <w:rFonts w:eastAsiaTheme="minorEastAsia" w:cstheme="minorHAnsi"/>
          <w:szCs w:val="22"/>
        </w:rPr>
        <w:t xml:space="preserve">A patient who is discharged to the community is not considered to have a successful discharge to community outcome for this measure if they have a subsequent unplanned admission to an acute care hospital or LTCH in the post-discharge observation window, which includes the day of discharge and the 31 days following day of discharge. </w:t>
      </w:r>
    </w:p>
    <w:p w14:paraId="597DE337" w14:textId="77777777" w:rsidR="00E26631" w:rsidRPr="00D44188" w:rsidRDefault="00E26631" w:rsidP="00E26631">
      <w:pPr>
        <w:pStyle w:val="BodyText"/>
        <w:ind w:firstLine="0"/>
        <w:rPr>
          <w:rStyle w:val="Style1"/>
          <w:rFonts w:eastAsiaTheme="minorEastAsia" w:cstheme="minorHAnsi"/>
          <w:szCs w:val="22"/>
        </w:rPr>
      </w:pPr>
      <w:r w:rsidRPr="00D44188">
        <w:rPr>
          <w:rStyle w:val="Style1"/>
          <w:rFonts w:eastAsiaTheme="minorEastAsia" w:cstheme="minorHAnsi"/>
          <w:szCs w:val="22"/>
        </w:rPr>
        <w:t>We identify unplanned admissions based on the planned readmissions algorithm used in the following post-acute care readmission measures, endorsed by the National Quality Forum (NQF): (i) Skilled Nursing Facility 30-Day All-Cause Readmission Measure (SNFRM) (NQF #2510); (ii) All-Cause Unplanned Readmission Measure for 30 Days Post Discharge from Inpatient Rehabilitation Facilities (NQF #2502); (iii) All-Cause Unplanned Readmission Measure for 30 Days Post Discharge from Long-Term Care Hospitals and (iv) Rehospitalization During the First 30 Days of Home Health (NQF #2380). (NQF #2512).</w:t>
      </w:r>
      <w:bookmarkStart w:id="9" w:name="_Hlk518894438"/>
      <w:r w:rsidRPr="00D44188">
        <w:rPr>
          <w:rStyle w:val="Style1"/>
          <w:rFonts w:eastAsiaTheme="minorEastAsia" w:cstheme="minorHAnsi"/>
          <w:szCs w:val="22"/>
        </w:rPr>
        <w:t>[</w:t>
      </w:r>
      <w:r w:rsidRPr="00D44188">
        <w:rPr>
          <w:rStyle w:val="Style1"/>
          <w:rFonts w:eastAsiaTheme="minorEastAsia" w:cstheme="minorHAnsi"/>
          <w:szCs w:val="22"/>
        </w:rPr>
        <w:footnoteReference w:id="6"/>
      </w:r>
      <w:r w:rsidRPr="00D44188">
        <w:rPr>
          <w:rStyle w:val="Style1"/>
          <w:rFonts w:eastAsiaTheme="minorEastAsia" w:cstheme="minorHAnsi"/>
          <w:szCs w:val="22"/>
        </w:rPr>
        <w:t>] [</w:t>
      </w:r>
      <w:r w:rsidRPr="00D44188">
        <w:rPr>
          <w:rStyle w:val="Style1"/>
          <w:rFonts w:eastAsiaTheme="minorEastAsia" w:cstheme="minorHAnsi"/>
          <w:szCs w:val="22"/>
        </w:rPr>
        <w:footnoteReference w:id="7"/>
      </w:r>
      <w:r w:rsidRPr="00D44188">
        <w:rPr>
          <w:rStyle w:val="Style1"/>
          <w:rFonts w:eastAsiaTheme="minorEastAsia" w:cstheme="minorHAnsi"/>
          <w:szCs w:val="22"/>
        </w:rPr>
        <w:t>] [</w:t>
      </w:r>
      <w:r w:rsidRPr="00D44188">
        <w:rPr>
          <w:rStyle w:val="Style1"/>
          <w:rFonts w:eastAsiaTheme="minorEastAsia" w:cstheme="minorHAnsi"/>
          <w:szCs w:val="22"/>
        </w:rPr>
        <w:footnoteReference w:id="8"/>
      </w:r>
      <w:r w:rsidRPr="00D44188">
        <w:rPr>
          <w:rStyle w:val="Style1"/>
          <w:rFonts w:eastAsiaTheme="minorEastAsia" w:cstheme="minorHAnsi"/>
          <w:szCs w:val="22"/>
        </w:rPr>
        <w:t>]</w:t>
      </w:r>
      <w:bookmarkEnd w:id="9"/>
      <w:r w:rsidRPr="00D44188">
        <w:rPr>
          <w:rStyle w:val="Style1"/>
          <w:rFonts w:eastAsiaTheme="minorEastAsia" w:cstheme="minorHAnsi"/>
          <w:szCs w:val="22"/>
        </w:rPr>
        <w:t xml:space="preserve"> </w:t>
      </w:r>
    </w:p>
    <w:p w14:paraId="4D82AA8B" w14:textId="3C4DE796" w:rsidR="00E26631" w:rsidRPr="00D44188" w:rsidRDefault="00E26631" w:rsidP="00E26631">
      <w:pPr>
        <w:pStyle w:val="BodyText"/>
        <w:ind w:firstLine="0"/>
        <w:rPr>
          <w:rStyle w:val="Style1"/>
          <w:rFonts w:eastAsiaTheme="minorEastAsia" w:cstheme="minorHAnsi"/>
          <w:szCs w:val="22"/>
        </w:rPr>
      </w:pPr>
      <w:r w:rsidRPr="00D44188">
        <w:rPr>
          <w:rStyle w:val="Style1"/>
          <w:rFonts w:eastAsiaTheme="minorEastAsia" w:cstheme="minorHAnsi"/>
          <w:szCs w:val="22"/>
        </w:rPr>
        <w:t>These PAC readmission measures are based on the Hospital-Wide All-Cause Readmission Measure (HWR) (NQF #1789), [</w:t>
      </w:r>
      <w:r w:rsidRPr="00D44188">
        <w:rPr>
          <w:rStyle w:val="Style1"/>
          <w:rFonts w:eastAsiaTheme="minorEastAsia" w:cstheme="minorHAnsi"/>
          <w:szCs w:val="22"/>
        </w:rPr>
        <w:footnoteReference w:id="9"/>
      </w:r>
      <w:r w:rsidRPr="00D44188">
        <w:rPr>
          <w:rStyle w:val="Style1"/>
          <w:rFonts w:eastAsiaTheme="minorEastAsia" w:cstheme="minorHAnsi"/>
          <w:szCs w:val="22"/>
        </w:rPr>
        <w:t>] with some additions made for the SNF, IRF, and LTCH setting measures. [</w:t>
      </w:r>
      <w:r w:rsidRPr="00D44188">
        <w:rPr>
          <w:rStyle w:val="FootnoteReference"/>
          <w:rFonts w:asciiTheme="minorHAnsi" w:eastAsiaTheme="minorEastAsia" w:hAnsiTheme="minorHAnsi" w:cstheme="minorHAnsi"/>
          <w:sz w:val="22"/>
          <w:szCs w:val="22"/>
        </w:rPr>
        <w:footnoteReference w:id="10"/>
      </w:r>
      <w:r w:rsidRPr="00D44188">
        <w:rPr>
          <w:rStyle w:val="Style1"/>
          <w:rFonts w:eastAsiaTheme="minorEastAsia" w:cstheme="minorHAnsi"/>
          <w:szCs w:val="22"/>
        </w:rPr>
        <w:t xml:space="preserve">] The planned readmission definition is based on the claim from the readmission having a code for a diagnosis </w:t>
      </w:r>
      <w:r w:rsidRPr="00D44188">
        <w:rPr>
          <w:rStyle w:val="Style1"/>
          <w:rFonts w:eastAsiaTheme="minorEastAsia" w:cstheme="minorHAnsi"/>
          <w:szCs w:val="22"/>
        </w:rPr>
        <w:lastRenderedPageBreak/>
        <w:t>or procedure that is considered planned; however, if a planned procedure is accompanied by a principal diagnosis in a specified list of acute diagnoses, the readmission is reclassified as unplanned. Readmissions to psychiatric hospitals or units are always classified as planned readmissions.</w:t>
      </w:r>
    </w:p>
    <w:p w14:paraId="28D57E80" w14:textId="77777777" w:rsidR="00E26631" w:rsidRPr="00D44188" w:rsidRDefault="00E26631" w:rsidP="00E26631">
      <w:pPr>
        <w:pStyle w:val="BodyText"/>
        <w:ind w:firstLine="0"/>
        <w:rPr>
          <w:rStyle w:val="Style1"/>
          <w:rFonts w:eastAsiaTheme="minorEastAsia" w:cstheme="minorHAnsi"/>
          <w:szCs w:val="22"/>
        </w:rPr>
      </w:pPr>
      <w:r w:rsidRPr="00D44188">
        <w:rPr>
          <w:rStyle w:val="Style1"/>
          <w:rFonts w:eastAsiaTheme="minorEastAsia" w:cstheme="minorHAnsi"/>
          <w:szCs w:val="22"/>
        </w:rPr>
        <w:t xml:space="preserve">While the measure was initially developed with ICD-9-CM </w:t>
      </w:r>
      <w:r w:rsidRPr="00D44188">
        <w:rPr>
          <w:rStyle w:val="tgc"/>
          <w:rFonts w:asciiTheme="minorHAnsi" w:hAnsiTheme="minorHAnsi" w:cstheme="minorHAnsi"/>
          <w:sz w:val="22"/>
          <w:szCs w:val="22"/>
        </w:rPr>
        <w:t xml:space="preserve">(International Classification of Diseases, Ninth Revision, Clinical Modification) </w:t>
      </w:r>
      <w:r w:rsidRPr="00D44188">
        <w:rPr>
          <w:rStyle w:val="Style1"/>
          <w:rFonts w:eastAsiaTheme="minorEastAsia" w:cstheme="minorHAnsi"/>
          <w:szCs w:val="22"/>
        </w:rPr>
        <w:t xml:space="preserve">procedure and diagnosis codes, it was transitioned using the ICD-9-CM to ICD-10-CM cross-walk. All analyses presented in this submission are based on both ICD-9-CM and ICD-10-CM codes. </w:t>
      </w:r>
    </w:p>
    <w:p w14:paraId="2162AC79" w14:textId="77777777" w:rsidR="00E26631" w:rsidRPr="00D44188" w:rsidRDefault="00E26631" w:rsidP="00E26631">
      <w:pPr>
        <w:pStyle w:val="Heading5"/>
        <w:rPr>
          <w:rFonts w:asciiTheme="minorHAnsi" w:hAnsiTheme="minorHAnsi" w:cstheme="minorHAnsi"/>
          <w:sz w:val="22"/>
          <w:szCs w:val="22"/>
        </w:rPr>
      </w:pPr>
      <w:r w:rsidRPr="00D44188">
        <w:rPr>
          <w:rFonts w:asciiTheme="minorHAnsi" w:hAnsiTheme="minorHAnsi" w:cstheme="minorHAnsi"/>
          <w:sz w:val="22"/>
          <w:szCs w:val="22"/>
        </w:rPr>
        <w:t>Death in the 31-Day Post-Discharge Observation Window</w:t>
      </w:r>
    </w:p>
    <w:p w14:paraId="617F6BBB" w14:textId="77777777" w:rsidR="00E26631" w:rsidRPr="00D44188" w:rsidRDefault="00E26631" w:rsidP="00E26631">
      <w:pPr>
        <w:pStyle w:val="BodyText"/>
        <w:ind w:firstLine="0"/>
        <w:rPr>
          <w:rStyle w:val="Style1"/>
          <w:rFonts w:eastAsiaTheme="minorEastAsia" w:cstheme="minorHAnsi"/>
          <w:szCs w:val="22"/>
        </w:rPr>
      </w:pPr>
      <w:r w:rsidRPr="00D44188">
        <w:rPr>
          <w:rStyle w:val="Style1"/>
          <w:rFonts w:eastAsiaTheme="minorEastAsia" w:cstheme="minorHAnsi"/>
          <w:szCs w:val="22"/>
        </w:rPr>
        <w:t>A patient who is discharged to the community is not considered to have a successful discharge to community outcome for this measure if they die in the post-discharge window, which includes the day of discharge and the 31 days following day of discharge. Death in the post-discharge window is identified based on date of death from Medicare eligibility files.</w:t>
      </w:r>
    </w:p>
    <w:p w14:paraId="7054D39A" w14:textId="77777777" w:rsidR="00E26631" w:rsidRPr="00D44188" w:rsidRDefault="00E26631" w:rsidP="00E26631">
      <w:pPr>
        <w:pStyle w:val="Heading5"/>
        <w:rPr>
          <w:rStyle w:val="Style1"/>
          <w:rFonts w:cstheme="minorHAnsi"/>
          <w:szCs w:val="22"/>
        </w:rPr>
      </w:pPr>
      <w:r w:rsidRPr="00D44188">
        <w:rPr>
          <w:rStyle w:val="Style1"/>
          <w:rFonts w:eastAsiaTheme="minorEastAsia" w:cstheme="minorHAnsi"/>
          <w:szCs w:val="22"/>
        </w:rPr>
        <w:t>Measure Time Window</w:t>
      </w:r>
    </w:p>
    <w:p w14:paraId="01469FA7" w14:textId="77777777" w:rsidR="00E26631" w:rsidRPr="00D44188" w:rsidRDefault="00E26631" w:rsidP="00E26631">
      <w:pPr>
        <w:rPr>
          <w:rFonts w:eastAsia="Calibri" w:cstheme="minorHAnsi"/>
        </w:rPr>
      </w:pPr>
      <w:r w:rsidRPr="00D44188">
        <w:rPr>
          <w:rFonts w:eastAsia="Calibri" w:cstheme="minorHAnsi"/>
        </w:rPr>
        <w:t>The measure is calculated using two consecutive years of data</w:t>
      </w:r>
      <w:r w:rsidRPr="00D44188">
        <w:t xml:space="preserve"> </w:t>
      </w:r>
      <w:r w:rsidRPr="00D44188">
        <w:rPr>
          <w:rFonts w:eastAsia="Calibri" w:cstheme="minorHAnsi"/>
        </w:rPr>
        <w:t>to ensure adequate number of patient stays for risk adjustment modeling.  . All Medicare FFS HHA discharges during the two-year time window, except those that meet the exclusion criteria (see S.8. and S.9.), are included in the measure. For patients with multiple HH stays during the two-year time window, each stay is eligible for inclusion in the measure.</w:t>
      </w:r>
    </w:p>
    <w:p w14:paraId="0D6781F1" w14:textId="77777777" w:rsidR="00E26631" w:rsidRPr="00D44188" w:rsidRDefault="00E26631" w:rsidP="00E26631">
      <w:pPr>
        <w:pStyle w:val="BodyText"/>
        <w:ind w:firstLine="0"/>
        <w:rPr>
          <w:rStyle w:val="Style1"/>
          <w:rFonts w:eastAsiaTheme="minorEastAsia" w:cstheme="minorHAnsi"/>
          <w:i/>
          <w:szCs w:val="22"/>
        </w:rPr>
      </w:pPr>
    </w:p>
    <w:bookmarkEnd w:id="5"/>
    <w:p w14:paraId="56F0BDD6" w14:textId="77777777" w:rsidR="00E26631" w:rsidRPr="00D44188" w:rsidRDefault="00E26631" w:rsidP="00E26631">
      <w:pPr>
        <w:rPr>
          <w:rStyle w:val="requiredfield"/>
          <w:rFonts w:ascii="Trebuchet MS" w:eastAsia="Trebuchet MS" w:hAnsi="Trebuchet MS" w:cs="Trebuchet MS"/>
          <w:b/>
          <w:bCs/>
          <w:sz w:val="20"/>
          <w:szCs w:val="20"/>
        </w:rPr>
      </w:pPr>
      <w:r w:rsidRPr="00D44188">
        <w:rPr>
          <w:rFonts w:ascii="Trebuchet MS" w:eastAsia="Trebuchet MS" w:hAnsi="Trebuchet MS" w:cs="Trebuchet MS"/>
          <w:b/>
          <w:bCs/>
          <w:sz w:val="20"/>
          <w:szCs w:val="20"/>
          <w:shd w:val="clear" w:color="auto" w:fill="FFFFFF"/>
        </w:rPr>
        <w:t>S.6. Denominator Statement </w:t>
      </w:r>
      <w:r w:rsidRPr="00D44188">
        <w:rPr>
          <w:rFonts w:ascii="Trebuchet MS" w:eastAsia="Trebuchet MS" w:hAnsi="Trebuchet MS" w:cs="Trebuchet MS"/>
          <w:i/>
          <w:iCs/>
          <w:sz w:val="20"/>
          <w:szCs w:val="20"/>
          <w:shd w:val="clear" w:color="auto" w:fill="FFFFFF"/>
        </w:rPr>
        <w:t>(Provide a brief description of the target population being measured)</w:t>
      </w:r>
      <w:r w:rsidRPr="00D44188">
        <w:rPr>
          <w:rStyle w:val="requiredfield"/>
          <w:rFonts w:ascii="Trebuchet MS" w:eastAsia="Trebuchet MS" w:hAnsi="Trebuchet MS" w:cs="Trebuchet MS"/>
          <w:b/>
          <w:bCs/>
          <w:sz w:val="20"/>
          <w:szCs w:val="20"/>
          <w:shd w:val="clear" w:color="auto" w:fill="FFFFFF"/>
        </w:rPr>
        <w:t>*</w:t>
      </w:r>
    </w:p>
    <w:p w14:paraId="6CAFA46D" w14:textId="77777777" w:rsidR="00E26631" w:rsidRPr="00D44188" w:rsidRDefault="00E26631" w:rsidP="00E26631">
      <w:pPr>
        <w:spacing w:after="120"/>
        <w:rPr>
          <w:rStyle w:val="Style1"/>
          <w:rFonts w:cstheme="minorHAnsi"/>
        </w:rPr>
      </w:pPr>
      <w:bookmarkStart w:id="10" w:name="_Hlk518899402"/>
      <w:bookmarkStart w:id="11" w:name="_Hlk518894574"/>
      <w:r w:rsidRPr="00D44188">
        <w:rPr>
          <w:rStyle w:val="Style1"/>
          <w:rFonts w:cstheme="minorHAnsi"/>
        </w:rPr>
        <w:t xml:space="preserve">The target population for the measure is the group of Medicare HH FFS beneficiaries who are discharged from an HHA during the measure time window and are not excluded based on the measure exclusion criteria </w:t>
      </w:r>
      <w:r w:rsidRPr="00D44188">
        <w:rPr>
          <w:rFonts w:eastAsia="Calibri" w:cstheme="minorHAnsi"/>
        </w:rPr>
        <w:t>(see S.8. and S.9.)</w:t>
      </w:r>
      <w:r w:rsidRPr="00D44188">
        <w:rPr>
          <w:rStyle w:val="Style1"/>
          <w:rFonts w:cstheme="minorHAnsi"/>
        </w:rPr>
        <w:t xml:space="preserve">. </w:t>
      </w:r>
    </w:p>
    <w:p w14:paraId="2943DE7D" w14:textId="77777777" w:rsidR="00E26631" w:rsidRPr="00D44188" w:rsidRDefault="00E26631" w:rsidP="00E26631">
      <w:pPr>
        <w:spacing w:after="120"/>
        <w:rPr>
          <w:rFonts w:cstheme="minorHAnsi"/>
        </w:rPr>
      </w:pPr>
      <w:r w:rsidRPr="00D44188">
        <w:rPr>
          <w:rStyle w:val="Style1"/>
          <w:rFonts w:eastAsia="Trebuchet MS" w:cstheme="minorHAnsi"/>
        </w:rPr>
        <w:t>The measure denominator is the risk-adjusted expected number of discharges to community. This estimate includes risk adjustment for patient characteristics with the facility effect removed. The “expected” number of discharges to community is the predicted number of risk-adjusted discharges to community if the same patients were treated at the average facility. The hierarchical logistic regression model used to calculate the denominator is developed using all non-excluded facility stays in the national data.</w:t>
      </w:r>
    </w:p>
    <w:bookmarkEnd w:id="10"/>
    <w:bookmarkEnd w:id="11"/>
    <w:p w14:paraId="2BBB22AD" w14:textId="77777777" w:rsidR="00E26631" w:rsidRPr="00D44188" w:rsidRDefault="00E26631" w:rsidP="00E26631">
      <w:pPr>
        <w:rPr>
          <w:rFonts w:eastAsia="Trebuchet MS" w:cstheme="minorHAnsi"/>
          <w:b/>
          <w:bCs/>
          <w:lang w:val="en"/>
        </w:rPr>
      </w:pPr>
    </w:p>
    <w:p w14:paraId="452E0257" w14:textId="77777777" w:rsidR="00E26631" w:rsidRPr="00D44188" w:rsidRDefault="00E26631" w:rsidP="00E26631">
      <w:pPr>
        <w:rPr>
          <w:rFonts w:ascii="Calibri" w:eastAsia="Calibri" w:hAnsi="Calibri" w:cs="Calibri"/>
        </w:rPr>
      </w:pPr>
      <w:bookmarkStart w:id="12" w:name="_Hlk518894517"/>
      <w:r w:rsidRPr="00D44188">
        <w:rPr>
          <w:rFonts w:ascii="Trebuchet MS" w:eastAsia="Trebuchet MS" w:hAnsi="Trebuchet MS" w:cs="Trebuchet MS"/>
          <w:b/>
          <w:bCs/>
          <w:sz w:val="18"/>
          <w:szCs w:val="18"/>
          <w:lang w:val="en"/>
        </w:rPr>
        <w:t xml:space="preserve">S.7. Denominator Details </w:t>
      </w:r>
      <w:r w:rsidRPr="00D44188">
        <w:rPr>
          <w:rFonts w:ascii="Trebuchet MS" w:eastAsia="Trebuchet MS" w:hAnsi="Trebuchet MS" w:cs="Trebuchet MS"/>
          <w:i/>
          <w:iCs/>
          <w:sz w:val="18"/>
          <w:szCs w:val="18"/>
          <w:lang w:val="en"/>
        </w:rPr>
        <w:t>(All information required to identify and calculate the target population/denominator such as definitions, time period for data collection, specific data collection items/responses, code/value sets – Note: lists of individual codes with descriptors that exceed 1 page should be provided in an Excel or csv file in required format at S.2b)</w:t>
      </w:r>
      <w:r w:rsidRPr="00D44188">
        <w:rPr>
          <w:rFonts w:ascii="Trebuchet MS" w:hAnsi="Trebuchet MS"/>
          <w:i/>
          <w:iCs/>
          <w:sz w:val="18"/>
          <w:szCs w:val="18"/>
          <w:lang w:val="en"/>
        </w:rPr>
        <w:br/>
      </w:r>
      <w:r w:rsidRPr="00D44188">
        <w:rPr>
          <w:rStyle w:val="underlinecls"/>
          <w:rFonts w:ascii="Trebuchet MS" w:eastAsia="Trebuchet MS" w:hAnsi="Trebuchet MS" w:cs="Trebuchet MS"/>
          <w:i/>
          <w:iCs/>
          <w:sz w:val="18"/>
          <w:szCs w:val="18"/>
          <w:lang w:val="en"/>
        </w:rPr>
        <w:t>IF an OUTCOME MEASURE</w:t>
      </w:r>
      <w:r w:rsidRPr="00D44188">
        <w:rPr>
          <w:rFonts w:ascii="Trebuchet MS" w:eastAsia="Trebuchet MS" w:hAnsi="Trebuchet MS" w:cs="Trebuchet MS"/>
          <w:i/>
          <w:iCs/>
          <w:sz w:val="18"/>
          <w:szCs w:val="18"/>
          <w:lang w:val="en"/>
        </w:rPr>
        <w:t>, describe how the target population is identified. Calculation of the risk-adjusted outcome should be described in the calculation algorithm (S.14).</w:t>
      </w:r>
      <w:bookmarkStart w:id="13" w:name="_Hlk518894894"/>
      <w:bookmarkEnd w:id="12"/>
    </w:p>
    <w:p w14:paraId="111CA5FD" w14:textId="77777777" w:rsidR="00E26631" w:rsidRPr="00D44188" w:rsidRDefault="00E26631" w:rsidP="00E26631">
      <w:pPr>
        <w:rPr>
          <w:rFonts w:eastAsia="Calibri" w:cstheme="minorHAnsi"/>
        </w:rPr>
      </w:pPr>
      <w:bookmarkStart w:id="14" w:name="_Hlk518899441"/>
      <w:bookmarkEnd w:id="13"/>
      <w:r w:rsidRPr="00D44188">
        <w:rPr>
          <w:rStyle w:val="Style1"/>
          <w:rFonts w:eastAsia="Trebuchet MS" w:cstheme="minorHAnsi"/>
        </w:rPr>
        <w:lastRenderedPageBreak/>
        <w:t>As previously stated, the measure does not have a simple form for the numerator and denominator.</w:t>
      </w:r>
      <w:r w:rsidRPr="00D44188">
        <w:rPr>
          <w:rFonts w:eastAsia="Calibri" w:cstheme="minorHAnsi"/>
        </w:rPr>
        <w:t xml:space="preserve"> The measure denominator is the risk-adjusted expected number of discharges to community. See S.8. for details. </w:t>
      </w:r>
    </w:p>
    <w:p w14:paraId="1318A159" w14:textId="77777777" w:rsidR="00E26631" w:rsidRPr="00D44188" w:rsidRDefault="00E26631" w:rsidP="00E26631">
      <w:pPr>
        <w:spacing w:after="120"/>
        <w:rPr>
          <w:rStyle w:val="Style1"/>
          <w:rFonts w:cstheme="minorHAnsi"/>
        </w:rPr>
      </w:pPr>
      <w:r w:rsidRPr="00D44188">
        <w:rPr>
          <w:rFonts w:eastAsia="Trebuchet MS" w:cstheme="minorHAnsi"/>
          <w:lang w:val="en"/>
        </w:rPr>
        <w:t xml:space="preserve">The target population includes all </w:t>
      </w:r>
      <w:r w:rsidRPr="00D44188">
        <w:rPr>
          <w:rStyle w:val="Style1"/>
          <w:rFonts w:cstheme="minorHAnsi"/>
        </w:rPr>
        <w:t xml:space="preserve">Medicare FFS beneficiaries who are discharged from a HHA during the measure time window and are not excluded based on the measure exclusion criteria. The target population for the analyses in the submission includes HHA discharges from </w:t>
      </w:r>
      <w:r w:rsidRPr="00D44188">
        <w:rPr>
          <w:rStyle w:val="Style1"/>
          <w:rFonts w:eastAsia="Trebuchet MS" w:cstheme="minorHAnsi"/>
        </w:rPr>
        <w:t>January 1, 2015 through December 31, 2016</w:t>
      </w:r>
      <w:r w:rsidRPr="00D44188">
        <w:rPr>
          <w:rStyle w:val="Style1"/>
          <w:rFonts w:cstheme="minorHAnsi"/>
        </w:rPr>
        <w:t xml:space="preserve"> (i.e., CY 2015-2016).</w:t>
      </w:r>
    </w:p>
    <w:p w14:paraId="32F27CEB" w14:textId="77777777" w:rsidR="00E26631" w:rsidRPr="00D44188" w:rsidRDefault="00E26631" w:rsidP="00E26631">
      <w:pPr>
        <w:rPr>
          <w:rFonts w:ascii="Trebuchet MS" w:eastAsia="Trebuchet MS" w:hAnsi="Trebuchet MS" w:cs="Trebuchet MS"/>
          <w:sz w:val="18"/>
          <w:szCs w:val="18"/>
          <w:lang w:val="en"/>
        </w:rPr>
      </w:pPr>
    </w:p>
    <w:p w14:paraId="1BAF15F2" w14:textId="77777777" w:rsidR="00E26631" w:rsidRPr="00D44188" w:rsidRDefault="00E26631" w:rsidP="00E26631">
      <w:pPr>
        <w:rPr>
          <w:rFonts w:ascii="Trebuchet MS" w:eastAsia="Trebuchet MS" w:hAnsi="Trebuchet MS" w:cs="Trebuchet MS"/>
          <w:sz w:val="18"/>
          <w:szCs w:val="18"/>
          <w:lang w:val="en"/>
        </w:rPr>
      </w:pPr>
      <w:bookmarkStart w:id="15" w:name="_Hlk518900154"/>
      <w:bookmarkStart w:id="16" w:name="_Hlk518894521"/>
      <w:bookmarkEnd w:id="14"/>
      <w:r w:rsidRPr="00D44188">
        <w:rPr>
          <w:rFonts w:ascii="Trebuchet MS" w:eastAsia="Trebuchet MS" w:hAnsi="Trebuchet MS" w:cs="Trebuchet MS"/>
          <w:b/>
          <w:bCs/>
          <w:sz w:val="18"/>
          <w:szCs w:val="18"/>
          <w:lang w:val="en"/>
        </w:rPr>
        <w:t xml:space="preserve">S.8. Denominator Exclusions </w:t>
      </w:r>
      <w:r w:rsidRPr="00D44188">
        <w:rPr>
          <w:rFonts w:ascii="Trebuchet MS" w:eastAsia="Trebuchet MS" w:hAnsi="Trebuchet MS" w:cs="Trebuchet MS"/>
          <w:i/>
          <w:iCs/>
          <w:sz w:val="18"/>
          <w:szCs w:val="18"/>
          <w:lang w:val="en"/>
        </w:rPr>
        <w:t>(Brief narrative description of exclusions from the target population)</w:t>
      </w:r>
    </w:p>
    <w:p w14:paraId="26E99ED6" w14:textId="77777777" w:rsidR="00E26631" w:rsidRPr="00D44188" w:rsidRDefault="00E26631" w:rsidP="00E26631">
      <w:pPr>
        <w:rPr>
          <w:rFonts w:eastAsia="Trebuchet MS" w:cstheme="minorHAnsi"/>
          <w:lang w:val="en"/>
        </w:rPr>
      </w:pPr>
      <w:bookmarkStart w:id="17" w:name="_Hlk518895325"/>
      <w:bookmarkEnd w:id="15"/>
      <w:r w:rsidRPr="00D44188">
        <w:rPr>
          <w:rFonts w:eastAsia="Trebuchet MS" w:cstheme="minorHAnsi"/>
        </w:rPr>
        <w:t>Measure exclusion criteria are based on administrative data from Medicare claims and eligibility files. Exclusion criteria were selected to maintain clinical validity of the measure by excluding stays for which discharge to community would not be appropriate, to ensure data availability and completeness, to exclude stays with problematic claims data, and to maintain relevance to the HH Quality Reporting Program (e.g., excluding HHAs not included in the HHA QRP based on regional location). Stays ending in transfers to the same level of care (i.e., HHA-to-HHA discharge) are excluded, because the HHA episode of care had not ended. We also excluded certain discharge status codes on the HHA FFS claim that indicated that the patient was not appropriate for community discharge (e.g., discharges against medical advice).</w:t>
      </w:r>
    </w:p>
    <w:bookmarkEnd w:id="16"/>
    <w:bookmarkEnd w:id="17"/>
    <w:p w14:paraId="6B7F3AE0" w14:textId="77777777" w:rsidR="00E26631" w:rsidRPr="00D44188" w:rsidRDefault="00E26631" w:rsidP="00E26631">
      <w:pPr>
        <w:rPr>
          <w:rStyle w:val="Style1"/>
          <w:rFonts w:eastAsia="Trebuchet MS," w:cstheme="minorHAnsi"/>
        </w:rPr>
      </w:pPr>
      <w:r w:rsidRPr="00D44188">
        <w:rPr>
          <w:rStyle w:val="Style1"/>
          <w:rFonts w:eastAsia="Trebuchet MS" w:cstheme="minorHAnsi"/>
        </w:rPr>
        <w:t>Measure exclusion criteria are as follows:</w:t>
      </w:r>
    </w:p>
    <w:p w14:paraId="0B0299FD" w14:textId="77777777" w:rsidR="00E26631" w:rsidRPr="00D44188" w:rsidRDefault="00E26631" w:rsidP="00E26631">
      <w:pPr>
        <w:pStyle w:val="ListParagraph"/>
        <w:numPr>
          <w:ilvl w:val="0"/>
          <w:numId w:val="10"/>
        </w:numPr>
        <w:spacing w:after="160"/>
        <w:rPr>
          <w:rStyle w:val="Style1"/>
          <w:rFonts w:eastAsia="Trebuchet MS," w:cstheme="minorHAnsi"/>
        </w:rPr>
      </w:pPr>
      <w:r w:rsidRPr="00D44188">
        <w:rPr>
          <w:rStyle w:val="Style1"/>
          <w:rFonts w:eastAsia="Trebuchet MS" w:cstheme="minorHAnsi"/>
        </w:rPr>
        <w:t>Age under 18 years;</w:t>
      </w:r>
    </w:p>
    <w:p w14:paraId="7DDA4710" w14:textId="77777777" w:rsidR="00E26631" w:rsidRPr="00D44188" w:rsidRDefault="00E26631" w:rsidP="00E26631">
      <w:pPr>
        <w:pStyle w:val="ListParagraph"/>
        <w:numPr>
          <w:ilvl w:val="0"/>
          <w:numId w:val="10"/>
        </w:numPr>
        <w:spacing w:after="160"/>
        <w:rPr>
          <w:rStyle w:val="Style1"/>
          <w:rFonts w:eastAsia="Trebuchet MS," w:cstheme="minorHAnsi"/>
        </w:rPr>
      </w:pPr>
      <w:r w:rsidRPr="00D44188">
        <w:rPr>
          <w:rStyle w:val="Style1"/>
          <w:rFonts w:eastAsia="Trebuchet MS" w:cstheme="minorHAnsi"/>
        </w:rPr>
        <w:t>Discharges to a psychiatric hospital;</w:t>
      </w:r>
    </w:p>
    <w:p w14:paraId="39E52DF2" w14:textId="77777777" w:rsidR="00E26631" w:rsidRPr="00D44188" w:rsidRDefault="00E26631" w:rsidP="00E26631">
      <w:pPr>
        <w:pStyle w:val="ListParagraph"/>
        <w:numPr>
          <w:ilvl w:val="0"/>
          <w:numId w:val="10"/>
        </w:numPr>
        <w:spacing w:after="160"/>
        <w:rPr>
          <w:rStyle w:val="Style1"/>
          <w:rFonts w:eastAsia="Trebuchet MS," w:cstheme="minorHAnsi"/>
        </w:rPr>
      </w:pPr>
      <w:r w:rsidRPr="00D44188">
        <w:rPr>
          <w:rStyle w:val="Style1"/>
          <w:rFonts w:eastAsia="Trebuchet MS" w:cstheme="minorHAnsi"/>
        </w:rPr>
        <w:t xml:space="preserve">Discharges against medical advice; </w:t>
      </w:r>
    </w:p>
    <w:p w14:paraId="28205D94" w14:textId="77777777" w:rsidR="00E26631" w:rsidRPr="00D44188" w:rsidRDefault="00E26631" w:rsidP="00E26631">
      <w:pPr>
        <w:pStyle w:val="ListParagraph"/>
        <w:numPr>
          <w:ilvl w:val="0"/>
          <w:numId w:val="10"/>
        </w:numPr>
        <w:spacing w:after="160"/>
        <w:rPr>
          <w:rStyle w:val="Style1"/>
          <w:rFonts w:eastAsia="Trebuchet MS," w:cstheme="minorHAnsi"/>
        </w:rPr>
      </w:pPr>
      <w:r w:rsidRPr="00D44188">
        <w:rPr>
          <w:rStyle w:val="Style1"/>
          <w:rFonts w:eastAsia="Trebuchet MS" w:cstheme="minorHAnsi"/>
        </w:rPr>
        <w:t xml:space="preserve">Discharges to disaster alternative care site or a federal hospital; </w:t>
      </w:r>
    </w:p>
    <w:p w14:paraId="7CB2C73C" w14:textId="77777777" w:rsidR="00E26631" w:rsidRPr="00D44188" w:rsidRDefault="00E26631" w:rsidP="00E26631">
      <w:pPr>
        <w:pStyle w:val="ListParagraph"/>
        <w:numPr>
          <w:ilvl w:val="0"/>
          <w:numId w:val="10"/>
        </w:numPr>
        <w:spacing w:after="160"/>
        <w:rPr>
          <w:rStyle w:val="Style1"/>
          <w:rFonts w:eastAsia="Trebuchet MS," w:cstheme="minorHAnsi"/>
        </w:rPr>
      </w:pPr>
      <w:r w:rsidRPr="00D44188">
        <w:rPr>
          <w:rStyle w:val="Style1"/>
          <w:rFonts w:eastAsia="Trebuchet MS" w:cstheme="minorHAnsi"/>
        </w:rPr>
        <w:t>Discharges to court/law enforcement;</w:t>
      </w:r>
    </w:p>
    <w:p w14:paraId="71924C25" w14:textId="77777777" w:rsidR="00E26631" w:rsidRPr="00D44188" w:rsidRDefault="00E26631" w:rsidP="00E26631">
      <w:pPr>
        <w:pStyle w:val="ListParagraph"/>
        <w:numPr>
          <w:ilvl w:val="0"/>
          <w:numId w:val="10"/>
        </w:numPr>
        <w:spacing w:after="160"/>
        <w:rPr>
          <w:rStyle w:val="Style1"/>
          <w:rFonts w:eastAsia="Trebuchet MS," w:cstheme="minorHAnsi"/>
        </w:rPr>
      </w:pPr>
      <w:r w:rsidRPr="00D44188">
        <w:rPr>
          <w:rStyle w:val="Style1"/>
          <w:rFonts w:eastAsia="Trebuchet MS" w:cstheme="minorHAnsi"/>
        </w:rPr>
        <w:t xml:space="preserve">Discharges to hospice or patient stays with a hospice benefit in the 31-day post-discharge window; </w:t>
      </w:r>
    </w:p>
    <w:p w14:paraId="14801151" w14:textId="77777777" w:rsidR="00E26631" w:rsidRPr="00D44188" w:rsidRDefault="00E26631" w:rsidP="00E26631">
      <w:pPr>
        <w:pStyle w:val="ListParagraph"/>
        <w:numPr>
          <w:ilvl w:val="0"/>
          <w:numId w:val="10"/>
        </w:numPr>
        <w:spacing w:after="160"/>
        <w:rPr>
          <w:rStyle w:val="Style1"/>
          <w:rFonts w:eastAsia="Trebuchet MS," w:cstheme="minorHAnsi"/>
        </w:rPr>
      </w:pPr>
      <w:r w:rsidRPr="00D44188">
        <w:rPr>
          <w:rStyle w:val="Style1"/>
          <w:rFonts w:eastAsia="Trebuchet MS" w:cstheme="minorHAnsi"/>
        </w:rPr>
        <w:t xml:space="preserve">Stays for patients without continuous Parts A and B FFS Medicare enrollment during the 12 months prior to the HHA admission date and the 31 days after the HHA discharge; </w:t>
      </w:r>
    </w:p>
    <w:p w14:paraId="10251D3B" w14:textId="77777777" w:rsidR="00E26631" w:rsidRPr="00D44188" w:rsidRDefault="00E26631" w:rsidP="00E26631">
      <w:pPr>
        <w:pStyle w:val="ListParagraph"/>
        <w:numPr>
          <w:ilvl w:val="0"/>
          <w:numId w:val="10"/>
        </w:numPr>
        <w:spacing w:after="160"/>
        <w:rPr>
          <w:rStyle w:val="Style1"/>
          <w:rFonts w:eastAsia="Trebuchet MS," w:cstheme="minorHAnsi"/>
        </w:rPr>
      </w:pPr>
      <w:r w:rsidRPr="00D44188">
        <w:rPr>
          <w:rStyle w:val="Style1"/>
          <w:rFonts w:eastAsia="Trebuchet MS" w:cstheme="minorHAnsi"/>
        </w:rPr>
        <w:t xml:space="preserve">HHA stays preceded by a short-term acute care or psychiatric stay for non-surgical treatment of cancer; </w:t>
      </w:r>
    </w:p>
    <w:p w14:paraId="7ADF1AE0" w14:textId="77777777" w:rsidR="00E26631" w:rsidRPr="00D44188" w:rsidRDefault="00E26631" w:rsidP="00E26631">
      <w:pPr>
        <w:pStyle w:val="ListParagraph"/>
        <w:numPr>
          <w:ilvl w:val="0"/>
          <w:numId w:val="10"/>
        </w:numPr>
        <w:spacing w:after="160"/>
        <w:rPr>
          <w:rStyle w:val="Style1"/>
          <w:rFonts w:eastAsia="Trebuchet MS," w:cstheme="minorHAnsi"/>
        </w:rPr>
      </w:pPr>
      <w:r w:rsidRPr="00D44188">
        <w:rPr>
          <w:rStyle w:val="Style1"/>
          <w:rFonts w:eastAsia="Trebuchet MS" w:cstheme="minorHAnsi"/>
        </w:rPr>
        <w:t>Stays ending in transfer to a HHA; and</w:t>
      </w:r>
    </w:p>
    <w:p w14:paraId="5C16F74A" w14:textId="77777777" w:rsidR="00E26631" w:rsidRPr="00D44188" w:rsidRDefault="00E26631" w:rsidP="00E26631">
      <w:pPr>
        <w:pStyle w:val="ListParagraph"/>
        <w:numPr>
          <w:ilvl w:val="0"/>
          <w:numId w:val="10"/>
        </w:numPr>
        <w:spacing w:after="160"/>
        <w:rPr>
          <w:rStyle w:val="Style1"/>
          <w:rFonts w:eastAsia="Trebuchet MS," w:cstheme="minorHAnsi"/>
        </w:rPr>
      </w:pPr>
      <w:r w:rsidRPr="00D44188">
        <w:rPr>
          <w:rStyle w:val="Style1"/>
          <w:rFonts w:eastAsia="Trebuchet MS" w:cstheme="minorHAnsi"/>
        </w:rPr>
        <w:t>Stays with problematic claims data (e.g. anomalous records for stays that overlap wholly or in part, or are otherwise erroneous or contradictory).</w:t>
      </w:r>
    </w:p>
    <w:p w14:paraId="7819ABB8" w14:textId="77777777" w:rsidR="00E26631" w:rsidRPr="00D44188" w:rsidRDefault="00E26631" w:rsidP="00E26631">
      <w:pPr>
        <w:pStyle w:val="ListParagraph"/>
        <w:rPr>
          <w:rFonts w:ascii="Trebuchet MS" w:hAnsi="Trebuchet MS"/>
          <w:sz w:val="18"/>
          <w:szCs w:val="18"/>
          <w:lang w:val="en"/>
        </w:rPr>
      </w:pPr>
    </w:p>
    <w:p w14:paraId="0BDDA9E2" w14:textId="77777777" w:rsidR="00E26631" w:rsidRPr="00D44188" w:rsidRDefault="00E26631" w:rsidP="00E26631">
      <w:pPr>
        <w:rPr>
          <w:rFonts w:ascii="Trebuchet MS" w:eastAsia="Trebuchet MS" w:hAnsi="Trebuchet MS" w:cs="Trebuchet MS"/>
          <w:i/>
          <w:iCs/>
          <w:sz w:val="18"/>
          <w:szCs w:val="18"/>
          <w:lang w:val="en"/>
        </w:rPr>
      </w:pPr>
      <w:bookmarkStart w:id="18" w:name="_Hlk518900258"/>
      <w:bookmarkStart w:id="19" w:name="_Hlk518895554"/>
      <w:r w:rsidRPr="00D44188">
        <w:rPr>
          <w:rFonts w:ascii="Trebuchet MS" w:eastAsia="Trebuchet MS" w:hAnsi="Trebuchet MS" w:cs="Trebuchet MS"/>
          <w:b/>
          <w:bCs/>
          <w:sz w:val="18"/>
          <w:szCs w:val="18"/>
          <w:lang w:val="en"/>
        </w:rPr>
        <w:t xml:space="preserve">S.9. Denominator Exclusion Details </w:t>
      </w:r>
      <w:r w:rsidRPr="00D44188">
        <w:rPr>
          <w:rFonts w:ascii="Trebuchet MS" w:eastAsia="Trebuchet MS" w:hAnsi="Trebuchet MS" w:cs="Trebuchet MS"/>
          <w:i/>
          <w:iCs/>
          <w:sz w:val="18"/>
          <w:szCs w:val="18"/>
          <w:lang w:val="en"/>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S.2b)</w:t>
      </w:r>
    </w:p>
    <w:p w14:paraId="51CAF647" w14:textId="77777777" w:rsidR="00E26631" w:rsidRPr="00D44188" w:rsidRDefault="00E26631" w:rsidP="00E26631">
      <w:pPr>
        <w:spacing w:after="0" w:line="240" w:lineRule="auto"/>
        <w:rPr>
          <w:rFonts w:eastAsia="Trebuchet MS" w:cstheme="minorHAnsi"/>
        </w:rPr>
      </w:pPr>
      <w:r w:rsidRPr="00D44188">
        <w:rPr>
          <w:rFonts w:eastAsia="Trebuchet MS" w:cstheme="minorHAnsi"/>
        </w:rPr>
        <w:lastRenderedPageBreak/>
        <w:t>Exclusions for the DTC-PAC HHA measure are listed below, along with the rationale for each exclusion.</w:t>
      </w:r>
      <w:r w:rsidRPr="00D44188">
        <w:rPr>
          <w:rFonts w:cstheme="minorHAnsi"/>
        </w:rPr>
        <w:t xml:space="preserve"> The measure exclusion criteria are determined by processing Medicare claims and eligibility data to determine whether the individual exclusion criteria are met. All measure exclusion criteria are based on administrative data. </w:t>
      </w:r>
    </w:p>
    <w:p w14:paraId="7256DDF4" w14:textId="77777777" w:rsidR="00E26631" w:rsidRPr="00D44188" w:rsidRDefault="00E26631" w:rsidP="00E26631">
      <w:pPr>
        <w:pStyle w:val="BodyText"/>
        <w:rPr>
          <w:rFonts w:asciiTheme="minorHAnsi" w:hAnsiTheme="minorHAnsi" w:cstheme="minorHAnsi"/>
          <w:b/>
          <w:bCs/>
          <w:sz w:val="22"/>
          <w:szCs w:val="22"/>
        </w:rPr>
      </w:pPr>
      <w:bookmarkStart w:id="20" w:name="_Hlk518895645"/>
      <w:bookmarkStart w:id="21" w:name="_Hlk518901520"/>
      <w:bookmarkEnd w:id="18"/>
      <w:bookmarkEnd w:id="19"/>
      <w:r w:rsidRPr="00D44188">
        <w:rPr>
          <w:rFonts w:asciiTheme="minorHAnsi" w:hAnsiTheme="minorHAnsi" w:cstheme="minorHAnsi"/>
          <w:sz w:val="22"/>
          <w:szCs w:val="22"/>
        </w:rPr>
        <w:t xml:space="preserve">Exclusions for the discharge to community measure are listed below, along with the rationale for each exclusion. </w:t>
      </w:r>
    </w:p>
    <w:p w14:paraId="098DC385" w14:textId="77777777" w:rsidR="00E26631" w:rsidRPr="00D44188" w:rsidRDefault="00E26631" w:rsidP="00E26631">
      <w:pPr>
        <w:pStyle w:val="NumberedListItal"/>
        <w:numPr>
          <w:ilvl w:val="0"/>
          <w:numId w:val="18"/>
        </w:numPr>
        <w:rPr>
          <w:rFonts w:asciiTheme="minorHAnsi" w:hAnsiTheme="minorHAnsi" w:cstheme="minorHAnsi"/>
          <w:sz w:val="22"/>
          <w:szCs w:val="22"/>
        </w:rPr>
      </w:pPr>
      <w:r w:rsidRPr="00D44188">
        <w:rPr>
          <w:rFonts w:asciiTheme="minorHAnsi" w:hAnsiTheme="minorHAnsi" w:cstheme="minorHAnsi"/>
          <w:sz w:val="22"/>
          <w:szCs w:val="22"/>
        </w:rPr>
        <w:t>Age under 18 years</w:t>
      </w:r>
    </w:p>
    <w:p w14:paraId="1E926BC2" w14:textId="77777777" w:rsidR="00E26631" w:rsidRPr="00D44188" w:rsidRDefault="00E26631" w:rsidP="00E26631">
      <w:pPr>
        <w:pStyle w:val="Rationale"/>
        <w:rPr>
          <w:rFonts w:asciiTheme="minorHAnsi" w:hAnsiTheme="minorHAnsi" w:cstheme="minorHAnsi"/>
          <w:i/>
          <w:iCs/>
          <w:sz w:val="22"/>
          <w:szCs w:val="22"/>
        </w:rPr>
      </w:pPr>
      <w:r w:rsidRPr="00D44188">
        <w:rPr>
          <w:rFonts w:asciiTheme="minorHAnsi" w:hAnsiTheme="minorHAnsi" w:cstheme="minorHAnsi"/>
          <w:i/>
          <w:iCs/>
          <w:sz w:val="22"/>
          <w:szCs w:val="22"/>
        </w:rPr>
        <w:t>Rationale:</w:t>
      </w:r>
    </w:p>
    <w:p w14:paraId="723CABEB" w14:textId="77777777" w:rsidR="00E26631" w:rsidRPr="00D44188" w:rsidRDefault="00E26631" w:rsidP="00E26631">
      <w:pPr>
        <w:pStyle w:val="rationalebullets"/>
        <w:rPr>
          <w:rFonts w:asciiTheme="minorHAnsi" w:hAnsiTheme="minorHAnsi" w:cstheme="minorHAnsi"/>
          <w:sz w:val="22"/>
          <w:szCs w:val="22"/>
        </w:rPr>
      </w:pPr>
      <w:r w:rsidRPr="00D44188">
        <w:rPr>
          <w:rFonts w:asciiTheme="minorHAnsi" w:hAnsiTheme="minorHAnsi" w:cstheme="minorHAnsi"/>
          <w:sz w:val="22"/>
          <w:szCs w:val="22"/>
        </w:rPr>
        <w:t>a.</w:t>
      </w:r>
      <w:r w:rsidRPr="00D44188">
        <w:rPr>
          <w:rFonts w:asciiTheme="minorHAnsi" w:hAnsiTheme="minorHAnsi" w:cstheme="minorHAnsi"/>
          <w:sz w:val="22"/>
          <w:szCs w:val="22"/>
        </w:rPr>
        <w:tab/>
        <w:t>There is limited literature on discharge destination outcomes in this age group;</w:t>
      </w:r>
    </w:p>
    <w:p w14:paraId="1C9C4A4A" w14:textId="77777777" w:rsidR="00E26631" w:rsidRPr="00D44188" w:rsidRDefault="00E26631" w:rsidP="00E26631">
      <w:pPr>
        <w:pStyle w:val="rationalebullets"/>
        <w:rPr>
          <w:rFonts w:asciiTheme="minorHAnsi" w:hAnsiTheme="minorHAnsi" w:cstheme="minorHAnsi"/>
          <w:sz w:val="22"/>
          <w:szCs w:val="22"/>
        </w:rPr>
      </w:pPr>
      <w:r w:rsidRPr="00D44188">
        <w:rPr>
          <w:rFonts w:asciiTheme="minorHAnsi" w:hAnsiTheme="minorHAnsi" w:cstheme="minorHAnsi"/>
          <w:sz w:val="22"/>
          <w:szCs w:val="22"/>
        </w:rPr>
        <w:t>b.</w:t>
      </w:r>
      <w:r w:rsidRPr="00D44188">
        <w:rPr>
          <w:rFonts w:asciiTheme="minorHAnsi" w:hAnsiTheme="minorHAnsi" w:cstheme="minorHAnsi"/>
          <w:sz w:val="22"/>
          <w:szCs w:val="22"/>
        </w:rPr>
        <w:tab/>
        <w:t xml:space="preserve">Patients in this age group represent a different cohort, likely living with their parents, and may be expected to have higher discharge to community rates compared with the rest of the Medicare population; and </w:t>
      </w:r>
    </w:p>
    <w:p w14:paraId="32DAAC5C" w14:textId="77777777" w:rsidR="00E26631" w:rsidRPr="00D44188" w:rsidRDefault="00E26631" w:rsidP="00E26631">
      <w:pPr>
        <w:pStyle w:val="rationalebullets"/>
        <w:rPr>
          <w:rFonts w:asciiTheme="minorHAnsi" w:hAnsiTheme="minorHAnsi" w:cstheme="minorHAnsi"/>
          <w:sz w:val="22"/>
          <w:szCs w:val="22"/>
        </w:rPr>
      </w:pPr>
      <w:r w:rsidRPr="00D44188">
        <w:rPr>
          <w:rFonts w:asciiTheme="minorHAnsi" w:hAnsiTheme="minorHAnsi" w:cstheme="minorHAnsi"/>
          <w:sz w:val="22"/>
          <w:szCs w:val="22"/>
        </w:rPr>
        <w:t>c.</w:t>
      </w:r>
      <w:r w:rsidRPr="00D44188">
        <w:rPr>
          <w:rFonts w:asciiTheme="minorHAnsi" w:hAnsiTheme="minorHAnsi" w:cstheme="minorHAnsi"/>
          <w:sz w:val="22"/>
          <w:szCs w:val="22"/>
        </w:rPr>
        <w:tab/>
        <w:t xml:space="preserve">Patients in this age group represent a small proportion of the post-acute Medicare FFS population. </w:t>
      </w:r>
    </w:p>
    <w:p w14:paraId="0A131719" w14:textId="77777777" w:rsidR="00E26631" w:rsidRPr="00D44188" w:rsidRDefault="00E26631" w:rsidP="00E26631">
      <w:pPr>
        <w:pStyle w:val="NumberedListItal"/>
        <w:numPr>
          <w:ilvl w:val="0"/>
          <w:numId w:val="18"/>
        </w:numPr>
        <w:rPr>
          <w:rFonts w:asciiTheme="minorHAnsi" w:hAnsiTheme="minorHAnsi" w:cstheme="minorHAnsi"/>
          <w:sz w:val="22"/>
          <w:szCs w:val="22"/>
        </w:rPr>
      </w:pPr>
      <w:r w:rsidRPr="00D44188">
        <w:rPr>
          <w:rFonts w:asciiTheme="minorHAnsi" w:hAnsiTheme="minorHAnsi" w:cstheme="minorHAnsi"/>
          <w:sz w:val="22"/>
          <w:szCs w:val="22"/>
        </w:rPr>
        <w:t>Discharges to psychiatric hospital</w:t>
      </w:r>
    </w:p>
    <w:p w14:paraId="1969CD1C" w14:textId="77777777" w:rsidR="00E26631" w:rsidRPr="00D44188" w:rsidRDefault="00E26631" w:rsidP="00E26631">
      <w:pPr>
        <w:pStyle w:val="Rationale"/>
        <w:rPr>
          <w:rFonts w:asciiTheme="minorHAnsi" w:hAnsiTheme="minorHAnsi" w:cstheme="minorHAnsi"/>
          <w:sz w:val="22"/>
          <w:szCs w:val="22"/>
        </w:rPr>
      </w:pPr>
      <w:r w:rsidRPr="00D44188">
        <w:rPr>
          <w:rFonts w:asciiTheme="minorHAnsi" w:hAnsiTheme="minorHAnsi" w:cstheme="minorHAnsi"/>
          <w:i/>
          <w:iCs/>
          <w:sz w:val="22"/>
          <w:szCs w:val="22"/>
        </w:rPr>
        <w:t xml:space="preserve">Rationale: </w:t>
      </w:r>
      <w:r w:rsidRPr="00D44188">
        <w:rPr>
          <w:rFonts w:asciiTheme="minorHAnsi" w:hAnsiTheme="minorHAnsi" w:cstheme="minorHAnsi"/>
          <w:sz w:val="22"/>
          <w:szCs w:val="22"/>
        </w:rPr>
        <w:t>Patients discharged to psychiatric hospital are excluded from the measure because community living at the time of discharge may be potentially inappropriate or unsafe for them due to their mental health or psychiatric condition.</w:t>
      </w:r>
      <w:r w:rsidRPr="00D44188">
        <w:t xml:space="preserve"> </w:t>
      </w:r>
      <w:r w:rsidRPr="00D44188">
        <w:rPr>
          <w:rFonts w:asciiTheme="minorHAnsi" w:hAnsiTheme="minorHAnsi" w:cstheme="minorHAnsi"/>
          <w:sz w:val="22"/>
          <w:szCs w:val="22"/>
        </w:rPr>
        <w:t>This exclusion is also intended to avoid the potential unintended consequence of decreased HHA access for patients discharged from psychiatric hospitals.</w:t>
      </w:r>
    </w:p>
    <w:p w14:paraId="0AEE7967" w14:textId="77777777" w:rsidR="00E26631" w:rsidRPr="00D44188" w:rsidRDefault="00E26631" w:rsidP="00E26631">
      <w:pPr>
        <w:pStyle w:val="NumberedListItal"/>
        <w:numPr>
          <w:ilvl w:val="0"/>
          <w:numId w:val="18"/>
        </w:numPr>
        <w:rPr>
          <w:rFonts w:asciiTheme="minorHAnsi" w:hAnsiTheme="minorHAnsi" w:cstheme="minorHAnsi"/>
          <w:sz w:val="22"/>
          <w:szCs w:val="22"/>
        </w:rPr>
      </w:pPr>
      <w:r w:rsidRPr="00D44188">
        <w:rPr>
          <w:rFonts w:asciiTheme="minorHAnsi" w:hAnsiTheme="minorHAnsi" w:cstheme="minorHAnsi"/>
          <w:sz w:val="22"/>
          <w:szCs w:val="22"/>
        </w:rPr>
        <w:t>Discharges against medical advice</w:t>
      </w:r>
    </w:p>
    <w:p w14:paraId="79B409CE" w14:textId="77777777" w:rsidR="00E26631" w:rsidRPr="00D44188" w:rsidRDefault="00E26631" w:rsidP="00E26631">
      <w:pPr>
        <w:pStyle w:val="Rationale"/>
        <w:rPr>
          <w:rFonts w:asciiTheme="minorHAnsi" w:hAnsiTheme="minorHAnsi" w:cstheme="minorHAnsi"/>
          <w:sz w:val="22"/>
          <w:szCs w:val="22"/>
        </w:rPr>
      </w:pPr>
      <w:r w:rsidRPr="00D44188">
        <w:rPr>
          <w:rFonts w:asciiTheme="minorHAnsi" w:hAnsiTheme="minorHAnsi" w:cstheme="minorHAnsi"/>
          <w:i/>
          <w:iCs/>
          <w:sz w:val="22"/>
          <w:szCs w:val="22"/>
        </w:rPr>
        <w:t xml:space="preserve">Rationale: </w:t>
      </w:r>
      <w:r w:rsidRPr="00D44188">
        <w:rPr>
          <w:rFonts w:asciiTheme="minorHAnsi" w:hAnsiTheme="minorHAnsi" w:cstheme="minorHAnsi"/>
          <w:sz w:val="22"/>
          <w:szCs w:val="22"/>
        </w:rPr>
        <w:t>Patients who discharge themselves against medical advice are excluded because their care plan may not have been fully implemented, and the discharge destination may not reflect the facility’s discharge recommendation. Additionally, patients discharged against medical advice may potentially be at higher risk of post-discharge admissions or death, depending on their medical condition, or due to potential non-adherence or non-compliance with care recommendations.</w:t>
      </w:r>
    </w:p>
    <w:p w14:paraId="0AE9162E" w14:textId="77777777" w:rsidR="00E26631" w:rsidRPr="00D44188" w:rsidRDefault="00E26631" w:rsidP="00E26631">
      <w:pPr>
        <w:pStyle w:val="NumberedListItal"/>
        <w:numPr>
          <w:ilvl w:val="0"/>
          <w:numId w:val="18"/>
        </w:numPr>
        <w:rPr>
          <w:rFonts w:asciiTheme="minorHAnsi" w:hAnsiTheme="minorHAnsi" w:cstheme="minorHAnsi"/>
          <w:sz w:val="22"/>
          <w:szCs w:val="22"/>
        </w:rPr>
      </w:pPr>
      <w:r w:rsidRPr="00D44188">
        <w:rPr>
          <w:rFonts w:asciiTheme="minorHAnsi" w:hAnsiTheme="minorHAnsi" w:cstheme="minorHAnsi"/>
          <w:sz w:val="22"/>
          <w:szCs w:val="22"/>
        </w:rPr>
        <w:t>Discharges to disaster alternative care sites or federal hospitals</w:t>
      </w:r>
    </w:p>
    <w:p w14:paraId="2B049D62" w14:textId="77777777" w:rsidR="00E26631" w:rsidRPr="00D44188" w:rsidRDefault="00E26631" w:rsidP="00E26631">
      <w:pPr>
        <w:pStyle w:val="Rationale"/>
        <w:rPr>
          <w:rFonts w:asciiTheme="minorHAnsi" w:hAnsiTheme="minorHAnsi" w:cstheme="minorHAnsi"/>
          <w:sz w:val="22"/>
          <w:szCs w:val="22"/>
        </w:rPr>
      </w:pPr>
      <w:r w:rsidRPr="00D44188">
        <w:rPr>
          <w:rFonts w:asciiTheme="minorHAnsi" w:hAnsiTheme="minorHAnsi" w:cstheme="minorHAnsi"/>
          <w:i/>
          <w:iCs/>
          <w:sz w:val="22"/>
          <w:szCs w:val="22"/>
        </w:rPr>
        <w:t xml:space="preserve">Rationale: </w:t>
      </w:r>
      <w:r w:rsidRPr="00D44188">
        <w:rPr>
          <w:rFonts w:asciiTheme="minorHAnsi" w:hAnsiTheme="minorHAnsi" w:cstheme="minorHAnsi"/>
          <w:sz w:val="22"/>
          <w:szCs w:val="22"/>
        </w:rPr>
        <w:t>Patients discharged to disaster alternative care sites are excluded because these discharges are likely influenced by external emergency conditions, and may not represent discretionary discharges by the PAC provider. Discharges to federal hospitals are excluded because we will not have necessary inpatient claims for these patients.</w:t>
      </w:r>
    </w:p>
    <w:p w14:paraId="6B1674B1" w14:textId="77777777" w:rsidR="00E26631" w:rsidRPr="00D44188" w:rsidRDefault="00E26631" w:rsidP="00E26631">
      <w:pPr>
        <w:pStyle w:val="NumberedListItal"/>
        <w:numPr>
          <w:ilvl w:val="0"/>
          <w:numId w:val="18"/>
        </w:numPr>
        <w:rPr>
          <w:rFonts w:asciiTheme="minorHAnsi" w:hAnsiTheme="minorHAnsi" w:cstheme="minorHAnsi"/>
          <w:sz w:val="22"/>
          <w:szCs w:val="22"/>
        </w:rPr>
      </w:pPr>
      <w:r w:rsidRPr="00D44188">
        <w:rPr>
          <w:rFonts w:asciiTheme="minorHAnsi" w:hAnsiTheme="minorHAnsi" w:cstheme="minorHAnsi"/>
          <w:sz w:val="22"/>
          <w:szCs w:val="22"/>
        </w:rPr>
        <w:t>Discharges to court/law enforcement</w:t>
      </w:r>
    </w:p>
    <w:p w14:paraId="57879E10" w14:textId="77777777" w:rsidR="00E26631" w:rsidRPr="00D44188" w:rsidRDefault="00E26631" w:rsidP="00E26631">
      <w:pPr>
        <w:pStyle w:val="Rationale"/>
        <w:rPr>
          <w:rFonts w:asciiTheme="minorHAnsi" w:hAnsiTheme="minorHAnsi" w:cstheme="minorHAnsi"/>
          <w:i/>
          <w:iCs/>
          <w:sz w:val="22"/>
          <w:szCs w:val="22"/>
        </w:rPr>
      </w:pPr>
      <w:r w:rsidRPr="00D44188">
        <w:rPr>
          <w:rFonts w:asciiTheme="minorHAnsi" w:hAnsiTheme="minorHAnsi" w:cstheme="minorHAnsi"/>
          <w:i/>
          <w:iCs/>
          <w:sz w:val="22"/>
          <w:szCs w:val="22"/>
        </w:rPr>
        <w:t xml:space="preserve">Rationale: </w:t>
      </w:r>
      <w:r w:rsidRPr="00D44188">
        <w:rPr>
          <w:rFonts w:asciiTheme="minorHAnsi" w:hAnsiTheme="minorHAnsi" w:cstheme="minorHAnsi"/>
          <w:sz w:val="22"/>
          <w:szCs w:val="22"/>
        </w:rPr>
        <w:t>Patients who are discharged to court or law enforcement are likely ineligible for discharge to the community due to legal restrictions.</w:t>
      </w:r>
    </w:p>
    <w:p w14:paraId="08C7BE15" w14:textId="77777777" w:rsidR="00E26631" w:rsidRPr="00D44188" w:rsidRDefault="00E26631" w:rsidP="00E26631">
      <w:pPr>
        <w:pStyle w:val="NumberedListItal"/>
        <w:numPr>
          <w:ilvl w:val="0"/>
          <w:numId w:val="18"/>
        </w:numPr>
        <w:rPr>
          <w:rFonts w:asciiTheme="minorHAnsi" w:hAnsiTheme="minorHAnsi" w:cstheme="minorHAnsi"/>
          <w:iCs/>
          <w:sz w:val="22"/>
          <w:szCs w:val="22"/>
        </w:rPr>
      </w:pPr>
      <w:r w:rsidRPr="00D44188">
        <w:rPr>
          <w:rFonts w:asciiTheme="minorHAnsi" w:hAnsiTheme="minorHAnsi" w:cstheme="minorHAnsi"/>
          <w:i w:val="0"/>
          <w:sz w:val="22"/>
          <w:szCs w:val="22"/>
        </w:rPr>
        <w:t>Patients  discharged to hospice and those with a hospice benefit in the post-discharge observation window</w:t>
      </w:r>
    </w:p>
    <w:p w14:paraId="71D3DF2D" w14:textId="77777777" w:rsidR="00E26631" w:rsidRPr="00D44188" w:rsidRDefault="00E26631" w:rsidP="00E26631">
      <w:pPr>
        <w:pStyle w:val="Rationale"/>
        <w:rPr>
          <w:rFonts w:asciiTheme="minorHAnsi" w:hAnsiTheme="minorHAnsi" w:cstheme="minorHAnsi"/>
          <w:i/>
          <w:iCs/>
          <w:sz w:val="22"/>
          <w:szCs w:val="22"/>
        </w:rPr>
      </w:pPr>
      <w:r w:rsidRPr="00D44188">
        <w:rPr>
          <w:rFonts w:asciiTheme="minorHAnsi" w:hAnsiTheme="minorHAnsi" w:cstheme="minorHAnsi"/>
          <w:i/>
          <w:iCs/>
          <w:sz w:val="22"/>
          <w:szCs w:val="22"/>
        </w:rPr>
        <w:lastRenderedPageBreak/>
        <w:t>Rationale:</w:t>
      </w:r>
    </w:p>
    <w:p w14:paraId="6825C059" w14:textId="77777777" w:rsidR="00E26631" w:rsidRPr="00D44188" w:rsidRDefault="00E26631" w:rsidP="00E26631">
      <w:pPr>
        <w:pStyle w:val="rationalebullets"/>
        <w:rPr>
          <w:rFonts w:asciiTheme="minorHAnsi" w:hAnsiTheme="minorHAnsi" w:cstheme="minorHAnsi"/>
          <w:sz w:val="22"/>
          <w:szCs w:val="22"/>
        </w:rPr>
      </w:pPr>
      <w:r w:rsidRPr="00D44188">
        <w:rPr>
          <w:rFonts w:asciiTheme="minorHAnsi" w:hAnsiTheme="minorHAnsi" w:cstheme="minorHAnsi"/>
          <w:sz w:val="22"/>
          <w:szCs w:val="22"/>
        </w:rPr>
        <w:t>a.</w:t>
      </w:r>
      <w:r w:rsidRPr="00D44188">
        <w:rPr>
          <w:rFonts w:asciiTheme="minorHAnsi" w:hAnsiTheme="minorHAnsi" w:cstheme="minorHAnsi"/>
          <w:sz w:val="22"/>
          <w:szCs w:val="22"/>
        </w:rPr>
        <w:tab/>
        <w:t xml:space="preserve">Patients discharged to hospice care and those with a hospice benefit in the post-discharge observation window are terminally ill and have very different goals of care compared with non-hospice patients. For non-hospice patients, the primary goal of post-acute care is to return to baseline, independent living in the community; death is an undesirable outcome in the non-hospice population. For hospice patients, the goal is to provide them the opportunity to die comfortably, at home or in a facility. </w:t>
      </w:r>
    </w:p>
    <w:p w14:paraId="0B51120B" w14:textId="77777777" w:rsidR="00E26631" w:rsidRPr="00D44188" w:rsidRDefault="00E26631" w:rsidP="00E26631">
      <w:pPr>
        <w:pStyle w:val="rationalebullets"/>
        <w:rPr>
          <w:rFonts w:asciiTheme="minorHAnsi" w:hAnsiTheme="minorHAnsi" w:cstheme="minorHAnsi"/>
          <w:sz w:val="22"/>
          <w:szCs w:val="22"/>
        </w:rPr>
      </w:pPr>
      <w:r w:rsidRPr="00D44188">
        <w:rPr>
          <w:rFonts w:asciiTheme="minorHAnsi" w:hAnsiTheme="minorHAnsi" w:cstheme="minorHAnsi"/>
          <w:sz w:val="22"/>
          <w:szCs w:val="22"/>
        </w:rPr>
        <w:t>b.</w:t>
      </w:r>
      <w:r w:rsidRPr="00D44188">
        <w:rPr>
          <w:rFonts w:asciiTheme="minorHAnsi" w:hAnsiTheme="minorHAnsi" w:cstheme="minorHAnsi"/>
          <w:sz w:val="22"/>
          <w:szCs w:val="22"/>
        </w:rPr>
        <w:tab/>
        <w:t xml:space="preserve">A large proportion of hospice patients die in the 31-day window following discharge from the post-acute setting. </w:t>
      </w:r>
    </w:p>
    <w:p w14:paraId="402DDF34" w14:textId="77777777" w:rsidR="00E26631" w:rsidRPr="00D44188" w:rsidRDefault="00E26631" w:rsidP="00E26631">
      <w:pPr>
        <w:pStyle w:val="rationalebullets"/>
        <w:rPr>
          <w:rFonts w:asciiTheme="minorHAnsi" w:hAnsiTheme="minorHAnsi" w:cstheme="minorHAnsi"/>
          <w:sz w:val="22"/>
          <w:szCs w:val="22"/>
        </w:rPr>
      </w:pPr>
      <w:r w:rsidRPr="00D44188">
        <w:rPr>
          <w:rFonts w:asciiTheme="minorHAnsi" w:hAnsiTheme="minorHAnsi" w:cstheme="minorHAnsi"/>
          <w:sz w:val="22"/>
          <w:szCs w:val="22"/>
        </w:rPr>
        <w:t>c.</w:t>
      </w:r>
      <w:r w:rsidRPr="00D44188">
        <w:rPr>
          <w:rFonts w:asciiTheme="minorHAnsi" w:hAnsiTheme="minorHAnsi" w:cstheme="minorHAnsi"/>
          <w:sz w:val="22"/>
          <w:szCs w:val="22"/>
        </w:rPr>
        <w:tab/>
        <w:t xml:space="preserve">The hospice agency, not the post-acute care provider, makes the final decision of discharge to hospice-home or hospice-facility. </w:t>
      </w:r>
    </w:p>
    <w:p w14:paraId="3AD89200" w14:textId="77777777" w:rsidR="00E26631" w:rsidRPr="00D44188" w:rsidRDefault="00E26631" w:rsidP="00E26631">
      <w:pPr>
        <w:pStyle w:val="NumberedListItal"/>
        <w:numPr>
          <w:ilvl w:val="0"/>
          <w:numId w:val="18"/>
        </w:numPr>
        <w:rPr>
          <w:rFonts w:asciiTheme="minorHAnsi" w:hAnsiTheme="minorHAnsi" w:cstheme="minorHAnsi"/>
          <w:sz w:val="22"/>
          <w:szCs w:val="22"/>
        </w:rPr>
      </w:pPr>
      <w:r w:rsidRPr="00D44188">
        <w:rPr>
          <w:rFonts w:asciiTheme="minorHAnsi" w:hAnsiTheme="minorHAnsi" w:cstheme="minorHAnsi"/>
          <w:sz w:val="22"/>
          <w:szCs w:val="22"/>
        </w:rPr>
        <w:t>Patients not continuously enrolled in Parts A and B FFS Medicare (or those enrolled in Part C Medicare Advantage) for the 12 months prior to the post-acute admission date, and at least 31 days after post-acute discharge date</w:t>
      </w:r>
    </w:p>
    <w:p w14:paraId="2165E81D" w14:textId="77777777" w:rsidR="00E26631" w:rsidRPr="00D44188" w:rsidRDefault="00E26631" w:rsidP="00E26631">
      <w:pPr>
        <w:pStyle w:val="Rationale"/>
        <w:rPr>
          <w:rFonts w:asciiTheme="minorHAnsi" w:hAnsiTheme="minorHAnsi" w:cstheme="minorHAnsi"/>
          <w:i/>
          <w:iCs/>
          <w:sz w:val="22"/>
          <w:szCs w:val="22"/>
        </w:rPr>
      </w:pPr>
      <w:r w:rsidRPr="00D44188">
        <w:rPr>
          <w:rFonts w:asciiTheme="minorHAnsi" w:hAnsiTheme="minorHAnsi" w:cstheme="minorHAnsi"/>
          <w:i/>
          <w:iCs/>
          <w:sz w:val="22"/>
          <w:szCs w:val="22"/>
        </w:rPr>
        <w:t xml:space="preserve">Rationale: </w:t>
      </w:r>
      <w:r w:rsidRPr="00D44188">
        <w:rPr>
          <w:rFonts w:asciiTheme="minorHAnsi" w:hAnsiTheme="minorHAnsi" w:cstheme="minorHAnsi"/>
          <w:sz w:val="22"/>
          <w:szCs w:val="22"/>
        </w:rPr>
        <w:t>Patients not continuously enrolled in Parts A and B FFS Medicare for the 12 months prior to the PAC admission date are excluded because risk adjustment for certain comorbidities requires information on acute inpatient bills for one year prior to post-acute admission. Patients not continuously enrolled in Part A FFS Medicare for at least 31 days after post-acute discharge are excluded because admissions and death must be observable in the 31-day post-discharge period. Patients without Part A and B coverage or those who are enrolled in Part C Medicare Advantage plans will not have complete inpatient claims in the system.</w:t>
      </w:r>
    </w:p>
    <w:p w14:paraId="5D865967" w14:textId="77777777" w:rsidR="00E26631" w:rsidRPr="00D44188" w:rsidRDefault="00E26631" w:rsidP="00E26631">
      <w:pPr>
        <w:pStyle w:val="NumberedListItal"/>
        <w:numPr>
          <w:ilvl w:val="0"/>
          <w:numId w:val="18"/>
        </w:numPr>
        <w:rPr>
          <w:rFonts w:asciiTheme="minorHAnsi" w:hAnsiTheme="minorHAnsi" w:cstheme="minorHAnsi"/>
          <w:sz w:val="22"/>
          <w:szCs w:val="22"/>
        </w:rPr>
      </w:pPr>
      <w:r w:rsidRPr="00D44188">
        <w:rPr>
          <w:rFonts w:asciiTheme="minorHAnsi" w:hAnsiTheme="minorHAnsi" w:cstheme="minorHAnsi"/>
          <w:sz w:val="22"/>
          <w:szCs w:val="22"/>
        </w:rPr>
        <w:t xml:space="preserve">Patients whose prior short-term acute care or psychiatric stay was for non-surgical treatment of cancer </w:t>
      </w:r>
    </w:p>
    <w:p w14:paraId="0620BF74" w14:textId="09FDF467" w:rsidR="00E26631" w:rsidRPr="00D44188" w:rsidRDefault="00E26631" w:rsidP="00E26631">
      <w:pPr>
        <w:pStyle w:val="Rationale"/>
        <w:rPr>
          <w:rFonts w:asciiTheme="minorHAnsi" w:hAnsiTheme="minorHAnsi" w:cstheme="minorHAnsi"/>
          <w:sz w:val="22"/>
          <w:szCs w:val="22"/>
        </w:rPr>
      </w:pPr>
      <w:r w:rsidRPr="00D44188">
        <w:rPr>
          <w:rFonts w:asciiTheme="minorHAnsi" w:hAnsiTheme="minorHAnsi" w:cstheme="minorHAnsi"/>
          <w:i/>
          <w:iCs/>
          <w:sz w:val="22"/>
          <w:szCs w:val="22"/>
        </w:rPr>
        <w:t xml:space="preserve">Rationale: </w:t>
      </w:r>
      <w:r w:rsidRPr="00D44188">
        <w:rPr>
          <w:rFonts w:asciiTheme="minorHAnsi" w:hAnsiTheme="minorHAnsi" w:cstheme="minorHAnsi"/>
          <w:sz w:val="22"/>
          <w:szCs w:val="22"/>
        </w:rPr>
        <w:t>Patients whose prior short-term acute care stay was for non-surgical treatment of cancer are excluded because they have a different trajectory for recovery after discharge, with a high mortality rate. Exclusion of these patients is consistent with the hospital-wide</w:t>
      </w:r>
      <w:r w:rsidR="009D7340" w:rsidRPr="00D44188">
        <w:rPr>
          <w:rFonts w:asciiTheme="minorHAnsi" w:hAnsiTheme="minorHAnsi" w:cstheme="minorHAnsi"/>
          <w:sz w:val="22"/>
          <w:szCs w:val="22"/>
        </w:rPr>
        <w:t xml:space="preserve"> </w:t>
      </w:r>
      <w:r w:rsidR="009D7340" w:rsidRPr="00D44188">
        <w:rPr>
          <w:rFonts w:asciiTheme="minorHAnsi" w:hAnsiTheme="minorHAnsi" w:cstheme="minorHAnsi"/>
          <w:sz w:val="22"/>
          <w:szCs w:val="22"/>
          <w:vertAlign w:val="superscript"/>
        </w:rPr>
        <w:t>[11]</w:t>
      </w:r>
      <w:r w:rsidRPr="00D44188">
        <w:rPr>
          <w:rFonts w:asciiTheme="minorHAnsi" w:hAnsiTheme="minorHAnsi" w:cstheme="minorHAnsi"/>
          <w:sz w:val="22"/>
          <w:szCs w:val="22"/>
        </w:rPr>
        <w:t xml:space="preserve"> and post-acute readmission measures. </w:t>
      </w:r>
    </w:p>
    <w:p w14:paraId="315D825C" w14:textId="77777777" w:rsidR="00E26631" w:rsidRPr="00D44188" w:rsidRDefault="00E26631" w:rsidP="00E26631">
      <w:pPr>
        <w:pStyle w:val="NumberedListItal"/>
        <w:numPr>
          <w:ilvl w:val="0"/>
          <w:numId w:val="18"/>
        </w:numPr>
        <w:rPr>
          <w:rFonts w:asciiTheme="minorHAnsi" w:hAnsiTheme="minorHAnsi" w:cstheme="minorHAnsi"/>
          <w:sz w:val="22"/>
          <w:szCs w:val="22"/>
        </w:rPr>
      </w:pPr>
      <w:r w:rsidRPr="00D44188">
        <w:rPr>
          <w:rFonts w:asciiTheme="minorHAnsi" w:hAnsiTheme="minorHAnsi" w:cstheme="minorHAnsi"/>
          <w:sz w:val="22"/>
          <w:szCs w:val="22"/>
        </w:rPr>
        <w:t>Post-acute stays that end in transfer to the same level of care</w:t>
      </w:r>
    </w:p>
    <w:p w14:paraId="6B5EC641" w14:textId="77777777" w:rsidR="00E26631" w:rsidRPr="00D44188" w:rsidRDefault="00E26631" w:rsidP="00E26631">
      <w:pPr>
        <w:pStyle w:val="Rationale"/>
        <w:rPr>
          <w:rFonts w:asciiTheme="minorHAnsi" w:hAnsiTheme="minorHAnsi" w:cstheme="minorHAnsi"/>
          <w:sz w:val="22"/>
          <w:szCs w:val="22"/>
        </w:rPr>
      </w:pPr>
      <w:r w:rsidRPr="00D44188">
        <w:rPr>
          <w:rFonts w:asciiTheme="minorHAnsi" w:hAnsiTheme="minorHAnsi" w:cstheme="minorHAnsi"/>
          <w:i/>
          <w:iCs/>
          <w:sz w:val="22"/>
          <w:szCs w:val="22"/>
        </w:rPr>
        <w:t xml:space="preserve">Rationale: </w:t>
      </w:r>
      <w:r w:rsidRPr="00D44188">
        <w:rPr>
          <w:rFonts w:asciiTheme="minorHAnsi" w:hAnsiTheme="minorHAnsi" w:cstheme="minorHAnsi"/>
          <w:sz w:val="22"/>
          <w:szCs w:val="22"/>
        </w:rPr>
        <w:t xml:space="preserve">HHA stays that end in transfer to another HHA are excluded from the measure because the HHA episode has not ended. For a HHA episode that involves transfer to another HHA, only the final HHA provider is included in the measure. </w:t>
      </w:r>
    </w:p>
    <w:p w14:paraId="2DE8ACB7" w14:textId="77777777" w:rsidR="00E26631" w:rsidRPr="00D44188" w:rsidRDefault="00E26631" w:rsidP="00E26631">
      <w:pPr>
        <w:pStyle w:val="NumberedListItal"/>
        <w:numPr>
          <w:ilvl w:val="0"/>
          <w:numId w:val="18"/>
        </w:numPr>
        <w:rPr>
          <w:rFonts w:asciiTheme="minorHAnsi" w:hAnsiTheme="minorHAnsi" w:cstheme="minorHAnsi"/>
          <w:sz w:val="22"/>
          <w:szCs w:val="22"/>
        </w:rPr>
      </w:pPr>
      <w:r w:rsidRPr="00D44188">
        <w:rPr>
          <w:rFonts w:asciiTheme="minorHAnsi" w:hAnsiTheme="minorHAnsi" w:cstheme="minorHAnsi"/>
          <w:sz w:val="22"/>
          <w:szCs w:val="22"/>
        </w:rPr>
        <w:t>Post-acute stays with claims data that are problematic (e.g., anomalous records for stays that overlap wholly or in part, or are otherwise erroneous or contradictory)</w:t>
      </w:r>
    </w:p>
    <w:p w14:paraId="5236C11F" w14:textId="77777777" w:rsidR="00E26631" w:rsidRPr="00D44188" w:rsidRDefault="00E26631" w:rsidP="00E26631">
      <w:pPr>
        <w:pStyle w:val="Rationale"/>
        <w:rPr>
          <w:rFonts w:asciiTheme="minorHAnsi" w:hAnsiTheme="minorHAnsi" w:cstheme="minorHAnsi"/>
          <w:sz w:val="22"/>
          <w:szCs w:val="22"/>
        </w:rPr>
      </w:pPr>
      <w:r w:rsidRPr="00D44188">
        <w:rPr>
          <w:rFonts w:asciiTheme="minorHAnsi" w:hAnsiTheme="minorHAnsi" w:cstheme="minorHAnsi"/>
          <w:i/>
          <w:iCs/>
          <w:sz w:val="22"/>
          <w:szCs w:val="22"/>
        </w:rPr>
        <w:t xml:space="preserve">Rationale: </w:t>
      </w:r>
      <w:r w:rsidRPr="00D44188">
        <w:rPr>
          <w:rFonts w:asciiTheme="minorHAnsi" w:hAnsiTheme="minorHAnsi" w:cstheme="minorHAnsi"/>
          <w:sz w:val="22"/>
          <w:szCs w:val="22"/>
        </w:rPr>
        <w:t xml:space="preserve">This measure requires accurate information from the post-acute stay and prior short-term acute care stay in the elements used for risk adjustment. No-pay post-acute stays involving exhaustion of Part A benefits are also excluded. </w:t>
      </w:r>
    </w:p>
    <w:p w14:paraId="199B9788" w14:textId="77777777" w:rsidR="00E26631" w:rsidRPr="00D44188" w:rsidRDefault="00E26631" w:rsidP="00E26631">
      <w:pPr>
        <w:pStyle w:val="NumberedListItal"/>
        <w:numPr>
          <w:ilvl w:val="0"/>
          <w:numId w:val="18"/>
        </w:numPr>
        <w:rPr>
          <w:rFonts w:asciiTheme="minorHAnsi" w:hAnsiTheme="minorHAnsi" w:cstheme="minorHAnsi"/>
          <w:sz w:val="22"/>
          <w:szCs w:val="22"/>
        </w:rPr>
      </w:pPr>
      <w:r w:rsidRPr="00D44188">
        <w:rPr>
          <w:rFonts w:asciiTheme="minorHAnsi" w:hAnsiTheme="minorHAnsi" w:cstheme="minorHAnsi"/>
          <w:sz w:val="22"/>
          <w:szCs w:val="22"/>
        </w:rPr>
        <w:t xml:space="preserve">Medicare Part A benefits exhausted </w:t>
      </w:r>
    </w:p>
    <w:p w14:paraId="01110B03" w14:textId="77777777" w:rsidR="00E26631" w:rsidRPr="00D44188" w:rsidRDefault="00E26631" w:rsidP="00E26631">
      <w:pPr>
        <w:pStyle w:val="Rationale"/>
        <w:rPr>
          <w:rFonts w:asciiTheme="minorHAnsi" w:hAnsiTheme="minorHAnsi" w:cstheme="minorHAnsi"/>
          <w:sz w:val="22"/>
          <w:szCs w:val="22"/>
        </w:rPr>
      </w:pPr>
      <w:r w:rsidRPr="00D44188">
        <w:rPr>
          <w:rFonts w:asciiTheme="minorHAnsi" w:hAnsiTheme="minorHAnsi" w:cstheme="minorHAnsi"/>
          <w:i/>
          <w:iCs/>
          <w:sz w:val="22"/>
          <w:szCs w:val="22"/>
        </w:rPr>
        <w:lastRenderedPageBreak/>
        <w:t xml:space="preserve">Rationale: </w:t>
      </w:r>
      <w:r w:rsidRPr="00D44188">
        <w:rPr>
          <w:rFonts w:asciiTheme="minorHAnsi" w:hAnsiTheme="minorHAnsi" w:cstheme="minorHAnsi"/>
          <w:sz w:val="22"/>
          <w:szCs w:val="22"/>
        </w:rPr>
        <w:t>Patients who have exhausted their Medicare Part A coverage during the PAC stay are excluded because the discharge destination decision may be related to exhaustion of benefits.</w:t>
      </w:r>
    </w:p>
    <w:p w14:paraId="006A7BBF" w14:textId="77777777" w:rsidR="00E26631" w:rsidRPr="00D44188" w:rsidRDefault="00E26631" w:rsidP="00E26631">
      <w:pPr>
        <w:rPr>
          <w:rFonts w:ascii="Trebuchet MS" w:eastAsia="Trebuchet MS" w:hAnsi="Trebuchet MS" w:cs="Trebuchet MS"/>
          <w:i/>
          <w:iCs/>
          <w:sz w:val="18"/>
          <w:szCs w:val="18"/>
          <w:lang w:val="en"/>
        </w:rPr>
      </w:pPr>
      <w:r w:rsidRPr="00D44188">
        <w:rPr>
          <w:rFonts w:ascii="Trebuchet MS" w:eastAsia="Trebuchet MS" w:hAnsi="Trebuchet MS" w:cs="Trebuchet MS"/>
          <w:b/>
          <w:bCs/>
          <w:sz w:val="18"/>
          <w:szCs w:val="18"/>
          <w:lang w:val="en"/>
        </w:rPr>
        <w:t xml:space="preserve">S.10. Stratification Information </w:t>
      </w:r>
      <w:r w:rsidRPr="00D44188">
        <w:rPr>
          <w:rFonts w:ascii="Trebuchet MS" w:eastAsia="Trebuchet MS" w:hAnsi="Trebuchet MS" w:cs="Trebuchet MS"/>
          <w:i/>
          <w:iCs/>
          <w:sz w:val="18"/>
          <w:szCs w:val="18"/>
          <w:lang w:val="en"/>
        </w:rPr>
        <w:t>(Provide all information required to stratify the measure results, if necessary, including the stratification variables, definitions, specific data collection items/responses, code/value sets, and the risk-model covariates and coefficients for the clinically-adjusted version of the measure when appropriate – Note: lists of individual codes with descriptors that exceed 1 page should be provided in an Excel or csv file in required format with at S.2b)</w:t>
      </w:r>
    </w:p>
    <w:p w14:paraId="1019EFEA" w14:textId="77777777" w:rsidR="00E26631" w:rsidRPr="00D44188" w:rsidRDefault="00E26631" w:rsidP="00E26631">
      <w:pPr>
        <w:rPr>
          <w:rFonts w:eastAsia="Trebuchet MS" w:cstheme="minorHAnsi"/>
          <w:szCs w:val="20"/>
          <w:shd w:val="clear" w:color="auto" w:fill="FFFFFF"/>
        </w:rPr>
      </w:pPr>
      <w:r w:rsidRPr="00D44188">
        <w:rPr>
          <w:rFonts w:eastAsia="Trebuchet MS" w:cstheme="minorHAnsi"/>
          <w:szCs w:val="20"/>
          <w:shd w:val="clear" w:color="auto" w:fill="FFFFFF"/>
        </w:rPr>
        <w:t>Not applicable.</w:t>
      </w:r>
    </w:p>
    <w:p w14:paraId="4E15ADF0" w14:textId="77777777" w:rsidR="00E26631" w:rsidRPr="00D44188" w:rsidRDefault="00E26631" w:rsidP="00E26631">
      <w:pPr>
        <w:rPr>
          <w:rFonts w:ascii="Trebuchet MS" w:eastAsia="Trebuchet MS" w:hAnsi="Trebuchet MS" w:cs="Trebuchet MS"/>
          <w:b/>
          <w:bCs/>
          <w:sz w:val="20"/>
          <w:szCs w:val="20"/>
          <w:shd w:val="clear" w:color="auto" w:fill="FFFFFF"/>
        </w:rPr>
      </w:pPr>
    </w:p>
    <w:p w14:paraId="30BEC078" w14:textId="77777777" w:rsidR="00E26631" w:rsidRPr="00D44188" w:rsidRDefault="00E26631" w:rsidP="00E26631">
      <w:pPr>
        <w:rPr>
          <w:rFonts w:ascii="Trebuchet MS" w:eastAsia="Trebuchet MS" w:hAnsi="Trebuchet MS" w:cs="Trebuchet MS"/>
          <w:sz w:val="18"/>
          <w:szCs w:val="18"/>
          <w:lang w:val="en"/>
        </w:rPr>
      </w:pPr>
      <w:r w:rsidRPr="00D44188">
        <w:rPr>
          <w:rFonts w:ascii="Trebuchet MS" w:eastAsia="Trebuchet MS" w:hAnsi="Trebuchet MS" w:cs="Trebuchet MS"/>
          <w:b/>
          <w:bCs/>
          <w:sz w:val="20"/>
          <w:szCs w:val="20"/>
          <w:shd w:val="clear" w:color="auto" w:fill="FFFFFF"/>
        </w:rPr>
        <w:t xml:space="preserve">S11. </w:t>
      </w:r>
      <w:r w:rsidRPr="00D44188">
        <w:rPr>
          <w:rFonts w:ascii="Trebuchet MS" w:eastAsia="Trebuchet MS" w:hAnsi="Trebuchet MS" w:cs="Trebuchet MS"/>
          <w:b/>
          <w:bCs/>
          <w:sz w:val="18"/>
          <w:szCs w:val="18"/>
          <w:lang w:val="en"/>
        </w:rPr>
        <w:t xml:space="preserve">Risk Adjustment Type </w:t>
      </w:r>
      <w:r w:rsidRPr="00D44188">
        <w:rPr>
          <w:rFonts w:ascii="Trebuchet MS" w:eastAsia="Trebuchet MS" w:hAnsi="Trebuchet MS" w:cs="Trebuchet MS"/>
          <w:sz w:val="18"/>
          <w:szCs w:val="18"/>
          <w:lang w:val="en"/>
        </w:rPr>
        <w:t>(Select type. Provide specifications for risk stratification in measure testing attachment)</w:t>
      </w:r>
    </w:p>
    <w:p w14:paraId="20EA8985" w14:textId="77777777" w:rsidR="00E26631" w:rsidRPr="00D44188" w:rsidRDefault="00E26631" w:rsidP="00E26631">
      <w:pPr>
        <w:rPr>
          <w:rFonts w:eastAsia="Trebuchet MS" w:cstheme="minorHAnsi"/>
          <w:b/>
          <w:bCs/>
          <w:szCs w:val="20"/>
        </w:rPr>
      </w:pPr>
      <w:r w:rsidRPr="00D44188">
        <w:rPr>
          <w:rFonts w:eastAsia="Trebuchet MS" w:cstheme="minorHAnsi"/>
          <w:szCs w:val="20"/>
          <w:shd w:val="clear" w:color="auto" w:fill="FFFFFF"/>
        </w:rPr>
        <w:t>Statistical risk model</w:t>
      </w:r>
    </w:p>
    <w:p w14:paraId="60AA898F" w14:textId="77777777" w:rsidR="00E26631" w:rsidRPr="00D44188" w:rsidRDefault="00E26631" w:rsidP="00E26631">
      <w:pPr>
        <w:rPr>
          <w:rFonts w:ascii="Trebuchet MS" w:eastAsia="Trebuchet MS" w:hAnsi="Trebuchet MS" w:cs="Trebuchet MS"/>
          <w:b/>
          <w:bCs/>
          <w:sz w:val="18"/>
          <w:szCs w:val="18"/>
          <w:lang w:val="en"/>
        </w:rPr>
      </w:pPr>
    </w:p>
    <w:p w14:paraId="096C0F6A" w14:textId="77777777" w:rsidR="00E26631" w:rsidRPr="00D44188" w:rsidRDefault="00E26631" w:rsidP="00E26631">
      <w:pPr>
        <w:rPr>
          <w:rFonts w:ascii="Trebuchet MS" w:eastAsia="Trebuchet MS" w:hAnsi="Trebuchet MS" w:cs="Trebuchet MS"/>
          <w:b/>
          <w:bCs/>
          <w:sz w:val="18"/>
          <w:szCs w:val="18"/>
          <w:lang w:val="en"/>
        </w:rPr>
      </w:pPr>
      <w:r w:rsidRPr="00D44188">
        <w:rPr>
          <w:rFonts w:ascii="Trebuchet MS" w:eastAsia="Trebuchet MS" w:hAnsi="Trebuchet MS" w:cs="Trebuchet MS"/>
          <w:b/>
          <w:bCs/>
          <w:sz w:val="18"/>
          <w:szCs w:val="18"/>
          <w:lang w:val="en"/>
        </w:rPr>
        <w:t>S.12. Type of score:</w:t>
      </w:r>
    </w:p>
    <w:p w14:paraId="11980E88" w14:textId="77777777" w:rsidR="00E26631" w:rsidRPr="00D44188" w:rsidRDefault="00E26631" w:rsidP="00E26631">
      <w:pPr>
        <w:rPr>
          <w:rFonts w:ascii="Trebuchet MS" w:eastAsia="Trebuchet MS" w:hAnsi="Trebuchet MS" w:cs="Trebuchet MS"/>
          <w:b/>
          <w:bCs/>
          <w:sz w:val="18"/>
          <w:szCs w:val="18"/>
          <w:lang w:val="en"/>
        </w:rPr>
      </w:pPr>
      <w:r w:rsidRPr="00D44188">
        <w:rPr>
          <w:rFonts w:eastAsia="Trebuchet MS" w:cstheme="minorHAnsi"/>
          <w:shd w:val="clear" w:color="auto" w:fill="FFFFFF"/>
        </w:rPr>
        <w:t xml:space="preserve">Rate </w:t>
      </w:r>
    </w:p>
    <w:p w14:paraId="117233A7" w14:textId="77777777" w:rsidR="00E26631" w:rsidRPr="00D44188" w:rsidRDefault="00E26631" w:rsidP="00E26631">
      <w:pPr>
        <w:rPr>
          <w:rFonts w:ascii="Trebuchet MS" w:eastAsia="Trebuchet MS" w:hAnsi="Trebuchet MS" w:cs="Trebuchet MS"/>
          <w:i/>
          <w:iCs/>
          <w:sz w:val="18"/>
          <w:szCs w:val="18"/>
          <w:lang w:val="en"/>
        </w:rPr>
      </w:pPr>
      <w:r w:rsidRPr="00D44188">
        <w:rPr>
          <w:rFonts w:ascii="Trebuchet MS" w:eastAsia="Trebuchet MS" w:hAnsi="Trebuchet MS" w:cs="Trebuchet MS"/>
          <w:b/>
          <w:bCs/>
          <w:sz w:val="18"/>
          <w:szCs w:val="18"/>
          <w:lang w:val="en"/>
        </w:rPr>
        <w:t xml:space="preserve">S.13. Interpretation of Score </w:t>
      </w:r>
      <w:r w:rsidRPr="00D44188">
        <w:rPr>
          <w:rFonts w:ascii="Trebuchet MS" w:eastAsia="Trebuchet MS" w:hAnsi="Trebuchet MS" w:cs="Trebuchet MS"/>
          <w:i/>
          <w:iCs/>
          <w:sz w:val="18"/>
          <w:szCs w:val="18"/>
          <w:lang w:val="en"/>
        </w:rPr>
        <w:t>(Classifies interpretation of score according to whether better quality is associated with a higher score, a lower score, a score falling within a defined interval, or a passing score)</w:t>
      </w:r>
    </w:p>
    <w:p w14:paraId="653442A4" w14:textId="77777777" w:rsidR="00E26631" w:rsidRPr="00D44188" w:rsidRDefault="00E26631" w:rsidP="00E26631">
      <w:pPr>
        <w:rPr>
          <w:rFonts w:eastAsia="Trebuchet MS" w:cstheme="minorHAnsi"/>
          <w:b/>
          <w:bCs/>
          <w:sz w:val="24"/>
          <w:szCs w:val="20"/>
          <w:shd w:val="clear" w:color="auto" w:fill="FFFFFF"/>
        </w:rPr>
      </w:pPr>
      <w:r w:rsidRPr="00D44188">
        <w:rPr>
          <w:rFonts w:eastAsia="Trebuchet MS" w:cstheme="minorHAnsi"/>
          <w:szCs w:val="18"/>
          <w:lang w:val="en"/>
        </w:rPr>
        <w:t>Categorical for public reporting (i.e., categories are "Better than Expected", "Same as Expected", and "Worse than Expected´); unadjusted rate for confidential reporting (better quality [all else equal] = higher rates).</w:t>
      </w:r>
      <w:r w:rsidRPr="00D44188">
        <w:rPr>
          <w:rFonts w:ascii="Calibri" w:hAnsi="Calibri" w:cs="Calibri"/>
          <w:sz w:val="20"/>
          <w:szCs w:val="20"/>
        </w:rPr>
        <w:t xml:space="preserve"> </w:t>
      </w:r>
      <w:r w:rsidRPr="00D44188">
        <w:rPr>
          <w:rFonts w:eastAsia="Trebuchet MS" w:cstheme="minorHAnsi"/>
          <w:szCs w:val="18"/>
          <w:lang w:val="en"/>
        </w:rPr>
        <w:t>Better quality is associated with a higher score.</w:t>
      </w:r>
    </w:p>
    <w:p w14:paraId="20ED7787" w14:textId="77777777" w:rsidR="00E26631" w:rsidRPr="00D44188" w:rsidRDefault="00E26631" w:rsidP="00E26631">
      <w:pPr>
        <w:rPr>
          <w:rFonts w:ascii="Trebuchet MS" w:eastAsia="Trebuchet MS" w:hAnsi="Trebuchet MS" w:cs="Trebuchet MS"/>
          <w:b/>
          <w:bCs/>
          <w:sz w:val="18"/>
          <w:szCs w:val="18"/>
          <w:lang w:val="en"/>
        </w:rPr>
      </w:pPr>
    </w:p>
    <w:p w14:paraId="510F49BD" w14:textId="77777777" w:rsidR="00E26631" w:rsidRPr="00D44188" w:rsidRDefault="00E26631" w:rsidP="00E26631">
      <w:pPr>
        <w:rPr>
          <w:rFonts w:ascii="Trebuchet MS" w:eastAsia="Trebuchet MS" w:hAnsi="Trebuchet MS" w:cs="Trebuchet MS"/>
          <w:b/>
          <w:bCs/>
          <w:sz w:val="20"/>
          <w:szCs w:val="20"/>
          <w:shd w:val="clear" w:color="auto" w:fill="FFFFFF"/>
        </w:rPr>
      </w:pPr>
      <w:r w:rsidRPr="00D44188">
        <w:rPr>
          <w:rFonts w:ascii="Trebuchet MS" w:eastAsia="Trebuchet MS" w:hAnsi="Trebuchet MS" w:cs="Trebuchet MS"/>
          <w:b/>
          <w:bCs/>
          <w:sz w:val="18"/>
          <w:szCs w:val="18"/>
          <w:lang w:val="en"/>
        </w:rPr>
        <w:t xml:space="preserve">S.14. Calculation Algorithm/Measure Logic </w:t>
      </w:r>
      <w:r w:rsidRPr="00D44188">
        <w:rPr>
          <w:rFonts w:ascii="Trebuchet MS" w:eastAsia="Trebuchet MS" w:hAnsi="Trebuchet MS" w:cs="Trebuchet MS"/>
          <w:i/>
          <w:iCs/>
          <w:sz w:val="18"/>
          <w:szCs w:val="18"/>
          <w:lang w:val="en"/>
        </w:rPr>
        <w:t>(Diagram or describe the calculation of the measure score as an ordered sequence of steps including identifying the target population; exclusions; cases meeting the target process, condition, event, or outcome; time period of data, aggregating data; risk adjustment; etc.)</w:t>
      </w:r>
    </w:p>
    <w:p w14:paraId="528CAD61" w14:textId="77777777" w:rsidR="00E26631" w:rsidRPr="00D44188" w:rsidRDefault="00E26631" w:rsidP="00E26631">
      <w:pPr>
        <w:rPr>
          <w:rFonts w:eastAsia="Calibri" w:cstheme="minorHAnsi"/>
        </w:rPr>
      </w:pPr>
      <w:bookmarkStart w:id="22" w:name="_Hlk518896208"/>
      <w:bookmarkEnd w:id="20"/>
      <w:r w:rsidRPr="00D44188">
        <w:rPr>
          <w:rFonts w:eastAsia="Trebuchet MS" w:cstheme="minorHAnsi"/>
        </w:rPr>
        <w:t xml:space="preserve">The DTC-PAC HHA measure is risk adjusted. </w:t>
      </w:r>
      <w:r w:rsidRPr="00D44188">
        <w:rPr>
          <w:rFonts w:eastAsia="Calibri" w:cstheme="minorHAnsi"/>
        </w:rPr>
        <w:t xml:space="preserve">To develop the risk-adjustment model for this measure, we analyzed Medicare home health, inpatient claims, outpatient, and carrier claims . We applied the measure exclusion criteria to determine the sample included in the risk adjustment model. The measure is based on two consecutive fiscal years of data (CY 2015-2016).  </w:t>
      </w:r>
    </w:p>
    <w:p w14:paraId="79E43448" w14:textId="77777777" w:rsidR="00E26631" w:rsidRPr="00D44188" w:rsidRDefault="00E26631" w:rsidP="00E26631">
      <w:pPr>
        <w:pStyle w:val="BodyText"/>
        <w:spacing w:before="203" w:line="300" w:lineRule="auto"/>
        <w:ind w:right="259" w:firstLine="0"/>
        <w:rPr>
          <w:rFonts w:asciiTheme="minorHAnsi" w:hAnsiTheme="minorHAnsi"/>
          <w:sz w:val="22"/>
        </w:rPr>
      </w:pPr>
      <w:r w:rsidRPr="00D44188">
        <w:rPr>
          <w:rFonts w:asciiTheme="minorHAnsi" w:hAnsiTheme="minorHAnsi"/>
          <w:sz w:val="22"/>
        </w:rPr>
        <w:t>The risk model employs the following sets of</w:t>
      </w:r>
      <w:r w:rsidRPr="00D44188">
        <w:rPr>
          <w:rFonts w:asciiTheme="minorHAnsi" w:hAnsiTheme="minorHAnsi"/>
          <w:spacing w:val="-1"/>
          <w:sz w:val="22"/>
        </w:rPr>
        <w:t xml:space="preserve"> </w:t>
      </w:r>
      <w:r w:rsidRPr="00D44188">
        <w:rPr>
          <w:rFonts w:asciiTheme="minorHAnsi" w:hAnsiTheme="minorHAnsi"/>
          <w:sz w:val="22"/>
        </w:rPr>
        <w:t xml:space="preserve">covariates:  </w:t>
      </w:r>
    </w:p>
    <w:p w14:paraId="42B6AA63" w14:textId="77777777" w:rsidR="00E26631" w:rsidRPr="00D44188" w:rsidRDefault="00E26631" w:rsidP="00E26631">
      <w:pPr>
        <w:pStyle w:val="ListParagraph"/>
        <w:widowControl w:val="0"/>
        <w:numPr>
          <w:ilvl w:val="0"/>
          <w:numId w:val="27"/>
        </w:numPr>
        <w:tabs>
          <w:tab w:val="left" w:pos="1727"/>
        </w:tabs>
        <w:autoSpaceDE w:val="0"/>
        <w:autoSpaceDN w:val="0"/>
        <w:spacing w:before="120" w:after="0" w:line="240" w:lineRule="auto"/>
        <w:ind w:hanging="346"/>
        <w:contextualSpacing w:val="0"/>
      </w:pPr>
      <w:r w:rsidRPr="00D44188">
        <w:t>Demographics</w:t>
      </w:r>
    </w:p>
    <w:p w14:paraId="74B37818" w14:textId="77777777" w:rsidR="00E26631" w:rsidRPr="00D44188" w:rsidRDefault="00E26631" w:rsidP="00E26631">
      <w:pPr>
        <w:pStyle w:val="ListParagraph"/>
        <w:widowControl w:val="0"/>
        <w:numPr>
          <w:ilvl w:val="1"/>
          <w:numId w:val="27"/>
        </w:numPr>
        <w:tabs>
          <w:tab w:val="left" w:pos="2146"/>
        </w:tabs>
        <w:autoSpaceDE w:val="0"/>
        <w:autoSpaceDN w:val="0"/>
        <w:spacing w:before="120" w:after="0" w:line="240" w:lineRule="auto"/>
        <w:ind w:hanging="333"/>
        <w:contextualSpacing w:val="0"/>
      </w:pPr>
      <w:r w:rsidRPr="00D44188">
        <w:t>Age and</w:t>
      </w:r>
      <w:r w:rsidRPr="00D44188">
        <w:rPr>
          <w:spacing w:val="-1"/>
        </w:rPr>
        <w:t xml:space="preserve"> </w:t>
      </w:r>
      <w:r w:rsidRPr="00D44188">
        <w:t>sex</w:t>
      </w:r>
    </w:p>
    <w:p w14:paraId="241332A5" w14:textId="77777777" w:rsidR="00E26631" w:rsidRPr="00D44188" w:rsidRDefault="00E26631" w:rsidP="00E26631">
      <w:pPr>
        <w:pStyle w:val="ListParagraph"/>
        <w:widowControl w:val="0"/>
        <w:numPr>
          <w:ilvl w:val="1"/>
          <w:numId w:val="27"/>
        </w:numPr>
        <w:tabs>
          <w:tab w:val="left" w:pos="2159"/>
        </w:tabs>
        <w:autoSpaceDE w:val="0"/>
        <w:autoSpaceDN w:val="0"/>
        <w:spacing w:before="120" w:after="0" w:line="240" w:lineRule="auto"/>
        <w:ind w:left="2158" w:hanging="346"/>
        <w:contextualSpacing w:val="0"/>
      </w:pPr>
      <w:r w:rsidRPr="00D44188">
        <w:t>Enrollment</w:t>
      </w:r>
      <w:r w:rsidRPr="00D44188">
        <w:rPr>
          <w:spacing w:val="-1"/>
        </w:rPr>
        <w:t xml:space="preserve"> </w:t>
      </w:r>
      <w:r w:rsidRPr="00D44188">
        <w:t>status</w:t>
      </w:r>
    </w:p>
    <w:p w14:paraId="0F8ABC96" w14:textId="77777777" w:rsidR="00E26631" w:rsidRPr="00D44188" w:rsidRDefault="00E26631" w:rsidP="00E26631">
      <w:pPr>
        <w:pStyle w:val="ListParagraph"/>
        <w:widowControl w:val="0"/>
        <w:numPr>
          <w:ilvl w:val="1"/>
          <w:numId w:val="27"/>
        </w:numPr>
        <w:tabs>
          <w:tab w:val="left" w:pos="2146"/>
        </w:tabs>
        <w:autoSpaceDE w:val="0"/>
        <w:autoSpaceDN w:val="0"/>
        <w:spacing w:before="120" w:after="0" w:line="240" w:lineRule="auto"/>
        <w:ind w:hanging="333"/>
        <w:contextualSpacing w:val="0"/>
      </w:pPr>
      <w:r w:rsidRPr="00D44188">
        <w:t>Activities of daily living</w:t>
      </w:r>
      <w:r w:rsidRPr="00D44188">
        <w:rPr>
          <w:spacing w:val="-1"/>
        </w:rPr>
        <w:t xml:space="preserve"> </w:t>
      </w:r>
      <w:r w:rsidRPr="00D44188">
        <w:t>scores</w:t>
      </w:r>
    </w:p>
    <w:p w14:paraId="58717565" w14:textId="77777777" w:rsidR="00E26631" w:rsidRPr="00D44188" w:rsidRDefault="00E26631" w:rsidP="00E26631">
      <w:pPr>
        <w:pStyle w:val="ListParagraph"/>
        <w:widowControl w:val="0"/>
        <w:numPr>
          <w:ilvl w:val="0"/>
          <w:numId w:val="27"/>
        </w:numPr>
        <w:tabs>
          <w:tab w:val="left" w:pos="1727"/>
        </w:tabs>
        <w:autoSpaceDE w:val="0"/>
        <w:autoSpaceDN w:val="0"/>
        <w:spacing w:before="120" w:after="0" w:line="240" w:lineRule="auto"/>
        <w:ind w:hanging="346"/>
        <w:contextualSpacing w:val="0"/>
      </w:pPr>
      <w:r w:rsidRPr="00D44188">
        <w:lastRenderedPageBreak/>
        <w:t>Care received during the prior proximal hospitalization (if</w:t>
      </w:r>
      <w:r w:rsidRPr="00D44188">
        <w:rPr>
          <w:spacing w:val="-1"/>
        </w:rPr>
        <w:t xml:space="preserve"> </w:t>
      </w:r>
      <w:r w:rsidRPr="00D44188">
        <w:t>relevant)</w:t>
      </w:r>
    </w:p>
    <w:p w14:paraId="13B198A8" w14:textId="77777777" w:rsidR="00E26631" w:rsidRPr="00D44188" w:rsidRDefault="00E26631" w:rsidP="00E26631">
      <w:pPr>
        <w:pStyle w:val="ListParagraph"/>
        <w:widowControl w:val="0"/>
        <w:numPr>
          <w:ilvl w:val="1"/>
          <w:numId w:val="27"/>
        </w:numPr>
        <w:tabs>
          <w:tab w:val="left" w:pos="2146"/>
        </w:tabs>
        <w:autoSpaceDE w:val="0"/>
        <w:autoSpaceDN w:val="0"/>
        <w:spacing w:before="120" w:after="0" w:line="240" w:lineRule="auto"/>
        <w:ind w:left="2243" w:hanging="431"/>
        <w:contextualSpacing w:val="0"/>
      </w:pPr>
      <w:r w:rsidRPr="00D44188">
        <w:t>Length of prior proximal</w:t>
      </w:r>
      <w:r w:rsidRPr="00D44188">
        <w:rPr>
          <w:spacing w:val="-1"/>
        </w:rPr>
        <w:t xml:space="preserve"> </w:t>
      </w:r>
      <w:r w:rsidRPr="00D44188">
        <w:t>hospitalization</w:t>
      </w:r>
    </w:p>
    <w:p w14:paraId="1F3A2D44" w14:textId="77777777" w:rsidR="00E26631" w:rsidRPr="00D44188" w:rsidRDefault="00E26631" w:rsidP="00E26631">
      <w:pPr>
        <w:pStyle w:val="ListParagraph"/>
        <w:widowControl w:val="0"/>
        <w:numPr>
          <w:ilvl w:val="1"/>
          <w:numId w:val="27"/>
        </w:numPr>
        <w:tabs>
          <w:tab w:val="left" w:pos="2159"/>
        </w:tabs>
        <w:autoSpaceDE w:val="0"/>
        <w:autoSpaceDN w:val="0"/>
        <w:spacing w:before="120" w:after="0" w:line="240" w:lineRule="auto"/>
        <w:ind w:left="2243" w:right="820" w:hanging="431"/>
        <w:contextualSpacing w:val="0"/>
      </w:pPr>
      <w:r w:rsidRPr="00D44188">
        <w:t>Clinical classification software (CCS) diagnosis and procedure categories during prior proximal</w:t>
      </w:r>
      <w:r w:rsidRPr="00D44188">
        <w:rPr>
          <w:spacing w:val="-1"/>
        </w:rPr>
        <w:t xml:space="preserve"> </w:t>
      </w:r>
      <w:r w:rsidRPr="00D44188">
        <w:t>hospitalization</w:t>
      </w:r>
    </w:p>
    <w:p w14:paraId="15E74114" w14:textId="77777777" w:rsidR="00E26631" w:rsidRPr="00D44188" w:rsidRDefault="00E26631" w:rsidP="00E26631">
      <w:pPr>
        <w:pStyle w:val="ListParagraph"/>
        <w:widowControl w:val="0"/>
        <w:numPr>
          <w:ilvl w:val="0"/>
          <w:numId w:val="27"/>
        </w:numPr>
        <w:tabs>
          <w:tab w:val="left" w:pos="1727"/>
        </w:tabs>
        <w:autoSpaceDE w:val="0"/>
        <w:autoSpaceDN w:val="0"/>
        <w:spacing w:before="120" w:after="0" w:line="240" w:lineRule="auto"/>
        <w:ind w:hanging="346"/>
        <w:contextualSpacing w:val="0"/>
      </w:pPr>
      <w:r w:rsidRPr="00D44188">
        <w:t>Other care received within one year of the HH</w:t>
      </w:r>
      <w:r w:rsidRPr="00D44188">
        <w:rPr>
          <w:spacing w:val="-1"/>
        </w:rPr>
        <w:t xml:space="preserve"> </w:t>
      </w:r>
      <w:r w:rsidRPr="00D44188">
        <w:t>stay</w:t>
      </w:r>
    </w:p>
    <w:p w14:paraId="63B858A8" w14:textId="77777777" w:rsidR="00E26631" w:rsidRPr="00D44188" w:rsidRDefault="00E26631" w:rsidP="00E26631">
      <w:pPr>
        <w:pStyle w:val="ListParagraph"/>
        <w:widowControl w:val="0"/>
        <w:numPr>
          <w:ilvl w:val="1"/>
          <w:numId w:val="27"/>
        </w:numPr>
        <w:tabs>
          <w:tab w:val="left" w:pos="2146"/>
        </w:tabs>
        <w:autoSpaceDE w:val="0"/>
        <w:autoSpaceDN w:val="0"/>
        <w:spacing w:before="120" w:after="0" w:line="240" w:lineRule="auto"/>
        <w:ind w:hanging="333"/>
        <w:contextualSpacing w:val="0"/>
      </w:pPr>
      <w:r w:rsidRPr="00D44188">
        <w:t>Number of prior acute</w:t>
      </w:r>
      <w:r w:rsidRPr="00D44188">
        <w:rPr>
          <w:spacing w:val="-1"/>
        </w:rPr>
        <w:t xml:space="preserve"> </w:t>
      </w:r>
      <w:r w:rsidRPr="00D44188">
        <w:t>discharges</w:t>
      </w:r>
    </w:p>
    <w:p w14:paraId="322E0E4F" w14:textId="77777777" w:rsidR="00E26631" w:rsidRPr="00D44188" w:rsidRDefault="00E26631" w:rsidP="00E26631">
      <w:pPr>
        <w:pStyle w:val="ListParagraph"/>
        <w:widowControl w:val="0"/>
        <w:numPr>
          <w:ilvl w:val="1"/>
          <w:numId w:val="27"/>
        </w:numPr>
        <w:tabs>
          <w:tab w:val="left" w:pos="2159"/>
        </w:tabs>
        <w:autoSpaceDE w:val="0"/>
        <w:autoSpaceDN w:val="0"/>
        <w:spacing w:before="120" w:after="0" w:line="240" w:lineRule="auto"/>
        <w:ind w:left="2158" w:hanging="346"/>
        <w:contextualSpacing w:val="0"/>
      </w:pPr>
      <w:r w:rsidRPr="00D44188">
        <w:t>Number of outpatient emergency department</w:t>
      </w:r>
      <w:r w:rsidRPr="00D44188">
        <w:rPr>
          <w:spacing w:val="-1"/>
        </w:rPr>
        <w:t xml:space="preserve"> </w:t>
      </w:r>
      <w:r w:rsidRPr="00D44188">
        <w:t>visits</w:t>
      </w:r>
    </w:p>
    <w:p w14:paraId="2BE7A80B" w14:textId="77777777" w:rsidR="00E26631" w:rsidRPr="00D44188" w:rsidRDefault="00E26631" w:rsidP="00E26631">
      <w:pPr>
        <w:pStyle w:val="ListParagraph"/>
        <w:widowControl w:val="0"/>
        <w:numPr>
          <w:ilvl w:val="1"/>
          <w:numId w:val="27"/>
        </w:numPr>
        <w:tabs>
          <w:tab w:val="left" w:pos="2146"/>
        </w:tabs>
        <w:autoSpaceDE w:val="0"/>
        <w:autoSpaceDN w:val="0"/>
        <w:spacing w:before="117" w:after="0" w:line="240" w:lineRule="auto"/>
        <w:ind w:hanging="333"/>
        <w:contextualSpacing w:val="0"/>
      </w:pPr>
      <w:r w:rsidRPr="00D44188">
        <w:t>Number of skilled nursing facility</w:t>
      </w:r>
      <w:r w:rsidRPr="00D44188">
        <w:rPr>
          <w:spacing w:val="-1"/>
        </w:rPr>
        <w:t xml:space="preserve"> </w:t>
      </w:r>
      <w:r w:rsidRPr="00D44188">
        <w:t>visits</w:t>
      </w:r>
    </w:p>
    <w:p w14:paraId="71268270" w14:textId="77777777" w:rsidR="00E26631" w:rsidRPr="00D44188" w:rsidRDefault="00E26631" w:rsidP="00E26631">
      <w:pPr>
        <w:pStyle w:val="ListParagraph"/>
        <w:widowControl w:val="0"/>
        <w:numPr>
          <w:ilvl w:val="1"/>
          <w:numId w:val="27"/>
        </w:numPr>
        <w:tabs>
          <w:tab w:val="left" w:pos="2159"/>
        </w:tabs>
        <w:autoSpaceDE w:val="0"/>
        <w:autoSpaceDN w:val="0"/>
        <w:spacing w:before="120" w:after="0" w:line="240" w:lineRule="auto"/>
        <w:ind w:left="2158" w:hanging="346"/>
        <w:contextualSpacing w:val="0"/>
      </w:pPr>
      <w:r w:rsidRPr="00D44188">
        <w:t>Number of long-term care hospital</w:t>
      </w:r>
      <w:r w:rsidRPr="00D44188">
        <w:rPr>
          <w:spacing w:val="-1"/>
        </w:rPr>
        <w:t xml:space="preserve"> </w:t>
      </w:r>
      <w:r w:rsidRPr="00D44188">
        <w:t>visits</w:t>
      </w:r>
    </w:p>
    <w:p w14:paraId="6D66F7B9" w14:textId="77777777" w:rsidR="00E26631" w:rsidRPr="00D44188" w:rsidRDefault="00E26631" w:rsidP="00E26631">
      <w:pPr>
        <w:pStyle w:val="ListParagraph"/>
        <w:widowControl w:val="0"/>
        <w:numPr>
          <w:ilvl w:val="1"/>
          <w:numId w:val="27"/>
        </w:numPr>
        <w:tabs>
          <w:tab w:val="left" w:pos="2159"/>
        </w:tabs>
        <w:autoSpaceDE w:val="0"/>
        <w:autoSpaceDN w:val="0"/>
        <w:spacing w:before="120" w:after="0" w:line="240" w:lineRule="auto"/>
        <w:ind w:left="2158" w:hanging="346"/>
        <w:contextualSpacing w:val="0"/>
      </w:pPr>
      <w:r w:rsidRPr="00D44188">
        <w:t>Number of inpatient dialysis sessions</w:t>
      </w:r>
    </w:p>
    <w:p w14:paraId="223A69EC" w14:textId="77777777" w:rsidR="00E26631" w:rsidRPr="00D44188" w:rsidRDefault="00E26631" w:rsidP="00E26631">
      <w:pPr>
        <w:pStyle w:val="ListParagraph"/>
        <w:widowControl w:val="0"/>
        <w:numPr>
          <w:ilvl w:val="1"/>
          <w:numId w:val="27"/>
        </w:numPr>
        <w:tabs>
          <w:tab w:val="left" w:pos="2146"/>
        </w:tabs>
        <w:autoSpaceDE w:val="0"/>
        <w:autoSpaceDN w:val="0"/>
        <w:spacing w:before="120" w:after="0" w:line="240" w:lineRule="auto"/>
        <w:ind w:hanging="333"/>
        <w:contextualSpacing w:val="0"/>
      </w:pPr>
      <w:r w:rsidRPr="00D44188">
        <w:t>Hierarchical condition categories (HCC)</w:t>
      </w:r>
      <w:r w:rsidRPr="00D44188">
        <w:rPr>
          <w:spacing w:val="-1"/>
        </w:rPr>
        <w:t xml:space="preserve"> </w:t>
      </w:r>
      <w:r w:rsidRPr="00D44188">
        <w:t>comorbidities</w:t>
      </w:r>
    </w:p>
    <w:p w14:paraId="35FE43FF" w14:textId="77777777" w:rsidR="00E26631" w:rsidRPr="00D44188" w:rsidRDefault="00E26631" w:rsidP="00E26631">
      <w:pPr>
        <w:rPr>
          <w:rFonts w:eastAsia="Calibri" w:cstheme="minorHAnsi"/>
        </w:rPr>
      </w:pPr>
    </w:p>
    <w:p w14:paraId="76836F7D" w14:textId="77777777" w:rsidR="00E26631" w:rsidRPr="00D44188" w:rsidRDefault="00E26631" w:rsidP="00E26631">
      <w:pPr>
        <w:rPr>
          <w:rFonts w:cstheme="minorHAnsi"/>
        </w:rPr>
      </w:pPr>
      <w:r w:rsidRPr="00D44188">
        <w:rPr>
          <w:rFonts w:cstheme="minorHAnsi"/>
        </w:rPr>
        <w:t xml:space="preserve">We used a hierarchical logistic regression model to predict the probability of discharge to community.  Patient characteristics related to discharge and a marker for the specific discharging HHA are included in the equation. The equation is hierarchical in that both individual patient characteristics are accounted for, as well as the clustering of patient characteristics by HHA. The statistical model estimates both the average predictive effect of the patient characteristics across all facilities, and the degree to which each facility has an effect on discharge to community that differs from that of the average facility. The facility effects are assumed to be randomly distributed around the average (according to a normal distribution). </w:t>
      </w:r>
    </w:p>
    <w:p w14:paraId="2B591728" w14:textId="77777777" w:rsidR="00E26631" w:rsidRPr="00D44188" w:rsidRDefault="00E26631" w:rsidP="00E26631">
      <w:pPr>
        <w:rPr>
          <w:rFonts w:cstheme="minorHAnsi"/>
          <w:b/>
          <w:bCs/>
          <w:i/>
          <w:iCs/>
        </w:rPr>
      </w:pPr>
      <w:r w:rsidRPr="00D44188">
        <w:rPr>
          <w:rFonts w:cstheme="minorHAnsi"/>
        </w:rPr>
        <w:t>When computing the HHA effect, hierarchical modeling accounts for the known predictors of discharge to community, on average, such as patient characteristics, the observed facility rate, and the number of HHA stays eligible for inclusion in the measure. The estimated HHA effect is determined mostly by the HHA’s own data if the number of patient discharges is relatively large (as the estimate would be relatively precise) but is adjusted toward the average if the number of patient discharges is small (as that would yield a less precise estimate).</w:t>
      </w:r>
    </w:p>
    <w:p w14:paraId="13DA200B" w14:textId="77777777" w:rsidR="00E26631" w:rsidRPr="00D44188" w:rsidRDefault="00E26631" w:rsidP="00E26631">
      <w:pPr>
        <w:rPr>
          <w:rFonts w:cstheme="minorHAnsi"/>
        </w:rPr>
      </w:pPr>
      <w:r w:rsidRPr="00D44188">
        <w:rPr>
          <w:rFonts w:cstheme="minorHAnsi"/>
        </w:rPr>
        <w:t xml:space="preserve">We used the following model:  </w:t>
      </w:r>
    </w:p>
    <w:p w14:paraId="320BF68D" w14:textId="77777777" w:rsidR="00E26631" w:rsidRPr="00D44188" w:rsidRDefault="00E26631" w:rsidP="00E26631">
      <w:pPr>
        <w:rPr>
          <w:rFonts w:cstheme="minorHAnsi"/>
        </w:rPr>
      </w:pPr>
      <w:r w:rsidRPr="00D44188">
        <w:rPr>
          <w:rFonts w:cstheme="minorHAnsi"/>
        </w:rPr>
        <w:t>Let Y</w:t>
      </w:r>
      <w:r w:rsidRPr="00D44188">
        <w:rPr>
          <w:rFonts w:cstheme="minorHAnsi"/>
          <w:vertAlign w:val="subscript"/>
        </w:rPr>
        <w:t>ij</w:t>
      </w:r>
      <w:r w:rsidRPr="00D44188">
        <w:rPr>
          <w:rFonts w:cstheme="minorHAnsi"/>
        </w:rPr>
        <w:t>, denote the outcome (equal to 1 if patient i is discharged to community, 0 otherwise) for a patient i at facility j; Z</w:t>
      </w:r>
      <w:r w:rsidRPr="00D44188">
        <w:rPr>
          <w:rFonts w:cstheme="minorHAnsi"/>
          <w:vertAlign w:val="subscript"/>
        </w:rPr>
        <w:t>ij</w:t>
      </w:r>
      <w:r w:rsidRPr="00D44188">
        <w:rPr>
          <w:rFonts w:cstheme="minorHAnsi"/>
        </w:rPr>
        <w:t xml:space="preserve"> denotes a set of risk adjustment variables. We assume the outcome is related to the risk adjusters via a logit function with dispersion: </w:t>
      </w:r>
    </w:p>
    <w:p w14:paraId="0FFE4DAD" w14:textId="77777777" w:rsidR="00E26631" w:rsidRPr="00D44188" w:rsidRDefault="00E26631" w:rsidP="00E26631">
      <w:pPr>
        <w:spacing w:after="0" w:line="240" w:lineRule="auto"/>
        <w:rPr>
          <w:rFonts w:cstheme="minorHAnsi"/>
        </w:rPr>
      </w:pPr>
      <w:r w:rsidRPr="00D44188">
        <w:rPr>
          <w:rFonts w:cstheme="minorHAnsi"/>
        </w:rPr>
        <w:t xml:space="preserve">                                                 logit(Prob(Y</w:t>
      </w:r>
      <w:r w:rsidRPr="00D44188">
        <w:rPr>
          <w:rFonts w:cstheme="minorHAnsi"/>
          <w:vertAlign w:val="subscript"/>
        </w:rPr>
        <w:t>ij</w:t>
      </w:r>
      <w:r w:rsidRPr="00D44188">
        <w:rPr>
          <w:rFonts w:cstheme="minorHAnsi"/>
        </w:rPr>
        <w:t xml:space="preserve"> =1)) = </w:t>
      </w:r>
      <w:r w:rsidRPr="00D44188">
        <w:rPr>
          <w:sz w:val="23"/>
          <w:szCs w:val="23"/>
        </w:rPr>
        <w:t>α</w:t>
      </w:r>
      <w:r w:rsidRPr="00D44188">
        <w:rPr>
          <w:rFonts w:cstheme="minorHAnsi"/>
          <w:vertAlign w:val="subscript"/>
        </w:rPr>
        <w:t>j</w:t>
      </w:r>
      <w:r w:rsidRPr="00D44188">
        <w:rPr>
          <w:rFonts w:cstheme="minorHAnsi"/>
        </w:rPr>
        <w:t xml:space="preserve">  + </w:t>
      </w:r>
      <w:r w:rsidRPr="00D44188">
        <w:rPr>
          <w:sz w:val="23"/>
          <w:szCs w:val="23"/>
        </w:rPr>
        <w:t>β</w:t>
      </w:r>
      <w:r w:rsidRPr="00D44188">
        <w:rPr>
          <w:rFonts w:cstheme="minorHAnsi"/>
        </w:rPr>
        <w:t>*Z</w:t>
      </w:r>
      <w:r w:rsidRPr="00D44188">
        <w:rPr>
          <w:rFonts w:cstheme="minorHAnsi"/>
          <w:vertAlign w:val="subscript"/>
        </w:rPr>
        <w:t>ij</w:t>
      </w:r>
      <w:r w:rsidRPr="00D44188">
        <w:rPr>
          <w:rFonts w:cstheme="minorHAnsi"/>
        </w:rPr>
        <w:t xml:space="preserve">  +  </w:t>
      </w:r>
      <w:r w:rsidRPr="00D44188">
        <w:rPr>
          <w:sz w:val="23"/>
          <w:szCs w:val="23"/>
        </w:rPr>
        <w:t>ε</w:t>
      </w:r>
      <w:r w:rsidRPr="00D44188">
        <w:rPr>
          <w:rFonts w:cstheme="minorHAnsi"/>
          <w:vertAlign w:val="subscript"/>
        </w:rPr>
        <w:t xml:space="preserve">ij  </w:t>
      </w:r>
      <w:r w:rsidRPr="00D44188">
        <w:rPr>
          <w:rFonts w:cstheme="minorHAnsi"/>
        </w:rPr>
        <w:t xml:space="preserve">                                          (1)</w:t>
      </w:r>
      <w:r w:rsidRPr="00D44188">
        <w:rPr>
          <w:rFonts w:cstheme="minorHAnsi"/>
        </w:rPr>
        <w:br/>
        <w:t xml:space="preserve">                                                           </w:t>
      </w:r>
      <w:r w:rsidRPr="00D44188">
        <w:rPr>
          <w:sz w:val="23"/>
          <w:szCs w:val="23"/>
        </w:rPr>
        <w:t>α</w:t>
      </w:r>
      <w:r w:rsidRPr="00D44188">
        <w:rPr>
          <w:rFonts w:cstheme="minorHAnsi"/>
          <w:vertAlign w:val="subscript"/>
        </w:rPr>
        <w:t>j</w:t>
      </w:r>
      <w:r w:rsidRPr="00D44188">
        <w:rPr>
          <w:rFonts w:cstheme="minorHAnsi"/>
        </w:rPr>
        <w:t xml:space="preserve"> = </w:t>
      </w:r>
      <w:r w:rsidRPr="00D44188">
        <w:rPr>
          <w:sz w:val="23"/>
          <w:szCs w:val="23"/>
        </w:rPr>
        <w:t>μ</w:t>
      </w:r>
      <w:r w:rsidRPr="00D44188">
        <w:rPr>
          <w:rFonts w:cstheme="minorHAnsi"/>
        </w:rPr>
        <w:t xml:space="preserve"> + </w:t>
      </w:r>
      <w:r w:rsidRPr="00D44188">
        <w:rPr>
          <w:sz w:val="23"/>
          <w:szCs w:val="23"/>
        </w:rPr>
        <w:t>ω</w:t>
      </w:r>
      <w:r w:rsidRPr="00D44188">
        <w:rPr>
          <w:rFonts w:cstheme="minorHAnsi"/>
          <w:vertAlign w:val="subscript"/>
        </w:rPr>
        <w:t xml:space="preserve">j </w:t>
      </w:r>
      <w:r w:rsidRPr="00D44188">
        <w:rPr>
          <w:rFonts w:cstheme="minorHAnsi"/>
        </w:rPr>
        <w:t xml:space="preserve">;  </w:t>
      </w:r>
      <w:r w:rsidRPr="00D44188">
        <w:rPr>
          <w:sz w:val="23"/>
          <w:szCs w:val="23"/>
        </w:rPr>
        <w:t>ω</w:t>
      </w:r>
      <w:r w:rsidRPr="00D44188">
        <w:rPr>
          <w:rFonts w:cstheme="minorHAnsi"/>
          <w:vertAlign w:val="subscript"/>
        </w:rPr>
        <w:t>j</w:t>
      </w:r>
      <w:r w:rsidRPr="00D44188">
        <w:rPr>
          <w:rFonts w:cstheme="minorHAnsi"/>
        </w:rPr>
        <w:t xml:space="preserve"> ~ N(0, </w:t>
      </w:r>
      <w:r w:rsidRPr="00D44188">
        <w:rPr>
          <w:sz w:val="23"/>
          <w:szCs w:val="23"/>
        </w:rPr>
        <w:t>τ</w:t>
      </w:r>
      <w:r w:rsidRPr="00D44188">
        <w:rPr>
          <w:rFonts w:cstheme="minorHAnsi"/>
          <w:vertAlign w:val="superscript"/>
        </w:rPr>
        <w:t>2</w:t>
      </w:r>
      <w:r w:rsidRPr="00D44188">
        <w:rPr>
          <w:rFonts w:cstheme="minorHAnsi"/>
        </w:rPr>
        <w:t>)</w:t>
      </w:r>
    </w:p>
    <w:p w14:paraId="29F6A025" w14:textId="77777777" w:rsidR="00E26631" w:rsidRPr="00D44188" w:rsidRDefault="00E26631" w:rsidP="00E26631">
      <w:pPr>
        <w:spacing w:after="0" w:line="240" w:lineRule="auto"/>
        <w:rPr>
          <w:rFonts w:cstheme="minorHAnsi"/>
        </w:rPr>
      </w:pPr>
    </w:p>
    <w:p w14:paraId="756A6B0D" w14:textId="77777777" w:rsidR="00E26631" w:rsidRPr="00D44188" w:rsidRDefault="00E26631" w:rsidP="00E26631">
      <w:pPr>
        <w:rPr>
          <w:rFonts w:cstheme="minorHAnsi"/>
        </w:rPr>
      </w:pPr>
      <w:r w:rsidRPr="00D44188">
        <w:rPr>
          <w:rFonts w:cstheme="minorHAnsi"/>
        </w:rPr>
        <w:t xml:space="preserve">where Z </w:t>
      </w:r>
      <w:r w:rsidRPr="00D44188">
        <w:rPr>
          <w:rFonts w:cstheme="minorHAnsi"/>
          <w:vertAlign w:val="subscript"/>
        </w:rPr>
        <w:t>ij</w:t>
      </w:r>
      <w:r w:rsidRPr="00D44188">
        <w:rPr>
          <w:rFonts w:cstheme="minorHAnsi"/>
        </w:rPr>
        <w:t xml:space="preserve"> = (Z</w:t>
      </w:r>
      <w:r w:rsidRPr="00D44188">
        <w:rPr>
          <w:rFonts w:cstheme="minorHAnsi"/>
          <w:vertAlign w:val="subscript"/>
        </w:rPr>
        <w:t>1j</w:t>
      </w:r>
      <w:r w:rsidRPr="00D44188">
        <w:rPr>
          <w:rFonts w:cstheme="minorHAnsi"/>
        </w:rPr>
        <w:t>, Z</w:t>
      </w:r>
      <w:r w:rsidRPr="00D44188">
        <w:rPr>
          <w:rFonts w:cstheme="minorHAnsi"/>
          <w:vertAlign w:val="subscript"/>
        </w:rPr>
        <w:t>2j</w:t>
      </w:r>
      <w:r w:rsidRPr="00D44188">
        <w:rPr>
          <w:rFonts w:cstheme="minorHAnsi"/>
        </w:rPr>
        <w:t>, ... Z</w:t>
      </w:r>
      <w:r w:rsidRPr="00D44188">
        <w:rPr>
          <w:rFonts w:cstheme="minorHAnsi"/>
          <w:vertAlign w:val="subscript"/>
        </w:rPr>
        <w:t>kj</w:t>
      </w:r>
      <w:r w:rsidRPr="00D44188">
        <w:rPr>
          <w:rFonts w:cstheme="minorHAnsi"/>
        </w:rPr>
        <w:t xml:space="preserve">) is a set of k patient-level risk adjustment variables; aj represents the facility-specific intercept; </w:t>
      </w:r>
      <w:r w:rsidRPr="00D44188">
        <w:rPr>
          <w:sz w:val="23"/>
          <w:szCs w:val="23"/>
        </w:rPr>
        <w:t>μ</w:t>
      </w:r>
      <w:r w:rsidRPr="00D44188">
        <w:rPr>
          <w:rFonts w:cstheme="minorHAnsi"/>
        </w:rPr>
        <w:t xml:space="preserve"> is the adjusted average outcome across all facilities; </w:t>
      </w:r>
      <w:r w:rsidRPr="00D44188">
        <w:rPr>
          <w:sz w:val="23"/>
          <w:szCs w:val="23"/>
        </w:rPr>
        <w:t>τ</w:t>
      </w:r>
      <w:r w:rsidRPr="00D44188">
        <w:rPr>
          <w:rFonts w:cstheme="minorHAnsi"/>
          <w:vertAlign w:val="superscript"/>
        </w:rPr>
        <w:t>2</w:t>
      </w:r>
      <w:r w:rsidRPr="00D44188">
        <w:rPr>
          <w:rFonts w:cstheme="minorHAnsi"/>
        </w:rPr>
        <w:t xml:space="preserve"> is the between-facility variance component; and </w:t>
      </w:r>
      <w:r w:rsidRPr="00D44188">
        <w:rPr>
          <w:sz w:val="23"/>
          <w:szCs w:val="23"/>
        </w:rPr>
        <w:t>ε</w:t>
      </w:r>
      <w:r w:rsidRPr="00D44188">
        <w:rPr>
          <w:rFonts w:cstheme="minorHAnsi"/>
        </w:rPr>
        <w:t>~N(0,</w:t>
      </w:r>
      <w:r w:rsidRPr="00D44188">
        <w:rPr>
          <w:sz w:val="23"/>
          <w:szCs w:val="23"/>
        </w:rPr>
        <w:t xml:space="preserve"> σ</w:t>
      </w:r>
      <w:r w:rsidRPr="00D44188">
        <w:rPr>
          <w:rFonts w:cstheme="minorHAnsi"/>
          <w:vertAlign w:val="superscript"/>
        </w:rPr>
        <w:t>2</w:t>
      </w:r>
      <w:r w:rsidRPr="00D44188">
        <w:rPr>
          <w:rFonts w:cstheme="minorHAnsi"/>
        </w:rPr>
        <w:t xml:space="preserve">) is the error term. </w:t>
      </w:r>
    </w:p>
    <w:p w14:paraId="0E99DA18" w14:textId="77777777" w:rsidR="00E26631" w:rsidRPr="00D44188" w:rsidRDefault="00E26631" w:rsidP="00E26631">
      <w:pPr>
        <w:rPr>
          <w:rFonts w:cstheme="minorHAnsi"/>
        </w:rPr>
      </w:pPr>
      <w:r w:rsidRPr="00D44188">
        <w:rPr>
          <w:rFonts w:cstheme="minorHAnsi"/>
        </w:rPr>
        <w:lastRenderedPageBreak/>
        <w:t xml:space="preserve">The hierarchical logistic regression model is estimated using SAS software (PROC GLIMMIX: SAS/STAT User’s Guide, SAS Institute Inc.). </w:t>
      </w:r>
    </w:p>
    <w:p w14:paraId="3F5094AC" w14:textId="77777777" w:rsidR="00E26631" w:rsidRPr="00D44188" w:rsidRDefault="00E26631" w:rsidP="00E26631">
      <w:pPr>
        <w:rPr>
          <w:rFonts w:cstheme="minorHAnsi"/>
        </w:rPr>
      </w:pPr>
      <w:r w:rsidRPr="00D44188">
        <w:rPr>
          <w:rFonts w:cstheme="minorHAnsi"/>
        </w:rPr>
        <w:t xml:space="preserve">The estimated equation is used twice in the measure. The sum of the probabilities of discharge to community of all patients in the facility measure, including both the effects of patient characteristics and the facility, is the “predicted number” of discharges to community after adjusting for the facility’s case mix. The same equation is used without the facility effect to compute the “expected number” of discharges to community for the same patients at the average facility. </w:t>
      </w:r>
    </w:p>
    <w:p w14:paraId="11646F0B" w14:textId="77777777" w:rsidR="00E26631" w:rsidRPr="00D44188" w:rsidRDefault="00E26631" w:rsidP="00E26631">
      <w:pPr>
        <w:rPr>
          <w:rFonts w:cstheme="minorHAnsi"/>
        </w:rPr>
      </w:pPr>
      <w:r w:rsidRPr="00D44188">
        <w:rPr>
          <w:rFonts w:cstheme="minorHAnsi"/>
        </w:rPr>
        <w:t xml:space="preserve">The ratio of the predicted-to-expected number of discharges to community is a measure of the degree to which discharges to community are higher or lower than what would otherwise be expected. This standardized risk ratio is then multiplied by the mean discharge to community rate for all HHA stays for the measure, yielding the risk-standardized discharge to community rate for each HHA. </w:t>
      </w:r>
    </w:p>
    <w:p w14:paraId="5504A354" w14:textId="77777777" w:rsidR="00E26631" w:rsidRPr="00D44188" w:rsidRDefault="00E26631" w:rsidP="00E26631">
      <w:pPr>
        <w:rPr>
          <w:rFonts w:cstheme="minorHAnsi"/>
        </w:rPr>
      </w:pPr>
      <w:r w:rsidRPr="00D44188">
        <w:rPr>
          <w:rFonts w:cstheme="minorHAnsi"/>
        </w:rPr>
        <w:t xml:space="preserve">Please note that the estimation procedure is recalculated for each measurement period. Re-estimating the models for each measurement period allows the estimated effects of the patient characteristics to vary over time as patient case-mix and medical treatment patterns change. </w:t>
      </w:r>
    </w:p>
    <w:p w14:paraId="2DFABF68" w14:textId="77777777" w:rsidR="00E26631" w:rsidRPr="00D44188" w:rsidRDefault="00E26631" w:rsidP="00E26631">
      <w:pPr>
        <w:autoSpaceDE w:val="0"/>
        <w:autoSpaceDN w:val="0"/>
        <w:adjustRightInd w:val="0"/>
        <w:spacing w:after="0" w:line="240" w:lineRule="auto"/>
        <w:rPr>
          <w:rFonts w:cstheme="minorHAnsi"/>
        </w:rPr>
      </w:pPr>
      <w:r w:rsidRPr="00D44188">
        <w:rPr>
          <w:rFonts w:cstheme="minorHAnsi"/>
        </w:rPr>
        <w:t xml:space="preserve">Using a two-year reporting period, CMS intends to publicly report the performance of Medicare-certified home health agencies (with at least 20 home health stays) on the </w:t>
      </w:r>
      <w:r w:rsidRPr="00D44188">
        <w:rPr>
          <w:rFonts w:eastAsia="Trebuchet MS" w:cstheme="minorHAnsi"/>
        </w:rPr>
        <w:t>DTC-PAC HHA</w:t>
      </w:r>
      <w:r w:rsidRPr="00D44188">
        <w:rPr>
          <w:rFonts w:cstheme="minorHAnsi"/>
        </w:rPr>
        <w:t xml:space="preserve"> measure under three performance categories: “Better than Expected,” “Same as Expected,” and “Worse than Expected”. Pursuing a categorical reporting method is consistent with the Hospital-Wide All-Cause Readmission Measure.</w:t>
      </w:r>
    </w:p>
    <w:p w14:paraId="078DD638" w14:textId="77777777" w:rsidR="00E26631" w:rsidRPr="00D44188" w:rsidRDefault="00E26631" w:rsidP="00E26631">
      <w:pPr>
        <w:rPr>
          <w:rFonts w:cstheme="minorHAnsi"/>
        </w:rPr>
      </w:pPr>
    </w:p>
    <w:p w14:paraId="675FE939" w14:textId="77777777" w:rsidR="00E26631" w:rsidRPr="00D44188" w:rsidRDefault="00E26631" w:rsidP="00E26631">
      <w:pPr>
        <w:pStyle w:val="BodyText"/>
        <w:spacing w:line="276" w:lineRule="auto"/>
        <w:ind w:firstLine="0"/>
        <w:rPr>
          <w:rFonts w:asciiTheme="minorHAnsi" w:eastAsia="Trebuchet MS" w:hAnsiTheme="minorHAnsi" w:cstheme="minorHAnsi"/>
          <w:sz w:val="22"/>
          <w:szCs w:val="22"/>
        </w:rPr>
      </w:pPr>
      <w:r w:rsidRPr="00D44188">
        <w:rPr>
          <w:rFonts w:asciiTheme="minorHAnsi" w:eastAsia="Trebuchet MS" w:hAnsiTheme="minorHAnsi" w:cstheme="minorHAnsi"/>
          <w:sz w:val="22"/>
          <w:szCs w:val="22"/>
        </w:rPr>
        <w:t xml:space="preserve">The following steps describe the calculation algorithm/measure logic for the DTC-PAC HHA measure: </w:t>
      </w:r>
    </w:p>
    <w:p w14:paraId="65832977" w14:textId="77777777" w:rsidR="00E26631" w:rsidRPr="00D44188" w:rsidRDefault="00E26631" w:rsidP="00E26631">
      <w:pPr>
        <w:pStyle w:val="Steps"/>
        <w:spacing w:line="276" w:lineRule="auto"/>
        <w:rPr>
          <w:rFonts w:asciiTheme="minorHAnsi" w:eastAsia="Trebuchet MS" w:hAnsiTheme="minorHAnsi" w:cstheme="minorHAnsi"/>
          <w:sz w:val="22"/>
          <w:szCs w:val="22"/>
        </w:rPr>
      </w:pPr>
      <w:r w:rsidRPr="00D44188">
        <w:rPr>
          <w:rFonts w:asciiTheme="minorHAnsi" w:eastAsia="Trebuchet MS" w:hAnsiTheme="minorHAnsi" w:cstheme="minorHAnsi"/>
          <w:i/>
          <w:iCs/>
          <w:sz w:val="22"/>
          <w:szCs w:val="22"/>
        </w:rPr>
        <w:t xml:space="preserve">Step 1: </w:t>
      </w:r>
      <w:r w:rsidRPr="00D44188">
        <w:rPr>
          <w:rFonts w:asciiTheme="minorHAnsi" w:hAnsiTheme="minorHAnsi" w:cstheme="minorHAnsi"/>
          <w:i/>
          <w:iCs/>
          <w:sz w:val="22"/>
          <w:szCs w:val="22"/>
        </w:rPr>
        <w:tab/>
      </w:r>
      <w:r w:rsidRPr="00D44188">
        <w:rPr>
          <w:rFonts w:asciiTheme="minorHAnsi" w:eastAsia="Trebuchet MS" w:hAnsiTheme="minorHAnsi" w:cstheme="minorHAnsi"/>
          <w:sz w:val="22"/>
          <w:szCs w:val="22"/>
        </w:rPr>
        <w:t xml:space="preserve">Identify patients meeting the criteria for the target population, after applying measure exclusions. </w:t>
      </w:r>
    </w:p>
    <w:p w14:paraId="73DA9A70" w14:textId="77777777" w:rsidR="00E26631" w:rsidRPr="00D44188" w:rsidRDefault="00E26631" w:rsidP="00E26631">
      <w:pPr>
        <w:pStyle w:val="Steps"/>
        <w:spacing w:line="276" w:lineRule="auto"/>
        <w:rPr>
          <w:rFonts w:asciiTheme="minorHAnsi" w:eastAsia="Trebuchet MS" w:hAnsiTheme="minorHAnsi" w:cstheme="minorHAnsi"/>
          <w:sz w:val="22"/>
          <w:szCs w:val="22"/>
        </w:rPr>
      </w:pPr>
      <w:r w:rsidRPr="00D44188">
        <w:rPr>
          <w:rFonts w:asciiTheme="minorHAnsi" w:eastAsia="Trebuchet MS" w:hAnsiTheme="minorHAnsi" w:cstheme="minorHAnsi"/>
          <w:i/>
          <w:iCs/>
          <w:sz w:val="22"/>
          <w:szCs w:val="22"/>
        </w:rPr>
        <w:t xml:space="preserve">Step 2: </w:t>
      </w:r>
      <w:r w:rsidRPr="00D44188">
        <w:rPr>
          <w:rFonts w:asciiTheme="minorHAnsi" w:hAnsiTheme="minorHAnsi" w:cstheme="minorHAnsi"/>
          <w:i/>
          <w:iCs/>
          <w:sz w:val="22"/>
          <w:szCs w:val="22"/>
        </w:rPr>
        <w:tab/>
      </w:r>
      <w:r w:rsidRPr="00D44188">
        <w:rPr>
          <w:rFonts w:asciiTheme="minorHAnsi" w:eastAsia="Trebuchet MS" w:hAnsiTheme="minorHAnsi" w:cstheme="minorHAnsi"/>
          <w:sz w:val="22"/>
          <w:szCs w:val="22"/>
        </w:rPr>
        <w:t>Identify patients meeting the discharge to community criteria, i.e., discharge to community, no unplanned admissions on the day of home health discharge or in the 31 days following home health discharge, and no death on the day of home health discharge or in the 31 days following home health discharge.</w:t>
      </w:r>
    </w:p>
    <w:p w14:paraId="24639D38" w14:textId="77777777" w:rsidR="00E26631" w:rsidRPr="00D44188" w:rsidRDefault="00E26631" w:rsidP="00E26631">
      <w:pPr>
        <w:pStyle w:val="Steps"/>
        <w:spacing w:line="276" w:lineRule="auto"/>
        <w:rPr>
          <w:rFonts w:asciiTheme="minorHAnsi" w:eastAsia="Trebuchet MS" w:hAnsiTheme="minorHAnsi" w:cstheme="minorHAnsi"/>
          <w:sz w:val="22"/>
          <w:szCs w:val="22"/>
        </w:rPr>
      </w:pPr>
      <w:r w:rsidRPr="00D44188">
        <w:rPr>
          <w:rFonts w:asciiTheme="minorHAnsi" w:eastAsia="Trebuchet MS" w:hAnsiTheme="minorHAnsi" w:cstheme="minorHAnsi"/>
          <w:i/>
          <w:iCs/>
          <w:sz w:val="22"/>
          <w:szCs w:val="22"/>
        </w:rPr>
        <w:t>Step 3:</w:t>
      </w:r>
      <w:r w:rsidRPr="00D44188">
        <w:rPr>
          <w:rFonts w:asciiTheme="minorHAnsi" w:hAnsiTheme="minorHAnsi" w:cstheme="minorHAnsi"/>
          <w:i/>
          <w:iCs/>
          <w:sz w:val="22"/>
          <w:szCs w:val="22"/>
        </w:rPr>
        <w:tab/>
      </w:r>
      <w:r w:rsidRPr="00D44188">
        <w:rPr>
          <w:rFonts w:asciiTheme="minorHAnsi" w:eastAsia="Trebuchet MS" w:hAnsiTheme="minorHAnsi" w:cstheme="minorHAnsi"/>
          <w:sz w:val="22"/>
          <w:szCs w:val="22"/>
        </w:rPr>
        <w:t>Identify presence or absence of risk adjustment variables for each patient.</w:t>
      </w:r>
    </w:p>
    <w:p w14:paraId="1C9341CA" w14:textId="77777777" w:rsidR="00E26631" w:rsidRPr="00D44188" w:rsidRDefault="00E26631" w:rsidP="00E26631">
      <w:pPr>
        <w:pStyle w:val="Steps"/>
        <w:spacing w:line="276" w:lineRule="auto"/>
        <w:rPr>
          <w:rFonts w:asciiTheme="minorHAnsi" w:eastAsia="Trebuchet MS" w:hAnsiTheme="minorHAnsi" w:cstheme="minorHAnsi"/>
          <w:sz w:val="22"/>
          <w:szCs w:val="22"/>
        </w:rPr>
      </w:pPr>
      <w:r w:rsidRPr="00D44188">
        <w:rPr>
          <w:rFonts w:asciiTheme="minorHAnsi" w:eastAsia="Trebuchet MS" w:hAnsiTheme="minorHAnsi" w:cstheme="minorHAnsi"/>
          <w:i/>
          <w:iCs/>
          <w:sz w:val="22"/>
          <w:szCs w:val="22"/>
        </w:rPr>
        <w:t xml:space="preserve">Step 4: </w:t>
      </w:r>
      <w:r w:rsidRPr="00D44188">
        <w:rPr>
          <w:rFonts w:asciiTheme="minorHAnsi" w:hAnsiTheme="minorHAnsi" w:cstheme="minorHAnsi"/>
          <w:i/>
          <w:iCs/>
          <w:sz w:val="22"/>
          <w:szCs w:val="22"/>
        </w:rPr>
        <w:tab/>
      </w:r>
      <w:r w:rsidRPr="00D44188">
        <w:rPr>
          <w:rFonts w:asciiTheme="minorHAnsi" w:eastAsia="Trebuchet MS" w:hAnsiTheme="minorHAnsi" w:cstheme="minorHAnsi"/>
          <w:sz w:val="22"/>
          <w:szCs w:val="22"/>
        </w:rPr>
        <w:t>Calculate the predicted and expected number of discharges to community for each HHA using the hierarchical logistic regression model.</w:t>
      </w:r>
    </w:p>
    <w:p w14:paraId="584FB10E" w14:textId="77777777" w:rsidR="00E26631" w:rsidRPr="00D44188" w:rsidRDefault="00E26631" w:rsidP="00E26631">
      <w:pPr>
        <w:pStyle w:val="StepsIndent"/>
        <w:spacing w:line="276" w:lineRule="auto"/>
        <w:rPr>
          <w:rFonts w:asciiTheme="minorHAnsi" w:eastAsia="Trebuchet MS" w:hAnsiTheme="minorHAnsi" w:cstheme="minorHAnsi"/>
          <w:sz w:val="22"/>
          <w:szCs w:val="22"/>
        </w:rPr>
      </w:pPr>
      <w:r w:rsidRPr="00D44188">
        <w:rPr>
          <w:rFonts w:asciiTheme="minorHAnsi" w:eastAsia="Trebuchet MS" w:hAnsiTheme="minorHAnsi" w:cstheme="minorHAnsi"/>
          <w:sz w:val="22"/>
          <w:szCs w:val="22"/>
        </w:rPr>
        <w:t xml:space="preserve">The predicted number of discharges to community for each HHA (i.e., numerator) is calculated as the sum of the predicted probability of discharge to community for each patient discharged from the HHA and included in the measure, including the HH-specific effect.  </w:t>
      </w:r>
    </w:p>
    <w:p w14:paraId="04485BA7" w14:textId="77777777" w:rsidR="00E26631" w:rsidRPr="00D44188" w:rsidRDefault="00E26631" w:rsidP="00E26631">
      <w:pPr>
        <w:pStyle w:val="StepsIndent"/>
        <w:spacing w:after="0" w:line="276" w:lineRule="auto"/>
        <w:rPr>
          <w:rFonts w:asciiTheme="minorHAnsi" w:hAnsiTheme="minorHAnsi" w:cstheme="minorHAnsi"/>
          <w:sz w:val="22"/>
          <w:szCs w:val="22"/>
        </w:rPr>
      </w:pPr>
      <w:r w:rsidRPr="00D44188">
        <w:rPr>
          <w:rFonts w:asciiTheme="minorHAnsi" w:hAnsiTheme="minorHAnsi" w:cstheme="minorHAnsi"/>
          <w:sz w:val="22"/>
          <w:szCs w:val="22"/>
        </w:rPr>
        <w:lastRenderedPageBreak/>
        <w:t>To calculate the predicted number of discharges to community, pred</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 for index HH stays at HHA</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 we used the following equation:</w:t>
      </w:r>
    </w:p>
    <w:p w14:paraId="66F0C8EB" w14:textId="77777777" w:rsidR="00E26631" w:rsidRPr="00D44188" w:rsidRDefault="00E26631" w:rsidP="00E26631">
      <w:pPr>
        <w:pStyle w:val="equation"/>
        <w:spacing w:line="276" w:lineRule="auto"/>
        <w:rPr>
          <w:rFonts w:asciiTheme="minorHAnsi" w:hAnsiTheme="minorHAnsi" w:cstheme="minorHAnsi"/>
          <w:sz w:val="22"/>
          <w:szCs w:val="22"/>
        </w:rPr>
      </w:pPr>
      <w:r w:rsidRPr="00D44188">
        <w:rPr>
          <w:rFonts w:asciiTheme="minorHAnsi" w:hAnsiTheme="minorHAnsi" w:cstheme="minorHAnsi"/>
          <w:sz w:val="22"/>
          <w:szCs w:val="22"/>
        </w:rPr>
        <w:tab/>
        <w:t>pred</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 xml:space="preserve"> = Σlogit</w:t>
      </w:r>
      <w:r w:rsidRPr="00D44188">
        <w:rPr>
          <w:rFonts w:asciiTheme="minorHAnsi" w:hAnsiTheme="minorHAnsi" w:cstheme="minorHAnsi"/>
          <w:sz w:val="22"/>
          <w:szCs w:val="22"/>
          <w:vertAlign w:val="superscript"/>
        </w:rPr>
        <w:t>-1</w:t>
      </w:r>
      <w:r w:rsidRPr="00D44188">
        <w:rPr>
          <w:rFonts w:asciiTheme="minorHAnsi" w:hAnsiTheme="minorHAnsi" w:cstheme="minorHAnsi"/>
          <w:sz w:val="22"/>
          <w:szCs w:val="22"/>
        </w:rPr>
        <w:t>(</w:t>
      </w:r>
      <w:r w:rsidRPr="00D44188">
        <w:rPr>
          <w:rFonts w:asciiTheme="minorHAnsi" w:hAnsiTheme="minorHAnsi" w:cstheme="minorHAnsi"/>
          <w:spacing w:val="4"/>
          <w:sz w:val="22"/>
          <w:szCs w:val="22"/>
        </w:rPr>
        <w:sym w:font="Symbol" w:char="F06D"/>
      </w:r>
      <w:r w:rsidRPr="00D44188">
        <w:rPr>
          <w:rFonts w:asciiTheme="minorHAnsi" w:hAnsiTheme="minorHAnsi" w:cstheme="minorHAnsi"/>
          <w:spacing w:val="4"/>
          <w:sz w:val="22"/>
          <w:szCs w:val="22"/>
        </w:rPr>
        <w:t xml:space="preserve"> + </w:t>
      </w:r>
      <w:r w:rsidRPr="00D44188">
        <w:rPr>
          <w:rFonts w:asciiTheme="minorHAnsi" w:hAnsiTheme="minorHAnsi" w:cstheme="minorHAnsi"/>
          <w:spacing w:val="4"/>
          <w:sz w:val="22"/>
          <w:szCs w:val="22"/>
        </w:rPr>
        <w:sym w:font="Symbol" w:char="F077"/>
      </w:r>
      <w:r w:rsidRPr="00D44188">
        <w:rPr>
          <w:rFonts w:asciiTheme="minorHAnsi" w:hAnsiTheme="minorHAnsi" w:cstheme="minorHAnsi"/>
          <w:spacing w:val="4"/>
          <w:sz w:val="22"/>
          <w:szCs w:val="22"/>
          <w:vertAlign w:val="subscript"/>
        </w:rPr>
        <w:t>i</w:t>
      </w:r>
      <w:r w:rsidRPr="00D44188">
        <w:rPr>
          <w:rFonts w:asciiTheme="minorHAnsi" w:hAnsiTheme="minorHAnsi" w:cstheme="minorHAnsi"/>
          <w:sz w:val="22"/>
          <w:szCs w:val="22"/>
        </w:rPr>
        <w:t xml:space="preserve">  + </w:t>
      </w:r>
      <w:r w:rsidRPr="00D44188">
        <w:rPr>
          <w:rFonts w:asciiTheme="minorHAnsi" w:hAnsiTheme="minorHAnsi" w:cstheme="minorHAnsi"/>
          <w:spacing w:val="-1"/>
          <w:sz w:val="22"/>
          <w:szCs w:val="22"/>
        </w:rPr>
        <w:sym w:font="Symbol" w:char="F062"/>
      </w:r>
      <w:r w:rsidRPr="00D44188">
        <w:rPr>
          <w:rFonts w:asciiTheme="minorHAnsi" w:hAnsiTheme="minorHAnsi" w:cstheme="minorHAnsi"/>
          <w:spacing w:val="-1"/>
          <w:sz w:val="22"/>
          <w:szCs w:val="22"/>
        </w:rPr>
        <w:t>*Z</w:t>
      </w:r>
      <w:r w:rsidRPr="00D44188">
        <w:rPr>
          <w:rFonts w:asciiTheme="minorHAnsi" w:hAnsiTheme="minorHAnsi" w:cstheme="minorHAnsi"/>
          <w:spacing w:val="-1"/>
          <w:sz w:val="22"/>
          <w:szCs w:val="22"/>
          <w:vertAlign w:val="subscript"/>
        </w:rPr>
        <w:t>ij</w:t>
      </w:r>
      <w:r w:rsidRPr="00D44188">
        <w:rPr>
          <w:rFonts w:asciiTheme="minorHAnsi" w:hAnsiTheme="minorHAnsi" w:cstheme="minorHAnsi"/>
          <w:sz w:val="22"/>
          <w:szCs w:val="22"/>
        </w:rPr>
        <w:t xml:space="preserve">) </w:t>
      </w:r>
      <w:r w:rsidRPr="00D44188">
        <w:rPr>
          <w:rFonts w:asciiTheme="minorHAnsi" w:hAnsiTheme="minorHAnsi" w:cstheme="minorHAnsi"/>
          <w:spacing w:val="-9"/>
          <w:sz w:val="22"/>
          <w:szCs w:val="22"/>
        </w:rPr>
        <w:tab/>
      </w:r>
      <w:r w:rsidRPr="00D44188">
        <w:rPr>
          <w:rFonts w:asciiTheme="minorHAnsi" w:hAnsiTheme="minorHAnsi" w:cstheme="minorHAnsi"/>
          <w:sz w:val="22"/>
          <w:szCs w:val="22"/>
        </w:rPr>
        <w:t>(</w:t>
      </w:r>
      <w:r w:rsidRPr="00D44188">
        <w:rPr>
          <w:rFonts w:asciiTheme="minorHAnsi" w:hAnsiTheme="minorHAnsi" w:cstheme="minorHAnsi"/>
          <w:sz w:val="22"/>
          <w:szCs w:val="22"/>
        </w:rPr>
        <w:fldChar w:fldCharType="begin"/>
      </w:r>
      <w:r w:rsidRPr="00D44188">
        <w:rPr>
          <w:rFonts w:asciiTheme="minorHAnsi" w:hAnsiTheme="minorHAnsi" w:cstheme="minorHAnsi"/>
          <w:sz w:val="22"/>
          <w:szCs w:val="22"/>
        </w:rPr>
        <w:instrText xml:space="preserve"> SEQ Equation \* ARABIC </w:instrText>
      </w:r>
      <w:r w:rsidRPr="00D44188">
        <w:rPr>
          <w:rFonts w:asciiTheme="minorHAnsi" w:hAnsiTheme="minorHAnsi" w:cstheme="minorHAnsi"/>
          <w:sz w:val="22"/>
          <w:szCs w:val="22"/>
        </w:rPr>
        <w:fldChar w:fldCharType="separate"/>
      </w:r>
      <w:r w:rsidRPr="00D44188">
        <w:rPr>
          <w:rFonts w:asciiTheme="minorHAnsi" w:hAnsiTheme="minorHAnsi" w:cstheme="minorHAnsi"/>
          <w:noProof/>
          <w:sz w:val="22"/>
          <w:szCs w:val="22"/>
        </w:rPr>
        <w:t>2</w:t>
      </w:r>
      <w:r w:rsidRPr="00D44188">
        <w:rPr>
          <w:rFonts w:asciiTheme="minorHAnsi" w:hAnsiTheme="minorHAnsi" w:cstheme="minorHAnsi"/>
          <w:sz w:val="22"/>
          <w:szCs w:val="22"/>
        </w:rPr>
        <w:fldChar w:fldCharType="end"/>
      </w:r>
      <w:r w:rsidRPr="00D44188">
        <w:rPr>
          <w:rFonts w:asciiTheme="minorHAnsi" w:hAnsiTheme="minorHAnsi" w:cstheme="minorHAnsi"/>
          <w:sz w:val="22"/>
          <w:szCs w:val="22"/>
        </w:rPr>
        <w:t xml:space="preserve">) </w:t>
      </w:r>
    </w:p>
    <w:p w14:paraId="3E58C280" w14:textId="77777777" w:rsidR="00E26631" w:rsidRPr="00D44188" w:rsidRDefault="00E26631" w:rsidP="00E26631">
      <w:pPr>
        <w:pStyle w:val="StepsIndent"/>
        <w:spacing w:after="0" w:line="276" w:lineRule="auto"/>
        <w:rPr>
          <w:rFonts w:asciiTheme="minorHAnsi" w:hAnsiTheme="minorHAnsi" w:cstheme="minorHAnsi"/>
          <w:sz w:val="22"/>
          <w:szCs w:val="22"/>
        </w:rPr>
      </w:pPr>
      <w:r w:rsidRPr="00D44188">
        <w:rPr>
          <w:rFonts w:asciiTheme="minorHAnsi" w:hAnsiTheme="minorHAnsi" w:cstheme="minorHAnsi"/>
          <w:sz w:val="22"/>
          <w:szCs w:val="22"/>
        </w:rPr>
        <w:t>where the sum is over all stays in HHA</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 xml:space="preserve">, and </w:t>
      </w:r>
      <w:r w:rsidRPr="00D44188">
        <w:rPr>
          <w:rFonts w:asciiTheme="minorHAnsi" w:hAnsiTheme="minorHAnsi" w:cstheme="minorHAnsi"/>
          <w:sz w:val="22"/>
          <w:szCs w:val="22"/>
        </w:rPr>
        <w:sym w:font="Symbol" w:char="F077"/>
      </w:r>
      <w:r w:rsidRPr="00D44188">
        <w:rPr>
          <w:rFonts w:asciiTheme="minorHAnsi" w:hAnsiTheme="minorHAnsi" w:cstheme="minorHAnsi"/>
          <w:sz w:val="22"/>
          <w:szCs w:val="22"/>
          <w:vertAlign w:val="subscript"/>
        </w:rPr>
        <w:t>i</w:t>
      </w:r>
      <w:r w:rsidRPr="00D44188">
        <w:rPr>
          <w:rFonts w:asciiTheme="minorHAnsi" w:hAnsiTheme="minorHAnsi" w:cstheme="minorHAnsi"/>
          <w:sz w:val="22"/>
          <w:szCs w:val="22"/>
        </w:rPr>
        <w:t xml:space="preserve"> is the random intercept. </w:t>
      </w:r>
    </w:p>
    <w:p w14:paraId="6E2A8E40" w14:textId="77777777" w:rsidR="00E26631" w:rsidRPr="00D44188" w:rsidRDefault="00E26631" w:rsidP="00E26631">
      <w:pPr>
        <w:pStyle w:val="StepsIndent"/>
        <w:spacing w:after="0" w:line="276" w:lineRule="auto"/>
        <w:rPr>
          <w:rFonts w:asciiTheme="minorHAnsi" w:hAnsiTheme="minorHAnsi" w:cstheme="minorHAnsi"/>
          <w:sz w:val="22"/>
          <w:szCs w:val="22"/>
        </w:rPr>
      </w:pPr>
    </w:p>
    <w:p w14:paraId="71A020B6" w14:textId="77777777" w:rsidR="00E26631" w:rsidRPr="00D44188" w:rsidRDefault="00E26631" w:rsidP="00E26631">
      <w:pPr>
        <w:pStyle w:val="StepsIndent"/>
        <w:spacing w:after="0" w:line="276" w:lineRule="auto"/>
        <w:rPr>
          <w:rFonts w:asciiTheme="minorHAnsi" w:hAnsiTheme="minorHAnsi" w:cstheme="minorHAnsi"/>
          <w:sz w:val="22"/>
          <w:szCs w:val="22"/>
        </w:rPr>
      </w:pPr>
    </w:p>
    <w:p w14:paraId="2713E2E0" w14:textId="77777777" w:rsidR="00E26631" w:rsidRPr="00D44188" w:rsidRDefault="00E26631" w:rsidP="00E26631">
      <w:pPr>
        <w:pStyle w:val="StepsIndent"/>
        <w:spacing w:after="0" w:line="276" w:lineRule="auto"/>
        <w:rPr>
          <w:rFonts w:asciiTheme="minorHAnsi" w:hAnsiTheme="minorHAnsi" w:cstheme="minorHAnsi"/>
          <w:sz w:val="22"/>
          <w:szCs w:val="22"/>
        </w:rPr>
      </w:pPr>
      <w:r w:rsidRPr="00D44188">
        <w:rPr>
          <w:rStyle w:val="Style1"/>
          <w:rFonts w:eastAsia="Trebuchet MS" w:cstheme="minorHAnsi"/>
          <w:szCs w:val="22"/>
        </w:rPr>
        <w:t xml:space="preserve">The expected number of discharges to community </w:t>
      </w:r>
      <w:r w:rsidRPr="00D44188">
        <w:rPr>
          <w:rFonts w:asciiTheme="minorHAnsi" w:hAnsiTheme="minorHAnsi" w:cstheme="minorHAnsi"/>
          <w:sz w:val="22"/>
          <w:szCs w:val="22"/>
        </w:rPr>
        <w:t xml:space="preserve">(i.e., denominator) </w:t>
      </w:r>
      <w:r w:rsidRPr="00D44188">
        <w:rPr>
          <w:rStyle w:val="Style1"/>
          <w:rFonts w:eastAsia="Trebuchet MS" w:cstheme="minorHAnsi"/>
          <w:szCs w:val="22"/>
        </w:rPr>
        <w:t xml:space="preserve">is calculated as the sum of the predicted probability of discharges to community, but without the HH-specific effect </w:t>
      </w:r>
      <w:r w:rsidRPr="00D44188">
        <w:rPr>
          <w:rStyle w:val="Style1"/>
          <w:rFonts w:cstheme="minorHAnsi"/>
          <w:szCs w:val="22"/>
        </w:rPr>
        <w:t>included in the predictions</w:t>
      </w:r>
      <w:r w:rsidRPr="00D44188">
        <w:rPr>
          <w:rStyle w:val="Style1"/>
          <w:rFonts w:eastAsia="Trebuchet MS" w:cstheme="minorHAnsi"/>
          <w:szCs w:val="22"/>
        </w:rPr>
        <w:t>.</w:t>
      </w:r>
      <w:r w:rsidRPr="00D44188">
        <w:rPr>
          <w:rFonts w:asciiTheme="minorHAnsi" w:hAnsiTheme="minorHAnsi" w:cstheme="minorHAnsi"/>
          <w:sz w:val="22"/>
          <w:szCs w:val="22"/>
        </w:rPr>
        <w:t xml:space="preserve"> </w:t>
      </w:r>
      <w:r w:rsidRPr="00D44188">
        <w:rPr>
          <w:rStyle w:val="Style1"/>
          <w:rFonts w:cstheme="minorHAnsi"/>
          <w:szCs w:val="22"/>
        </w:rPr>
        <w:t>This produces the expected number of discharges at the average HHA.</w:t>
      </w:r>
    </w:p>
    <w:p w14:paraId="40F36F7C" w14:textId="77777777" w:rsidR="00E26631" w:rsidRPr="00D44188" w:rsidRDefault="00E26631" w:rsidP="00E26631">
      <w:pPr>
        <w:pStyle w:val="StepsIndent"/>
        <w:spacing w:after="0" w:line="276" w:lineRule="auto"/>
        <w:rPr>
          <w:rFonts w:asciiTheme="minorHAnsi" w:hAnsiTheme="minorHAnsi" w:cstheme="minorHAnsi"/>
          <w:sz w:val="22"/>
          <w:szCs w:val="22"/>
        </w:rPr>
      </w:pPr>
      <w:r w:rsidRPr="00D44188">
        <w:rPr>
          <w:rFonts w:asciiTheme="minorHAnsi" w:hAnsiTheme="minorHAnsi" w:cstheme="minorHAnsi"/>
          <w:sz w:val="22"/>
          <w:szCs w:val="22"/>
        </w:rPr>
        <w:t>To calculate the expected number exp</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 we used the following equation:</w:t>
      </w:r>
    </w:p>
    <w:p w14:paraId="5608C628" w14:textId="77777777" w:rsidR="00E26631" w:rsidRPr="00D44188" w:rsidRDefault="00E26631" w:rsidP="00E26631">
      <w:pPr>
        <w:pStyle w:val="equation"/>
        <w:spacing w:line="276" w:lineRule="auto"/>
        <w:rPr>
          <w:rFonts w:asciiTheme="minorHAnsi" w:eastAsia="Calibri" w:hAnsiTheme="minorHAnsi" w:cstheme="minorHAnsi"/>
          <w:spacing w:val="-1"/>
          <w:sz w:val="22"/>
          <w:szCs w:val="22"/>
        </w:rPr>
      </w:pPr>
      <w:r w:rsidRPr="00D44188">
        <w:rPr>
          <w:rFonts w:asciiTheme="minorHAnsi" w:hAnsiTheme="minorHAnsi" w:cstheme="minorHAnsi"/>
          <w:sz w:val="22"/>
          <w:szCs w:val="22"/>
        </w:rPr>
        <w:tab/>
        <w:t>exp</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 xml:space="preserve"> = Σlogit</w:t>
      </w:r>
      <w:r w:rsidRPr="00D44188">
        <w:rPr>
          <w:rFonts w:asciiTheme="minorHAnsi" w:hAnsiTheme="minorHAnsi" w:cstheme="minorHAnsi"/>
          <w:sz w:val="22"/>
          <w:szCs w:val="22"/>
          <w:vertAlign w:val="superscript"/>
        </w:rPr>
        <w:t>-1</w:t>
      </w:r>
      <w:r w:rsidRPr="00D44188">
        <w:rPr>
          <w:rFonts w:asciiTheme="minorHAnsi" w:hAnsiTheme="minorHAnsi" w:cstheme="minorHAnsi"/>
          <w:sz w:val="22"/>
          <w:szCs w:val="22"/>
        </w:rPr>
        <w:t xml:space="preserve"> (</w:t>
      </w:r>
      <w:r w:rsidRPr="00D44188">
        <w:rPr>
          <w:rFonts w:asciiTheme="minorHAnsi" w:hAnsiTheme="minorHAnsi" w:cstheme="minorHAnsi"/>
          <w:spacing w:val="4"/>
          <w:sz w:val="22"/>
          <w:szCs w:val="22"/>
        </w:rPr>
        <w:sym w:font="Symbol" w:char="F06D"/>
      </w:r>
      <w:r w:rsidRPr="00D44188">
        <w:rPr>
          <w:rFonts w:asciiTheme="minorHAnsi" w:eastAsia="SymbolMT" w:hAnsiTheme="minorHAnsi" w:cstheme="minorHAnsi"/>
          <w:sz w:val="22"/>
          <w:szCs w:val="22"/>
        </w:rPr>
        <w:t xml:space="preserve"> </w:t>
      </w:r>
      <w:r w:rsidRPr="00D44188">
        <w:rPr>
          <w:rFonts w:asciiTheme="minorHAnsi" w:hAnsiTheme="minorHAnsi" w:cstheme="minorHAnsi"/>
          <w:sz w:val="22"/>
          <w:szCs w:val="22"/>
        </w:rPr>
        <w:t xml:space="preserve">+ </w:t>
      </w:r>
      <w:r w:rsidRPr="00D44188">
        <w:rPr>
          <w:rFonts w:asciiTheme="minorHAnsi" w:hAnsiTheme="minorHAnsi" w:cstheme="minorHAnsi"/>
          <w:spacing w:val="-1"/>
          <w:sz w:val="22"/>
          <w:szCs w:val="22"/>
        </w:rPr>
        <w:sym w:font="Symbol" w:char="F062"/>
      </w:r>
      <w:r w:rsidRPr="00D44188">
        <w:rPr>
          <w:rFonts w:asciiTheme="minorHAnsi" w:hAnsiTheme="minorHAnsi" w:cstheme="minorHAnsi"/>
          <w:spacing w:val="-1"/>
          <w:sz w:val="22"/>
          <w:szCs w:val="22"/>
        </w:rPr>
        <w:t>*Z</w:t>
      </w:r>
      <w:r w:rsidRPr="00D44188">
        <w:rPr>
          <w:rFonts w:asciiTheme="minorHAnsi" w:hAnsiTheme="minorHAnsi" w:cstheme="minorHAnsi"/>
          <w:spacing w:val="-1"/>
          <w:sz w:val="22"/>
          <w:szCs w:val="22"/>
          <w:vertAlign w:val="subscript"/>
        </w:rPr>
        <w:t>ij</w:t>
      </w:r>
      <w:r w:rsidRPr="00D44188">
        <w:rPr>
          <w:rFonts w:asciiTheme="minorHAnsi" w:hAnsiTheme="minorHAnsi" w:cstheme="minorHAnsi"/>
          <w:sz w:val="22"/>
          <w:szCs w:val="22"/>
        </w:rPr>
        <w:t>)</w:t>
      </w:r>
      <w:r w:rsidRPr="00D44188">
        <w:rPr>
          <w:rFonts w:asciiTheme="minorHAnsi" w:hAnsiTheme="minorHAnsi" w:cstheme="minorHAnsi"/>
          <w:spacing w:val="-9"/>
          <w:sz w:val="22"/>
          <w:szCs w:val="22"/>
        </w:rPr>
        <w:tab/>
      </w:r>
      <w:r w:rsidRPr="00D44188">
        <w:rPr>
          <w:rFonts w:asciiTheme="minorHAnsi" w:hAnsiTheme="minorHAnsi" w:cstheme="minorHAnsi"/>
          <w:sz w:val="22"/>
          <w:szCs w:val="22"/>
        </w:rPr>
        <w:t>(</w:t>
      </w:r>
      <w:r w:rsidRPr="00D44188">
        <w:rPr>
          <w:rFonts w:asciiTheme="minorHAnsi" w:hAnsiTheme="minorHAnsi" w:cstheme="minorHAnsi"/>
          <w:sz w:val="22"/>
          <w:szCs w:val="22"/>
        </w:rPr>
        <w:fldChar w:fldCharType="begin"/>
      </w:r>
      <w:r w:rsidRPr="00D44188">
        <w:rPr>
          <w:rFonts w:asciiTheme="minorHAnsi" w:hAnsiTheme="minorHAnsi" w:cstheme="minorHAnsi"/>
          <w:sz w:val="22"/>
          <w:szCs w:val="22"/>
        </w:rPr>
        <w:instrText xml:space="preserve"> SEQ Equation \* ARABIC </w:instrText>
      </w:r>
      <w:r w:rsidRPr="00D44188">
        <w:rPr>
          <w:rFonts w:asciiTheme="minorHAnsi" w:hAnsiTheme="minorHAnsi" w:cstheme="minorHAnsi"/>
          <w:sz w:val="22"/>
          <w:szCs w:val="22"/>
        </w:rPr>
        <w:fldChar w:fldCharType="separate"/>
      </w:r>
      <w:r w:rsidRPr="00D44188">
        <w:rPr>
          <w:rFonts w:asciiTheme="minorHAnsi" w:hAnsiTheme="minorHAnsi" w:cstheme="minorHAnsi"/>
          <w:noProof/>
          <w:sz w:val="22"/>
          <w:szCs w:val="22"/>
        </w:rPr>
        <w:t>3</w:t>
      </w:r>
      <w:r w:rsidRPr="00D44188">
        <w:rPr>
          <w:rFonts w:asciiTheme="minorHAnsi" w:hAnsiTheme="minorHAnsi" w:cstheme="minorHAnsi"/>
          <w:sz w:val="22"/>
          <w:szCs w:val="22"/>
        </w:rPr>
        <w:fldChar w:fldCharType="end"/>
      </w:r>
      <w:r w:rsidRPr="00D44188">
        <w:rPr>
          <w:rFonts w:asciiTheme="minorHAnsi" w:hAnsiTheme="minorHAnsi" w:cstheme="minorHAnsi"/>
          <w:sz w:val="22"/>
          <w:szCs w:val="22"/>
        </w:rPr>
        <w:t>)</w:t>
      </w:r>
    </w:p>
    <w:p w14:paraId="29A6CBC4" w14:textId="77777777" w:rsidR="00E26631" w:rsidRPr="00D44188" w:rsidRDefault="00E26631" w:rsidP="00E26631">
      <w:pPr>
        <w:pStyle w:val="Steps"/>
        <w:spacing w:line="276" w:lineRule="auto"/>
        <w:rPr>
          <w:rFonts w:asciiTheme="minorHAnsi" w:eastAsia="Trebuchet MS" w:hAnsiTheme="minorHAnsi" w:cstheme="minorHAnsi"/>
          <w:sz w:val="22"/>
          <w:szCs w:val="22"/>
        </w:rPr>
      </w:pPr>
      <w:r w:rsidRPr="00D44188">
        <w:rPr>
          <w:rFonts w:asciiTheme="minorHAnsi" w:eastAsia="Trebuchet MS" w:hAnsiTheme="minorHAnsi" w:cstheme="minorHAnsi"/>
          <w:i/>
          <w:iCs/>
          <w:sz w:val="22"/>
          <w:szCs w:val="22"/>
        </w:rPr>
        <w:t xml:space="preserve">Step 5: </w:t>
      </w:r>
      <w:r w:rsidRPr="00D44188">
        <w:rPr>
          <w:rFonts w:asciiTheme="minorHAnsi" w:hAnsiTheme="minorHAnsi" w:cstheme="minorHAnsi"/>
          <w:i/>
          <w:iCs/>
          <w:sz w:val="22"/>
          <w:szCs w:val="22"/>
        </w:rPr>
        <w:tab/>
      </w:r>
      <w:r w:rsidRPr="00D44188">
        <w:rPr>
          <w:rFonts w:asciiTheme="minorHAnsi" w:eastAsia="Trebuchet MS" w:hAnsiTheme="minorHAnsi" w:cstheme="minorHAnsi"/>
          <w:sz w:val="22"/>
          <w:szCs w:val="22"/>
        </w:rPr>
        <w:t>Calculate the standardized risk ratio for each HHA, as the ratio of the predicted to expected number of discharges to community.</w:t>
      </w:r>
    </w:p>
    <w:p w14:paraId="7EE3F2DE" w14:textId="77777777" w:rsidR="00E26631" w:rsidRPr="00D44188" w:rsidRDefault="00E26631" w:rsidP="00E26631">
      <w:pPr>
        <w:pStyle w:val="StepsIndent"/>
        <w:spacing w:after="0" w:line="276" w:lineRule="auto"/>
        <w:rPr>
          <w:rFonts w:asciiTheme="minorHAnsi" w:hAnsiTheme="minorHAnsi" w:cstheme="minorHAnsi"/>
          <w:sz w:val="22"/>
          <w:szCs w:val="22"/>
        </w:rPr>
      </w:pPr>
      <w:r w:rsidRPr="00D44188">
        <w:rPr>
          <w:rFonts w:asciiTheme="minorHAnsi" w:hAnsiTheme="minorHAnsi" w:cstheme="minorHAnsi"/>
          <w:sz w:val="22"/>
          <w:szCs w:val="22"/>
        </w:rPr>
        <w:t>To calculate the HHA-wide standardized risk ratio, SRR</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 we used the following equation:</w:t>
      </w:r>
    </w:p>
    <w:p w14:paraId="09E93898" w14:textId="77777777" w:rsidR="00E26631" w:rsidRPr="00D44188" w:rsidRDefault="00E26631" w:rsidP="00E26631">
      <w:pPr>
        <w:pStyle w:val="equation"/>
        <w:spacing w:line="276" w:lineRule="auto"/>
        <w:rPr>
          <w:rFonts w:asciiTheme="minorHAnsi" w:hAnsiTheme="minorHAnsi" w:cstheme="minorHAnsi"/>
          <w:sz w:val="22"/>
          <w:szCs w:val="22"/>
        </w:rPr>
      </w:pPr>
      <w:r w:rsidRPr="00D44188">
        <w:rPr>
          <w:rFonts w:asciiTheme="minorHAnsi" w:hAnsiTheme="minorHAnsi" w:cstheme="minorHAnsi"/>
          <w:sz w:val="22"/>
          <w:szCs w:val="22"/>
        </w:rPr>
        <w:tab/>
        <w:t>SRR</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 xml:space="preserve"> = pred</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/exp</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ab/>
        <w:t>(</w:t>
      </w:r>
      <w:r w:rsidRPr="00D44188">
        <w:rPr>
          <w:rFonts w:asciiTheme="minorHAnsi" w:hAnsiTheme="minorHAnsi" w:cstheme="minorHAnsi"/>
          <w:sz w:val="22"/>
          <w:szCs w:val="22"/>
        </w:rPr>
        <w:fldChar w:fldCharType="begin"/>
      </w:r>
      <w:r w:rsidRPr="00D44188">
        <w:rPr>
          <w:rFonts w:asciiTheme="minorHAnsi" w:hAnsiTheme="minorHAnsi" w:cstheme="minorHAnsi"/>
          <w:sz w:val="22"/>
          <w:szCs w:val="22"/>
        </w:rPr>
        <w:instrText xml:space="preserve"> SEQ Equation \* ARABIC </w:instrText>
      </w:r>
      <w:r w:rsidRPr="00D44188">
        <w:rPr>
          <w:rFonts w:asciiTheme="minorHAnsi" w:hAnsiTheme="minorHAnsi" w:cstheme="minorHAnsi"/>
          <w:sz w:val="22"/>
          <w:szCs w:val="22"/>
        </w:rPr>
        <w:fldChar w:fldCharType="separate"/>
      </w:r>
      <w:r w:rsidRPr="00D44188">
        <w:rPr>
          <w:rFonts w:asciiTheme="minorHAnsi" w:hAnsiTheme="minorHAnsi" w:cstheme="minorHAnsi"/>
          <w:noProof/>
          <w:sz w:val="22"/>
          <w:szCs w:val="22"/>
        </w:rPr>
        <w:t>4</w:t>
      </w:r>
      <w:r w:rsidRPr="00D44188">
        <w:rPr>
          <w:rFonts w:asciiTheme="minorHAnsi" w:hAnsiTheme="minorHAnsi" w:cstheme="minorHAnsi"/>
          <w:sz w:val="22"/>
          <w:szCs w:val="22"/>
        </w:rPr>
        <w:fldChar w:fldCharType="end"/>
      </w:r>
      <w:r w:rsidRPr="00D44188">
        <w:rPr>
          <w:rFonts w:asciiTheme="minorHAnsi" w:hAnsiTheme="minorHAnsi" w:cstheme="minorHAnsi"/>
          <w:sz w:val="22"/>
          <w:szCs w:val="22"/>
        </w:rPr>
        <w:t>)</w:t>
      </w:r>
    </w:p>
    <w:p w14:paraId="532CE221" w14:textId="77777777" w:rsidR="00E26631" w:rsidRPr="00D44188" w:rsidRDefault="00E26631" w:rsidP="00E26631">
      <w:pPr>
        <w:pStyle w:val="Steps"/>
        <w:spacing w:line="276" w:lineRule="auto"/>
        <w:rPr>
          <w:rFonts w:asciiTheme="minorHAnsi" w:eastAsia="Trebuchet MS" w:hAnsiTheme="minorHAnsi" w:cstheme="minorHAnsi"/>
          <w:sz w:val="22"/>
          <w:szCs w:val="22"/>
        </w:rPr>
      </w:pPr>
      <w:r w:rsidRPr="00D44188">
        <w:rPr>
          <w:rFonts w:asciiTheme="minorHAnsi" w:eastAsia="Trebuchet MS" w:hAnsiTheme="minorHAnsi" w:cstheme="minorHAnsi"/>
          <w:i/>
          <w:iCs/>
          <w:sz w:val="22"/>
          <w:szCs w:val="22"/>
        </w:rPr>
        <w:t xml:space="preserve">Step 6: </w:t>
      </w:r>
      <w:r w:rsidRPr="00D44188">
        <w:rPr>
          <w:rFonts w:asciiTheme="minorHAnsi" w:hAnsiTheme="minorHAnsi" w:cstheme="minorHAnsi"/>
          <w:i/>
          <w:iCs/>
          <w:sz w:val="22"/>
          <w:szCs w:val="22"/>
        </w:rPr>
        <w:tab/>
      </w:r>
      <w:r w:rsidRPr="00D44188">
        <w:rPr>
          <w:rFonts w:asciiTheme="minorHAnsi" w:eastAsia="Trebuchet MS" w:hAnsiTheme="minorHAnsi" w:cstheme="minorHAnsi"/>
          <w:sz w:val="22"/>
          <w:szCs w:val="22"/>
        </w:rPr>
        <w:t>Calculate the risk-standardized discharge to community rate for each HHA.</w:t>
      </w:r>
    </w:p>
    <w:p w14:paraId="7BEBEDB1" w14:textId="77777777" w:rsidR="00E26631" w:rsidRPr="00D44188" w:rsidRDefault="00E26631" w:rsidP="00E26631">
      <w:pPr>
        <w:pStyle w:val="StepsIndent"/>
        <w:spacing w:line="276" w:lineRule="auto"/>
        <w:rPr>
          <w:rFonts w:asciiTheme="minorHAnsi" w:hAnsiTheme="minorHAnsi" w:cstheme="minorHAnsi"/>
          <w:bCs/>
          <w:sz w:val="22"/>
          <w:szCs w:val="22"/>
        </w:rPr>
      </w:pPr>
      <w:r w:rsidRPr="00D44188">
        <w:rPr>
          <w:rFonts w:asciiTheme="minorHAnsi" w:hAnsiTheme="minorHAnsi" w:cstheme="minorHAnsi"/>
          <w:sz w:val="22"/>
          <w:szCs w:val="22"/>
        </w:rPr>
        <w:t>To aid interpretation, the HHA-wide standardized risk ratio, SRR</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 obtained from equation (4) is then multiplied by the overall national raw discharge to community rate for all HH stays, Ῡ, to produce the HHA-wide risk-standardized discharge to community rate (RSR</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w:t>
      </w:r>
    </w:p>
    <w:p w14:paraId="250A9A1C" w14:textId="77777777" w:rsidR="00E26631" w:rsidRPr="00D44188" w:rsidRDefault="00E26631" w:rsidP="00E26631">
      <w:pPr>
        <w:pStyle w:val="StepsIndent"/>
        <w:spacing w:after="0" w:line="276" w:lineRule="auto"/>
        <w:rPr>
          <w:rFonts w:asciiTheme="minorHAnsi" w:eastAsia="Trebuchet MS" w:hAnsiTheme="minorHAnsi" w:cstheme="minorHAnsi"/>
          <w:sz w:val="22"/>
          <w:szCs w:val="22"/>
        </w:rPr>
      </w:pPr>
      <w:r w:rsidRPr="00D44188">
        <w:rPr>
          <w:rFonts w:asciiTheme="minorHAnsi" w:eastAsia="Trebuchet MS" w:hAnsiTheme="minorHAnsi" w:cstheme="minorHAnsi"/>
          <w:sz w:val="22"/>
          <w:szCs w:val="22"/>
        </w:rPr>
        <w:t>To calculate the risk-standardized discharge to community rate for each HHA, we used the following equation:</w:t>
      </w:r>
    </w:p>
    <w:p w14:paraId="22C6F2EC" w14:textId="77777777" w:rsidR="00E26631" w:rsidRPr="00D44188" w:rsidRDefault="00E26631" w:rsidP="00E26631">
      <w:pPr>
        <w:pStyle w:val="equation"/>
        <w:spacing w:line="276" w:lineRule="auto"/>
        <w:rPr>
          <w:rFonts w:asciiTheme="minorHAnsi" w:hAnsiTheme="minorHAnsi" w:cstheme="minorHAnsi"/>
          <w:sz w:val="22"/>
          <w:szCs w:val="22"/>
        </w:rPr>
      </w:pPr>
      <w:r w:rsidRPr="00D44188">
        <w:rPr>
          <w:rFonts w:asciiTheme="minorHAnsi" w:hAnsiTheme="minorHAnsi" w:cstheme="minorHAnsi"/>
          <w:sz w:val="22"/>
          <w:szCs w:val="22"/>
        </w:rPr>
        <w:tab/>
        <w:t>RSR</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 xml:space="preserve"> = SRR</w:t>
      </w:r>
      <w:r w:rsidRPr="00D44188">
        <w:rPr>
          <w:rFonts w:asciiTheme="minorHAnsi" w:hAnsiTheme="minorHAnsi" w:cstheme="minorHAnsi"/>
          <w:sz w:val="22"/>
          <w:szCs w:val="22"/>
          <w:vertAlign w:val="subscript"/>
        </w:rPr>
        <w:t>j</w:t>
      </w:r>
      <w:r w:rsidRPr="00D44188">
        <w:rPr>
          <w:rFonts w:asciiTheme="minorHAnsi" w:hAnsiTheme="minorHAnsi" w:cstheme="minorHAnsi"/>
          <w:sz w:val="22"/>
          <w:szCs w:val="22"/>
        </w:rPr>
        <w:t>*</w:t>
      </w:r>
      <w:r w:rsidRPr="00D44188">
        <w:rPr>
          <w:rFonts w:asciiTheme="minorHAnsi" w:hAnsiTheme="minorHAnsi" w:cstheme="minorHAnsi"/>
          <w:spacing w:val="-1"/>
          <w:sz w:val="22"/>
          <w:szCs w:val="22"/>
        </w:rPr>
        <w:t>Ῡ</w:t>
      </w:r>
      <w:r w:rsidRPr="00D44188">
        <w:rPr>
          <w:rFonts w:asciiTheme="minorHAnsi" w:hAnsiTheme="minorHAnsi" w:cstheme="minorHAnsi"/>
          <w:spacing w:val="-1"/>
          <w:sz w:val="22"/>
          <w:szCs w:val="22"/>
        </w:rPr>
        <w:tab/>
      </w:r>
      <w:r w:rsidRPr="00D44188">
        <w:rPr>
          <w:rFonts w:asciiTheme="minorHAnsi" w:hAnsiTheme="minorHAnsi" w:cstheme="minorHAnsi"/>
          <w:sz w:val="22"/>
          <w:szCs w:val="22"/>
        </w:rPr>
        <w:t>(</w:t>
      </w:r>
      <w:r w:rsidRPr="00D44188">
        <w:rPr>
          <w:rFonts w:asciiTheme="minorHAnsi" w:hAnsiTheme="minorHAnsi" w:cstheme="minorHAnsi"/>
          <w:sz w:val="22"/>
          <w:szCs w:val="22"/>
        </w:rPr>
        <w:fldChar w:fldCharType="begin"/>
      </w:r>
      <w:r w:rsidRPr="00D44188">
        <w:rPr>
          <w:rFonts w:asciiTheme="minorHAnsi" w:hAnsiTheme="minorHAnsi" w:cstheme="minorHAnsi"/>
          <w:sz w:val="22"/>
          <w:szCs w:val="22"/>
        </w:rPr>
        <w:instrText xml:space="preserve"> SEQ Equation \* ARABIC </w:instrText>
      </w:r>
      <w:r w:rsidRPr="00D44188">
        <w:rPr>
          <w:rFonts w:asciiTheme="minorHAnsi" w:hAnsiTheme="minorHAnsi" w:cstheme="minorHAnsi"/>
          <w:sz w:val="22"/>
          <w:szCs w:val="22"/>
        </w:rPr>
        <w:fldChar w:fldCharType="separate"/>
      </w:r>
      <w:r w:rsidRPr="00D44188">
        <w:rPr>
          <w:rFonts w:asciiTheme="minorHAnsi" w:hAnsiTheme="minorHAnsi" w:cstheme="minorHAnsi"/>
          <w:noProof/>
          <w:sz w:val="22"/>
          <w:szCs w:val="22"/>
        </w:rPr>
        <w:t>5</w:t>
      </w:r>
      <w:r w:rsidRPr="00D44188">
        <w:rPr>
          <w:rFonts w:asciiTheme="minorHAnsi" w:hAnsiTheme="minorHAnsi" w:cstheme="minorHAnsi"/>
          <w:sz w:val="22"/>
          <w:szCs w:val="22"/>
        </w:rPr>
        <w:fldChar w:fldCharType="end"/>
      </w:r>
      <w:r w:rsidRPr="00D44188">
        <w:rPr>
          <w:rFonts w:asciiTheme="minorHAnsi" w:hAnsiTheme="minorHAnsi" w:cstheme="minorHAnsi"/>
          <w:sz w:val="22"/>
          <w:szCs w:val="22"/>
        </w:rPr>
        <w:t>)</w:t>
      </w:r>
    </w:p>
    <w:p w14:paraId="45621DE7" w14:textId="13BA4C73" w:rsidR="00E26631" w:rsidRPr="00D44188" w:rsidRDefault="00E26631" w:rsidP="00E26631">
      <w:pPr>
        <w:pStyle w:val="Steps"/>
        <w:spacing w:line="276" w:lineRule="auto"/>
        <w:rPr>
          <w:rFonts w:asciiTheme="minorHAnsi" w:eastAsia="Trebuchet MS" w:hAnsiTheme="minorHAnsi" w:cstheme="minorHAnsi"/>
          <w:iCs/>
          <w:sz w:val="22"/>
          <w:szCs w:val="22"/>
        </w:rPr>
      </w:pPr>
      <w:r w:rsidRPr="00D44188">
        <w:rPr>
          <w:rFonts w:asciiTheme="minorHAnsi" w:eastAsia="Trebuchet MS" w:hAnsiTheme="minorHAnsi" w:cstheme="minorHAnsi"/>
          <w:i/>
          <w:iCs/>
          <w:sz w:val="22"/>
          <w:szCs w:val="22"/>
        </w:rPr>
        <w:t xml:space="preserve">Step 7:                </w:t>
      </w:r>
      <w:r w:rsidRPr="00D44188">
        <w:rPr>
          <w:rFonts w:asciiTheme="minorHAnsi" w:eastAsia="Trebuchet MS" w:hAnsiTheme="minorHAnsi" w:cstheme="minorHAnsi"/>
          <w:iCs/>
          <w:sz w:val="22"/>
          <w:szCs w:val="22"/>
        </w:rPr>
        <w:t>To categorize HHA performance [</w:t>
      </w:r>
      <w:r w:rsidRPr="00D44188">
        <w:rPr>
          <w:rStyle w:val="FootnoteReference"/>
          <w:rFonts w:asciiTheme="minorHAnsi" w:eastAsia="Trebuchet MS" w:hAnsiTheme="minorHAnsi" w:cstheme="minorHAnsi"/>
          <w:iCs/>
          <w:sz w:val="22"/>
          <w:szCs w:val="22"/>
        </w:rPr>
        <w:footnoteReference w:id="11"/>
      </w:r>
      <w:r w:rsidRPr="00D44188">
        <w:rPr>
          <w:rFonts w:asciiTheme="minorHAnsi" w:eastAsia="Trebuchet MS" w:hAnsiTheme="minorHAnsi" w:cstheme="minorHAnsi"/>
          <w:iCs/>
          <w:sz w:val="22"/>
          <w:szCs w:val="22"/>
        </w:rPr>
        <w:t xml:space="preserve">], we estimate each HHA’s RSR and the corresponding 95% </w:t>
      </w:r>
      <w:hyperlink w:anchor="_bookmark49" w:history="1">
        <w:r w:rsidRPr="00D44188">
          <w:rPr>
            <w:rFonts w:asciiTheme="minorHAnsi" w:eastAsia="Trebuchet MS" w:hAnsiTheme="minorHAnsi" w:cstheme="minorHAnsi"/>
            <w:iCs/>
            <w:sz w:val="22"/>
            <w:szCs w:val="22"/>
          </w:rPr>
          <w:t xml:space="preserve">interval estimate. </w:t>
        </w:r>
      </w:hyperlink>
      <w:r w:rsidRPr="00D44188">
        <w:rPr>
          <w:rFonts w:asciiTheme="minorHAnsi" w:eastAsia="Trebuchet MS" w:hAnsiTheme="minorHAnsi" w:cstheme="minorHAnsi"/>
          <w:iCs/>
          <w:sz w:val="22"/>
          <w:szCs w:val="22"/>
        </w:rPr>
        <w:t>To generate the 95% confidence interval, we use bootstrapping methods across 500 bootstraps, sampling at the agency-</w:t>
      </w:r>
      <w:r w:rsidRPr="00D44188">
        <w:rPr>
          <w:rFonts w:asciiTheme="minorHAnsi" w:eastAsia="Trebuchet MS" w:hAnsiTheme="minorHAnsi" w:cstheme="minorHAnsi"/>
          <w:iCs/>
          <w:sz w:val="22"/>
          <w:szCs w:val="22"/>
        </w:rPr>
        <w:lastRenderedPageBreak/>
        <w:t>level with replacement to generate a distribution of RSRs for each agency.[</w:t>
      </w:r>
      <w:r w:rsidRPr="00D44188">
        <w:rPr>
          <w:rStyle w:val="FootnoteReference"/>
          <w:rFonts w:asciiTheme="minorHAnsi" w:eastAsia="Trebuchet MS" w:hAnsiTheme="minorHAnsi" w:cstheme="minorHAnsi"/>
          <w:iCs/>
          <w:sz w:val="22"/>
          <w:szCs w:val="22"/>
        </w:rPr>
        <w:footnoteReference w:id="12"/>
      </w:r>
      <w:r w:rsidRPr="00D44188">
        <w:rPr>
          <w:rFonts w:asciiTheme="minorHAnsi" w:eastAsia="Trebuchet MS" w:hAnsiTheme="minorHAnsi" w:cstheme="minorHAnsi"/>
          <w:iCs/>
          <w:sz w:val="22"/>
          <w:szCs w:val="22"/>
        </w:rPr>
        <w:t>][</w:t>
      </w:r>
      <w:r w:rsidRPr="00D44188">
        <w:rPr>
          <w:rStyle w:val="FootnoteReference"/>
          <w:rFonts w:asciiTheme="minorHAnsi" w:eastAsia="Trebuchet MS" w:hAnsiTheme="minorHAnsi" w:cstheme="minorHAnsi"/>
          <w:iCs/>
          <w:sz w:val="22"/>
          <w:szCs w:val="22"/>
        </w:rPr>
        <w:footnoteReference w:id="13"/>
      </w:r>
      <w:r w:rsidRPr="00D44188">
        <w:rPr>
          <w:rFonts w:asciiTheme="minorHAnsi" w:eastAsia="Trebuchet MS" w:hAnsiTheme="minorHAnsi" w:cstheme="minorHAnsi"/>
          <w:iCs/>
          <w:sz w:val="22"/>
          <w:szCs w:val="22"/>
        </w:rPr>
        <w:t>]  The 95% confidence interval is the range between the 2.5</w:t>
      </w:r>
      <w:r w:rsidRPr="00D44188">
        <w:rPr>
          <w:rFonts w:asciiTheme="minorHAnsi" w:eastAsia="Trebuchet MS" w:hAnsiTheme="minorHAnsi" w:cstheme="minorHAnsi"/>
          <w:iCs/>
          <w:sz w:val="22"/>
          <w:szCs w:val="22"/>
          <w:vertAlign w:val="superscript"/>
        </w:rPr>
        <w:t>th</w:t>
      </w:r>
      <w:r w:rsidRPr="00D44188">
        <w:rPr>
          <w:rFonts w:asciiTheme="minorHAnsi" w:eastAsia="Trebuchet MS" w:hAnsiTheme="minorHAnsi" w:cstheme="minorHAnsi"/>
          <w:iCs/>
          <w:sz w:val="22"/>
          <w:szCs w:val="22"/>
        </w:rPr>
        <w:t xml:space="preserve"> and 97.5</w:t>
      </w:r>
      <w:r w:rsidRPr="00D44188">
        <w:rPr>
          <w:rFonts w:asciiTheme="minorHAnsi" w:eastAsia="Trebuchet MS" w:hAnsiTheme="minorHAnsi" w:cstheme="minorHAnsi"/>
          <w:iCs/>
          <w:sz w:val="22"/>
          <w:szCs w:val="22"/>
          <w:vertAlign w:val="superscript"/>
        </w:rPr>
        <w:t>th</w:t>
      </w:r>
      <w:r w:rsidRPr="00D44188">
        <w:rPr>
          <w:rFonts w:asciiTheme="minorHAnsi" w:eastAsia="Trebuchet MS" w:hAnsiTheme="minorHAnsi" w:cstheme="minorHAnsi"/>
          <w:iCs/>
          <w:sz w:val="22"/>
          <w:szCs w:val="22"/>
        </w:rPr>
        <w:t xml:space="preserve"> percentile of each agency’s distribution. We assign HHAs to a performance category by comparing each HHA’s RSR interval estimate to the national observed DTC rate. Comparative performance for HHAs with 20 or more eligible stays is classified as follows:</w:t>
      </w:r>
    </w:p>
    <w:p w14:paraId="12DD2BA7" w14:textId="77777777" w:rsidR="00E26631" w:rsidRPr="00D44188" w:rsidRDefault="00E26631" w:rsidP="00E26631">
      <w:pPr>
        <w:pStyle w:val="Steps"/>
        <w:spacing w:line="276" w:lineRule="auto"/>
        <w:rPr>
          <w:rFonts w:eastAsia="Trebuchet MS" w:cstheme="minorHAnsi"/>
          <w:iCs/>
        </w:rPr>
      </w:pPr>
      <w:r w:rsidRPr="00D44188">
        <w:rPr>
          <w:rFonts w:asciiTheme="minorHAnsi" w:eastAsia="Trebuchet MS" w:hAnsiTheme="minorHAnsi" w:cstheme="minorHAnsi"/>
          <w:iCs/>
          <w:sz w:val="22"/>
          <w:szCs w:val="22"/>
        </w:rPr>
        <w:t xml:space="preserve">                           “Same as Expected” if the 95% interval estimate surrounding the HHA’s rate includes the national observed DTC rate.</w:t>
      </w:r>
    </w:p>
    <w:p w14:paraId="49E06189" w14:textId="77777777" w:rsidR="00E26631" w:rsidRPr="00D44188" w:rsidRDefault="00E26631" w:rsidP="00E26631">
      <w:pPr>
        <w:pStyle w:val="Steps"/>
        <w:spacing w:line="276" w:lineRule="auto"/>
        <w:rPr>
          <w:rFonts w:eastAsia="Trebuchet MS" w:cstheme="minorHAnsi"/>
          <w:iCs/>
        </w:rPr>
      </w:pPr>
      <w:r w:rsidRPr="00D44188">
        <w:rPr>
          <w:rFonts w:asciiTheme="minorHAnsi" w:eastAsia="Trebuchet MS" w:hAnsiTheme="minorHAnsi" w:cstheme="minorHAnsi"/>
          <w:iCs/>
          <w:sz w:val="22"/>
          <w:szCs w:val="22"/>
        </w:rPr>
        <w:t xml:space="preserve">                          “Worse than Expected” if the entire 95% interval estimate surrounding the HHA’s rate is higher than the national observed DTC rate.</w:t>
      </w:r>
    </w:p>
    <w:p w14:paraId="400AA3A1" w14:textId="77777777" w:rsidR="00E26631" w:rsidRPr="00D44188" w:rsidRDefault="00E26631" w:rsidP="00E26631">
      <w:pPr>
        <w:pStyle w:val="Steps"/>
        <w:spacing w:line="276" w:lineRule="auto"/>
        <w:rPr>
          <w:rFonts w:eastAsia="Trebuchet MS" w:cstheme="minorHAnsi"/>
          <w:iCs/>
        </w:rPr>
      </w:pPr>
      <w:r w:rsidRPr="00D44188">
        <w:rPr>
          <w:rFonts w:asciiTheme="minorHAnsi" w:eastAsia="Trebuchet MS" w:hAnsiTheme="minorHAnsi" w:cstheme="minorHAnsi"/>
          <w:iCs/>
          <w:sz w:val="22"/>
          <w:szCs w:val="22"/>
        </w:rPr>
        <w:t xml:space="preserve">                          “Better than Expected” if the entire 95% interval estimate surrounding the HHA’s rate is lower than the national observed DTC rate.</w:t>
      </w:r>
    </w:p>
    <w:p w14:paraId="73342FAD" w14:textId="77777777" w:rsidR="00E26631" w:rsidRPr="00D44188" w:rsidRDefault="00E26631" w:rsidP="00E26631">
      <w:pPr>
        <w:pStyle w:val="Steps"/>
        <w:spacing w:line="276" w:lineRule="auto"/>
        <w:rPr>
          <w:rFonts w:asciiTheme="minorHAnsi" w:eastAsia="Trebuchet MS" w:hAnsiTheme="minorHAnsi" w:cstheme="minorHAnsi"/>
          <w:iCs/>
          <w:sz w:val="22"/>
          <w:szCs w:val="22"/>
        </w:rPr>
      </w:pPr>
      <w:r w:rsidRPr="00D44188">
        <w:rPr>
          <w:rFonts w:asciiTheme="minorHAnsi" w:eastAsia="Trebuchet MS" w:hAnsiTheme="minorHAnsi" w:cstheme="minorHAnsi"/>
          <w:iCs/>
          <w:sz w:val="22"/>
          <w:szCs w:val="22"/>
        </w:rPr>
        <w:t xml:space="preserve">                             If an HHA has fewer than 20 eligible stays for a measure, we assign the HHA to a separate category, “Not Available”. This category is used when the number of stays is too small (fewer than 20) to reliably tell how well the HHA is performing. If an HHA has fewer than 20 eligible stays, the HHA’s DTC performance category will not be publicly reported for the measure.</w:t>
      </w:r>
    </w:p>
    <w:p w14:paraId="3415F809" w14:textId="77777777" w:rsidR="00E26631" w:rsidRPr="00D44188" w:rsidRDefault="00E26631" w:rsidP="00E26631">
      <w:pPr>
        <w:pStyle w:val="equation"/>
        <w:spacing w:line="276" w:lineRule="auto"/>
        <w:rPr>
          <w:rFonts w:asciiTheme="minorHAnsi" w:hAnsiTheme="minorHAnsi" w:cstheme="minorHAnsi"/>
          <w:spacing w:val="-9"/>
          <w:sz w:val="22"/>
          <w:szCs w:val="22"/>
        </w:rPr>
      </w:pPr>
    </w:p>
    <w:p w14:paraId="49D9323B" w14:textId="77777777" w:rsidR="00E26631" w:rsidRPr="00D44188" w:rsidRDefault="00E26631" w:rsidP="00E26631">
      <w:pPr>
        <w:pStyle w:val="NOTE"/>
        <w:spacing w:line="276" w:lineRule="auto"/>
        <w:rPr>
          <w:rFonts w:asciiTheme="minorHAnsi" w:eastAsia="Trebuchet MS" w:hAnsiTheme="minorHAnsi" w:cstheme="minorHAnsi"/>
          <w:sz w:val="22"/>
          <w:szCs w:val="22"/>
        </w:rPr>
      </w:pPr>
      <w:r w:rsidRPr="00D44188">
        <w:rPr>
          <w:rFonts w:asciiTheme="minorHAnsi" w:eastAsia="Trebuchet MS" w:hAnsiTheme="minorHAnsi" w:cstheme="minorHAnsi"/>
          <w:sz w:val="22"/>
          <w:szCs w:val="22"/>
        </w:rPr>
        <w:t>NOTE: It is important to clarify that the DTC-PAC HHA measure is specific to HHA providers only.</w:t>
      </w:r>
    </w:p>
    <w:bookmarkEnd w:id="21"/>
    <w:bookmarkEnd w:id="22"/>
    <w:p w14:paraId="2C68EDC8" w14:textId="77777777" w:rsidR="00E26631" w:rsidRPr="00D44188" w:rsidRDefault="00E26631" w:rsidP="00E26631">
      <w:pPr>
        <w:rPr>
          <w:rFonts w:ascii="Trebuchet MS" w:eastAsia="Trebuchet MS" w:hAnsi="Trebuchet MS" w:cs="Trebuchet MS"/>
          <w:b/>
          <w:bCs/>
          <w:sz w:val="20"/>
          <w:szCs w:val="20"/>
          <w:shd w:val="clear" w:color="auto" w:fill="FFFFFF"/>
        </w:rPr>
      </w:pPr>
    </w:p>
    <w:p w14:paraId="5076DE28" w14:textId="77777777" w:rsidR="00E26631" w:rsidRPr="00D44188" w:rsidRDefault="00E26631" w:rsidP="00E26631">
      <w:pPr>
        <w:rPr>
          <w:rStyle w:val="requiredfield"/>
          <w:rFonts w:ascii="Trebuchet MS" w:eastAsia="Trebuchet MS" w:hAnsi="Trebuchet MS" w:cs="Trebuchet MS"/>
          <w:b/>
          <w:bCs/>
          <w:sz w:val="20"/>
          <w:szCs w:val="20"/>
        </w:rPr>
      </w:pPr>
      <w:r w:rsidRPr="00D44188">
        <w:rPr>
          <w:rFonts w:ascii="Trebuchet MS" w:eastAsia="Trebuchet MS" w:hAnsi="Trebuchet MS" w:cs="Trebuchet MS"/>
          <w:b/>
          <w:bCs/>
          <w:sz w:val="20"/>
          <w:szCs w:val="20"/>
          <w:shd w:val="clear" w:color="auto" w:fill="FFFFFF"/>
        </w:rPr>
        <w:t>S.17. Data Source </w:t>
      </w:r>
      <w:r w:rsidRPr="00D44188">
        <w:rPr>
          <w:rStyle w:val="requiredfield"/>
          <w:rFonts w:ascii="Trebuchet MS" w:eastAsia="Trebuchet MS" w:hAnsi="Trebuchet MS" w:cs="Trebuchet MS"/>
          <w:b/>
          <w:bCs/>
          <w:sz w:val="20"/>
          <w:szCs w:val="20"/>
          <w:shd w:val="clear" w:color="auto" w:fill="FFFFFF"/>
        </w:rPr>
        <w:t>*</w:t>
      </w:r>
    </w:p>
    <w:p w14:paraId="7B358FD3" w14:textId="77777777" w:rsidR="00E26631" w:rsidRPr="00D44188" w:rsidRDefault="00E26631" w:rsidP="00E26631">
      <w:pPr>
        <w:rPr>
          <w:rStyle w:val="Style1"/>
          <w:rFonts w:eastAsia="Trebuchet MS," w:cstheme="minorHAnsi"/>
          <w:szCs w:val="20"/>
        </w:rPr>
      </w:pPr>
      <w:r w:rsidRPr="00D44188">
        <w:t xml:space="preserve">This measure relies on data from Medicare’s eligibility database as well as </w:t>
      </w:r>
      <w:r w:rsidRPr="00D44188">
        <w:rPr>
          <w:spacing w:val="-26"/>
        </w:rPr>
        <w:t xml:space="preserve"> </w:t>
      </w:r>
      <w:r w:rsidRPr="00D44188">
        <w:t xml:space="preserve">Medicare  FFS claims from the home health, inpatient, outpatient, and physician office settings. </w:t>
      </w:r>
      <w:r w:rsidRPr="00D44188">
        <w:rPr>
          <w:rStyle w:val="Style1"/>
          <w:rFonts w:eastAsia="Trebuchet MS" w:cstheme="minorHAnsi"/>
          <w:szCs w:val="20"/>
        </w:rPr>
        <w:t>The eligibility files provide</w:t>
      </w:r>
      <w:r w:rsidRPr="00D44188">
        <w:t xml:space="preserve"> beneficiary-level</w:t>
      </w:r>
      <w:r w:rsidRPr="00D44188">
        <w:rPr>
          <w:rStyle w:val="Style1"/>
          <w:rFonts w:eastAsia="Trebuchet MS" w:cstheme="minorHAnsi"/>
          <w:szCs w:val="20"/>
        </w:rPr>
        <w:t xml:space="preserve"> information such as date of birth, date of death, sex, reasons for Medicare eligibility, periods of Parts A and B coverage, and periods in the Medicare FFS program. </w:t>
      </w:r>
      <w:r w:rsidRPr="00D44188">
        <w:t xml:space="preserve">The FFS claims files provide information about each home health and PAC stay, including dates of admission and discharge, diagnoses and procedures, and indicators for care received in the intensive care unit, coronary care unit, and emergency department. Furthermore, claims from all three file settings are used to construct for each patient a complete history of care before the index home health stay, which is used for </w:t>
      </w:r>
      <w:r w:rsidRPr="00D44188">
        <w:lastRenderedPageBreak/>
        <w:t xml:space="preserve">constructing risk adjustment variables. </w:t>
      </w:r>
      <w:r w:rsidRPr="00D44188">
        <w:rPr>
          <w:rStyle w:val="Style1"/>
          <w:rFonts w:eastAsia="Trebuchet MS" w:cstheme="minorHAnsi"/>
          <w:szCs w:val="20"/>
        </w:rPr>
        <w:t>No data beyond the bills submitted in the normal course of business are required from providers for the calculation of this measure.</w:t>
      </w:r>
      <w:r w:rsidRPr="00D44188">
        <w:rPr>
          <w:rFonts w:cstheme="minorHAnsi"/>
          <w:shd w:val="clear" w:color="auto" w:fill="FFFFFF"/>
        </w:rPr>
        <w:tab/>
      </w:r>
    </w:p>
    <w:p w14:paraId="50DB960D" w14:textId="77777777" w:rsidR="00E26631" w:rsidRPr="00D44188" w:rsidRDefault="00E26631" w:rsidP="00E26631">
      <w:pPr>
        <w:rPr>
          <w:rFonts w:eastAsia="Trebuchet MS" w:cstheme="minorHAnsi"/>
          <w:b/>
          <w:bCs/>
          <w:sz w:val="20"/>
          <w:szCs w:val="18"/>
          <w:lang w:val="en"/>
        </w:rPr>
      </w:pPr>
      <w:bookmarkStart w:id="23" w:name="_Hlk518901908"/>
      <w:bookmarkStart w:id="24" w:name="_Hlk518896861"/>
    </w:p>
    <w:p w14:paraId="13184911" w14:textId="77777777" w:rsidR="00E26631" w:rsidRPr="00D44188" w:rsidRDefault="00E26631" w:rsidP="00E26631">
      <w:pPr>
        <w:rPr>
          <w:rFonts w:ascii="Trebuchet MS" w:eastAsia="Trebuchet MS" w:hAnsi="Trebuchet MS" w:cs="Trebuchet MS"/>
          <w:sz w:val="18"/>
          <w:szCs w:val="18"/>
          <w:lang w:val="en"/>
        </w:rPr>
      </w:pPr>
      <w:r w:rsidRPr="00D44188">
        <w:rPr>
          <w:rFonts w:ascii="Trebuchet MS" w:eastAsia="Trebuchet MS" w:hAnsi="Trebuchet MS" w:cs="Trebuchet MS"/>
          <w:b/>
          <w:bCs/>
          <w:sz w:val="18"/>
          <w:szCs w:val="18"/>
          <w:lang w:val="en"/>
        </w:rPr>
        <w:t xml:space="preserve">S.18. Data Source or Collection Instrument </w:t>
      </w:r>
      <w:r w:rsidRPr="00D44188">
        <w:rPr>
          <w:rFonts w:ascii="Trebuchet MS" w:eastAsia="Trebuchet MS" w:hAnsi="Trebuchet MS" w:cs="Trebuchet MS"/>
          <w:i/>
          <w:iCs/>
          <w:sz w:val="18"/>
          <w:szCs w:val="18"/>
          <w:lang w:val="en"/>
        </w:rPr>
        <w:t>(Identify the specific data source/data collection instrument e.g. name of database, clinical registry, collection instrument, etc., and describe how data are collected.)</w:t>
      </w:r>
      <w:r w:rsidRPr="00D44188">
        <w:rPr>
          <w:rFonts w:ascii="Trebuchet MS" w:hAnsi="Trebuchet MS"/>
          <w:sz w:val="18"/>
          <w:szCs w:val="18"/>
          <w:lang w:val="en"/>
        </w:rPr>
        <w:br/>
      </w:r>
      <w:r w:rsidRPr="00D44188">
        <w:rPr>
          <w:rStyle w:val="underlinecls"/>
          <w:rFonts w:ascii="Trebuchet MS" w:eastAsia="Trebuchet MS" w:hAnsi="Trebuchet MS" w:cs="Trebuchet MS"/>
          <w:sz w:val="18"/>
          <w:szCs w:val="18"/>
          <w:lang w:val="en"/>
        </w:rPr>
        <w:t>IF instrument-based</w:t>
      </w:r>
      <w:r w:rsidRPr="00D44188">
        <w:rPr>
          <w:rFonts w:ascii="Trebuchet MS" w:eastAsia="Trebuchet MS" w:hAnsi="Trebuchet MS" w:cs="Trebuchet MS"/>
          <w:sz w:val="18"/>
          <w:szCs w:val="18"/>
          <w:lang w:val="en"/>
        </w:rPr>
        <w:t>, identify the specific instrument(s) and standard methods, modes, and languages of administration.</w:t>
      </w:r>
    </w:p>
    <w:p w14:paraId="25B7CA93" w14:textId="77777777" w:rsidR="00E26631" w:rsidRPr="00D44188" w:rsidRDefault="00E26631" w:rsidP="00E26631">
      <w:pPr>
        <w:rPr>
          <w:rFonts w:ascii="Trebuchet MS" w:eastAsia="Trebuchet MS" w:hAnsi="Trebuchet MS" w:cs="Trebuchet MS"/>
          <w:sz w:val="18"/>
          <w:szCs w:val="18"/>
          <w:lang w:val="en"/>
        </w:rPr>
      </w:pPr>
      <w:r w:rsidRPr="00D44188">
        <w:rPr>
          <w:rFonts w:ascii="Trebuchet MS" w:eastAsia="Trebuchet MS" w:hAnsi="Trebuchet MS" w:cs="Trebuchet MS"/>
          <w:sz w:val="18"/>
          <w:szCs w:val="18"/>
          <w:lang w:val="en"/>
        </w:rPr>
        <w:t>20000 characters left</w:t>
      </w:r>
    </w:p>
    <w:p w14:paraId="16E32220" w14:textId="77777777" w:rsidR="00E26631" w:rsidRPr="00D44188" w:rsidRDefault="00E26631" w:rsidP="00E26631">
      <w:pPr>
        <w:pStyle w:val="Default"/>
        <w:rPr>
          <w:rFonts w:asciiTheme="minorHAnsi" w:eastAsia="Trebuchet MS" w:hAnsiTheme="minorHAnsi" w:cstheme="minorHAnsi"/>
          <w:color w:val="auto"/>
          <w:sz w:val="22"/>
          <w:szCs w:val="22"/>
        </w:rPr>
      </w:pPr>
      <w:bookmarkStart w:id="25" w:name="_Hlk518901773"/>
      <w:bookmarkEnd w:id="23"/>
      <w:r w:rsidRPr="00D44188">
        <w:rPr>
          <w:rFonts w:asciiTheme="minorHAnsi" w:eastAsia="Trebuchet MS" w:hAnsiTheme="minorHAnsi" w:cstheme="minorHAnsi"/>
          <w:color w:val="auto"/>
          <w:sz w:val="22"/>
          <w:szCs w:val="22"/>
        </w:rPr>
        <w:t xml:space="preserve">The following are the specific files used for the DTC-PAC HHA measure and links to the documentation: </w:t>
      </w:r>
      <w:bookmarkStart w:id="26" w:name="_Hlk518896965"/>
      <w:bookmarkEnd w:id="25"/>
    </w:p>
    <w:p w14:paraId="22A0EC5C" w14:textId="77777777" w:rsidR="00E26631" w:rsidRPr="00D44188" w:rsidRDefault="00E26631" w:rsidP="00E26631">
      <w:pPr>
        <w:pStyle w:val="Default"/>
        <w:rPr>
          <w:rFonts w:asciiTheme="minorHAnsi" w:eastAsia="Trebuchet MS" w:hAnsiTheme="minorHAnsi" w:cstheme="minorHAnsi"/>
          <w:color w:val="auto"/>
          <w:sz w:val="22"/>
          <w:szCs w:val="22"/>
        </w:rPr>
      </w:pPr>
    </w:p>
    <w:p w14:paraId="12984AE2" w14:textId="77777777" w:rsidR="00E26631" w:rsidRPr="00D44188" w:rsidRDefault="00E26631" w:rsidP="00E26631">
      <w:pPr>
        <w:pStyle w:val="Default"/>
        <w:rPr>
          <w:color w:val="auto"/>
        </w:rPr>
      </w:pPr>
      <w:r w:rsidRPr="00D44188">
        <w:rPr>
          <w:rFonts w:asciiTheme="minorHAnsi" w:eastAsia="Trebuchet MS" w:hAnsiTheme="minorHAnsi" w:cstheme="minorHAnsi"/>
          <w:color w:val="auto"/>
          <w:sz w:val="22"/>
          <w:szCs w:val="22"/>
        </w:rPr>
        <w:t xml:space="preserve">Medicare Inpatient claims (Standard Analytical Files) for hospital claims, including index HHA claims. </w:t>
      </w:r>
      <w:r w:rsidRPr="00D44188">
        <w:rPr>
          <w:rFonts w:asciiTheme="minorHAnsi" w:hAnsiTheme="minorHAnsi"/>
          <w:color w:val="auto"/>
          <w:sz w:val="22"/>
          <w:szCs w:val="22"/>
        </w:rPr>
        <w:t xml:space="preserve"> Documentation for the Medicare claims data is provided online by the CMS contractor, Research Data Assistance Center (ResDAC), at the University of Minnesota. The following web page includes data dictionaries for the Standard analytical files: </w:t>
      </w:r>
    </w:p>
    <w:p w14:paraId="777D822F" w14:textId="77777777" w:rsidR="00E26631" w:rsidRPr="00D44188" w:rsidRDefault="00E26631" w:rsidP="00E26631">
      <w:pPr>
        <w:pStyle w:val="ListParagraph"/>
        <w:widowControl w:val="0"/>
        <w:numPr>
          <w:ilvl w:val="2"/>
          <w:numId w:val="26"/>
        </w:numPr>
        <w:tabs>
          <w:tab w:val="left" w:pos="1560"/>
        </w:tabs>
        <w:kinsoku w:val="0"/>
        <w:overflowPunct w:val="0"/>
        <w:autoSpaceDE w:val="0"/>
        <w:autoSpaceDN w:val="0"/>
        <w:adjustRightInd w:val="0"/>
        <w:spacing w:before="1" w:after="0" w:line="240" w:lineRule="auto"/>
        <w:contextualSpacing w:val="0"/>
      </w:pPr>
      <w:r w:rsidRPr="00D44188">
        <w:t>Home Health RIF</w:t>
      </w:r>
      <w:hyperlink r:id="rId10" w:history="1">
        <w:r w:rsidRPr="00D44188">
          <w:t>:</w:t>
        </w:r>
        <w:r w:rsidRPr="00D44188">
          <w:rPr>
            <w:spacing w:val="-3"/>
          </w:rPr>
          <w:t xml:space="preserve"> </w:t>
        </w:r>
        <w:r w:rsidRPr="00D44188">
          <w:t>http://www.resdac.org/cms-data/files/hha-rif</w:t>
        </w:r>
      </w:hyperlink>
    </w:p>
    <w:p w14:paraId="24F84D39" w14:textId="77777777" w:rsidR="00E26631" w:rsidRPr="00D44188" w:rsidRDefault="00E26631" w:rsidP="00E26631">
      <w:pPr>
        <w:pStyle w:val="ListParagraph"/>
        <w:widowControl w:val="0"/>
        <w:numPr>
          <w:ilvl w:val="2"/>
          <w:numId w:val="26"/>
        </w:numPr>
        <w:tabs>
          <w:tab w:val="left" w:pos="1560"/>
        </w:tabs>
        <w:kinsoku w:val="0"/>
        <w:overflowPunct w:val="0"/>
        <w:autoSpaceDE w:val="0"/>
        <w:autoSpaceDN w:val="0"/>
        <w:adjustRightInd w:val="0"/>
        <w:spacing w:before="23" w:after="0" w:line="240" w:lineRule="auto"/>
        <w:contextualSpacing w:val="0"/>
      </w:pPr>
      <w:r w:rsidRPr="00D44188">
        <w:t>Inpatient RIF</w:t>
      </w:r>
      <w:hyperlink r:id="rId11" w:history="1">
        <w:r w:rsidRPr="00D44188">
          <w:t>:</w:t>
        </w:r>
        <w:r w:rsidRPr="00D44188">
          <w:rPr>
            <w:spacing w:val="-1"/>
          </w:rPr>
          <w:t xml:space="preserve"> </w:t>
        </w:r>
        <w:r w:rsidRPr="00D44188">
          <w:t>http://www.resdac.org/cms-data/files/ip-rif</w:t>
        </w:r>
      </w:hyperlink>
    </w:p>
    <w:p w14:paraId="64B738D4" w14:textId="77777777" w:rsidR="00E26631" w:rsidRPr="00D44188" w:rsidRDefault="00E26631" w:rsidP="00E26631">
      <w:pPr>
        <w:pStyle w:val="ListParagraph"/>
        <w:widowControl w:val="0"/>
        <w:numPr>
          <w:ilvl w:val="2"/>
          <w:numId w:val="26"/>
        </w:numPr>
        <w:tabs>
          <w:tab w:val="left" w:pos="1560"/>
        </w:tabs>
        <w:kinsoku w:val="0"/>
        <w:overflowPunct w:val="0"/>
        <w:autoSpaceDE w:val="0"/>
        <w:autoSpaceDN w:val="0"/>
        <w:adjustRightInd w:val="0"/>
        <w:spacing w:before="20" w:after="0" w:line="240" w:lineRule="auto"/>
        <w:contextualSpacing w:val="0"/>
      </w:pPr>
      <w:r w:rsidRPr="00D44188">
        <w:t>Outpatient RIF</w:t>
      </w:r>
      <w:hyperlink r:id="rId12" w:history="1">
        <w:r w:rsidRPr="00D44188">
          <w:t>:</w:t>
        </w:r>
        <w:r w:rsidRPr="00D44188">
          <w:rPr>
            <w:spacing w:val="-1"/>
          </w:rPr>
          <w:t xml:space="preserve"> </w:t>
        </w:r>
        <w:r w:rsidRPr="00D44188">
          <w:t>http://www.resdac.org/cms-data/files/op-rif</w:t>
        </w:r>
      </w:hyperlink>
    </w:p>
    <w:p w14:paraId="640C14E6" w14:textId="77777777" w:rsidR="00E26631" w:rsidRPr="00D44188" w:rsidRDefault="00E26631" w:rsidP="00E26631">
      <w:pPr>
        <w:pStyle w:val="Default"/>
        <w:numPr>
          <w:ilvl w:val="0"/>
          <w:numId w:val="17"/>
        </w:numPr>
        <w:ind w:left="1560"/>
        <w:rPr>
          <w:rFonts w:asciiTheme="minorHAnsi" w:hAnsiTheme="minorHAnsi" w:cstheme="minorHAnsi"/>
          <w:color w:val="auto"/>
          <w:sz w:val="22"/>
          <w:szCs w:val="22"/>
        </w:rPr>
      </w:pPr>
      <w:r w:rsidRPr="00D44188">
        <w:rPr>
          <w:rFonts w:asciiTheme="minorHAnsi" w:hAnsiTheme="minorHAnsi"/>
          <w:color w:val="auto"/>
          <w:sz w:val="22"/>
          <w:szCs w:val="22"/>
        </w:rPr>
        <w:t>Carrier (Physician Office) RIF</w:t>
      </w:r>
      <w:hyperlink r:id="rId13" w:history="1">
        <w:r w:rsidRPr="00D44188">
          <w:rPr>
            <w:rFonts w:asciiTheme="minorHAnsi" w:hAnsiTheme="minorHAnsi"/>
            <w:color w:val="auto"/>
            <w:sz w:val="22"/>
            <w:szCs w:val="22"/>
          </w:rPr>
          <w:t>:</w:t>
        </w:r>
        <w:r w:rsidRPr="00D44188">
          <w:rPr>
            <w:rFonts w:asciiTheme="minorHAnsi" w:hAnsiTheme="minorHAnsi"/>
            <w:color w:val="auto"/>
            <w:spacing w:val="-19"/>
            <w:sz w:val="22"/>
            <w:szCs w:val="22"/>
          </w:rPr>
          <w:t xml:space="preserve"> </w:t>
        </w:r>
        <w:r w:rsidRPr="00D44188">
          <w:rPr>
            <w:rFonts w:asciiTheme="minorHAnsi" w:hAnsiTheme="minorHAnsi"/>
            <w:color w:val="auto"/>
            <w:sz w:val="22"/>
            <w:szCs w:val="22"/>
          </w:rPr>
          <w:t>http://www.resdac.org/cms-</w:t>
        </w:r>
      </w:hyperlink>
      <w:r w:rsidRPr="00D44188">
        <w:rPr>
          <w:rFonts w:asciiTheme="minorHAnsi" w:hAnsiTheme="minorHAnsi"/>
          <w:color w:val="auto"/>
          <w:sz w:val="22"/>
          <w:szCs w:val="22"/>
        </w:rPr>
        <w:t xml:space="preserve"> data/files/carrier-rif </w:t>
      </w:r>
    </w:p>
    <w:p w14:paraId="3E8AAD5F" w14:textId="77777777" w:rsidR="00E26631" w:rsidRPr="00D44188" w:rsidRDefault="00E26631" w:rsidP="00E26631">
      <w:pPr>
        <w:pStyle w:val="Default"/>
        <w:ind w:left="720"/>
        <w:rPr>
          <w:rFonts w:asciiTheme="minorHAnsi" w:hAnsiTheme="minorHAnsi" w:cstheme="minorHAnsi"/>
          <w:color w:val="auto"/>
          <w:sz w:val="22"/>
          <w:szCs w:val="22"/>
        </w:rPr>
      </w:pPr>
    </w:p>
    <w:p w14:paraId="6929EBFA" w14:textId="77777777" w:rsidR="00E26631" w:rsidRPr="00D44188" w:rsidRDefault="00E26631" w:rsidP="00E26631">
      <w:pPr>
        <w:pStyle w:val="Default"/>
        <w:rPr>
          <w:rFonts w:asciiTheme="minorHAnsi" w:eastAsia="Trebuchet MS" w:hAnsiTheme="minorHAnsi" w:cstheme="minorHAnsi"/>
          <w:color w:val="auto"/>
          <w:sz w:val="22"/>
          <w:szCs w:val="22"/>
        </w:rPr>
      </w:pPr>
      <w:r w:rsidRPr="00D44188">
        <w:rPr>
          <w:rFonts w:asciiTheme="minorHAnsi" w:eastAsia="Trebuchet MS" w:hAnsiTheme="minorHAnsi" w:cstheme="minorHAnsi"/>
          <w:color w:val="auto"/>
          <w:sz w:val="22"/>
          <w:szCs w:val="22"/>
        </w:rPr>
        <w:t xml:space="preserve">Medicare Enrollment Database: </w:t>
      </w:r>
    </w:p>
    <w:p w14:paraId="084EC731" w14:textId="77777777" w:rsidR="00E26631" w:rsidRPr="00D44188" w:rsidRDefault="00E26631" w:rsidP="00E26631">
      <w:pPr>
        <w:pStyle w:val="Default"/>
        <w:numPr>
          <w:ilvl w:val="0"/>
          <w:numId w:val="17"/>
        </w:numPr>
        <w:ind w:left="1560"/>
        <w:rPr>
          <w:rFonts w:asciiTheme="minorHAnsi" w:eastAsia="Trebuchet MS" w:hAnsiTheme="minorHAnsi" w:cstheme="minorHAnsi"/>
          <w:color w:val="auto"/>
          <w:sz w:val="22"/>
          <w:szCs w:val="22"/>
        </w:rPr>
      </w:pPr>
      <w:r w:rsidRPr="00D44188">
        <w:rPr>
          <w:rFonts w:asciiTheme="minorHAnsi" w:eastAsia="Trebuchet MS" w:hAnsiTheme="minorHAnsi" w:cstheme="minorHAnsi"/>
          <w:color w:val="auto"/>
          <w:sz w:val="22"/>
          <w:szCs w:val="22"/>
        </w:rPr>
        <w:t xml:space="preserve">Information about the Enrollment Database may be found at: </w:t>
      </w:r>
      <w:r w:rsidRPr="00D44188">
        <w:rPr>
          <w:color w:val="auto"/>
        </w:rPr>
        <w:t>https://aspe.hhs.gov/centers-medicare-medicaid-services</w:t>
      </w:r>
    </w:p>
    <w:bookmarkEnd w:id="26"/>
    <w:p w14:paraId="513C4F75" w14:textId="77777777" w:rsidR="00E26631" w:rsidRPr="00D44188" w:rsidRDefault="00E26631" w:rsidP="00E26631">
      <w:pPr>
        <w:rPr>
          <w:rFonts w:ascii="Trebuchet MS" w:eastAsia="Trebuchet MS" w:hAnsi="Trebuchet MS" w:cs="Trebuchet MS"/>
          <w:sz w:val="18"/>
          <w:szCs w:val="18"/>
          <w:lang w:val="en"/>
        </w:rPr>
      </w:pPr>
    </w:p>
    <w:p w14:paraId="11C11F3D" w14:textId="77777777" w:rsidR="00E26631" w:rsidRPr="00D44188" w:rsidRDefault="00E26631" w:rsidP="00E26631">
      <w:pPr>
        <w:autoSpaceDE w:val="0"/>
        <w:autoSpaceDN w:val="0"/>
        <w:adjustRightInd w:val="0"/>
        <w:spacing w:before="120" w:after="0" w:line="240" w:lineRule="auto"/>
        <w:rPr>
          <w:rFonts w:cstheme="minorHAnsi"/>
        </w:rPr>
      </w:pPr>
      <w:r w:rsidRPr="00D44188">
        <w:rPr>
          <w:rFonts w:cstheme="minorHAnsi"/>
        </w:rPr>
        <w:t>AHRQ SURGICAL PROCEDURE CATEGORIES:</w:t>
      </w:r>
    </w:p>
    <w:p w14:paraId="38D81192" w14:textId="77777777" w:rsidR="00E26631" w:rsidRPr="00D44188" w:rsidRDefault="00E26631" w:rsidP="00E26631">
      <w:pPr>
        <w:autoSpaceDE w:val="0"/>
        <w:autoSpaceDN w:val="0"/>
        <w:adjustRightInd w:val="0"/>
        <w:spacing w:before="120" w:after="0" w:line="240" w:lineRule="auto"/>
        <w:rPr>
          <w:rFonts w:cstheme="minorHAnsi"/>
        </w:rPr>
      </w:pPr>
      <w:r w:rsidRPr="00D44188">
        <w:rPr>
          <w:rFonts w:cstheme="minorHAnsi"/>
        </w:rPr>
        <w:t xml:space="preserve">These were developed for the HWR measure and are available in SAS programs that are maintained and available upon request. </w:t>
      </w:r>
    </w:p>
    <w:p w14:paraId="5426E089" w14:textId="77777777" w:rsidR="00E26631" w:rsidRPr="00D44188" w:rsidRDefault="00E26631" w:rsidP="00E26631">
      <w:pPr>
        <w:autoSpaceDE w:val="0"/>
        <w:autoSpaceDN w:val="0"/>
        <w:adjustRightInd w:val="0"/>
        <w:spacing w:before="120" w:after="0" w:line="240" w:lineRule="auto"/>
        <w:rPr>
          <w:rFonts w:cstheme="minorHAnsi"/>
        </w:rPr>
      </w:pPr>
    </w:p>
    <w:p w14:paraId="7280C115" w14:textId="77777777" w:rsidR="00E26631" w:rsidRPr="00D44188" w:rsidRDefault="00E26631" w:rsidP="00E26631">
      <w:pPr>
        <w:autoSpaceDE w:val="0"/>
        <w:autoSpaceDN w:val="0"/>
        <w:adjustRightInd w:val="0"/>
        <w:spacing w:before="120" w:after="0" w:line="240" w:lineRule="auto"/>
        <w:rPr>
          <w:rFonts w:cstheme="minorHAnsi"/>
        </w:rPr>
      </w:pPr>
      <w:r w:rsidRPr="00D44188">
        <w:rPr>
          <w:rFonts w:cstheme="minorHAnsi"/>
        </w:rPr>
        <w:t>CMS-</w:t>
      </w:r>
      <w:bookmarkStart w:id="27" w:name="_Hlk520551307"/>
      <w:r w:rsidRPr="00D44188">
        <w:rPr>
          <w:rFonts w:cstheme="minorHAnsi"/>
        </w:rPr>
        <w:t>H</w:t>
      </w:r>
      <w:bookmarkStart w:id="28" w:name="_Hlk520628119"/>
      <w:r w:rsidRPr="00D44188">
        <w:rPr>
          <w:rFonts w:cstheme="minorHAnsi"/>
        </w:rPr>
        <w:t>IERARCHICAL CONDITION CATEGORY (H</w:t>
      </w:r>
      <w:bookmarkEnd w:id="28"/>
      <w:r w:rsidRPr="00D44188">
        <w:rPr>
          <w:rFonts w:cstheme="minorHAnsi"/>
        </w:rPr>
        <w:t xml:space="preserve">CC) </w:t>
      </w:r>
      <w:bookmarkEnd w:id="27"/>
      <w:r w:rsidRPr="00D44188">
        <w:rPr>
          <w:rFonts w:cstheme="minorHAnsi"/>
        </w:rPr>
        <w:t xml:space="preserve">MAPPINGS OF ICD-9 AND ICD-10 CODES: </w:t>
      </w:r>
    </w:p>
    <w:p w14:paraId="507C3040" w14:textId="77777777" w:rsidR="00E26631" w:rsidRPr="00D44188" w:rsidRDefault="00E26631" w:rsidP="00E26631">
      <w:pPr>
        <w:autoSpaceDE w:val="0"/>
        <w:autoSpaceDN w:val="0"/>
        <w:adjustRightInd w:val="0"/>
        <w:spacing w:before="120" w:after="0" w:line="240" w:lineRule="auto"/>
        <w:rPr>
          <w:rFonts w:cstheme="minorHAnsi"/>
        </w:rPr>
      </w:pPr>
      <w:r w:rsidRPr="00D44188">
        <w:rPr>
          <w:rFonts w:cstheme="minorHAnsi"/>
        </w:rPr>
        <w:t xml:space="preserve">The full set of CMS-HCC mappings is not currently available publicly. A subset of mappings is included in the software available at: </w:t>
      </w:r>
      <w:hyperlink r:id="rId14" w:history="1">
        <w:r w:rsidRPr="00D44188">
          <w:rPr>
            <w:rStyle w:val="Hyperlink"/>
            <w:rFonts w:cstheme="minorHAnsi"/>
            <w:color w:val="auto"/>
          </w:rPr>
          <w:t>https://www.cms.gov/Medicare/Health-Plans/MedicareAdvtgSpecRateStats/Risk-Adjustors.html</w:t>
        </w:r>
      </w:hyperlink>
    </w:p>
    <w:p w14:paraId="4753D733" w14:textId="77777777" w:rsidR="00E26631" w:rsidRPr="00D44188" w:rsidRDefault="00E26631" w:rsidP="00E26631">
      <w:pPr>
        <w:rPr>
          <w:rFonts w:ascii="Trebuchet MS" w:eastAsia="Trebuchet MS" w:hAnsi="Trebuchet MS" w:cs="Trebuchet MS"/>
          <w:sz w:val="18"/>
          <w:szCs w:val="18"/>
          <w:lang w:val="en"/>
        </w:rPr>
      </w:pPr>
    </w:p>
    <w:p w14:paraId="76739218" w14:textId="77777777" w:rsidR="00E26631" w:rsidRPr="00D44188" w:rsidRDefault="00E26631" w:rsidP="00E26631">
      <w:pPr>
        <w:rPr>
          <w:rFonts w:ascii="Trebuchet MS" w:eastAsia="Trebuchet MS" w:hAnsi="Trebuchet MS" w:cs="Trebuchet MS"/>
          <w:i/>
          <w:iCs/>
          <w:sz w:val="18"/>
          <w:szCs w:val="18"/>
          <w:lang w:val="en"/>
        </w:rPr>
      </w:pPr>
      <w:bookmarkStart w:id="29" w:name="_Hlk518901754"/>
      <w:r w:rsidRPr="00D44188">
        <w:rPr>
          <w:rFonts w:ascii="Trebuchet MS" w:eastAsia="Trebuchet MS" w:hAnsi="Trebuchet MS" w:cs="Trebuchet MS"/>
          <w:b/>
          <w:bCs/>
          <w:sz w:val="18"/>
          <w:szCs w:val="18"/>
          <w:lang w:val="en"/>
        </w:rPr>
        <w:t xml:space="preserve">S.19. Data Source or Collection Instrument </w:t>
      </w:r>
      <w:r w:rsidRPr="00D44188">
        <w:rPr>
          <w:rFonts w:ascii="Trebuchet MS" w:eastAsia="Trebuchet MS" w:hAnsi="Trebuchet MS" w:cs="Trebuchet MS"/>
          <w:i/>
          <w:iCs/>
          <w:sz w:val="18"/>
          <w:szCs w:val="18"/>
          <w:lang w:val="en"/>
        </w:rPr>
        <w:t>(available at measure-specific Web page URL identified in S.1 OR in attached appendix)</w:t>
      </w:r>
    </w:p>
    <w:p w14:paraId="4AB8A95D" w14:textId="77777777" w:rsidR="00E26631" w:rsidRPr="00D44188" w:rsidRDefault="00E26631" w:rsidP="00E26631">
      <w:pPr>
        <w:shd w:val="clear" w:color="auto" w:fill="FFFFFF"/>
        <w:spacing w:after="0" w:line="240" w:lineRule="auto"/>
        <w:rPr>
          <w:rFonts w:eastAsia="Times New Roman" w:cstheme="minorHAnsi"/>
          <w:lang w:val="en"/>
        </w:rPr>
      </w:pPr>
      <w:r w:rsidRPr="00D44188">
        <w:rPr>
          <w:rFonts w:eastAsia="Times New Roman" w:cstheme="minorHAnsi"/>
          <w:lang w:val="en"/>
        </w:rPr>
        <w:t>No data collection instrument provided</w:t>
      </w:r>
    </w:p>
    <w:p w14:paraId="29463E5C" w14:textId="77777777" w:rsidR="00E26631" w:rsidRPr="00D44188" w:rsidRDefault="00E26631" w:rsidP="00E26631">
      <w:pPr>
        <w:rPr>
          <w:rFonts w:ascii="Trebuchet MS" w:eastAsia="Trebuchet MS" w:hAnsi="Trebuchet MS" w:cs="Trebuchet MS"/>
          <w:i/>
          <w:iCs/>
          <w:sz w:val="18"/>
          <w:szCs w:val="18"/>
          <w:lang w:val="en"/>
        </w:rPr>
      </w:pPr>
    </w:p>
    <w:p w14:paraId="06D326A4" w14:textId="77777777" w:rsidR="00E26631" w:rsidRPr="00D44188" w:rsidRDefault="00E26631" w:rsidP="00E26631">
      <w:pPr>
        <w:rPr>
          <w:rFonts w:ascii="Trebuchet MS" w:eastAsia="Trebuchet MS" w:hAnsi="Trebuchet MS" w:cs="Trebuchet MS"/>
          <w:i/>
          <w:iCs/>
          <w:sz w:val="18"/>
          <w:szCs w:val="18"/>
          <w:lang w:val="en"/>
        </w:rPr>
      </w:pPr>
    </w:p>
    <w:p w14:paraId="6D7E2589" w14:textId="77777777" w:rsidR="00E26631" w:rsidRPr="00D44188" w:rsidRDefault="00E26631" w:rsidP="00E26631">
      <w:pPr>
        <w:rPr>
          <w:rStyle w:val="requiredfield"/>
          <w:rFonts w:ascii="Trebuchet MS" w:eastAsia="Trebuchet MS" w:hAnsi="Trebuchet MS" w:cs="Trebuchet MS"/>
          <w:b/>
          <w:bCs/>
          <w:sz w:val="20"/>
          <w:szCs w:val="20"/>
        </w:rPr>
      </w:pPr>
      <w:bookmarkStart w:id="30" w:name="_Hlk518896974"/>
      <w:bookmarkStart w:id="31" w:name="_Hlk518901878"/>
      <w:bookmarkStart w:id="32" w:name="_Hlk518901853"/>
      <w:bookmarkEnd w:id="24"/>
      <w:bookmarkEnd w:id="29"/>
      <w:r w:rsidRPr="00D44188">
        <w:rPr>
          <w:rFonts w:ascii="Trebuchet MS" w:eastAsia="Trebuchet MS" w:hAnsi="Trebuchet MS" w:cs="Trebuchet MS"/>
          <w:b/>
          <w:bCs/>
          <w:sz w:val="20"/>
          <w:szCs w:val="20"/>
          <w:shd w:val="clear" w:color="auto" w:fill="FFFFFF"/>
        </w:rPr>
        <w:t>S.20. Level of Analysis </w:t>
      </w:r>
      <w:r w:rsidRPr="00D44188">
        <w:rPr>
          <w:rStyle w:val="requiredfield"/>
          <w:rFonts w:ascii="Trebuchet MS" w:eastAsia="Trebuchet MS" w:hAnsi="Trebuchet MS" w:cs="Trebuchet MS"/>
          <w:b/>
          <w:bCs/>
          <w:sz w:val="20"/>
          <w:szCs w:val="20"/>
          <w:shd w:val="clear" w:color="auto" w:fill="FFFFFF"/>
        </w:rPr>
        <w:t>*</w:t>
      </w:r>
    </w:p>
    <w:p w14:paraId="1B72EF4F" w14:textId="77777777" w:rsidR="00E26631" w:rsidRPr="00D44188" w:rsidRDefault="00E26631" w:rsidP="00E26631">
      <w:pPr>
        <w:rPr>
          <w:rStyle w:val="Style1"/>
          <w:rFonts w:cstheme="minorHAnsi"/>
        </w:rPr>
      </w:pPr>
      <w:r w:rsidRPr="00D44188">
        <w:rPr>
          <w:rStyle w:val="Style1"/>
          <w:rFonts w:cstheme="minorHAnsi"/>
        </w:rPr>
        <w:t xml:space="preserve">Facility. </w:t>
      </w:r>
    </w:p>
    <w:p w14:paraId="23536AF7" w14:textId="77777777" w:rsidR="00E26631" w:rsidRPr="00D44188" w:rsidRDefault="00E26631" w:rsidP="00E26631">
      <w:pPr>
        <w:rPr>
          <w:rFonts w:ascii="Trebuchet MS" w:eastAsia="Trebuchet MS" w:hAnsi="Trebuchet MS" w:cs="Trebuchet MS"/>
          <w:b/>
          <w:bCs/>
          <w:sz w:val="18"/>
          <w:szCs w:val="18"/>
          <w:lang w:val="en"/>
        </w:rPr>
      </w:pPr>
    </w:p>
    <w:p w14:paraId="523B4139" w14:textId="77777777" w:rsidR="00E26631" w:rsidRPr="00D44188" w:rsidRDefault="00E26631" w:rsidP="00E26631">
      <w:pPr>
        <w:tabs>
          <w:tab w:val="right" w:pos="9360"/>
        </w:tabs>
        <w:rPr>
          <w:rFonts w:ascii="Trebuchet MS" w:eastAsia="Trebuchet MS" w:hAnsi="Trebuchet MS" w:cs="Trebuchet MS"/>
          <w:i/>
          <w:iCs/>
          <w:sz w:val="18"/>
          <w:szCs w:val="18"/>
          <w:lang w:val="en"/>
        </w:rPr>
      </w:pPr>
      <w:r w:rsidRPr="00D44188">
        <w:rPr>
          <w:rFonts w:ascii="Trebuchet MS" w:eastAsia="Trebuchet MS" w:hAnsi="Trebuchet MS" w:cs="Trebuchet MS"/>
          <w:b/>
          <w:bCs/>
          <w:sz w:val="18"/>
          <w:szCs w:val="18"/>
          <w:lang w:val="en"/>
        </w:rPr>
        <w:t xml:space="preserve">S.21. Care Setting </w:t>
      </w:r>
      <w:r w:rsidRPr="00D44188">
        <w:rPr>
          <w:rFonts w:ascii="Trebuchet MS" w:eastAsia="Trebuchet MS" w:hAnsi="Trebuchet MS" w:cs="Trebuchet MS"/>
          <w:i/>
          <w:iCs/>
          <w:sz w:val="18"/>
          <w:szCs w:val="18"/>
          <w:lang w:val="en"/>
        </w:rPr>
        <w:t>(Check ONLY the settings for which the measure is SPECIFIED AND TESTED)</w:t>
      </w:r>
      <w:r w:rsidRPr="00D44188">
        <w:rPr>
          <w:rFonts w:ascii="Trebuchet MS" w:eastAsia="Trebuchet MS" w:hAnsi="Trebuchet MS" w:cs="Trebuchet MS"/>
          <w:i/>
          <w:iCs/>
          <w:sz w:val="18"/>
          <w:szCs w:val="18"/>
          <w:lang w:val="en"/>
        </w:rPr>
        <w:tab/>
      </w:r>
    </w:p>
    <w:p w14:paraId="46420A16" w14:textId="77777777" w:rsidR="00E26631" w:rsidRPr="00D44188" w:rsidRDefault="00E26631" w:rsidP="00E26631">
      <w:pPr>
        <w:rPr>
          <w:rStyle w:val="Style1"/>
          <w:rFonts w:cstheme="minorHAnsi"/>
        </w:rPr>
      </w:pPr>
      <w:r w:rsidRPr="00D44188">
        <w:rPr>
          <w:rStyle w:val="Style1"/>
          <w:rFonts w:cstheme="minorHAnsi"/>
        </w:rPr>
        <w:t>Post-acute care</w:t>
      </w:r>
    </w:p>
    <w:bookmarkEnd w:id="30"/>
    <w:p w14:paraId="6E89DAC9" w14:textId="77777777" w:rsidR="00E26631" w:rsidRPr="00D44188" w:rsidRDefault="00E26631" w:rsidP="00E26631">
      <w:pPr>
        <w:rPr>
          <w:rFonts w:ascii="Trebuchet MS" w:eastAsia="Trebuchet MS" w:hAnsi="Trebuchet MS" w:cs="Trebuchet MS"/>
          <w:b/>
          <w:bCs/>
          <w:sz w:val="20"/>
          <w:szCs w:val="20"/>
          <w:shd w:val="clear" w:color="auto" w:fill="FFFFFF"/>
        </w:rPr>
      </w:pPr>
    </w:p>
    <w:p w14:paraId="399B4755" w14:textId="77777777" w:rsidR="00E26631" w:rsidRPr="00D44188" w:rsidRDefault="00E26631" w:rsidP="00E26631">
      <w:pPr>
        <w:rPr>
          <w:rFonts w:ascii="Trebuchet MS" w:eastAsia="Trebuchet MS" w:hAnsi="Trebuchet MS" w:cs="Trebuchet MS"/>
          <w:i/>
          <w:iCs/>
          <w:sz w:val="20"/>
          <w:szCs w:val="20"/>
        </w:rPr>
      </w:pPr>
      <w:r w:rsidRPr="00D44188">
        <w:rPr>
          <w:rFonts w:ascii="Trebuchet MS" w:eastAsia="Trebuchet MS" w:hAnsi="Trebuchet MS" w:cs="Trebuchet MS"/>
          <w:b/>
          <w:bCs/>
          <w:sz w:val="20"/>
          <w:szCs w:val="20"/>
          <w:shd w:val="clear" w:color="auto" w:fill="FFFFFF"/>
        </w:rPr>
        <w:t>Planned Submission Date</w:t>
      </w:r>
      <w:r w:rsidRPr="00D44188">
        <w:rPr>
          <w:rFonts w:ascii="Trebuchet MS" w:eastAsia="Trebuchet MS" w:hAnsi="Trebuchet MS" w:cs="Trebuchet MS"/>
          <w:i/>
          <w:iCs/>
          <w:sz w:val="20"/>
          <w:szCs w:val="20"/>
          <w:shd w:val="clear" w:color="auto" w:fill="FFFFFF"/>
        </w:rPr>
        <w:t> Indicate cycle and year when all testing is completed and final submission is anticipated.</w:t>
      </w:r>
      <w:r w:rsidRPr="00D44188">
        <w:rPr>
          <w:rFonts w:ascii="Trebuchet MS" w:hAnsi="Trebuchet MS"/>
          <w:sz w:val="20"/>
          <w:szCs w:val="20"/>
        </w:rPr>
        <w:br/>
      </w:r>
      <w:r w:rsidRPr="00D44188">
        <w:rPr>
          <w:rFonts w:ascii="Trebuchet MS" w:eastAsia="Trebuchet MS" w:hAnsi="Trebuchet MS" w:cs="Trebuchet MS"/>
          <w:i/>
          <w:iCs/>
          <w:sz w:val="20"/>
          <w:szCs w:val="20"/>
          <w:shd w:val="clear" w:color="auto" w:fill="FFFFFF"/>
        </w:rPr>
        <w:t>Cycle 1 (Fall) typically starts in November. Cycle 2 (Spring) typically starts in April.</w:t>
      </w:r>
      <w:r w:rsidRPr="00D44188">
        <w:rPr>
          <w:rFonts w:ascii="Trebuchet MS" w:hAnsi="Trebuchet MS"/>
          <w:sz w:val="20"/>
          <w:szCs w:val="20"/>
        </w:rPr>
        <w:br/>
      </w:r>
      <w:r w:rsidRPr="00D44188">
        <w:rPr>
          <w:rFonts w:ascii="Trebuchet MS" w:eastAsia="Trebuchet MS" w:hAnsi="Trebuchet MS" w:cs="Trebuchet MS"/>
          <w:i/>
          <w:iCs/>
          <w:sz w:val="20"/>
          <w:szCs w:val="20"/>
          <w:shd w:val="clear" w:color="auto" w:fill="FFFFFF"/>
        </w:rPr>
        <w:t>A cycle period will be unavailable 3 months prior to the cycle start date (i.e. for a November or fall cycle, the ‘cycle 1’ selection will be unavailable after August).</w:t>
      </w:r>
    </w:p>
    <w:p w14:paraId="150C5A87" w14:textId="77777777" w:rsidR="00E26631" w:rsidRPr="00D44188" w:rsidRDefault="00E26631" w:rsidP="00E26631">
      <w:r w:rsidRPr="00D44188">
        <w:rPr>
          <w:shd w:val="clear" w:color="auto" w:fill="FFFFFF"/>
        </w:rPr>
        <w:t>Fall 2018</w:t>
      </w:r>
      <w:bookmarkEnd w:id="31"/>
      <w:bookmarkEnd w:id="32"/>
    </w:p>
    <w:p w14:paraId="2AAE7ABF" w14:textId="77777777" w:rsidR="008134A0" w:rsidRPr="00B10DD4" w:rsidRDefault="008134A0" w:rsidP="00B10DD4">
      <w:pPr>
        <w:spacing w:after="0" w:line="240" w:lineRule="auto"/>
        <w:jc w:val="center"/>
        <w:rPr>
          <w:rFonts w:eastAsia="Calibri" w:cstheme="minorHAnsi"/>
          <w:b/>
        </w:rPr>
      </w:pPr>
    </w:p>
    <w:sectPr w:rsidR="008134A0" w:rsidRPr="00B10DD4" w:rsidSect="006837C3">
      <w:footerReference w:type="default" r:id="rId15"/>
      <w:pgSz w:w="12240" w:h="15840"/>
      <w:pgMar w:top="1440" w:right="1440" w:bottom="1440" w:left="1440" w:header="720" w:footer="720" w:gutter="0"/>
      <w:pgNumType w:start="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AAE705" w16cid:durableId="1F8E8B37"/>
  <w16cid:commentId w16cid:paraId="095F73CE" w16cid:durableId="1F8E86EF"/>
  <w16cid:commentId w16cid:paraId="31B0C657" w16cid:durableId="1F8E8A6E"/>
  <w16cid:commentId w16cid:paraId="6A761AD4" w16cid:durableId="1F8E8701"/>
  <w16cid:commentId w16cid:paraId="7A9F863A" w16cid:durableId="1F8E8725"/>
  <w16cid:commentId w16cid:paraId="7FC2A208" w16cid:durableId="1F8E882D"/>
  <w16cid:commentId w16cid:paraId="3B3AE9BE" w16cid:durableId="1F8E8851"/>
  <w16cid:commentId w16cid:paraId="1C3F2E6A" w16cid:durableId="1F8E8863"/>
  <w16cid:commentId w16cid:paraId="6AD6F2F6" w16cid:durableId="1F8E8883"/>
  <w16cid:commentId w16cid:paraId="500463E1" w16cid:durableId="1F8E888C"/>
  <w16cid:commentId w16cid:paraId="52FCFCDC" w16cid:durableId="1F8E8AEC"/>
  <w16cid:commentId w16cid:paraId="4AF65F9C" w16cid:durableId="1F8E8B1D"/>
  <w16cid:commentId w16cid:paraId="014CD680" w16cid:durableId="1F8E895B"/>
  <w16cid:commentId w16cid:paraId="09C9E75B" w16cid:durableId="1F8E89DE"/>
  <w16cid:commentId w16cid:paraId="378D4D0E" w16cid:durableId="1F8E8A18"/>
  <w16cid:commentId w16cid:paraId="5A96F571" w16cid:durableId="1F8E8A28"/>
  <w16cid:commentId w16cid:paraId="1BDBCDE8" w16cid:durableId="1F8E8B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A96BC" w14:textId="77777777" w:rsidR="00884A26" w:rsidRDefault="00884A26" w:rsidP="00DF6260">
      <w:pPr>
        <w:spacing w:after="0" w:line="240" w:lineRule="auto"/>
      </w:pPr>
      <w:r>
        <w:separator/>
      </w:r>
    </w:p>
  </w:endnote>
  <w:endnote w:type="continuationSeparator" w:id="0">
    <w:p w14:paraId="1BA580B6" w14:textId="77777777" w:rsidR="00884A26" w:rsidRDefault="00884A26" w:rsidP="00DF6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rebuchet MS,Calibri">
    <w:altName w:val="Trebuchet MS"/>
    <w:panose1 w:val="00000000000000000000"/>
    <w:charset w:val="00"/>
    <w:family w:val="roman"/>
    <w:notTrueType/>
    <w:pitch w:val="default"/>
  </w:font>
  <w:font w:name="Trebuchet MS,">
    <w:altName w:val="Trebuchet MS"/>
    <w:panose1 w:val="00000000000000000000"/>
    <w:charset w:val="00"/>
    <w:family w:val="roman"/>
    <w:notTrueType/>
    <w:pitch w:val="default"/>
  </w:font>
  <w:font w:name="Trebuchet MS,Times New Roman">
    <w:altName w:val="Times New Roman"/>
    <w:panose1 w:val="00000000000000000000"/>
    <w:charset w:val="00"/>
    <w:family w:val="roman"/>
    <w:notTrueType/>
    <w:pitch w:val="default"/>
  </w:font>
  <w:font w:name="Symbo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1572474702"/>
      <w:docPartObj>
        <w:docPartGallery w:val="Page Numbers (Bottom of Page)"/>
        <w:docPartUnique/>
      </w:docPartObj>
    </w:sdtPr>
    <w:sdtEndPr>
      <w:rPr>
        <w:rFonts w:asciiTheme="majorHAnsi" w:hAnsiTheme="majorHAnsi" w:cstheme="majorHAnsi"/>
        <w:noProof/>
      </w:rPr>
    </w:sdtEndPr>
    <w:sdtContent>
      <w:p w14:paraId="60DAA48E" w14:textId="5BBC24C7" w:rsidR="00884A26" w:rsidRPr="0043167F" w:rsidRDefault="00884A26" w:rsidP="0043167F">
        <w:pPr>
          <w:pStyle w:val="Footer"/>
          <w:jc w:val="both"/>
          <w:rPr>
            <w:rFonts w:asciiTheme="majorHAnsi" w:hAnsiTheme="majorHAnsi" w:cstheme="majorHAnsi"/>
            <w:sz w:val="18"/>
          </w:rPr>
        </w:pPr>
        <w:r w:rsidRPr="0043167F">
          <w:rPr>
            <w:rFonts w:asciiTheme="majorHAnsi" w:hAnsiTheme="majorHAnsi" w:cstheme="majorHAnsi"/>
            <w:sz w:val="18"/>
          </w:rPr>
          <w:t>Appendix. D</w:t>
        </w:r>
        <w:r>
          <w:rPr>
            <w:rFonts w:asciiTheme="majorHAnsi" w:hAnsiTheme="majorHAnsi" w:cstheme="majorHAnsi"/>
            <w:sz w:val="18"/>
          </w:rPr>
          <w:t>TC-PAC HHA</w:t>
        </w:r>
        <w:r w:rsidRPr="0043167F">
          <w:rPr>
            <w:rFonts w:asciiTheme="majorHAnsi" w:hAnsiTheme="majorHAnsi" w:cstheme="majorHAnsi"/>
            <w:sz w:val="18"/>
          </w:rPr>
          <w:t xml:space="preserve"> Measure </w:t>
        </w:r>
        <w:r>
          <w:rPr>
            <w:rFonts w:asciiTheme="majorHAnsi" w:hAnsiTheme="majorHAnsi" w:cstheme="majorHAnsi"/>
            <w:sz w:val="18"/>
          </w:rPr>
          <w:t xml:space="preserve">                                      </w:t>
        </w:r>
        <w:r>
          <w:rPr>
            <w:rFonts w:asciiTheme="majorHAnsi" w:hAnsiTheme="majorHAnsi" w:cstheme="majorHAnsi"/>
            <w:sz w:val="18"/>
          </w:rPr>
          <w:tab/>
        </w:r>
        <w:r>
          <w:rPr>
            <w:rFonts w:asciiTheme="majorHAnsi" w:hAnsiTheme="majorHAnsi" w:cstheme="majorHAnsi"/>
            <w:sz w:val="18"/>
          </w:rPr>
          <w:tab/>
        </w:r>
        <w:r w:rsidRPr="0043167F">
          <w:rPr>
            <w:rFonts w:asciiTheme="majorHAnsi" w:hAnsiTheme="majorHAnsi" w:cstheme="majorHAnsi"/>
            <w:sz w:val="18"/>
          </w:rPr>
          <w:fldChar w:fldCharType="begin"/>
        </w:r>
        <w:r w:rsidRPr="0043167F">
          <w:rPr>
            <w:rFonts w:asciiTheme="majorHAnsi" w:hAnsiTheme="majorHAnsi" w:cstheme="majorHAnsi"/>
            <w:sz w:val="18"/>
          </w:rPr>
          <w:instrText xml:space="preserve"> PAGE   \* MERGEFORMAT </w:instrText>
        </w:r>
        <w:r w:rsidRPr="0043167F">
          <w:rPr>
            <w:rFonts w:asciiTheme="majorHAnsi" w:hAnsiTheme="majorHAnsi" w:cstheme="majorHAnsi"/>
            <w:sz w:val="18"/>
          </w:rPr>
          <w:fldChar w:fldCharType="separate"/>
        </w:r>
        <w:r w:rsidR="00EA066A">
          <w:rPr>
            <w:rFonts w:asciiTheme="majorHAnsi" w:hAnsiTheme="majorHAnsi" w:cstheme="majorHAnsi"/>
            <w:noProof/>
            <w:sz w:val="18"/>
          </w:rPr>
          <w:t>6</w:t>
        </w:r>
        <w:r w:rsidRPr="0043167F">
          <w:rPr>
            <w:rFonts w:asciiTheme="majorHAnsi" w:hAnsiTheme="majorHAnsi" w:cstheme="majorHAnsi"/>
            <w:noProof/>
            <w:sz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86A55" w14:textId="77777777" w:rsidR="00884A26" w:rsidRDefault="00884A26" w:rsidP="00DF6260">
      <w:pPr>
        <w:spacing w:after="0" w:line="240" w:lineRule="auto"/>
      </w:pPr>
      <w:r>
        <w:separator/>
      </w:r>
    </w:p>
  </w:footnote>
  <w:footnote w:type="continuationSeparator" w:id="0">
    <w:p w14:paraId="44461B6D" w14:textId="77777777" w:rsidR="00884A26" w:rsidRDefault="00884A26" w:rsidP="00DF6260">
      <w:pPr>
        <w:spacing w:after="0" w:line="240" w:lineRule="auto"/>
      </w:pPr>
      <w:r>
        <w:continuationSeparator/>
      </w:r>
    </w:p>
  </w:footnote>
  <w:footnote w:id="1">
    <w:p w14:paraId="3A4C9535" w14:textId="77777777" w:rsidR="00884A26" w:rsidRPr="00721108" w:rsidRDefault="00884A26" w:rsidP="00E547E2">
      <w:pPr>
        <w:pStyle w:val="FootnoteText"/>
        <w:rPr>
          <w:rFonts w:asciiTheme="minorHAnsi" w:hAnsiTheme="minorHAnsi" w:cstheme="minorHAnsi"/>
          <w:sz w:val="22"/>
        </w:rPr>
      </w:pPr>
      <w:r w:rsidRPr="00721108">
        <w:rPr>
          <w:rStyle w:val="FootnoteReference"/>
          <w:rFonts w:asciiTheme="minorHAnsi" w:hAnsiTheme="minorHAnsi" w:cstheme="minorHAnsi"/>
          <w:sz w:val="18"/>
        </w:rPr>
        <w:footnoteRef/>
      </w:r>
      <w:r w:rsidRPr="00721108">
        <w:rPr>
          <w:rFonts w:asciiTheme="minorHAnsi" w:hAnsiTheme="minorHAnsi" w:cstheme="minorHAnsi"/>
          <w:sz w:val="18"/>
        </w:rPr>
        <w:t xml:space="preserve"> </w:t>
      </w:r>
      <w:hyperlink r:id="rId1" w:history="1">
        <w:r w:rsidRPr="00721108">
          <w:rPr>
            <w:rStyle w:val="Hyperlink"/>
            <w:rFonts w:asciiTheme="minorHAnsi" w:hAnsiTheme="minorHAnsi" w:cstheme="minorHAnsi"/>
            <w:sz w:val="18"/>
          </w:rPr>
          <w:t>https://www.huduser.gov/portal/datasets/usps_crosswalk.html</w:t>
        </w:r>
      </w:hyperlink>
      <w:r w:rsidRPr="00721108">
        <w:rPr>
          <w:rFonts w:asciiTheme="minorHAnsi" w:hAnsiTheme="minorHAnsi" w:cstheme="minorHAnsi"/>
          <w:sz w:val="18"/>
        </w:rPr>
        <w:t xml:space="preserve"> </w:t>
      </w:r>
    </w:p>
  </w:footnote>
  <w:footnote w:id="2">
    <w:p w14:paraId="2704F28A" w14:textId="429BB142" w:rsidR="00884A26" w:rsidRPr="00721108" w:rsidRDefault="00884A26" w:rsidP="00E547E2">
      <w:pPr>
        <w:pStyle w:val="FootnoteText"/>
        <w:rPr>
          <w:rFonts w:asciiTheme="minorHAnsi" w:hAnsiTheme="minorHAnsi" w:cstheme="minorHAnsi"/>
          <w:sz w:val="22"/>
        </w:rPr>
      </w:pPr>
      <w:r w:rsidRPr="00721108">
        <w:rPr>
          <w:rStyle w:val="FootnoteReference"/>
          <w:rFonts w:asciiTheme="minorHAnsi" w:hAnsiTheme="minorHAnsi" w:cstheme="minorHAnsi"/>
          <w:sz w:val="18"/>
        </w:rPr>
        <w:footnoteRef/>
      </w:r>
      <w:hyperlink r:id="rId2" w:history="1">
        <w:r w:rsidRPr="00BA2F48">
          <w:rPr>
            <w:rStyle w:val="Hyperlink"/>
            <w:rFonts w:asciiTheme="minorHAnsi" w:hAnsiTheme="minorHAnsi" w:cstheme="minorHAnsi"/>
            <w:sz w:val="18"/>
          </w:rPr>
          <w:t>https://www.ers.usda.gov/data-products/rural-urban-continuum-codes/</w:t>
        </w:r>
      </w:hyperlink>
      <w:r>
        <w:rPr>
          <w:rFonts w:asciiTheme="minorHAnsi" w:hAnsiTheme="minorHAnsi" w:cstheme="minorHAnsi"/>
          <w:sz w:val="18"/>
        </w:rPr>
        <w:t xml:space="preserve">  </w:t>
      </w:r>
      <w:r w:rsidRPr="00721108">
        <w:rPr>
          <w:rFonts w:asciiTheme="minorHAnsi" w:hAnsiTheme="minorHAnsi" w:cstheme="minorHAnsi"/>
          <w:sz w:val="18"/>
        </w:rPr>
        <w:t xml:space="preserve">  </w:t>
      </w:r>
    </w:p>
  </w:footnote>
  <w:footnote w:id="3">
    <w:p w14:paraId="03D95B46" w14:textId="77777777" w:rsidR="00884A26" w:rsidRPr="00423371" w:rsidRDefault="00884A26" w:rsidP="00E547E2">
      <w:pPr>
        <w:pStyle w:val="FootnoteText"/>
        <w:rPr>
          <w:rFonts w:asciiTheme="minorHAnsi" w:hAnsiTheme="minorHAnsi" w:cstheme="minorHAnsi"/>
        </w:rPr>
      </w:pPr>
      <w:r w:rsidRPr="00721108">
        <w:rPr>
          <w:rStyle w:val="FootnoteReference"/>
          <w:rFonts w:asciiTheme="minorHAnsi" w:hAnsiTheme="minorHAnsi" w:cstheme="minorHAnsi"/>
          <w:sz w:val="18"/>
        </w:rPr>
        <w:footnoteRef/>
      </w:r>
      <w:r w:rsidRPr="00721108">
        <w:rPr>
          <w:rFonts w:asciiTheme="minorHAnsi" w:hAnsiTheme="minorHAnsi" w:cstheme="minorHAnsi"/>
          <w:sz w:val="18"/>
        </w:rPr>
        <w:t xml:space="preserve"> Creation of New Race-Ethnicity Codes and Socioeconomic Status (SES) Indicators for Medicare Beneficiaries. Final Report. Available at: </w:t>
      </w:r>
      <w:hyperlink r:id="rId3" w:history="1">
        <w:r w:rsidRPr="00721108">
          <w:rPr>
            <w:rStyle w:val="Hyperlink"/>
            <w:rFonts w:asciiTheme="minorHAnsi" w:hAnsiTheme="minorHAnsi" w:cstheme="minorHAnsi"/>
            <w:sz w:val="18"/>
          </w:rPr>
          <w:t>https://archive.ahrq.gov/research/findings/final-reports/medicareindicators/medicareindicators.pdf</w:t>
        </w:r>
      </w:hyperlink>
    </w:p>
  </w:footnote>
  <w:footnote w:id="4">
    <w:p w14:paraId="15F9ADEF" w14:textId="77777777" w:rsidR="00884A26" w:rsidRPr="00A010FD" w:rsidRDefault="00884A26" w:rsidP="00E26631">
      <w:pPr>
        <w:widowControl w:val="0"/>
        <w:tabs>
          <w:tab w:val="left" w:pos="392"/>
        </w:tabs>
        <w:kinsoku w:val="0"/>
        <w:overflowPunct w:val="0"/>
        <w:autoSpaceDE w:val="0"/>
        <w:autoSpaceDN w:val="0"/>
        <w:adjustRightInd w:val="0"/>
        <w:spacing w:before="76" w:after="0" w:line="240" w:lineRule="auto"/>
        <w:ind w:right="623"/>
        <w:rPr>
          <w:color w:val="0000FF"/>
          <w:sz w:val="16"/>
          <w:szCs w:val="16"/>
        </w:rPr>
      </w:pPr>
      <w:r>
        <w:rPr>
          <w:rStyle w:val="FootnoteReference"/>
        </w:rPr>
        <w:footnoteRef/>
      </w:r>
      <w:r>
        <w:t xml:space="preserve"> </w:t>
      </w:r>
      <w:r w:rsidRPr="00A010FD">
        <w:rPr>
          <w:color w:val="000000"/>
          <w:sz w:val="20"/>
          <w:szCs w:val="20"/>
        </w:rPr>
        <w:t>Further</w:t>
      </w:r>
      <w:r w:rsidRPr="00A010FD">
        <w:rPr>
          <w:color w:val="000000"/>
          <w:spacing w:val="-2"/>
          <w:sz w:val="20"/>
          <w:szCs w:val="20"/>
        </w:rPr>
        <w:t xml:space="preserve"> </w:t>
      </w:r>
      <w:r w:rsidRPr="00A010FD">
        <w:rPr>
          <w:color w:val="000000"/>
          <w:sz w:val="20"/>
          <w:szCs w:val="20"/>
        </w:rPr>
        <w:t>description</w:t>
      </w:r>
      <w:r w:rsidRPr="00A010FD">
        <w:rPr>
          <w:color w:val="000000"/>
          <w:spacing w:val="-4"/>
          <w:sz w:val="20"/>
          <w:szCs w:val="20"/>
        </w:rPr>
        <w:t xml:space="preserve"> </w:t>
      </w:r>
      <w:r w:rsidRPr="00A010FD">
        <w:rPr>
          <w:color w:val="000000"/>
          <w:sz w:val="20"/>
          <w:szCs w:val="20"/>
        </w:rPr>
        <w:t>of</w:t>
      </w:r>
      <w:r w:rsidRPr="00A010FD">
        <w:rPr>
          <w:color w:val="000000"/>
          <w:spacing w:val="-5"/>
          <w:sz w:val="20"/>
          <w:szCs w:val="20"/>
        </w:rPr>
        <w:t xml:space="preserve"> </w:t>
      </w:r>
      <w:r w:rsidRPr="00A010FD">
        <w:rPr>
          <w:color w:val="000000"/>
          <w:sz w:val="20"/>
          <w:szCs w:val="20"/>
        </w:rPr>
        <w:t>patient</w:t>
      </w:r>
      <w:r w:rsidRPr="00A010FD">
        <w:rPr>
          <w:color w:val="000000"/>
          <w:spacing w:val="-2"/>
          <w:sz w:val="20"/>
          <w:szCs w:val="20"/>
        </w:rPr>
        <w:t xml:space="preserve"> </w:t>
      </w:r>
      <w:r w:rsidRPr="00A010FD">
        <w:rPr>
          <w:color w:val="000000"/>
          <w:sz w:val="20"/>
          <w:szCs w:val="20"/>
        </w:rPr>
        <w:t>discharge</w:t>
      </w:r>
      <w:r w:rsidRPr="00A010FD">
        <w:rPr>
          <w:color w:val="000000"/>
          <w:spacing w:val="-1"/>
          <w:sz w:val="20"/>
          <w:szCs w:val="20"/>
        </w:rPr>
        <w:t xml:space="preserve"> </w:t>
      </w:r>
      <w:r w:rsidRPr="00A010FD">
        <w:rPr>
          <w:color w:val="000000"/>
          <w:sz w:val="20"/>
          <w:szCs w:val="20"/>
        </w:rPr>
        <w:t>status</w:t>
      </w:r>
      <w:r w:rsidRPr="00A010FD">
        <w:rPr>
          <w:color w:val="000000"/>
          <w:spacing w:val="-4"/>
          <w:sz w:val="20"/>
          <w:szCs w:val="20"/>
        </w:rPr>
        <w:t xml:space="preserve"> </w:t>
      </w:r>
      <w:r w:rsidRPr="00A010FD">
        <w:rPr>
          <w:color w:val="000000"/>
          <w:sz w:val="20"/>
          <w:szCs w:val="20"/>
        </w:rPr>
        <w:t>codes</w:t>
      </w:r>
      <w:r w:rsidRPr="00A010FD">
        <w:rPr>
          <w:color w:val="000000"/>
          <w:spacing w:val="-5"/>
          <w:sz w:val="20"/>
          <w:szCs w:val="20"/>
        </w:rPr>
        <w:t xml:space="preserve"> </w:t>
      </w:r>
      <w:r w:rsidRPr="00A010FD">
        <w:rPr>
          <w:color w:val="000000"/>
          <w:sz w:val="20"/>
          <w:szCs w:val="20"/>
        </w:rPr>
        <w:t>can</w:t>
      </w:r>
      <w:r w:rsidRPr="00A010FD">
        <w:rPr>
          <w:color w:val="000000"/>
          <w:spacing w:val="-4"/>
          <w:sz w:val="20"/>
          <w:szCs w:val="20"/>
        </w:rPr>
        <w:t xml:space="preserve"> </w:t>
      </w:r>
      <w:r w:rsidRPr="00A010FD">
        <w:rPr>
          <w:color w:val="000000"/>
          <w:sz w:val="20"/>
          <w:szCs w:val="20"/>
        </w:rPr>
        <w:t>be</w:t>
      </w:r>
      <w:r w:rsidRPr="00A010FD">
        <w:rPr>
          <w:color w:val="000000"/>
          <w:spacing w:val="-3"/>
          <w:sz w:val="20"/>
          <w:szCs w:val="20"/>
        </w:rPr>
        <w:t xml:space="preserve"> </w:t>
      </w:r>
      <w:r w:rsidRPr="00A010FD">
        <w:rPr>
          <w:color w:val="000000"/>
          <w:sz w:val="20"/>
          <w:szCs w:val="20"/>
        </w:rPr>
        <w:t>found,</w:t>
      </w:r>
      <w:r w:rsidRPr="00A010FD">
        <w:rPr>
          <w:color w:val="000000"/>
          <w:spacing w:val="-3"/>
          <w:sz w:val="20"/>
          <w:szCs w:val="20"/>
        </w:rPr>
        <w:t xml:space="preserve"> </w:t>
      </w:r>
      <w:r w:rsidRPr="00A010FD">
        <w:rPr>
          <w:color w:val="000000"/>
          <w:sz w:val="20"/>
          <w:szCs w:val="20"/>
        </w:rPr>
        <w:t>for</w:t>
      </w:r>
      <w:r w:rsidRPr="00A010FD">
        <w:rPr>
          <w:color w:val="000000"/>
          <w:spacing w:val="-2"/>
          <w:sz w:val="20"/>
          <w:szCs w:val="20"/>
        </w:rPr>
        <w:t xml:space="preserve"> </w:t>
      </w:r>
      <w:r w:rsidRPr="00A010FD">
        <w:rPr>
          <w:color w:val="000000"/>
          <w:sz w:val="20"/>
          <w:szCs w:val="20"/>
        </w:rPr>
        <w:t>example,</w:t>
      </w:r>
      <w:r w:rsidRPr="00A010FD">
        <w:rPr>
          <w:color w:val="000000"/>
          <w:spacing w:val="-2"/>
          <w:sz w:val="20"/>
          <w:szCs w:val="20"/>
        </w:rPr>
        <w:t xml:space="preserve"> </w:t>
      </w:r>
      <w:r w:rsidRPr="00A010FD">
        <w:rPr>
          <w:color w:val="000000"/>
          <w:sz w:val="20"/>
          <w:szCs w:val="20"/>
        </w:rPr>
        <w:t>at</w:t>
      </w:r>
      <w:r w:rsidRPr="00A010FD">
        <w:rPr>
          <w:color w:val="000000"/>
          <w:spacing w:val="-3"/>
          <w:sz w:val="20"/>
          <w:szCs w:val="20"/>
        </w:rPr>
        <w:t xml:space="preserve"> </w:t>
      </w:r>
      <w:r w:rsidRPr="00A010FD">
        <w:rPr>
          <w:color w:val="000000"/>
          <w:sz w:val="20"/>
          <w:szCs w:val="20"/>
        </w:rPr>
        <w:t>the</w:t>
      </w:r>
      <w:r w:rsidRPr="00A010FD">
        <w:rPr>
          <w:color w:val="000000"/>
          <w:spacing w:val="-3"/>
          <w:sz w:val="20"/>
          <w:szCs w:val="20"/>
        </w:rPr>
        <w:t xml:space="preserve"> </w:t>
      </w:r>
      <w:r w:rsidRPr="00A010FD">
        <w:rPr>
          <w:color w:val="000000"/>
          <w:sz w:val="20"/>
          <w:szCs w:val="20"/>
        </w:rPr>
        <w:t>following</w:t>
      </w:r>
      <w:r w:rsidRPr="00A010FD">
        <w:rPr>
          <w:color w:val="000000"/>
          <w:spacing w:val="-4"/>
          <w:sz w:val="20"/>
          <w:szCs w:val="20"/>
        </w:rPr>
        <w:t xml:space="preserve"> </w:t>
      </w:r>
      <w:r w:rsidRPr="00A010FD">
        <w:rPr>
          <w:color w:val="000000"/>
          <w:sz w:val="20"/>
          <w:szCs w:val="20"/>
        </w:rPr>
        <w:t>Web</w:t>
      </w:r>
      <w:r w:rsidRPr="00A010FD">
        <w:rPr>
          <w:color w:val="000000"/>
          <w:spacing w:val="-2"/>
          <w:sz w:val="20"/>
          <w:szCs w:val="20"/>
        </w:rPr>
        <w:t xml:space="preserve"> </w:t>
      </w:r>
      <w:r w:rsidRPr="00A010FD">
        <w:rPr>
          <w:color w:val="000000"/>
          <w:sz w:val="20"/>
          <w:szCs w:val="20"/>
        </w:rPr>
        <w:t>page:</w:t>
      </w:r>
      <w:r w:rsidRPr="00A010FD">
        <w:rPr>
          <w:color w:val="0000FF"/>
          <w:sz w:val="20"/>
          <w:szCs w:val="20"/>
          <w:u w:val="single"/>
        </w:rPr>
        <w:t xml:space="preserve"> https://med.noridianmedicare.com/web/jea/topics/claim-submission/patient-status-codes</w:t>
      </w:r>
      <w:r w:rsidRPr="00A010FD">
        <w:rPr>
          <w:color w:val="833B0A"/>
          <w:sz w:val="20"/>
          <w:szCs w:val="20"/>
        </w:rPr>
        <w:t>.</w:t>
      </w:r>
    </w:p>
  </w:footnote>
  <w:footnote w:id="5">
    <w:p w14:paraId="269268D7" w14:textId="77777777" w:rsidR="00884A26" w:rsidRDefault="00884A26" w:rsidP="00E26631">
      <w:pPr>
        <w:pStyle w:val="FootnoteText"/>
      </w:pPr>
      <w:r>
        <w:rPr>
          <w:rStyle w:val="FootnoteReference"/>
        </w:rPr>
        <w:footnoteRef/>
      </w:r>
      <w:r>
        <w:t xml:space="preserve"> </w:t>
      </w:r>
      <w:r w:rsidRPr="000E14D5">
        <w:rPr>
          <w:rFonts w:cstheme="minorHAnsi"/>
        </w:rPr>
        <w:t>National Uniform Billing Committee Official UB-04 Data Specifications Manual 2018, Version 12, July 2017, Copyright 2017, American Hospital Association.</w:t>
      </w:r>
    </w:p>
  </w:footnote>
  <w:footnote w:id="6">
    <w:p w14:paraId="59CCD0BA" w14:textId="77777777" w:rsidR="00884A26" w:rsidRDefault="00884A26" w:rsidP="00E26631">
      <w:pPr>
        <w:pStyle w:val="footnotetext0"/>
      </w:pPr>
      <w:r w:rsidRPr="00E857DB">
        <w:rPr>
          <w:rStyle w:val="FootnoteReference"/>
        </w:rPr>
        <w:footnoteRef/>
      </w:r>
      <w:r w:rsidRPr="00E857DB">
        <w:rPr>
          <w:rStyle w:val="FootnoteReference"/>
        </w:rPr>
        <w:t xml:space="preserve"> </w:t>
      </w:r>
      <w:r>
        <w:tab/>
      </w:r>
      <w:r w:rsidRPr="00D84AA4">
        <w:t>Skilled Nursing Facility 30-Day All-Cause Readmission Measure (SNFRM)</w:t>
      </w:r>
      <w:r>
        <w:t xml:space="preserve"> (</w:t>
      </w:r>
      <w:r w:rsidRPr="00D84AA4">
        <w:t>NQF #2510</w:t>
      </w:r>
      <w:r>
        <w:t>)</w:t>
      </w:r>
      <w:r w:rsidRPr="00D84AA4">
        <w:t xml:space="preserve">. </w:t>
      </w:r>
      <w:hyperlink r:id="rId4" w:history="1">
        <w:r w:rsidRPr="00A446D1">
          <w:rPr>
            <w:rStyle w:val="Hyperlink"/>
          </w:rPr>
          <w:t>http://www.qualityforum.org/QPS/2510</w:t>
        </w:r>
      </w:hyperlink>
    </w:p>
  </w:footnote>
  <w:footnote w:id="7">
    <w:p w14:paraId="21705A7F" w14:textId="77777777" w:rsidR="00884A26" w:rsidRDefault="00884A26" w:rsidP="00E26631">
      <w:pPr>
        <w:pStyle w:val="footnotetext0"/>
      </w:pPr>
      <w:r w:rsidRPr="00E857DB">
        <w:rPr>
          <w:rStyle w:val="FootnoteReference"/>
        </w:rPr>
        <w:footnoteRef/>
      </w:r>
      <w:r w:rsidRPr="00E857DB">
        <w:rPr>
          <w:rStyle w:val="FootnoteReference"/>
        </w:rPr>
        <w:t xml:space="preserve"> </w:t>
      </w:r>
      <w:r w:rsidRPr="00B94A9D">
        <w:rPr>
          <w:vertAlign w:val="superscript"/>
        </w:rPr>
        <w:tab/>
      </w:r>
      <w:r w:rsidRPr="00D84AA4">
        <w:t>All-Cause Unplanned Readmission Measure for 30 Days Post Discharge from Inpatient Rehabilitation Facilities</w:t>
      </w:r>
      <w:r>
        <w:t xml:space="preserve"> (</w:t>
      </w:r>
      <w:r w:rsidRPr="00D84AA4">
        <w:t>NQF #2502</w:t>
      </w:r>
      <w:r>
        <w:t>)</w:t>
      </w:r>
      <w:r w:rsidRPr="00D84AA4">
        <w:t xml:space="preserve">.  </w:t>
      </w:r>
      <w:hyperlink r:id="rId5" w:history="1">
        <w:r w:rsidRPr="00A446D1">
          <w:rPr>
            <w:rStyle w:val="Hyperlink"/>
          </w:rPr>
          <w:t>http://www.qualityforum.org/QPS/2502</w:t>
        </w:r>
      </w:hyperlink>
    </w:p>
  </w:footnote>
  <w:footnote w:id="8">
    <w:p w14:paraId="6E4C7554" w14:textId="77777777" w:rsidR="00884A26" w:rsidRDefault="00884A26" w:rsidP="00E26631">
      <w:pPr>
        <w:pStyle w:val="footnotetext0"/>
      </w:pPr>
      <w:r w:rsidRPr="00E857DB">
        <w:rPr>
          <w:rStyle w:val="FootnoteReference"/>
        </w:rPr>
        <w:footnoteRef/>
      </w:r>
      <w:r w:rsidRPr="00E857DB">
        <w:rPr>
          <w:rStyle w:val="FootnoteReference"/>
        </w:rPr>
        <w:t xml:space="preserve"> </w:t>
      </w:r>
      <w:r>
        <w:tab/>
      </w:r>
      <w:r w:rsidRPr="00D84AA4">
        <w:t>All-Cause Unplanned Readmission Measure for 30 Days Post Discharge from Long Term Care Hospitals</w:t>
      </w:r>
      <w:r>
        <w:t xml:space="preserve"> (</w:t>
      </w:r>
      <w:r w:rsidRPr="00D84AA4">
        <w:t>NQF #2512</w:t>
      </w:r>
      <w:r>
        <w:t>)</w:t>
      </w:r>
      <w:r w:rsidRPr="00D84AA4">
        <w:t xml:space="preserve">. </w:t>
      </w:r>
      <w:hyperlink r:id="rId6" w:history="1">
        <w:r w:rsidRPr="00A446D1">
          <w:rPr>
            <w:rStyle w:val="Hyperlink"/>
          </w:rPr>
          <w:t>http://www.qualityforum.org/QPS/2512</w:t>
        </w:r>
      </w:hyperlink>
    </w:p>
  </w:footnote>
  <w:footnote w:id="9">
    <w:p w14:paraId="063E0464" w14:textId="77777777" w:rsidR="00884A26" w:rsidRDefault="00884A26" w:rsidP="00E26631">
      <w:pPr>
        <w:pStyle w:val="footnotetext0"/>
      </w:pPr>
      <w:r w:rsidRPr="00E857DB">
        <w:rPr>
          <w:rStyle w:val="FootnoteReference"/>
        </w:rPr>
        <w:footnoteRef/>
      </w:r>
      <w:r w:rsidRPr="00E857DB">
        <w:rPr>
          <w:rStyle w:val="FootnoteReference"/>
        </w:rPr>
        <w:t xml:space="preserve"> </w:t>
      </w:r>
      <w:r>
        <w:tab/>
      </w:r>
      <w:r w:rsidRPr="00D84AA4">
        <w:t>Hospital-Wide All-Cause Readmission Measure (HWR) (CMS/Yale)</w:t>
      </w:r>
      <w:r>
        <w:t xml:space="preserve"> (</w:t>
      </w:r>
      <w:r w:rsidRPr="00D84AA4">
        <w:t>NQF #1789</w:t>
      </w:r>
      <w:r>
        <w:t>)</w:t>
      </w:r>
      <w:r w:rsidRPr="00D84AA4">
        <w:t xml:space="preserve">.  </w:t>
      </w:r>
      <w:hyperlink r:id="rId7" w:history="1">
        <w:r w:rsidRPr="00D84AA4">
          <w:rPr>
            <w:rStyle w:val="Hyperlink"/>
          </w:rPr>
          <w:t>www.qualityforum.org/QPS/1789</w:t>
        </w:r>
      </w:hyperlink>
    </w:p>
  </w:footnote>
  <w:footnote w:id="10">
    <w:p w14:paraId="143B20F6" w14:textId="77777777" w:rsidR="00884A26" w:rsidRDefault="00884A26" w:rsidP="00E26631">
      <w:pPr>
        <w:pStyle w:val="FootnoteText"/>
      </w:pPr>
      <w:r>
        <w:rPr>
          <w:rStyle w:val="FootnoteReference"/>
        </w:rPr>
        <w:footnoteRef/>
      </w:r>
      <w:r>
        <w:t xml:space="preserve">    </w:t>
      </w:r>
      <w:r w:rsidRPr="0076650B">
        <w:rPr>
          <w:rFonts w:eastAsia="Times New Roman"/>
        </w:rPr>
        <w:t xml:space="preserve">Table 2-9. AHRQ CCS Single Level Procedure Codes and ICD-9 Procedure Codes Added to Yale’s Planned </w:t>
      </w:r>
      <w:r>
        <w:rPr>
          <w:rFonts w:eastAsia="Times New Roman"/>
        </w:rPr>
        <w:t xml:space="preserve">   </w:t>
      </w:r>
      <w:r w:rsidRPr="0076650B">
        <w:rPr>
          <w:rFonts w:eastAsia="Times New Roman"/>
        </w:rPr>
        <w:t xml:space="preserve">Readmission Algorithm, for the Post-Acute Care Setting. In: Measure Specifications for Measures Adopted in the FY 2017 IRF QRP Final Rule. </w:t>
      </w:r>
      <w:hyperlink r:id="rId8" w:history="1">
        <w:r w:rsidRPr="0076650B">
          <w:rPr>
            <w:rFonts w:eastAsia="Times New Roman"/>
          </w:rPr>
          <w:t>https://www.cms.gov/Medicare/Quality-Initiatives-Patient-Assessment-Instruments/IRF-Quality-Reporting/Downloads/Measure-Specifications-for-FY17-IRF-QRP-Final-Rule.pdf</w:t>
        </w:r>
      </w:hyperlink>
      <w:r w:rsidRPr="0076650B">
        <w:rPr>
          <w:rFonts w:eastAsia="Times New Roman"/>
        </w:rPr>
        <w:t>. Note: The ICD-9 codes listed in Table 2-9 were updated with ICD-10-CM codes for data starting October 1, 2015.</w:t>
      </w:r>
    </w:p>
  </w:footnote>
  <w:footnote w:id="11">
    <w:p w14:paraId="3FF107C5" w14:textId="77777777" w:rsidR="00884A26" w:rsidRDefault="00884A26" w:rsidP="00E26631">
      <w:pPr>
        <w:pStyle w:val="FootnoteText"/>
      </w:pPr>
      <w:r>
        <w:rPr>
          <w:rStyle w:val="FootnoteReference"/>
        </w:rPr>
        <w:footnoteRef/>
      </w:r>
      <w:r>
        <w:t xml:space="preserve"> </w:t>
      </w:r>
      <w:r w:rsidRPr="00D84AA4">
        <w:t>Hospital-Wide All-Cause Readmission Measure (HWR) (CMS/Yale)</w:t>
      </w:r>
      <w:r>
        <w:t xml:space="preserve"> (</w:t>
      </w:r>
      <w:r w:rsidRPr="00D84AA4">
        <w:t>NQF #1789</w:t>
      </w:r>
      <w:r>
        <w:t>)</w:t>
      </w:r>
      <w:r w:rsidRPr="00D84AA4">
        <w:t xml:space="preserve">.  </w:t>
      </w:r>
      <w:hyperlink r:id="rId9" w:history="1">
        <w:r w:rsidRPr="00D84AA4">
          <w:rPr>
            <w:rStyle w:val="Hyperlink"/>
          </w:rPr>
          <w:t>www.qualityforum.org/QPS/1789</w:t>
        </w:r>
      </w:hyperlink>
    </w:p>
  </w:footnote>
  <w:footnote w:id="12">
    <w:p w14:paraId="1CC3F6EC" w14:textId="77777777" w:rsidR="00884A26" w:rsidRDefault="00884A26" w:rsidP="00E26631">
      <w:pPr>
        <w:pStyle w:val="FootnoteText"/>
      </w:pPr>
      <w:r>
        <w:rPr>
          <w:rStyle w:val="FootnoteReference"/>
        </w:rPr>
        <w:footnoteRef/>
      </w:r>
      <w:r>
        <w:t xml:space="preserve"> </w:t>
      </w:r>
      <w:r w:rsidRPr="00D84AA4">
        <w:t>Hospital-Wide All-Cause Readmission Measure (HWR) (CMS/Yale)</w:t>
      </w:r>
      <w:r>
        <w:t xml:space="preserve"> (</w:t>
      </w:r>
      <w:r w:rsidRPr="00D84AA4">
        <w:t>NQF #1789</w:t>
      </w:r>
      <w:r>
        <w:t xml:space="preserve">) Version7.0_Readmission_Hospital-Wide_Report_3-19-2018.pdf </w:t>
      </w:r>
    </w:p>
    <w:p w14:paraId="24E473DC" w14:textId="77777777" w:rsidR="00884A26" w:rsidRDefault="00884A26" w:rsidP="00E26631">
      <w:pPr>
        <w:pStyle w:val="FootnoteText"/>
      </w:pPr>
      <w:hyperlink r:id="rId10" w:history="1">
        <w:r w:rsidRPr="007C22FD">
          <w:rPr>
            <w:rStyle w:val="Hyperlink"/>
          </w:rPr>
          <w:t>https://www.cms.gov/Medicare/Quality-Initiatives-Patient-Assessment-Instruments/HospitalQualityInits/Downloads/Hospital-Wide-All-Cause-Readmission-Updates.zip</w:t>
        </w:r>
      </w:hyperlink>
    </w:p>
  </w:footnote>
  <w:footnote w:id="13">
    <w:p w14:paraId="6B3D7445" w14:textId="77777777" w:rsidR="00884A26" w:rsidRDefault="00884A26" w:rsidP="00E26631">
      <w:pPr>
        <w:pStyle w:val="FootnoteText"/>
      </w:pPr>
      <w:r>
        <w:rPr>
          <w:rStyle w:val="FootnoteReference"/>
        </w:rPr>
        <w:footnoteRef/>
      </w:r>
      <w:r>
        <w:t xml:space="preserve"> Consistent with the 2017 SAS pack for the 30-day hospital-wide readmission (HWR) measure, the calculation of the predicted rate within each bootstrap includes the addition of normally distributed noise proportional to the standard error of the provider-specific effect estimate.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7"/>
    <w:multiLevelType w:val="multilevel"/>
    <w:tmpl w:val="0000088A"/>
    <w:lvl w:ilvl="0">
      <w:start w:val="15"/>
      <w:numFmt w:val="decimal"/>
      <w:lvlText w:val="%1"/>
      <w:lvlJc w:val="left"/>
      <w:pPr>
        <w:ind w:left="391" w:hanging="272"/>
      </w:pPr>
      <w:rPr>
        <w:rFonts w:cs="Times New Roman"/>
        <w:b w:val="0"/>
        <w:bCs w:val="0"/>
        <w:spacing w:val="0"/>
        <w:w w:val="100"/>
        <w:position w:val="6"/>
      </w:rPr>
    </w:lvl>
    <w:lvl w:ilvl="1">
      <w:numFmt w:val="bullet"/>
      <w:lvlText w:val=""/>
      <w:lvlJc w:val="left"/>
      <w:pPr>
        <w:ind w:left="840" w:hanging="360"/>
      </w:pPr>
      <w:rPr>
        <w:rFonts w:ascii="Symbol" w:hAnsi="Symbol"/>
        <w:b w:val="0"/>
        <w:w w:val="100"/>
        <w:sz w:val="24"/>
      </w:rPr>
    </w:lvl>
    <w:lvl w:ilvl="2">
      <w:numFmt w:val="bullet"/>
      <w:lvlText w:val="o"/>
      <w:lvlJc w:val="left"/>
      <w:pPr>
        <w:ind w:left="1560" w:hanging="360"/>
      </w:pPr>
      <w:rPr>
        <w:rFonts w:ascii="Courier New" w:hAnsi="Courier New"/>
        <w:b w:val="0"/>
        <w:w w:val="100"/>
        <w:sz w:val="24"/>
      </w:rPr>
    </w:lvl>
    <w:lvl w:ilvl="3">
      <w:numFmt w:val="bullet"/>
      <w:lvlText w:val="•"/>
      <w:lvlJc w:val="left"/>
      <w:pPr>
        <w:ind w:left="2565" w:hanging="360"/>
      </w:pPr>
    </w:lvl>
    <w:lvl w:ilvl="4">
      <w:numFmt w:val="bullet"/>
      <w:lvlText w:val="•"/>
      <w:lvlJc w:val="left"/>
      <w:pPr>
        <w:ind w:left="3570" w:hanging="360"/>
      </w:pPr>
    </w:lvl>
    <w:lvl w:ilvl="5">
      <w:numFmt w:val="bullet"/>
      <w:lvlText w:val="•"/>
      <w:lvlJc w:val="left"/>
      <w:pPr>
        <w:ind w:left="4575" w:hanging="360"/>
      </w:pPr>
    </w:lvl>
    <w:lvl w:ilvl="6">
      <w:numFmt w:val="bullet"/>
      <w:lvlText w:val="•"/>
      <w:lvlJc w:val="left"/>
      <w:pPr>
        <w:ind w:left="5580" w:hanging="360"/>
      </w:pPr>
    </w:lvl>
    <w:lvl w:ilvl="7">
      <w:numFmt w:val="bullet"/>
      <w:lvlText w:val="•"/>
      <w:lvlJc w:val="left"/>
      <w:pPr>
        <w:ind w:left="6585" w:hanging="360"/>
      </w:pPr>
    </w:lvl>
    <w:lvl w:ilvl="8">
      <w:numFmt w:val="bullet"/>
      <w:lvlText w:val="•"/>
      <w:lvlJc w:val="left"/>
      <w:pPr>
        <w:ind w:left="7590" w:hanging="360"/>
      </w:pPr>
    </w:lvl>
  </w:abstractNum>
  <w:abstractNum w:abstractNumId="1" w15:restartNumberingAfterBreak="0">
    <w:nsid w:val="13955F29"/>
    <w:multiLevelType w:val="hybridMultilevel"/>
    <w:tmpl w:val="767A8F2A"/>
    <w:lvl w:ilvl="0" w:tplc="2A8A45C8">
      <w:start w:val="1"/>
      <w:numFmt w:val="bullet"/>
      <w:lvlText w:val=""/>
      <w:lvlJc w:val="left"/>
      <w:pPr>
        <w:ind w:left="720" w:hanging="360"/>
      </w:pPr>
      <w:rPr>
        <w:rFonts w:ascii="Symbol" w:hAnsi="Symbol" w:hint="default"/>
      </w:rPr>
    </w:lvl>
    <w:lvl w:ilvl="1" w:tplc="637E3E0C">
      <w:start w:val="1"/>
      <w:numFmt w:val="bullet"/>
      <w:lvlText w:val="o"/>
      <w:lvlJc w:val="left"/>
      <w:pPr>
        <w:ind w:left="1440" w:hanging="360"/>
      </w:pPr>
      <w:rPr>
        <w:rFonts w:ascii="Courier New" w:hAnsi="Courier New" w:hint="default"/>
      </w:rPr>
    </w:lvl>
    <w:lvl w:ilvl="2" w:tplc="A33CE3C8">
      <w:start w:val="1"/>
      <w:numFmt w:val="bullet"/>
      <w:lvlText w:val=""/>
      <w:lvlJc w:val="left"/>
      <w:pPr>
        <w:ind w:left="2160" w:hanging="360"/>
      </w:pPr>
      <w:rPr>
        <w:rFonts w:ascii="Wingdings" w:hAnsi="Wingdings" w:hint="default"/>
      </w:rPr>
    </w:lvl>
    <w:lvl w:ilvl="3" w:tplc="FE8E1D0A">
      <w:start w:val="1"/>
      <w:numFmt w:val="bullet"/>
      <w:lvlText w:val=""/>
      <w:lvlJc w:val="left"/>
      <w:pPr>
        <w:ind w:left="2880" w:hanging="360"/>
      </w:pPr>
      <w:rPr>
        <w:rFonts w:ascii="Symbol" w:hAnsi="Symbol" w:hint="default"/>
      </w:rPr>
    </w:lvl>
    <w:lvl w:ilvl="4" w:tplc="86DE8B18">
      <w:start w:val="1"/>
      <w:numFmt w:val="bullet"/>
      <w:lvlText w:val="o"/>
      <w:lvlJc w:val="left"/>
      <w:pPr>
        <w:ind w:left="3600" w:hanging="360"/>
      </w:pPr>
      <w:rPr>
        <w:rFonts w:ascii="Courier New" w:hAnsi="Courier New" w:hint="default"/>
      </w:rPr>
    </w:lvl>
    <w:lvl w:ilvl="5" w:tplc="B074E386">
      <w:start w:val="1"/>
      <w:numFmt w:val="bullet"/>
      <w:lvlText w:val=""/>
      <w:lvlJc w:val="left"/>
      <w:pPr>
        <w:ind w:left="4320" w:hanging="360"/>
      </w:pPr>
      <w:rPr>
        <w:rFonts w:ascii="Wingdings" w:hAnsi="Wingdings" w:hint="default"/>
      </w:rPr>
    </w:lvl>
    <w:lvl w:ilvl="6" w:tplc="3DF2D60E">
      <w:start w:val="1"/>
      <w:numFmt w:val="bullet"/>
      <w:lvlText w:val=""/>
      <w:lvlJc w:val="left"/>
      <w:pPr>
        <w:ind w:left="5040" w:hanging="360"/>
      </w:pPr>
      <w:rPr>
        <w:rFonts w:ascii="Symbol" w:hAnsi="Symbol" w:hint="default"/>
      </w:rPr>
    </w:lvl>
    <w:lvl w:ilvl="7" w:tplc="913E6476">
      <w:start w:val="1"/>
      <w:numFmt w:val="bullet"/>
      <w:lvlText w:val="o"/>
      <w:lvlJc w:val="left"/>
      <w:pPr>
        <w:ind w:left="5760" w:hanging="360"/>
      </w:pPr>
      <w:rPr>
        <w:rFonts w:ascii="Courier New" w:hAnsi="Courier New" w:hint="default"/>
      </w:rPr>
    </w:lvl>
    <w:lvl w:ilvl="8" w:tplc="5FCA2330">
      <w:start w:val="1"/>
      <w:numFmt w:val="bullet"/>
      <w:lvlText w:val=""/>
      <w:lvlJc w:val="left"/>
      <w:pPr>
        <w:ind w:left="6480" w:hanging="360"/>
      </w:pPr>
      <w:rPr>
        <w:rFonts w:ascii="Wingdings" w:hAnsi="Wingdings" w:hint="default"/>
      </w:rPr>
    </w:lvl>
  </w:abstractNum>
  <w:abstractNum w:abstractNumId="2" w15:restartNumberingAfterBreak="0">
    <w:nsid w:val="14566980"/>
    <w:multiLevelType w:val="hybridMultilevel"/>
    <w:tmpl w:val="FEEAE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25946"/>
    <w:multiLevelType w:val="hybridMultilevel"/>
    <w:tmpl w:val="12FE17F6"/>
    <w:lvl w:ilvl="0" w:tplc="AB008B44">
      <w:start w:val="1"/>
      <w:numFmt w:val="bullet"/>
      <w:lvlText w:val=""/>
      <w:lvlJc w:val="left"/>
      <w:pPr>
        <w:ind w:left="720" w:hanging="360"/>
      </w:pPr>
      <w:rPr>
        <w:rFonts w:ascii="Symbol" w:hAnsi="Symbol" w:hint="default"/>
      </w:rPr>
    </w:lvl>
    <w:lvl w:ilvl="1" w:tplc="1FEE485E">
      <w:start w:val="1"/>
      <w:numFmt w:val="bullet"/>
      <w:lvlText w:val="o"/>
      <w:lvlJc w:val="left"/>
      <w:pPr>
        <w:ind w:left="1440" w:hanging="360"/>
      </w:pPr>
      <w:rPr>
        <w:rFonts w:ascii="Courier New" w:hAnsi="Courier New" w:hint="default"/>
      </w:rPr>
    </w:lvl>
    <w:lvl w:ilvl="2" w:tplc="9AF891B4">
      <w:start w:val="1"/>
      <w:numFmt w:val="bullet"/>
      <w:lvlText w:val=""/>
      <w:lvlJc w:val="left"/>
      <w:pPr>
        <w:ind w:left="2160" w:hanging="360"/>
      </w:pPr>
      <w:rPr>
        <w:rFonts w:ascii="Wingdings" w:hAnsi="Wingdings" w:hint="default"/>
      </w:rPr>
    </w:lvl>
    <w:lvl w:ilvl="3" w:tplc="2B3CE432">
      <w:start w:val="1"/>
      <w:numFmt w:val="bullet"/>
      <w:lvlText w:val=""/>
      <w:lvlJc w:val="left"/>
      <w:pPr>
        <w:ind w:left="2880" w:hanging="360"/>
      </w:pPr>
      <w:rPr>
        <w:rFonts w:ascii="Symbol" w:hAnsi="Symbol" w:hint="default"/>
      </w:rPr>
    </w:lvl>
    <w:lvl w:ilvl="4" w:tplc="FE8CDE66">
      <w:start w:val="1"/>
      <w:numFmt w:val="bullet"/>
      <w:lvlText w:val="o"/>
      <w:lvlJc w:val="left"/>
      <w:pPr>
        <w:ind w:left="3600" w:hanging="360"/>
      </w:pPr>
      <w:rPr>
        <w:rFonts w:ascii="Courier New" w:hAnsi="Courier New" w:hint="default"/>
      </w:rPr>
    </w:lvl>
    <w:lvl w:ilvl="5" w:tplc="78EA2FBC">
      <w:start w:val="1"/>
      <w:numFmt w:val="bullet"/>
      <w:lvlText w:val=""/>
      <w:lvlJc w:val="left"/>
      <w:pPr>
        <w:ind w:left="4320" w:hanging="360"/>
      </w:pPr>
      <w:rPr>
        <w:rFonts w:ascii="Wingdings" w:hAnsi="Wingdings" w:hint="default"/>
      </w:rPr>
    </w:lvl>
    <w:lvl w:ilvl="6" w:tplc="945C1B56">
      <w:start w:val="1"/>
      <w:numFmt w:val="bullet"/>
      <w:lvlText w:val=""/>
      <w:lvlJc w:val="left"/>
      <w:pPr>
        <w:ind w:left="5040" w:hanging="360"/>
      </w:pPr>
      <w:rPr>
        <w:rFonts w:ascii="Symbol" w:hAnsi="Symbol" w:hint="default"/>
      </w:rPr>
    </w:lvl>
    <w:lvl w:ilvl="7" w:tplc="19AC3CFE">
      <w:start w:val="1"/>
      <w:numFmt w:val="bullet"/>
      <w:lvlText w:val="o"/>
      <w:lvlJc w:val="left"/>
      <w:pPr>
        <w:ind w:left="5760" w:hanging="360"/>
      </w:pPr>
      <w:rPr>
        <w:rFonts w:ascii="Courier New" w:hAnsi="Courier New" w:hint="default"/>
      </w:rPr>
    </w:lvl>
    <w:lvl w:ilvl="8" w:tplc="3EA24EB0">
      <w:start w:val="1"/>
      <w:numFmt w:val="bullet"/>
      <w:lvlText w:val=""/>
      <w:lvlJc w:val="left"/>
      <w:pPr>
        <w:ind w:left="6480" w:hanging="360"/>
      </w:pPr>
      <w:rPr>
        <w:rFonts w:ascii="Wingdings" w:hAnsi="Wingdings" w:hint="default"/>
      </w:rPr>
    </w:lvl>
  </w:abstractNum>
  <w:abstractNum w:abstractNumId="4" w15:restartNumberingAfterBreak="0">
    <w:nsid w:val="231F2103"/>
    <w:multiLevelType w:val="hybridMultilevel"/>
    <w:tmpl w:val="6060B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B6B50"/>
    <w:multiLevelType w:val="hybridMultilevel"/>
    <w:tmpl w:val="61FEA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864780"/>
    <w:multiLevelType w:val="hybridMultilevel"/>
    <w:tmpl w:val="6B24C982"/>
    <w:lvl w:ilvl="0" w:tplc="1F08F8CC">
      <w:start w:val="1"/>
      <w:numFmt w:val="decimal"/>
      <w:lvlText w:val="(%1)"/>
      <w:lvlJc w:val="left"/>
      <w:pPr>
        <w:ind w:left="1726" w:hanging="347"/>
      </w:pPr>
      <w:rPr>
        <w:rFonts w:ascii="Times New Roman" w:eastAsia="Times New Roman" w:hAnsi="Times New Roman" w:cs="Times New Roman" w:hint="default"/>
        <w:w w:val="99"/>
        <w:sz w:val="24"/>
        <w:szCs w:val="24"/>
        <w:lang w:val="en-US" w:eastAsia="en-US" w:bidi="en-US"/>
      </w:rPr>
    </w:lvl>
    <w:lvl w:ilvl="1" w:tplc="3DE4D29C">
      <w:start w:val="1"/>
      <w:numFmt w:val="lowerLetter"/>
      <w:lvlText w:val="(%2)"/>
      <w:lvlJc w:val="left"/>
      <w:pPr>
        <w:ind w:left="2145" w:hanging="334"/>
      </w:pPr>
      <w:rPr>
        <w:rFonts w:ascii="Times New Roman" w:eastAsia="Times New Roman" w:hAnsi="Times New Roman" w:cs="Times New Roman" w:hint="default"/>
        <w:w w:val="99"/>
        <w:sz w:val="24"/>
        <w:szCs w:val="24"/>
        <w:lang w:val="en-US" w:eastAsia="en-US" w:bidi="en-US"/>
      </w:rPr>
    </w:lvl>
    <w:lvl w:ilvl="2" w:tplc="4F783FDA">
      <w:numFmt w:val="bullet"/>
      <w:lvlText w:val="•"/>
      <w:lvlJc w:val="left"/>
      <w:pPr>
        <w:ind w:left="2240" w:hanging="334"/>
      </w:pPr>
      <w:rPr>
        <w:rFonts w:hint="default"/>
        <w:lang w:val="en-US" w:eastAsia="en-US" w:bidi="en-US"/>
      </w:rPr>
    </w:lvl>
    <w:lvl w:ilvl="3" w:tplc="EF38DF46">
      <w:numFmt w:val="bullet"/>
      <w:lvlText w:val="•"/>
      <w:lvlJc w:val="left"/>
      <w:pPr>
        <w:ind w:left="3302" w:hanging="334"/>
      </w:pPr>
      <w:rPr>
        <w:rFonts w:hint="default"/>
        <w:lang w:val="en-US" w:eastAsia="en-US" w:bidi="en-US"/>
      </w:rPr>
    </w:lvl>
    <w:lvl w:ilvl="4" w:tplc="414C95D0">
      <w:numFmt w:val="bullet"/>
      <w:lvlText w:val="•"/>
      <w:lvlJc w:val="left"/>
      <w:pPr>
        <w:ind w:left="4365" w:hanging="334"/>
      </w:pPr>
      <w:rPr>
        <w:rFonts w:hint="default"/>
        <w:lang w:val="en-US" w:eastAsia="en-US" w:bidi="en-US"/>
      </w:rPr>
    </w:lvl>
    <w:lvl w:ilvl="5" w:tplc="E9D64CCE">
      <w:numFmt w:val="bullet"/>
      <w:lvlText w:val="•"/>
      <w:lvlJc w:val="left"/>
      <w:pPr>
        <w:ind w:left="5427" w:hanging="334"/>
      </w:pPr>
      <w:rPr>
        <w:rFonts w:hint="default"/>
        <w:lang w:val="en-US" w:eastAsia="en-US" w:bidi="en-US"/>
      </w:rPr>
    </w:lvl>
    <w:lvl w:ilvl="6" w:tplc="042C6F5E">
      <w:numFmt w:val="bullet"/>
      <w:lvlText w:val="•"/>
      <w:lvlJc w:val="left"/>
      <w:pPr>
        <w:ind w:left="6490" w:hanging="334"/>
      </w:pPr>
      <w:rPr>
        <w:rFonts w:hint="default"/>
        <w:lang w:val="en-US" w:eastAsia="en-US" w:bidi="en-US"/>
      </w:rPr>
    </w:lvl>
    <w:lvl w:ilvl="7" w:tplc="CC846E7E">
      <w:numFmt w:val="bullet"/>
      <w:lvlText w:val="•"/>
      <w:lvlJc w:val="left"/>
      <w:pPr>
        <w:ind w:left="7552" w:hanging="334"/>
      </w:pPr>
      <w:rPr>
        <w:rFonts w:hint="default"/>
        <w:lang w:val="en-US" w:eastAsia="en-US" w:bidi="en-US"/>
      </w:rPr>
    </w:lvl>
    <w:lvl w:ilvl="8" w:tplc="51DE49A2">
      <w:numFmt w:val="bullet"/>
      <w:lvlText w:val="•"/>
      <w:lvlJc w:val="left"/>
      <w:pPr>
        <w:ind w:left="8615" w:hanging="334"/>
      </w:pPr>
      <w:rPr>
        <w:rFonts w:hint="default"/>
        <w:lang w:val="en-US" w:eastAsia="en-US" w:bidi="en-US"/>
      </w:rPr>
    </w:lvl>
  </w:abstractNum>
  <w:abstractNum w:abstractNumId="7" w15:restartNumberingAfterBreak="0">
    <w:nsid w:val="2FC43A53"/>
    <w:multiLevelType w:val="hybridMultilevel"/>
    <w:tmpl w:val="9C666E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2B0422"/>
    <w:multiLevelType w:val="hybridMultilevel"/>
    <w:tmpl w:val="70B41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E40F1"/>
    <w:multiLevelType w:val="hybridMultilevel"/>
    <w:tmpl w:val="228CD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25AFC"/>
    <w:multiLevelType w:val="hybridMultilevel"/>
    <w:tmpl w:val="6FACBB0A"/>
    <w:lvl w:ilvl="0" w:tplc="8C26FD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C62097"/>
    <w:multiLevelType w:val="hybridMultilevel"/>
    <w:tmpl w:val="D50A83A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DDA1906"/>
    <w:multiLevelType w:val="multilevel"/>
    <w:tmpl w:val="811ED86A"/>
    <w:lvl w:ilvl="0">
      <w:start w:val="1"/>
      <w:numFmt w:val="decimal"/>
      <w:pStyle w:val="NumberedList"/>
      <w:lvlText w:val="%1)"/>
      <w:lvlJc w:val="left"/>
      <w:pPr>
        <w:tabs>
          <w:tab w:val="num" w:pos="1260"/>
        </w:tabs>
        <w:ind w:left="126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23B1A4E"/>
    <w:multiLevelType w:val="hybridMultilevel"/>
    <w:tmpl w:val="0F244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D64C1C"/>
    <w:multiLevelType w:val="hybridMultilevel"/>
    <w:tmpl w:val="4672D212"/>
    <w:lvl w:ilvl="0" w:tplc="7462496C">
      <w:start w:val="1"/>
      <w:numFmt w:val="bullet"/>
      <w:lvlText w:val=""/>
      <w:lvlJc w:val="left"/>
      <w:pPr>
        <w:ind w:left="720" w:hanging="360"/>
      </w:pPr>
      <w:rPr>
        <w:rFonts w:ascii="Symbol" w:hAnsi="Symbol" w:hint="default"/>
      </w:rPr>
    </w:lvl>
    <w:lvl w:ilvl="1" w:tplc="3B2EC934">
      <w:start w:val="1"/>
      <w:numFmt w:val="bullet"/>
      <w:lvlText w:val="o"/>
      <w:lvlJc w:val="left"/>
      <w:pPr>
        <w:ind w:left="1440" w:hanging="360"/>
      </w:pPr>
      <w:rPr>
        <w:rFonts w:ascii="Courier New" w:hAnsi="Courier New" w:hint="default"/>
      </w:rPr>
    </w:lvl>
    <w:lvl w:ilvl="2" w:tplc="762AC7F4">
      <w:start w:val="1"/>
      <w:numFmt w:val="bullet"/>
      <w:lvlText w:val=""/>
      <w:lvlJc w:val="left"/>
      <w:pPr>
        <w:ind w:left="2160" w:hanging="360"/>
      </w:pPr>
      <w:rPr>
        <w:rFonts w:ascii="Wingdings" w:hAnsi="Wingdings" w:hint="default"/>
      </w:rPr>
    </w:lvl>
    <w:lvl w:ilvl="3" w:tplc="61D81958">
      <w:start w:val="1"/>
      <w:numFmt w:val="bullet"/>
      <w:lvlText w:val=""/>
      <w:lvlJc w:val="left"/>
      <w:pPr>
        <w:ind w:left="2880" w:hanging="360"/>
      </w:pPr>
      <w:rPr>
        <w:rFonts w:ascii="Symbol" w:hAnsi="Symbol" w:hint="default"/>
      </w:rPr>
    </w:lvl>
    <w:lvl w:ilvl="4" w:tplc="B4163B58">
      <w:start w:val="1"/>
      <w:numFmt w:val="bullet"/>
      <w:lvlText w:val="o"/>
      <w:lvlJc w:val="left"/>
      <w:pPr>
        <w:ind w:left="3600" w:hanging="360"/>
      </w:pPr>
      <w:rPr>
        <w:rFonts w:ascii="Courier New" w:hAnsi="Courier New" w:hint="default"/>
      </w:rPr>
    </w:lvl>
    <w:lvl w:ilvl="5" w:tplc="FBE67098">
      <w:start w:val="1"/>
      <w:numFmt w:val="bullet"/>
      <w:lvlText w:val=""/>
      <w:lvlJc w:val="left"/>
      <w:pPr>
        <w:ind w:left="4320" w:hanging="360"/>
      </w:pPr>
      <w:rPr>
        <w:rFonts w:ascii="Wingdings" w:hAnsi="Wingdings" w:hint="default"/>
      </w:rPr>
    </w:lvl>
    <w:lvl w:ilvl="6" w:tplc="F7342F5A">
      <w:start w:val="1"/>
      <w:numFmt w:val="bullet"/>
      <w:lvlText w:val=""/>
      <w:lvlJc w:val="left"/>
      <w:pPr>
        <w:ind w:left="5040" w:hanging="360"/>
      </w:pPr>
      <w:rPr>
        <w:rFonts w:ascii="Symbol" w:hAnsi="Symbol" w:hint="default"/>
      </w:rPr>
    </w:lvl>
    <w:lvl w:ilvl="7" w:tplc="01A4412C">
      <w:start w:val="1"/>
      <w:numFmt w:val="bullet"/>
      <w:lvlText w:val="o"/>
      <w:lvlJc w:val="left"/>
      <w:pPr>
        <w:ind w:left="5760" w:hanging="360"/>
      </w:pPr>
      <w:rPr>
        <w:rFonts w:ascii="Courier New" w:hAnsi="Courier New" w:hint="default"/>
      </w:rPr>
    </w:lvl>
    <w:lvl w:ilvl="8" w:tplc="AF92EB1E">
      <w:start w:val="1"/>
      <w:numFmt w:val="bullet"/>
      <w:lvlText w:val=""/>
      <w:lvlJc w:val="left"/>
      <w:pPr>
        <w:ind w:left="6480" w:hanging="360"/>
      </w:pPr>
      <w:rPr>
        <w:rFonts w:ascii="Wingdings" w:hAnsi="Wingdings" w:hint="default"/>
      </w:rPr>
    </w:lvl>
  </w:abstractNum>
  <w:abstractNum w:abstractNumId="15" w15:restartNumberingAfterBreak="0">
    <w:nsid w:val="4C9952E8"/>
    <w:multiLevelType w:val="hybridMultilevel"/>
    <w:tmpl w:val="8BA6F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C532C0"/>
    <w:multiLevelType w:val="hybridMultilevel"/>
    <w:tmpl w:val="7D9C498C"/>
    <w:lvl w:ilvl="0" w:tplc="D4D8EC84">
      <w:start w:val="1"/>
      <w:numFmt w:val="bullet"/>
      <w:lvlText w:val=""/>
      <w:lvlJc w:val="left"/>
      <w:pPr>
        <w:ind w:left="720" w:hanging="360"/>
      </w:pPr>
      <w:rPr>
        <w:rFonts w:ascii="Symbol" w:hAnsi="Symbol" w:hint="default"/>
      </w:rPr>
    </w:lvl>
    <w:lvl w:ilvl="1" w:tplc="192E3B92">
      <w:start w:val="1"/>
      <w:numFmt w:val="bullet"/>
      <w:lvlText w:val="o"/>
      <w:lvlJc w:val="left"/>
      <w:pPr>
        <w:ind w:left="1440" w:hanging="360"/>
      </w:pPr>
      <w:rPr>
        <w:rFonts w:ascii="Courier New" w:hAnsi="Courier New" w:hint="default"/>
      </w:rPr>
    </w:lvl>
    <w:lvl w:ilvl="2" w:tplc="C00C43E4">
      <w:start w:val="1"/>
      <w:numFmt w:val="bullet"/>
      <w:lvlText w:val=""/>
      <w:lvlJc w:val="left"/>
      <w:pPr>
        <w:ind w:left="2160" w:hanging="360"/>
      </w:pPr>
      <w:rPr>
        <w:rFonts w:ascii="Wingdings" w:hAnsi="Wingdings" w:hint="default"/>
      </w:rPr>
    </w:lvl>
    <w:lvl w:ilvl="3" w:tplc="17BE3B76">
      <w:start w:val="1"/>
      <w:numFmt w:val="bullet"/>
      <w:lvlText w:val=""/>
      <w:lvlJc w:val="left"/>
      <w:pPr>
        <w:ind w:left="2880" w:hanging="360"/>
      </w:pPr>
      <w:rPr>
        <w:rFonts w:ascii="Symbol" w:hAnsi="Symbol" w:hint="default"/>
      </w:rPr>
    </w:lvl>
    <w:lvl w:ilvl="4" w:tplc="68CA8EF8">
      <w:start w:val="1"/>
      <w:numFmt w:val="bullet"/>
      <w:lvlText w:val="o"/>
      <w:lvlJc w:val="left"/>
      <w:pPr>
        <w:ind w:left="3600" w:hanging="360"/>
      </w:pPr>
      <w:rPr>
        <w:rFonts w:ascii="Courier New" w:hAnsi="Courier New" w:hint="default"/>
      </w:rPr>
    </w:lvl>
    <w:lvl w:ilvl="5" w:tplc="57060D0A">
      <w:start w:val="1"/>
      <w:numFmt w:val="bullet"/>
      <w:lvlText w:val=""/>
      <w:lvlJc w:val="left"/>
      <w:pPr>
        <w:ind w:left="4320" w:hanging="360"/>
      </w:pPr>
      <w:rPr>
        <w:rFonts w:ascii="Wingdings" w:hAnsi="Wingdings" w:hint="default"/>
      </w:rPr>
    </w:lvl>
    <w:lvl w:ilvl="6" w:tplc="9AAA0B44">
      <w:start w:val="1"/>
      <w:numFmt w:val="bullet"/>
      <w:lvlText w:val=""/>
      <w:lvlJc w:val="left"/>
      <w:pPr>
        <w:ind w:left="5040" w:hanging="360"/>
      </w:pPr>
      <w:rPr>
        <w:rFonts w:ascii="Symbol" w:hAnsi="Symbol" w:hint="default"/>
      </w:rPr>
    </w:lvl>
    <w:lvl w:ilvl="7" w:tplc="93720F22">
      <w:start w:val="1"/>
      <w:numFmt w:val="bullet"/>
      <w:lvlText w:val="o"/>
      <w:lvlJc w:val="left"/>
      <w:pPr>
        <w:ind w:left="5760" w:hanging="360"/>
      </w:pPr>
      <w:rPr>
        <w:rFonts w:ascii="Courier New" w:hAnsi="Courier New" w:hint="default"/>
      </w:rPr>
    </w:lvl>
    <w:lvl w:ilvl="8" w:tplc="F2869B26">
      <w:start w:val="1"/>
      <w:numFmt w:val="bullet"/>
      <w:lvlText w:val=""/>
      <w:lvlJc w:val="left"/>
      <w:pPr>
        <w:ind w:left="6480" w:hanging="360"/>
      </w:pPr>
      <w:rPr>
        <w:rFonts w:ascii="Wingdings" w:hAnsi="Wingdings" w:hint="default"/>
      </w:rPr>
    </w:lvl>
  </w:abstractNum>
  <w:abstractNum w:abstractNumId="17" w15:restartNumberingAfterBreak="0">
    <w:nsid w:val="53647CE4"/>
    <w:multiLevelType w:val="hybridMultilevel"/>
    <w:tmpl w:val="074A0986"/>
    <w:lvl w:ilvl="0" w:tplc="CE8ED35E">
      <w:start w:val="1"/>
      <w:numFmt w:val="bullet"/>
      <w:lvlText w:val=""/>
      <w:lvlJc w:val="left"/>
      <w:pPr>
        <w:ind w:left="720" w:hanging="360"/>
      </w:pPr>
      <w:rPr>
        <w:rFonts w:ascii="Symbol" w:hAnsi="Symbol" w:hint="default"/>
      </w:rPr>
    </w:lvl>
    <w:lvl w:ilvl="1" w:tplc="3F7264C6">
      <w:start w:val="1"/>
      <w:numFmt w:val="bullet"/>
      <w:lvlText w:val="o"/>
      <w:lvlJc w:val="left"/>
      <w:pPr>
        <w:ind w:left="1440" w:hanging="360"/>
      </w:pPr>
      <w:rPr>
        <w:rFonts w:ascii="Courier New" w:hAnsi="Courier New" w:hint="default"/>
      </w:rPr>
    </w:lvl>
    <w:lvl w:ilvl="2" w:tplc="8D185D7E">
      <w:start w:val="1"/>
      <w:numFmt w:val="bullet"/>
      <w:lvlText w:val=""/>
      <w:lvlJc w:val="left"/>
      <w:pPr>
        <w:ind w:left="2160" w:hanging="360"/>
      </w:pPr>
      <w:rPr>
        <w:rFonts w:ascii="Wingdings" w:hAnsi="Wingdings" w:hint="default"/>
      </w:rPr>
    </w:lvl>
    <w:lvl w:ilvl="3" w:tplc="460C892E">
      <w:start w:val="1"/>
      <w:numFmt w:val="bullet"/>
      <w:lvlText w:val=""/>
      <w:lvlJc w:val="left"/>
      <w:pPr>
        <w:ind w:left="2880" w:hanging="360"/>
      </w:pPr>
      <w:rPr>
        <w:rFonts w:ascii="Symbol" w:hAnsi="Symbol" w:hint="default"/>
      </w:rPr>
    </w:lvl>
    <w:lvl w:ilvl="4" w:tplc="42F62708">
      <w:start w:val="1"/>
      <w:numFmt w:val="bullet"/>
      <w:lvlText w:val="o"/>
      <w:lvlJc w:val="left"/>
      <w:pPr>
        <w:ind w:left="3600" w:hanging="360"/>
      </w:pPr>
      <w:rPr>
        <w:rFonts w:ascii="Courier New" w:hAnsi="Courier New" w:hint="default"/>
      </w:rPr>
    </w:lvl>
    <w:lvl w:ilvl="5" w:tplc="E508ED1E">
      <w:start w:val="1"/>
      <w:numFmt w:val="bullet"/>
      <w:lvlText w:val=""/>
      <w:lvlJc w:val="left"/>
      <w:pPr>
        <w:ind w:left="4320" w:hanging="360"/>
      </w:pPr>
      <w:rPr>
        <w:rFonts w:ascii="Wingdings" w:hAnsi="Wingdings" w:hint="default"/>
      </w:rPr>
    </w:lvl>
    <w:lvl w:ilvl="6" w:tplc="59AEDE32">
      <w:start w:val="1"/>
      <w:numFmt w:val="bullet"/>
      <w:lvlText w:val=""/>
      <w:lvlJc w:val="left"/>
      <w:pPr>
        <w:ind w:left="5040" w:hanging="360"/>
      </w:pPr>
      <w:rPr>
        <w:rFonts w:ascii="Symbol" w:hAnsi="Symbol" w:hint="default"/>
      </w:rPr>
    </w:lvl>
    <w:lvl w:ilvl="7" w:tplc="AF189AA6">
      <w:start w:val="1"/>
      <w:numFmt w:val="bullet"/>
      <w:lvlText w:val="o"/>
      <w:lvlJc w:val="left"/>
      <w:pPr>
        <w:ind w:left="5760" w:hanging="360"/>
      </w:pPr>
      <w:rPr>
        <w:rFonts w:ascii="Courier New" w:hAnsi="Courier New" w:hint="default"/>
      </w:rPr>
    </w:lvl>
    <w:lvl w:ilvl="8" w:tplc="835E2CA6">
      <w:start w:val="1"/>
      <w:numFmt w:val="bullet"/>
      <w:lvlText w:val=""/>
      <w:lvlJc w:val="left"/>
      <w:pPr>
        <w:ind w:left="6480" w:hanging="360"/>
      </w:pPr>
      <w:rPr>
        <w:rFonts w:ascii="Wingdings" w:hAnsi="Wingdings" w:hint="default"/>
      </w:rPr>
    </w:lvl>
  </w:abstractNum>
  <w:abstractNum w:abstractNumId="18" w15:restartNumberingAfterBreak="0">
    <w:nsid w:val="5B662722"/>
    <w:multiLevelType w:val="multilevel"/>
    <w:tmpl w:val="FD7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1C609E"/>
    <w:multiLevelType w:val="hybridMultilevel"/>
    <w:tmpl w:val="794A79FC"/>
    <w:lvl w:ilvl="0" w:tplc="9AB0D8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62F65E9"/>
    <w:multiLevelType w:val="hybridMultilevel"/>
    <w:tmpl w:val="22EC2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247096"/>
    <w:multiLevelType w:val="hybridMultilevel"/>
    <w:tmpl w:val="ED186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996E29"/>
    <w:multiLevelType w:val="hybridMultilevel"/>
    <w:tmpl w:val="3620D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A372C4"/>
    <w:multiLevelType w:val="hybridMultilevel"/>
    <w:tmpl w:val="207E0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21436E0"/>
    <w:multiLevelType w:val="hybridMultilevel"/>
    <w:tmpl w:val="FD2AB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44008D"/>
    <w:multiLevelType w:val="hybridMultilevel"/>
    <w:tmpl w:val="6C184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7780C"/>
    <w:multiLevelType w:val="hybridMultilevel"/>
    <w:tmpl w:val="0F2443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B455671"/>
    <w:multiLevelType w:val="hybridMultilevel"/>
    <w:tmpl w:val="C5E67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3"/>
  </w:num>
  <w:num w:numId="4">
    <w:abstractNumId w:val="4"/>
  </w:num>
  <w:num w:numId="5">
    <w:abstractNumId w:val="26"/>
  </w:num>
  <w:num w:numId="6">
    <w:abstractNumId w:val="21"/>
  </w:num>
  <w:num w:numId="7">
    <w:abstractNumId w:val="8"/>
  </w:num>
  <w:num w:numId="8">
    <w:abstractNumId w:val="14"/>
  </w:num>
  <w:num w:numId="9">
    <w:abstractNumId w:val="16"/>
  </w:num>
  <w:num w:numId="10">
    <w:abstractNumId w:val="17"/>
  </w:num>
  <w:num w:numId="11">
    <w:abstractNumId w:val="5"/>
  </w:num>
  <w:num w:numId="12">
    <w:abstractNumId w:val="7"/>
  </w:num>
  <w:num w:numId="13">
    <w:abstractNumId w:val="27"/>
  </w:num>
  <w:num w:numId="14">
    <w:abstractNumId w:val="2"/>
  </w:num>
  <w:num w:numId="15">
    <w:abstractNumId w:val="12"/>
  </w:num>
  <w:num w:numId="16">
    <w:abstractNumId w:val="19"/>
  </w:num>
  <w:num w:numId="17">
    <w:abstractNumId w:val="25"/>
  </w:num>
  <w:num w:numId="18">
    <w:abstractNumId w:val="20"/>
  </w:num>
  <w:num w:numId="19">
    <w:abstractNumId w:val="22"/>
  </w:num>
  <w:num w:numId="20">
    <w:abstractNumId w:val="1"/>
  </w:num>
  <w:num w:numId="21">
    <w:abstractNumId w:val="24"/>
  </w:num>
  <w:num w:numId="22">
    <w:abstractNumId w:val="3"/>
  </w:num>
  <w:num w:numId="23">
    <w:abstractNumId w:val="15"/>
  </w:num>
  <w:num w:numId="24">
    <w:abstractNumId w:val="10"/>
  </w:num>
  <w:num w:numId="25">
    <w:abstractNumId w:val="9"/>
  </w:num>
  <w:num w:numId="26">
    <w:abstractNumId w:val="0"/>
  </w:num>
  <w:num w:numId="27">
    <w:abstractNumId w:val="6"/>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481"/>
    <w:rsid w:val="00004533"/>
    <w:rsid w:val="000045E4"/>
    <w:rsid w:val="00013D17"/>
    <w:rsid w:val="00014459"/>
    <w:rsid w:val="0002040B"/>
    <w:rsid w:val="00030828"/>
    <w:rsid w:val="0003258E"/>
    <w:rsid w:val="000326DC"/>
    <w:rsid w:val="000337CD"/>
    <w:rsid w:val="00036121"/>
    <w:rsid w:val="00046D43"/>
    <w:rsid w:val="00050EAB"/>
    <w:rsid w:val="00051B47"/>
    <w:rsid w:val="00064176"/>
    <w:rsid w:val="00066F81"/>
    <w:rsid w:val="0007464C"/>
    <w:rsid w:val="00076FBA"/>
    <w:rsid w:val="000805C7"/>
    <w:rsid w:val="00085CE8"/>
    <w:rsid w:val="00086EDF"/>
    <w:rsid w:val="000A101C"/>
    <w:rsid w:val="000A3EAD"/>
    <w:rsid w:val="000A426E"/>
    <w:rsid w:val="000A7B3D"/>
    <w:rsid w:val="000B2BCA"/>
    <w:rsid w:val="000B66B2"/>
    <w:rsid w:val="000C0DD5"/>
    <w:rsid w:val="000C31D8"/>
    <w:rsid w:val="000C54EE"/>
    <w:rsid w:val="000D44B8"/>
    <w:rsid w:val="000D6D3D"/>
    <w:rsid w:val="000E3C7D"/>
    <w:rsid w:val="000E3CAF"/>
    <w:rsid w:val="000E4C41"/>
    <w:rsid w:val="000E5502"/>
    <w:rsid w:val="000F4E1C"/>
    <w:rsid w:val="000F6E9F"/>
    <w:rsid w:val="000F7013"/>
    <w:rsid w:val="000F7900"/>
    <w:rsid w:val="00100681"/>
    <w:rsid w:val="001060DA"/>
    <w:rsid w:val="00112A5A"/>
    <w:rsid w:val="0011448D"/>
    <w:rsid w:val="00136056"/>
    <w:rsid w:val="001423A1"/>
    <w:rsid w:val="00142CB6"/>
    <w:rsid w:val="00143D8B"/>
    <w:rsid w:val="00147189"/>
    <w:rsid w:val="001541E7"/>
    <w:rsid w:val="0015491D"/>
    <w:rsid w:val="00161942"/>
    <w:rsid w:val="00172FBB"/>
    <w:rsid w:val="00173113"/>
    <w:rsid w:val="00176025"/>
    <w:rsid w:val="0018095A"/>
    <w:rsid w:val="00181D5E"/>
    <w:rsid w:val="00181D82"/>
    <w:rsid w:val="00183CF8"/>
    <w:rsid w:val="001875B2"/>
    <w:rsid w:val="0019136F"/>
    <w:rsid w:val="001930E6"/>
    <w:rsid w:val="00194124"/>
    <w:rsid w:val="001966D5"/>
    <w:rsid w:val="0019712F"/>
    <w:rsid w:val="00197178"/>
    <w:rsid w:val="001A0896"/>
    <w:rsid w:val="001A1E8B"/>
    <w:rsid w:val="001A761B"/>
    <w:rsid w:val="001B2891"/>
    <w:rsid w:val="001B36BA"/>
    <w:rsid w:val="001B663E"/>
    <w:rsid w:val="001C0144"/>
    <w:rsid w:val="001C48D5"/>
    <w:rsid w:val="001D01C8"/>
    <w:rsid w:val="001D1D27"/>
    <w:rsid w:val="001D3613"/>
    <w:rsid w:val="001E38E7"/>
    <w:rsid w:val="001E4121"/>
    <w:rsid w:val="00202912"/>
    <w:rsid w:val="00210AAF"/>
    <w:rsid w:val="00214DC1"/>
    <w:rsid w:val="00215641"/>
    <w:rsid w:val="002169EE"/>
    <w:rsid w:val="00217616"/>
    <w:rsid w:val="00221782"/>
    <w:rsid w:val="0022364E"/>
    <w:rsid w:val="00232145"/>
    <w:rsid w:val="00235D60"/>
    <w:rsid w:val="00236FCC"/>
    <w:rsid w:val="00237B6F"/>
    <w:rsid w:val="0024055A"/>
    <w:rsid w:val="00244A6C"/>
    <w:rsid w:val="00246B08"/>
    <w:rsid w:val="0025772A"/>
    <w:rsid w:val="0025795E"/>
    <w:rsid w:val="002613D7"/>
    <w:rsid w:val="002669E2"/>
    <w:rsid w:val="0026732B"/>
    <w:rsid w:val="002707D0"/>
    <w:rsid w:val="002718E1"/>
    <w:rsid w:val="00282F64"/>
    <w:rsid w:val="00284A72"/>
    <w:rsid w:val="0028597B"/>
    <w:rsid w:val="00291DB9"/>
    <w:rsid w:val="00291EB9"/>
    <w:rsid w:val="002973EC"/>
    <w:rsid w:val="002B08B3"/>
    <w:rsid w:val="002B1A13"/>
    <w:rsid w:val="002C098A"/>
    <w:rsid w:val="002C23D5"/>
    <w:rsid w:val="002C622C"/>
    <w:rsid w:val="002D06D5"/>
    <w:rsid w:val="002D1BF7"/>
    <w:rsid w:val="002D5741"/>
    <w:rsid w:val="002E3CAF"/>
    <w:rsid w:val="002E4099"/>
    <w:rsid w:val="002E73B1"/>
    <w:rsid w:val="0030204F"/>
    <w:rsid w:val="003206CE"/>
    <w:rsid w:val="00322736"/>
    <w:rsid w:val="00324C8D"/>
    <w:rsid w:val="003271AA"/>
    <w:rsid w:val="003272D2"/>
    <w:rsid w:val="00330D81"/>
    <w:rsid w:val="003319CE"/>
    <w:rsid w:val="003351B8"/>
    <w:rsid w:val="00355A5F"/>
    <w:rsid w:val="00360502"/>
    <w:rsid w:val="00370B98"/>
    <w:rsid w:val="003721D6"/>
    <w:rsid w:val="00372CA4"/>
    <w:rsid w:val="00373E47"/>
    <w:rsid w:val="00375378"/>
    <w:rsid w:val="00375F97"/>
    <w:rsid w:val="00381265"/>
    <w:rsid w:val="0038199B"/>
    <w:rsid w:val="00382B2A"/>
    <w:rsid w:val="00386BD1"/>
    <w:rsid w:val="0039391A"/>
    <w:rsid w:val="00393ABF"/>
    <w:rsid w:val="003A6CCA"/>
    <w:rsid w:val="003A79DA"/>
    <w:rsid w:val="003B1050"/>
    <w:rsid w:val="003B246D"/>
    <w:rsid w:val="003B4778"/>
    <w:rsid w:val="003B7A24"/>
    <w:rsid w:val="003C0B70"/>
    <w:rsid w:val="003C200D"/>
    <w:rsid w:val="003C3F8E"/>
    <w:rsid w:val="003C47FD"/>
    <w:rsid w:val="003C7048"/>
    <w:rsid w:val="003D09D8"/>
    <w:rsid w:val="003D1B98"/>
    <w:rsid w:val="003D2E4A"/>
    <w:rsid w:val="003D545D"/>
    <w:rsid w:val="003E7280"/>
    <w:rsid w:val="003F094B"/>
    <w:rsid w:val="003F0CDE"/>
    <w:rsid w:val="003F4EC2"/>
    <w:rsid w:val="00402605"/>
    <w:rsid w:val="00406AC3"/>
    <w:rsid w:val="0040749E"/>
    <w:rsid w:val="00415076"/>
    <w:rsid w:val="0041747B"/>
    <w:rsid w:val="004176C2"/>
    <w:rsid w:val="00423371"/>
    <w:rsid w:val="00423ECF"/>
    <w:rsid w:val="0043167F"/>
    <w:rsid w:val="00433295"/>
    <w:rsid w:val="00436B82"/>
    <w:rsid w:val="00437242"/>
    <w:rsid w:val="00443B9B"/>
    <w:rsid w:val="00452E99"/>
    <w:rsid w:val="00457EEE"/>
    <w:rsid w:val="004712F8"/>
    <w:rsid w:val="004734AC"/>
    <w:rsid w:val="00476AE1"/>
    <w:rsid w:val="00480BC2"/>
    <w:rsid w:val="00485CE7"/>
    <w:rsid w:val="00485ED3"/>
    <w:rsid w:val="00487C99"/>
    <w:rsid w:val="00496549"/>
    <w:rsid w:val="00497A37"/>
    <w:rsid w:val="004A4105"/>
    <w:rsid w:val="004A47D3"/>
    <w:rsid w:val="004A7632"/>
    <w:rsid w:val="004B173F"/>
    <w:rsid w:val="004B77EE"/>
    <w:rsid w:val="004C0FA6"/>
    <w:rsid w:val="004C1659"/>
    <w:rsid w:val="004C7BB5"/>
    <w:rsid w:val="004D7FA0"/>
    <w:rsid w:val="004E41CA"/>
    <w:rsid w:val="004E7877"/>
    <w:rsid w:val="004F1F42"/>
    <w:rsid w:val="004F44EC"/>
    <w:rsid w:val="0050132B"/>
    <w:rsid w:val="00503A0F"/>
    <w:rsid w:val="0050406F"/>
    <w:rsid w:val="00505CB2"/>
    <w:rsid w:val="005111DE"/>
    <w:rsid w:val="00515842"/>
    <w:rsid w:val="0052358C"/>
    <w:rsid w:val="00523929"/>
    <w:rsid w:val="005239AF"/>
    <w:rsid w:val="0053200F"/>
    <w:rsid w:val="00542945"/>
    <w:rsid w:val="00544760"/>
    <w:rsid w:val="005525F4"/>
    <w:rsid w:val="00555450"/>
    <w:rsid w:val="005555B2"/>
    <w:rsid w:val="00555B44"/>
    <w:rsid w:val="00566E2E"/>
    <w:rsid w:val="00566F71"/>
    <w:rsid w:val="005670DE"/>
    <w:rsid w:val="00570AD4"/>
    <w:rsid w:val="00575FD2"/>
    <w:rsid w:val="005823F4"/>
    <w:rsid w:val="00587A85"/>
    <w:rsid w:val="005946D5"/>
    <w:rsid w:val="005A25AC"/>
    <w:rsid w:val="005A4AC8"/>
    <w:rsid w:val="005A64FC"/>
    <w:rsid w:val="005B0488"/>
    <w:rsid w:val="005B0A55"/>
    <w:rsid w:val="005C26E9"/>
    <w:rsid w:val="005D30B8"/>
    <w:rsid w:val="005D369E"/>
    <w:rsid w:val="005D4185"/>
    <w:rsid w:val="005D4986"/>
    <w:rsid w:val="005D5AF5"/>
    <w:rsid w:val="005D7721"/>
    <w:rsid w:val="005D7804"/>
    <w:rsid w:val="005E235F"/>
    <w:rsid w:val="005E3F5F"/>
    <w:rsid w:val="005E682C"/>
    <w:rsid w:val="005F14FC"/>
    <w:rsid w:val="005F2E3C"/>
    <w:rsid w:val="00604EAD"/>
    <w:rsid w:val="00612328"/>
    <w:rsid w:val="00612DCF"/>
    <w:rsid w:val="006209A0"/>
    <w:rsid w:val="006276B3"/>
    <w:rsid w:val="00640DEE"/>
    <w:rsid w:val="0064256C"/>
    <w:rsid w:val="00644149"/>
    <w:rsid w:val="00646563"/>
    <w:rsid w:val="006522CF"/>
    <w:rsid w:val="00652B50"/>
    <w:rsid w:val="00653F47"/>
    <w:rsid w:val="00660737"/>
    <w:rsid w:val="0066296F"/>
    <w:rsid w:val="006837C3"/>
    <w:rsid w:val="00685BC0"/>
    <w:rsid w:val="00687405"/>
    <w:rsid w:val="0068746F"/>
    <w:rsid w:val="00691B3B"/>
    <w:rsid w:val="006963ED"/>
    <w:rsid w:val="006970BA"/>
    <w:rsid w:val="006A2E9A"/>
    <w:rsid w:val="006B1415"/>
    <w:rsid w:val="006B4831"/>
    <w:rsid w:val="006C185F"/>
    <w:rsid w:val="006C459D"/>
    <w:rsid w:val="006D0B31"/>
    <w:rsid w:val="006E176C"/>
    <w:rsid w:val="006E1867"/>
    <w:rsid w:val="006E36D6"/>
    <w:rsid w:val="006E4279"/>
    <w:rsid w:val="006E5331"/>
    <w:rsid w:val="006F2BA2"/>
    <w:rsid w:val="006F7920"/>
    <w:rsid w:val="0070122E"/>
    <w:rsid w:val="00702534"/>
    <w:rsid w:val="00702CF3"/>
    <w:rsid w:val="0070600A"/>
    <w:rsid w:val="00711079"/>
    <w:rsid w:val="00712C76"/>
    <w:rsid w:val="0071486F"/>
    <w:rsid w:val="00721108"/>
    <w:rsid w:val="007219C0"/>
    <w:rsid w:val="00721AA0"/>
    <w:rsid w:val="00725F9F"/>
    <w:rsid w:val="00726422"/>
    <w:rsid w:val="00735F24"/>
    <w:rsid w:val="00741846"/>
    <w:rsid w:val="007422F5"/>
    <w:rsid w:val="007533D8"/>
    <w:rsid w:val="00762BBB"/>
    <w:rsid w:val="0076394D"/>
    <w:rsid w:val="00770C1A"/>
    <w:rsid w:val="0078282C"/>
    <w:rsid w:val="007912D9"/>
    <w:rsid w:val="007922F0"/>
    <w:rsid w:val="007926BD"/>
    <w:rsid w:val="007A2248"/>
    <w:rsid w:val="007A760A"/>
    <w:rsid w:val="007B058E"/>
    <w:rsid w:val="007B5A26"/>
    <w:rsid w:val="007B6AFE"/>
    <w:rsid w:val="007C08D2"/>
    <w:rsid w:val="007C1441"/>
    <w:rsid w:val="007C192C"/>
    <w:rsid w:val="007C5973"/>
    <w:rsid w:val="007D0793"/>
    <w:rsid w:val="007D0BC5"/>
    <w:rsid w:val="007D2738"/>
    <w:rsid w:val="007D3CC6"/>
    <w:rsid w:val="007D772C"/>
    <w:rsid w:val="007E0BFD"/>
    <w:rsid w:val="007E635B"/>
    <w:rsid w:val="007F38BC"/>
    <w:rsid w:val="008005B3"/>
    <w:rsid w:val="0080442D"/>
    <w:rsid w:val="00812776"/>
    <w:rsid w:val="008134A0"/>
    <w:rsid w:val="00816510"/>
    <w:rsid w:val="00820B94"/>
    <w:rsid w:val="008275A4"/>
    <w:rsid w:val="0083163F"/>
    <w:rsid w:val="008401BD"/>
    <w:rsid w:val="00842968"/>
    <w:rsid w:val="00845E21"/>
    <w:rsid w:val="00853124"/>
    <w:rsid w:val="00856C0B"/>
    <w:rsid w:val="008628E0"/>
    <w:rsid w:val="00864143"/>
    <w:rsid w:val="00870B12"/>
    <w:rsid w:val="00873E95"/>
    <w:rsid w:val="00884A26"/>
    <w:rsid w:val="0088550D"/>
    <w:rsid w:val="00885BA2"/>
    <w:rsid w:val="008878EE"/>
    <w:rsid w:val="00890AAD"/>
    <w:rsid w:val="00891BFD"/>
    <w:rsid w:val="00897E5F"/>
    <w:rsid w:val="008A21DE"/>
    <w:rsid w:val="008A42F2"/>
    <w:rsid w:val="008A46C1"/>
    <w:rsid w:val="008A5C65"/>
    <w:rsid w:val="008A700D"/>
    <w:rsid w:val="008B079C"/>
    <w:rsid w:val="008C0EF1"/>
    <w:rsid w:val="008C3AFE"/>
    <w:rsid w:val="008C4E0B"/>
    <w:rsid w:val="008C5404"/>
    <w:rsid w:val="008D0628"/>
    <w:rsid w:val="008D2C11"/>
    <w:rsid w:val="008D3470"/>
    <w:rsid w:val="008E7237"/>
    <w:rsid w:val="008F3A11"/>
    <w:rsid w:val="008F4BBA"/>
    <w:rsid w:val="008F4E4E"/>
    <w:rsid w:val="008F7BDC"/>
    <w:rsid w:val="009017C7"/>
    <w:rsid w:val="00902D20"/>
    <w:rsid w:val="00917904"/>
    <w:rsid w:val="00920F61"/>
    <w:rsid w:val="00924503"/>
    <w:rsid w:val="00925038"/>
    <w:rsid w:val="0092661C"/>
    <w:rsid w:val="009276FB"/>
    <w:rsid w:val="00934487"/>
    <w:rsid w:val="0094582F"/>
    <w:rsid w:val="009477B9"/>
    <w:rsid w:val="009506EE"/>
    <w:rsid w:val="009521C2"/>
    <w:rsid w:val="009540AC"/>
    <w:rsid w:val="00955962"/>
    <w:rsid w:val="00970EF9"/>
    <w:rsid w:val="00972599"/>
    <w:rsid w:val="009744B8"/>
    <w:rsid w:val="00975C06"/>
    <w:rsid w:val="00976E6D"/>
    <w:rsid w:val="00987968"/>
    <w:rsid w:val="00992942"/>
    <w:rsid w:val="009946C2"/>
    <w:rsid w:val="0099679B"/>
    <w:rsid w:val="009A436E"/>
    <w:rsid w:val="009B2028"/>
    <w:rsid w:val="009C371C"/>
    <w:rsid w:val="009C5107"/>
    <w:rsid w:val="009D19F2"/>
    <w:rsid w:val="009D5629"/>
    <w:rsid w:val="009D5C7F"/>
    <w:rsid w:val="009D7340"/>
    <w:rsid w:val="009D73EF"/>
    <w:rsid w:val="009D74EF"/>
    <w:rsid w:val="009E7A99"/>
    <w:rsid w:val="009F18C3"/>
    <w:rsid w:val="009F3382"/>
    <w:rsid w:val="009F42A1"/>
    <w:rsid w:val="009F7D5E"/>
    <w:rsid w:val="00A073F4"/>
    <w:rsid w:val="00A1069A"/>
    <w:rsid w:val="00A1574B"/>
    <w:rsid w:val="00A2047B"/>
    <w:rsid w:val="00A21249"/>
    <w:rsid w:val="00A329E2"/>
    <w:rsid w:val="00A33593"/>
    <w:rsid w:val="00A338AE"/>
    <w:rsid w:val="00A34C9B"/>
    <w:rsid w:val="00A35073"/>
    <w:rsid w:val="00A40819"/>
    <w:rsid w:val="00A40A94"/>
    <w:rsid w:val="00A50776"/>
    <w:rsid w:val="00A518FF"/>
    <w:rsid w:val="00A55498"/>
    <w:rsid w:val="00A60E62"/>
    <w:rsid w:val="00A6703B"/>
    <w:rsid w:val="00A814D8"/>
    <w:rsid w:val="00A82576"/>
    <w:rsid w:val="00A95CED"/>
    <w:rsid w:val="00A961C9"/>
    <w:rsid w:val="00A96D9D"/>
    <w:rsid w:val="00AA051F"/>
    <w:rsid w:val="00AA0E9A"/>
    <w:rsid w:val="00AA6BFC"/>
    <w:rsid w:val="00AA6D36"/>
    <w:rsid w:val="00AB6EBA"/>
    <w:rsid w:val="00AD0F85"/>
    <w:rsid w:val="00AD3247"/>
    <w:rsid w:val="00AD34DC"/>
    <w:rsid w:val="00AD4013"/>
    <w:rsid w:val="00AE0473"/>
    <w:rsid w:val="00AF1491"/>
    <w:rsid w:val="00AF14D8"/>
    <w:rsid w:val="00B0296B"/>
    <w:rsid w:val="00B03890"/>
    <w:rsid w:val="00B04937"/>
    <w:rsid w:val="00B10DD4"/>
    <w:rsid w:val="00B10E6B"/>
    <w:rsid w:val="00B10F88"/>
    <w:rsid w:val="00B112CA"/>
    <w:rsid w:val="00B11A3F"/>
    <w:rsid w:val="00B1638E"/>
    <w:rsid w:val="00B171FE"/>
    <w:rsid w:val="00B2034F"/>
    <w:rsid w:val="00B2110F"/>
    <w:rsid w:val="00B2383A"/>
    <w:rsid w:val="00B23B1F"/>
    <w:rsid w:val="00B33B6A"/>
    <w:rsid w:val="00B366C4"/>
    <w:rsid w:val="00B43F8B"/>
    <w:rsid w:val="00B5297B"/>
    <w:rsid w:val="00B533DA"/>
    <w:rsid w:val="00B5357C"/>
    <w:rsid w:val="00B55A29"/>
    <w:rsid w:val="00B5661F"/>
    <w:rsid w:val="00B569C5"/>
    <w:rsid w:val="00B576DF"/>
    <w:rsid w:val="00B602D3"/>
    <w:rsid w:val="00B60EA9"/>
    <w:rsid w:val="00B60F5D"/>
    <w:rsid w:val="00B61580"/>
    <w:rsid w:val="00B72A4D"/>
    <w:rsid w:val="00B7380A"/>
    <w:rsid w:val="00B764DF"/>
    <w:rsid w:val="00B81421"/>
    <w:rsid w:val="00B83F4B"/>
    <w:rsid w:val="00B9081E"/>
    <w:rsid w:val="00B952AB"/>
    <w:rsid w:val="00B961E2"/>
    <w:rsid w:val="00BA1392"/>
    <w:rsid w:val="00BA1D93"/>
    <w:rsid w:val="00BA5DDA"/>
    <w:rsid w:val="00BA6606"/>
    <w:rsid w:val="00BB3DDF"/>
    <w:rsid w:val="00BB4A37"/>
    <w:rsid w:val="00BB4B20"/>
    <w:rsid w:val="00BC55F5"/>
    <w:rsid w:val="00BC5BF4"/>
    <w:rsid w:val="00BC7DD1"/>
    <w:rsid w:val="00BD2B13"/>
    <w:rsid w:val="00BD5638"/>
    <w:rsid w:val="00BF0A8F"/>
    <w:rsid w:val="00BF700F"/>
    <w:rsid w:val="00C07251"/>
    <w:rsid w:val="00C10708"/>
    <w:rsid w:val="00C11032"/>
    <w:rsid w:val="00C24749"/>
    <w:rsid w:val="00C2587C"/>
    <w:rsid w:val="00C270AC"/>
    <w:rsid w:val="00C31CB4"/>
    <w:rsid w:val="00C335A2"/>
    <w:rsid w:val="00C3457E"/>
    <w:rsid w:val="00C42847"/>
    <w:rsid w:val="00C4571B"/>
    <w:rsid w:val="00C467AF"/>
    <w:rsid w:val="00C54C6D"/>
    <w:rsid w:val="00C563E0"/>
    <w:rsid w:val="00C5737C"/>
    <w:rsid w:val="00C62CF8"/>
    <w:rsid w:val="00C65103"/>
    <w:rsid w:val="00C65A6D"/>
    <w:rsid w:val="00C70E50"/>
    <w:rsid w:val="00C73666"/>
    <w:rsid w:val="00C7375D"/>
    <w:rsid w:val="00C75CBC"/>
    <w:rsid w:val="00C76525"/>
    <w:rsid w:val="00C77CDC"/>
    <w:rsid w:val="00C77D8A"/>
    <w:rsid w:val="00C81E7F"/>
    <w:rsid w:val="00C83631"/>
    <w:rsid w:val="00C90678"/>
    <w:rsid w:val="00C90EDA"/>
    <w:rsid w:val="00C941E9"/>
    <w:rsid w:val="00C9616E"/>
    <w:rsid w:val="00CA0760"/>
    <w:rsid w:val="00CA0FEA"/>
    <w:rsid w:val="00CA1089"/>
    <w:rsid w:val="00CA5393"/>
    <w:rsid w:val="00CA5715"/>
    <w:rsid w:val="00CA6031"/>
    <w:rsid w:val="00CB0670"/>
    <w:rsid w:val="00CB127D"/>
    <w:rsid w:val="00CB1A56"/>
    <w:rsid w:val="00CB7AEE"/>
    <w:rsid w:val="00CC530D"/>
    <w:rsid w:val="00CC76DB"/>
    <w:rsid w:val="00CD1A9F"/>
    <w:rsid w:val="00CD1E13"/>
    <w:rsid w:val="00CD2B09"/>
    <w:rsid w:val="00CD4366"/>
    <w:rsid w:val="00CD4BC3"/>
    <w:rsid w:val="00CE03D8"/>
    <w:rsid w:val="00CE166B"/>
    <w:rsid w:val="00CE638D"/>
    <w:rsid w:val="00CF119A"/>
    <w:rsid w:val="00CF127E"/>
    <w:rsid w:val="00CF39E6"/>
    <w:rsid w:val="00D008AE"/>
    <w:rsid w:val="00D018C7"/>
    <w:rsid w:val="00D02FA7"/>
    <w:rsid w:val="00D05481"/>
    <w:rsid w:val="00D055F6"/>
    <w:rsid w:val="00D0577F"/>
    <w:rsid w:val="00D11DB7"/>
    <w:rsid w:val="00D16C77"/>
    <w:rsid w:val="00D17370"/>
    <w:rsid w:val="00D2268D"/>
    <w:rsid w:val="00D31CF1"/>
    <w:rsid w:val="00D33FEF"/>
    <w:rsid w:val="00D43F17"/>
    <w:rsid w:val="00D44188"/>
    <w:rsid w:val="00D533D3"/>
    <w:rsid w:val="00D535F6"/>
    <w:rsid w:val="00D567CB"/>
    <w:rsid w:val="00D60774"/>
    <w:rsid w:val="00D608E2"/>
    <w:rsid w:val="00D66E4E"/>
    <w:rsid w:val="00D7465B"/>
    <w:rsid w:val="00D82A1B"/>
    <w:rsid w:val="00D845C4"/>
    <w:rsid w:val="00D859F2"/>
    <w:rsid w:val="00D91BF3"/>
    <w:rsid w:val="00D91FE1"/>
    <w:rsid w:val="00D92591"/>
    <w:rsid w:val="00D9457D"/>
    <w:rsid w:val="00D95DA6"/>
    <w:rsid w:val="00DA0928"/>
    <w:rsid w:val="00DA162D"/>
    <w:rsid w:val="00DA4DD6"/>
    <w:rsid w:val="00DA5FF4"/>
    <w:rsid w:val="00DB1825"/>
    <w:rsid w:val="00DB29A9"/>
    <w:rsid w:val="00DB4BD6"/>
    <w:rsid w:val="00DB600F"/>
    <w:rsid w:val="00DC0932"/>
    <w:rsid w:val="00DC1942"/>
    <w:rsid w:val="00DC1D23"/>
    <w:rsid w:val="00DC5388"/>
    <w:rsid w:val="00DC7556"/>
    <w:rsid w:val="00DD0A1A"/>
    <w:rsid w:val="00DE4DE9"/>
    <w:rsid w:val="00DE59E9"/>
    <w:rsid w:val="00DF0331"/>
    <w:rsid w:val="00DF6260"/>
    <w:rsid w:val="00E04E2B"/>
    <w:rsid w:val="00E169E3"/>
    <w:rsid w:val="00E16A79"/>
    <w:rsid w:val="00E22844"/>
    <w:rsid w:val="00E22DD5"/>
    <w:rsid w:val="00E25518"/>
    <w:rsid w:val="00E26631"/>
    <w:rsid w:val="00E31EBA"/>
    <w:rsid w:val="00E323A6"/>
    <w:rsid w:val="00E32945"/>
    <w:rsid w:val="00E329E2"/>
    <w:rsid w:val="00E47766"/>
    <w:rsid w:val="00E52D6B"/>
    <w:rsid w:val="00E52F18"/>
    <w:rsid w:val="00E547E2"/>
    <w:rsid w:val="00E60E47"/>
    <w:rsid w:val="00E60EF5"/>
    <w:rsid w:val="00E63F48"/>
    <w:rsid w:val="00E652A3"/>
    <w:rsid w:val="00E65535"/>
    <w:rsid w:val="00E65E3E"/>
    <w:rsid w:val="00E6679E"/>
    <w:rsid w:val="00E71BE4"/>
    <w:rsid w:val="00E72ACC"/>
    <w:rsid w:val="00E74160"/>
    <w:rsid w:val="00E76F94"/>
    <w:rsid w:val="00E92331"/>
    <w:rsid w:val="00E92F71"/>
    <w:rsid w:val="00EA02B5"/>
    <w:rsid w:val="00EA066A"/>
    <w:rsid w:val="00EA350A"/>
    <w:rsid w:val="00EA3920"/>
    <w:rsid w:val="00EB2046"/>
    <w:rsid w:val="00EB526A"/>
    <w:rsid w:val="00EC1C29"/>
    <w:rsid w:val="00EC5EF0"/>
    <w:rsid w:val="00ED4FF2"/>
    <w:rsid w:val="00EE1772"/>
    <w:rsid w:val="00EF1C5C"/>
    <w:rsid w:val="00EF46CF"/>
    <w:rsid w:val="00EF5804"/>
    <w:rsid w:val="00F00D4E"/>
    <w:rsid w:val="00F03BF8"/>
    <w:rsid w:val="00F04553"/>
    <w:rsid w:val="00F05343"/>
    <w:rsid w:val="00F06B54"/>
    <w:rsid w:val="00F108E0"/>
    <w:rsid w:val="00F141EB"/>
    <w:rsid w:val="00F23B75"/>
    <w:rsid w:val="00F25FCE"/>
    <w:rsid w:val="00F262E9"/>
    <w:rsid w:val="00F304D6"/>
    <w:rsid w:val="00F3278B"/>
    <w:rsid w:val="00F332D4"/>
    <w:rsid w:val="00F36A82"/>
    <w:rsid w:val="00F50292"/>
    <w:rsid w:val="00F52F88"/>
    <w:rsid w:val="00F57FC5"/>
    <w:rsid w:val="00F603C7"/>
    <w:rsid w:val="00F708E9"/>
    <w:rsid w:val="00F74403"/>
    <w:rsid w:val="00F81F2D"/>
    <w:rsid w:val="00F85705"/>
    <w:rsid w:val="00F90A06"/>
    <w:rsid w:val="00F92E34"/>
    <w:rsid w:val="00F92EA6"/>
    <w:rsid w:val="00FA0AE3"/>
    <w:rsid w:val="00FA165A"/>
    <w:rsid w:val="00FA33B4"/>
    <w:rsid w:val="00FA5790"/>
    <w:rsid w:val="00FA66FC"/>
    <w:rsid w:val="00FA7DF3"/>
    <w:rsid w:val="00FC45AA"/>
    <w:rsid w:val="00FC5CAC"/>
    <w:rsid w:val="00FD2742"/>
    <w:rsid w:val="00FD2B60"/>
    <w:rsid w:val="00FD7214"/>
    <w:rsid w:val="00FE55CA"/>
    <w:rsid w:val="00FF00FD"/>
    <w:rsid w:val="00FF03D3"/>
    <w:rsid w:val="00FF0D45"/>
    <w:rsid w:val="00FF3B05"/>
    <w:rsid w:val="00FF4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AB918ED"/>
  <w15:chartTrackingRefBased/>
  <w15:docId w15:val="{E839E85A-5DD8-4351-8BCD-280CD3F04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481"/>
    <w:pPr>
      <w:spacing w:after="200" w:line="276" w:lineRule="auto"/>
    </w:pPr>
    <w:rPr>
      <w:rFonts w:eastAsiaTheme="minorEastAsia"/>
    </w:rPr>
  </w:style>
  <w:style w:type="paragraph" w:styleId="Heading1">
    <w:name w:val="heading 1"/>
    <w:basedOn w:val="Normal"/>
    <w:next w:val="Normal"/>
    <w:link w:val="Heading1Char"/>
    <w:uiPriority w:val="9"/>
    <w:qFormat/>
    <w:rsid w:val="00C651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semiHidden/>
    <w:unhideWhenUsed/>
    <w:qFormat/>
    <w:rsid w:val="008134A0"/>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8134A0"/>
    <w:pPr>
      <w:spacing w:after="240" w:line="240" w:lineRule="auto"/>
      <w:outlineLvl w:val="4"/>
    </w:pPr>
    <w:rPr>
      <w:rFonts w:ascii="Times New Roman" w:eastAsia="Times New Roman" w:hAnsi="Times New Roman" w:cs="Times New Roman"/>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8134A0"/>
    <w:rPr>
      <w:rFonts w:ascii="Times New Roman" w:eastAsia="Times New Roman" w:hAnsi="Times New Roman" w:cs="Times New Roman"/>
      <w:i/>
      <w:sz w:val="24"/>
      <w:szCs w:val="24"/>
    </w:rPr>
  </w:style>
  <w:style w:type="table" w:customStyle="1" w:styleId="CMSTable1">
    <w:name w:val="CMS_Table1"/>
    <w:basedOn w:val="TableNormal"/>
    <w:uiPriority w:val="99"/>
    <w:rsid w:val="00D05481"/>
    <w:pPr>
      <w:spacing w:after="0" w:line="240" w:lineRule="auto"/>
    </w:pPr>
    <w:rPr>
      <w:rFonts w:ascii="Times New Roman" w:eastAsia="Times New Roman" w:hAnsi="Times New Roman" w:cs="Times New Roman"/>
      <w:sz w:val="20"/>
      <w:szCs w:val="20"/>
    </w:rPr>
    <w:tblPr>
      <w:tblInd w:w="0" w:type="nil"/>
      <w:tblBorders>
        <w:top w:val="single" w:sz="12" w:space="0" w:color="auto"/>
        <w:bottom w:val="single" w:sz="12" w:space="0" w:color="auto"/>
      </w:tblBorders>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paragraph" w:styleId="BalloonText">
    <w:name w:val="Balloon Text"/>
    <w:basedOn w:val="Normal"/>
    <w:link w:val="BalloonTextChar"/>
    <w:uiPriority w:val="99"/>
    <w:semiHidden/>
    <w:unhideWhenUsed/>
    <w:rsid w:val="00604E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EAD"/>
    <w:rPr>
      <w:rFonts w:ascii="Segoe UI" w:eastAsiaTheme="minorEastAsia" w:hAnsi="Segoe UI" w:cs="Segoe UI"/>
      <w:sz w:val="18"/>
      <w:szCs w:val="18"/>
    </w:rPr>
  </w:style>
  <w:style w:type="table" w:customStyle="1" w:styleId="CMSTable">
    <w:name w:val="CMS_Table"/>
    <w:basedOn w:val="TableNormal"/>
    <w:uiPriority w:val="99"/>
    <w:rsid w:val="008C4E0B"/>
    <w:pPr>
      <w:spacing w:after="0" w:line="240" w:lineRule="auto"/>
    </w:pPr>
    <w:rPr>
      <w:rFonts w:ascii="Times New Roman" w:eastAsia="Times New Roman" w:hAnsi="Times New Roman" w:cs="Times New Roman"/>
      <w:szCs w:val="20"/>
    </w:rPr>
    <w:tblPr>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character" w:styleId="CommentReference">
    <w:name w:val="annotation reference"/>
    <w:basedOn w:val="DefaultParagraphFont"/>
    <w:uiPriority w:val="99"/>
    <w:semiHidden/>
    <w:unhideWhenUsed/>
    <w:rsid w:val="00A21249"/>
    <w:rPr>
      <w:sz w:val="16"/>
      <w:szCs w:val="16"/>
    </w:rPr>
  </w:style>
  <w:style w:type="paragraph" w:styleId="CommentText">
    <w:name w:val="annotation text"/>
    <w:basedOn w:val="Normal"/>
    <w:link w:val="CommentTextChar"/>
    <w:uiPriority w:val="99"/>
    <w:semiHidden/>
    <w:unhideWhenUsed/>
    <w:rsid w:val="00A21249"/>
    <w:pPr>
      <w:spacing w:line="240" w:lineRule="auto"/>
    </w:pPr>
    <w:rPr>
      <w:sz w:val="20"/>
      <w:szCs w:val="20"/>
    </w:rPr>
  </w:style>
  <w:style w:type="character" w:customStyle="1" w:styleId="CommentTextChar">
    <w:name w:val="Comment Text Char"/>
    <w:basedOn w:val="DefaultParagraphFont"/>
    <w:link w:val="CommentText"/>
    <w:uiPriority w:val="99"/>
    <w:semiHidden/>
    <w:rsid w:val="00A21249"/>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A21249"/>
    <w:rPr>
      <w:b/>
      <w:bCs/>
    </w:rPr>
  </w:style>
  <w:style w:type="character" w:customStyle="1" w:styleId="CommentSubjectChar">
    <w:name w:val="Comment Subject Char"/>
    <w:basedOn w:val="CommentTextChar"/>
    <w:link w:val="CommentSubject"/>
    <w:uiPriority w:val="99"/>
    <w:semiHidden/>
    <w:rsid w:val="00A21249"/>
    <w:rPr>
      <w:rFonts w:eastAsiaTheme="minorEastAsia"/>
      <w:b/>
      <w:bCs/>
      <w:sz w:val="20"/>
      <w:szCs w:val="20"/>
    </w:rPr>
  </w:style>
  <w:style w:type="character" w:styleId="Hyperlink">
    <w:name w:val="Hyperlink"/>
    <w:basedOn w:val="DefaultParagraphFont"/>
    <w:uiPriority w:val="99"/>
    <w:unhideWhenUsed/>
    <w:rsid w:val="00DF6260"/>
    <w:rPr>
      <w:color w:val="0563C1" w:themeColor="hyperlink"/>
      <w:u w:val="single"/>
    </w:rPr>
  </w:style>
  <w:style w:type="paragraph" w:styleId="FootnoteText">
    <w:name w:val="footnote text"/>
    <w:aliases w:val="Char18"/>
    <w:basedOn w:val="Normal"/>
    <w:link w:val="FootnoteTextChar"/>
    <w:uiPriority w:val="99"/>
    <w:qFormat/>
    <w:rsid w:val="00DF6260"/>
    <w:pPr>
      <w:spacing w:after="0" w:line="240" w:lineRule="auto"/>
    </w:pPr>
    <w:rPr>
      <w:rFonts w:ascii="Times New Roman" w:eastAsia="Calibri" w:hAnsi="Times New Roman" w:cs="Times New Roman"/>
      <w:sz w:val="20"/>
      <w:szCs w:val="20"/>
    </w:rPr>
  </w:style>
  <w:style w:type="character" w:customStyle="1" w:styleId="FootnoteTextChar">
    <w:name w:val="Footnote Text Char"/>
    <w:aliases w:val="Char18 Char"/>
    <w:basedOn w:val="DefaultParagraphFont"/>
    <w:link w:val="FootnoteText"/>
    <w:uiPriority w:val="99"/>
    <w:rsid w:val="00DF6260"/>
    <w:rPr>
      <w:rFonts w:ascii="Times New Roman" w:eastAsia="Calibri" w:hAnsi="Times New Roman" w:cs="Times New Roman"/>
      <w:sz w:val="20"/>
      <w:szCs w:val="20"/>
    </w:rPr>
  </w:style>
  <w:style w:type="character" w:styleId="FootnoteReference">
    <w:name w:val="footnote reference"/>
    <w:basedOn w:val="DefaultParagraphFont"/>
    <w:uiPriority w:val="99"/>
    <w:qFormat/>
    <w:rsid w:val="00DF6260"/>
    <w:rPr>
      <w:rFonts w:cs="Times New Roman"/>
      <w:vertAlign w:val="superscript"/>
    </w:rPr>
  </w:style>
  <w:style w:type="character" w:customStyle="1" w:styleId="normaltextrun">
    <w:name w:val="normaltextrun"/>
    <w:basedOn w:val="DefaultParagraphFont"/>
    <w:rsid w:val="00C54C6D"/>
  </w:style>
  <w:style w:type="character" w:customStyle="1" w:styleId="eop">
    <w:name w:val="eop"/>
    <w:basedOn w:val="DefaultParagraphFont"/>
    <w:rsid w:val="00C54C6D"/>
  </w:style>
  <w:style w:type="paragraph" w:customStyle="1" w:styleId="paragraph">
    <w:name w:val="paragraph"/>
    <w:basedOn w:val="Normal"/>
    <w:rsid w:val="00C54C6D"/>
    <w:pPr>
      <w:spacing w:before="100" w:beforeAutospacing="1" w:after="100" w:afterAutospacing="1" w:line="240" w:lineRule="auto"/>
    </w:pPr>
    <w:rPr>
      <w:rFonts w:ascii="Calibri" w:eastAsiaTheme="minorHAnsi" w:hAnsi="Calibri" w:cs="Calibri"/>
    </w:rPr>
  </w:style>
  <w:style w:type="paragraph" w:styleId="ListParagraph">
    <w:name w:val="List Paragraph"/>
    <w:basedOn w:val="Normal"/>
    <w:link w:val="ListParagraphChar"/>
    <w:uiPriority w:val="34"/>
    <w:qFormat/>
    <w:rsid w:val="00485CE7"/>
    <w:pPr>
      <w:ind w:left="720"/>
      <w:contextualSpacing/>
    </w:pPr>
  </w:style>
  <w:style w:type="character" w:customStyle="1" w:styleId="ListParagraphChar">
    <w:name w:val="List Paragraph Char"/>
    <w:basedOn w:val="DefaultParagraphFont"/>
    <w:link w:val="ListParagraph"/>
    <w:uiPriority w:val="34"/>
    <w:locked/>
    <w:rsid w:val="009C5107"/>
    <w:rPr>
      <w:rFonts w:eastAsiaTheme="minorEastAsia"/>
    </w:rPr>
  </w:style>
  <w:style w:type="character" w:customStyle="1" w:styleId="UnresolvedMention1">
    <w:name w:val="Unresolved Mention1"/>
    <w:basedOn w:val="DefaultParagraphFont"/>
    <w:uiPriority w:val="99"/>
    <w:semiHidden/>
    <w:unhideWhenUsed/>
    <w:rsid w:val="00232145"/>
    <w:rPr>
      <w:color w:val="605E5C"/>
      <w:shd w:val="clear" w:color="auto" w:fill="E1DFDD"/>
    </w:rPr>
  </w:style>
  <w:style w:type="character" w:customStyle="1" w:styleId="st1">
    <w:name w:val="st1"/>
    <w:basedOn w:val="DefaultParagraphFont"/>
    <w:rsid w:val="0068746F"/>
  </w:style>
  <w:style w:type="character" w:customStyle="1" w:styleId="normaltextrun1">
    <w:name w:val="normaltextrun1"/>
    <w:basedOn w:val="DefaultParagraphFont"/>
    <w:rsid w:val="00CD1A9F"/>
  </w:style>
  <w:style w:type="paragraph" w:styleId="Header">
    <w:name w:val="header"/>
    <w:basedOn w:val="Normal"/>
    <w:link w:val="HeaderChar"/>
    <w:uiPriority w:val="99"/>
    <w:unhideWhenUsed/>
    <w:rsid w:val="00683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37C3"/>
    <w:rPr>
      <w:rFonts w:eastAsiaTheme="minorEastAsia"/>
    </w:rPr>
  </w:style>
  <w:style w:type="paragraph" w:styleId="Footer">
    <w:name w:val="footer"/>
    <w:basedOn w:val="Normal"/>
    <w:link w:val="FooterChar"/>
    <w:uiPriority w:val="99"/>
    <w:unhideWhenUsed/>
    <w:rsid w:val="00683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37C3"/>
    <w:rPr>
      <w:rFonts w:eastAsiaTheme="minorEastAsia"/>
    </w:rPr>
  </w:style>
  <w:style w:type="character" w:customStyle="1" w:styleId="Heading4Char">
    <w:name w:val="Heading 4 Char"/>
    <w:basedOn w:val="DefaultParagraphFont"/>
    <w:link w:val="Heading4"/>
    <w:uiPriority w:val="9"/>
    <w:semiHidden/>
    <w:rsid w:val="008134A0"/>
    <w:rPr>
      <w:rFonts w:asciiTheme="majorHAnsi" w:eastAsiaTheme="majorEastAsia" w:hAnsiTheme="majorHAnsi" w:cstheme="majorBidi"/>
      <w:i/>
      <w:iCs/>
      <w:color w:val="2F5496" w:themeColor="accent1" w:themeShade="BF"/>
    </w:rPr>
  </w:style>
  <w:style w:type="character" w:customStyle="1" w:styleId="requiredfield">
    <w:name w:val="requiredfield"/>
    <w:basedOn w:val="DefaultParagraphFont"/>
    <w:rsid w:val="008134A0"/>
  </w:style>
  <w:style w:type="character" w:customStyle="1" w:styleId="Style1">
    <w:name w:val="Style1"/>
    <w:basedOn w:val="DefaultParagraphFont"/>
    <w:uiPriority w:val="1"/>
    <w:rsid w:val="008134A0"/>
    <w:rPr>
      <w:rFonts w:asciiTheme="minorHAnsi" w:hAnsiTheme="minorHAnsi"/>
      <w:color w:val="auto"/>
      <w:sz w:val="22"/>
    </w:rPr>
  </w:style>
  <w:style w:type="paragraph" w:styleId="BodyText">
    <w:name w:val="Body Text"/>
    <w:basedOn w:val="Normal"/>
    <w:link w:val="BodyTextChar"/>
    <w:qFormat/>
    <w:rsid w:val="008134A0"/>
    <w:pPr>
      <w:spacing w:after="240" w:line="240" w:lineRule="auto"/>
      <w:ind w:firstLine="720"/>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8134A0"/>
    <w:rPr>
      <w:rFonts w:ascii="Times New Roman" w:eastAsia="Times New Roman" w:hAnsi="Times New Roman" w:cs="Times New Roman"/>
      <w:sz w:val="24"/>
      <w:szCs w:val="20"/>
    </w:rPr>
  </w:style>
  <w:style w:type="character" w:customStyle="1" w:styleId="ui-button-text">
    <w:name w:val="ui-button-text"/>
    <w:basedOn w:val="DefaultParagraphFont"/>
    <w:rsid w:val="008134A0"/>
  </w:style>
  <w:style w:type="character" w:customStyle="1" w:styleId="auto-resume-file-uploader-note">
    <w:name w:val="auto-resume-file-uploader-note"/>
    <w:basedOn w:val="DefaultParagraphFont"/>
    <w:rsid w:val="008134A0"/>
  </w:style>
  <w:style w:type="character" w:customStyle="1" w:styleId="underlinecls">
    <w:name w:val="underlinecls"/>
    <w:basedOn w:val="DefaultParagraphFont"/>
    <w:rsid w:val="008134A0"/>
  </w:style>
  <w:style w:type="paragraph" w:customStyle="1" w:styleId="TableTitle">
    <w:name w:val="Table Title"/>
    <w:basedOn w:val="Caption"/>
    <w:rsid w:val="008134A0"/>
    <w:pPr>
      <w:keepNext/>
      <w:keepLines/>
      <w:spacing w:before="240" w:after="240"/>
      <w:jc w:val="center"/>
    </w:pPr>
    <w:rPr>
      <w:rFonts w:ascii="Times New Roman" w:eastAsia="Times New Roman" w:hAnsi="Times New Roman" w:cs="Arial"/>
      <w:b/>
      <w:bCs/>
      <w:i w:val="0"/>
      <w:iCs w:val="0"/>
      <w:color w:val="auto"/>
      <w:sz w:val="24"/>
      <w:szCs w:val="22"/>
    </w:rPr>
  </w:style>
  <w:style w:type="paragraph" w:styleId="Caption">
    <w:name w:val="caption"/>
    <w:basedOn w:val="Normal"/>
    <w:next w:val="Normal"/>
    <w:uiPriority w:val="35"/>
    <w:semiHidden/>
    <w:unhideWhenUsed/>
    <w:qFormat/>
    <w:rsid w:val="008134A0"/>
    <w:pPr>
      <w:spacing w:line="240" w:lineRule="auto"/>
    </w:pPr>
    <w:rPr>
      <w:rFonts w:eastAsiaTheme="minorHAnsi"/>
      <w:i/>
      <w:iCs/>
      <w:color w:val="44546A" w:themeColor="text2"/>
      <w:sz w:val="18"/>
      <w:szCs w:val="18"/>
    </w:rPr>
  </w:style>
  <w:style w:type="paragraph" w:customStyle="1" w:styleId="SourceTable">
    <w:name w:val="Source Table"/>
    <w:basedOn w:val="Normal"/>
    <w:rsid w:val="008134A0"/>
    <w:pPr>
      <w:keepLines/>
      <w:spacing w:before="120" w:after="120" w:line="240" w:lineRule="auto"/>
    </w:pPr>
    <w:rPr>
      <w:rFonts w:ascii="Times New Roman" w:eastAsia="Times New Roman" w:hAnsi="Times New Roman" w:cs="Times New Roman"/>
      <w:sz w:val="20"/>
      <w:szCs w:val="20"/>
    </w:rPr>
  </w:style>
  <w:style w:type="paragraph" w:customStyle="1" w:styleId="TableHeaders">
    <w:name w:val="Table Headers"/>
    <w:basedOn w:val="Normal"/>
    <w:qFormat/>
    <w:rsid w:val="008134A0"/>
    <w:pPr>
      <w:keepNext/>
      <w:spacing w:before="80" w:after="80" w:line="240" w:lineRule="auto"/>
      <w:jc w:val="center"/>
    </w:pPr>
    <w:rPr>
      <w:rFonts w:ascii="Times New Roman" w:eastAsia="Times New Roman" w:hAnsi="Times New Roman" w:cs="Times New Roman"/>
      <w:snapToGrid w:val="0"/>
      <w:sz w:val="24"/>
      <w:szCs w:val="20"/>
    </w:rPr>
  </w:style>
  <w:style w:type="paragraph" w:customStyle="1" w:styleId="TableText">
    <w:name w:val="Table Text"/>
    <w:qFormat/>
    <w:rsid w:val="008134A0"/>
    <w:pPr>
      <w:spacing w:before="40" w:after="40" w:line="240" w:lineRule="auto"/>
    </w:pPr>
    <w:rPr>
      <w:rFonts w:ascii="Times New Roman" w:eastAsia="Times New Roman" w:hAnsi="Times New Roman" w:cs="Times New Roman"/>
      <w:sz w:val="24"/>
      <w:szCs w:val="20"/>
    </w:rPr>
  </w:style>
  <w:style w:type="paragraph" w:customStyle="1" w:styleId="TableTextCenter">
    <w:name w:val="Table Text Center"/>
    <w:basedOn w:val="Normal"/>
    <w:qFormat/>
    <w:rsid w:val="008134A0"/>
    <w:pPr>
      <w:spacing w:before="40" w:after="40" w:line="240" w:lineRule="auto"/>
      <w:jc w:val="center"/>
    </w:pPr>
    <w:rPr>
      <w:rFonts w:ascii="Times New Roman" w:eastAsia="Times New Roman" w:hAnsi="Times New Roman" w:cs="Times New Roman"/>
      <w:sz w:val="24"/>
      <w:szCs w:val="20"/>
    </w:rPr>
  </w:style>
  <w:style w:type="paragraph" w:customStyle="1" w:styleId="footnotetext0">
    <w:name w:val="footnotetext"/>
    <w:basedOn w:val="Normal"/>
    <w:qFormat/>
    <w:rsid w:val="008134A0"/>
    <w:pPr>
      <w:spacing w:after="0" w:line="240" w:lineRule="auto"/>
      <w:ind w:left="270" w:hanging="270"/>
    </w:pPr>
    <w:rPr>
      <w:rFonts w:ascii="Times New Roman" w:eastAsia="Times New Roman" w:hAnsi="Times New Roman" w:cs="Times New Roman"/>
      <w:sz w:val="20"/>
      <w:szCs w:val="20"/>
    </w:rPr>
  </w:style>
  <w:style w:type="paragraph" w:customStyle="1" w:styleId="Rationale">
    <w:name w:val="Rationale"/>
    <w:basedOn w:val="Normal"/>
    <w:qFormat/>
    <w:rsid w:val="008134A0"/>
    <w:pPr>
      <w:spacing w:before="240" w:after="240" w:line="240" w:lineRule="auto"/>
      <w:ind w:left="1224"/>
    </w:pPr>
    <w:rPr>
      <w:rFonts w:ascii="Times New Roman" w:eastAsia="Calibri" w:hAnsi="Times New Roman" w:cs="Times New Roman"/>
      <w:sz w:val="24"/>
      <w:szCs w:val="20"/>
    </w:rPr>
  </w:style>
  <w:style w:type="paragraph" w:customStyle="1" w:styleId="NumberedListItal">
    <w:name w:val="NumberedListItal"/>
    <w:basedOn w:val="Normal"/>
    <w:qFormat/>
    <w:rsid w:val="008134A0"/>
    <w:pPr>
      <w:spacing w:after="240" w:line="240" w:lineRule="auto"/>
      <w:ind w:left="1260" w:hanging="540"/>
    </w:pPr>
    <w:rPr>
      <w:rFonts w:ascii="Times New Roman" w:eastAsia="Calibri" w:hAnsi="Times New Roman" w:cs="Times New Roman"/>
      <w:i/>
      <w:sz w:val="24"/>
      <w:szCs w:val="20"/>
    </w:rPr>
  </w:style>
  <w:style w:type="paragraph" w:customStyle="1" w:styleId="rationalebullets">
    <w:name w:val="rationalebullets"/>
    <w:basedOn w:val="Normal"/>
    <w:qFormat/>
    <w:rsid w:val="008134A0"/>
    <w:pPr>
      <w:tabs>
        <w:tab w:val="left" w:pos="1530"/>
      </w:tabs>
      <w:spacing w:after="120" w:line="240" w:lineRule="auto"/>
      <w:ind w:left="1526" w:hanging="360"/>
    </w:pPr>
    <w:rPr>
      <w:rFonts w:ascii="Times New Roman" w:eastAsia="Times New Roman" w:hAnsi="Times New Roman" w:cs="Times New Roman"/>
      <w:sz w:val="24"/>
      <w:szCs w:val="20"/>
    </w:rPr>
  </w:style>
  <w:style w:type="paragraph" w:customStyle="1" w:styleId="equation">
    <w:name w:val="equation"/>
    <w:rsid w:val="008134A0"/>
    <w:pPr>
      <w:tabs>
        <w:tab w:val="center" w:pos="4680"/>
        <w:tab w:val="right" w:pos="9360"/>
      </w:tabs>
      <w:spacing w:after="240" w:line="240" w:lineRule="auto"/>
    </w:pPr>
    <w:rPr>
      <w:rFonts w:ascii="Times New Roman" w:eastAsia="Times New Roman" w:hAnsi="Times New Roman" w:cs="Times New Roman"/>
      <w:sz w:val="24"/>
      <w:szCs w:val="20"/>
    </w:rPr>
  </w:style>
  <w:style w:type="paragraph" w:customStyle="1" w:styleId="BodyTextNoIndent">
    <w:name w:val="Body Text No Indent"/>
    <w:basedOn w:val="BodyText"/>
    <w:qFormat/>
    <w:rsid w:val="008134A0"/>
    <w:pPr>
      <w:ind w:firstLine="0"/>
    </w:pPr>
    <w:rPr>
      <w:spacing w:val="-4"/>
    </w:rPr>
  </w:style>
  <w:style w:type="paragraph" w:customStyle="1" w:styleId="NumberedList">
    <w:name w:val="NumberedList"/>
    <w:basedOn w:val="Normal"/>
    <w:qFormat/>
    <w:rsid w:val="008134A0"/>
    <w:pPr>
      <w:numPr>
        <w:numId w:val="15"/>
      </w:numPr>
      <w:spacing w:after="240" w:line="240" w:lineRule="auto"/>
      <w:ind w:hanging="540"/>
    </w:pPr>
    <w:rPr>
      <w:rFonts w:ascii="Times New Roman" w:eastAsia="Times New Roman" w:hAnsi="Times New Roman" w:cs="Times New Roman"/>
      <w:sz w:val="24"/>
      <w:szCs w:val="20"/>
    </w:rPr>
  </w:style>
  <w:style w:type="paragraph" w:customStyle="1" w:styleId="Steps">
    <w:name w:val="Steps"/>
    <w:basedOn w:val="Normal"/>
    <w:qFormat/>
    <w:rsid w:val="008134A0"/>
    <w:pPr>
      <w:spacing w:after="240" w:line="240" w:lineRule="auto"/>
      <w:ind w:left="2160" w:hanging="1440"/>
    </w:pPr>
    <w:rPr>
      <w:rFonts w:ascii="Times New Roman" w:eastAsia="Times New Roman" w:hAnsi="Times New Roman" w:cs="Times New Roman"/>
      <w:sz w:val="24"/>
      <w:szCs w:val="20"/>
    </w:rPr>
  </w:style>
  <w:style w:type="paragraph" w:customStyle="1" w:styleId="StepsIndent">
    <w:name w:val="StepsIndent"/>
    <w:basedOn w:val="Steps"/>
    <w:qFormat/>
    <w:rsid w:val="008134A0"/>
    <w:pPr>
      <w:ind w:firstLine="0"/>
    </w:pPr>
  </w:style>
  <w:style w:type="paragraph" w:customStyle="1" w:styleId="NOTE">
    <w:name w:val="NOTE"/>
    <w:basedOn w:val="Normal"/>
    <w:qFormat/>
    <w:rsid w:val="008134A0"/>
    <w:pPr>
      <w:spacing w:after="240" w:line="240" w:lineRule="auto"/>
    </w:pPr>
    <w:rPr>
      <w:rFonts w:ascii="Times New Roman" w:eastAsia="Times New Roman" w:hAnsi="Times New Roman" w:cs="Times New Roman"/>
      <w:sz w:val="24"/>
      <w:szCs w:val="20"/>
    </w:rPr>
  </w:style>
  <w:style w:type="paragraph" w:customStyle="1" w:styleId="Default">
    <w:name w:val="Default"/>
    <w:rsid w:val="008134A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gc">
    <w:name w:val="_tgc"/>
    <w:basedOn w:val="DefaultParagraphFont"/>
    <w:rsid w:val="008134A0"/>
  </w:style>
  <w:style w:type="character" w:styleId="Emphasis">
    <w:name w:val="Emphasis"/>
    <w:basedOn w:val="DefaultParagraphFont"/>
    <w:uiPriority w:val="20"/>
    <w:qFormat/>
    <w:rsid w:val="008134A0"/>
    <w:rPr>
      <w:b/>
      <w:bCs/>
      <w:i w:val="0"/>
      <w:iCs w:val="0"/>
    </w:rPr>
  </w:style>
  <w:style w:type="character" w:customStyle="1" w:styleId="Heading1Char">
    <w:name w:val="Heading 1 Char"/>
    <w:basedOn w:val="DefaultParagraphFont"/>
    <w:link w:val="Heading1"/>
    <w:uiPriority w:val="9"/>
    <w:rsid w:val="00C6510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2730">
      <w:bodyDiv w:val="1"/>
      <w:marLeft w:val="0"/>
      <w:marRight w:val="0"/>
      <w:marTop w:val="0"/>
      <w:marBottom w:val="0"/>
      <w:divBdr>
        <w:top w:val="none" w:sz="0" w:space="0" w:color="auto"/>
        <w:left w:val="none" w:sz="0" w:space="0" w:color="auto"/>
        <w:bottom w:val="none" w:sz="0" w:space="0" w:color="auto"/>
        <w:right w:val="none" w:sz="0" w:space="0" w:color="auto"/>
      </w:divBdr>
    </w:div>
    <w:div w:id="64911970">
      <w:bodyDiv w:val="1"/>
      <w:marLeft w:val="0"/>
      <w:marRight w:val="0"/>
      <w:marTop w:val="0"/>
      <w:marBottom w:val="0"/>
      <w:divBdr>
        <w:top w:val="none" w:sz="0" w:space="0" w:color="auto"/>
        <w:left w:val="none" w:sz="0" w:space="0" w:color="auto"/>
        <w:bottom w:val="none" w:sz="0" w:space="0" w:color="auto"/>
        <w:right w:val="none" w:sz="0" w:space="0" w:color="auto"/>
      </w:divBdr>
    </w:div>
    <w:div w:id="69085839">
      <w:bodyDiv w:val="1"/>
      <w:marLeft w:val="0"/>
      <w:marRight w:val="0"/>
      <w:marTop w:val="0"/>
      <w:marBottom w:val="0"/>
      <w:divBdr>
        <w:top w:val="none" w:sz="0" w:space="0" w:color="auto"/>
        <w:left w:val="none" w:sz="0" w:space="0" w:color="auto"/>
        <w:bottom w:val="none" w:sz="0" w:space="0" w:color="auto"/>
        <w:right w:val="none" w:sz="0" w:space="0" w:color="auto"/>
      </w:divBdr>
    </w:div>
    <w:div w:id="78672992">
      <w:bodyDiv w:val="1"/>
      <w:marLeft w:val="0"/>
      <w:marRight w:val="0"/>
      <w:marTop w:val="0"/>
      <w:marBottom w:val="0"/>
      <w:divBdr>
        <w:top w:val="none" w:sz="0" w:space="0" w:color="auto"/>
        <w:left w:val="none" w:sz="0" w:space="0" w:color="auto"/>
        <w:bottom w:val="none" w:sz="0" w:space="0" w:color="auto"/>
        <w:right w:val="none" w:sz="0" w:space="0" w:color="auto"/>
      </w:divBdr>
    </w:div>
    <w:div w:id="197085845">
      <w:bodyDiv w:val="1"/>
      <w:marLeft w:val="0"/>
      <w:marRight w:val="0"/>
      <w:marTop w:val="0"/>
      <w:marBottom w:val="0"/>
      <w:divBdr>
        <w:top w:val="none" w:sz="0" w:space="0" w:color="auto"/>
        <w:left w:val="none" w:sz="0" w:space="0" w:color="auto"/>
        <w:bottom w:val="none" w:sz="0" w:space="0" w:color="auto"/>
        <w:right w:val="none" w:sz="0" w:space="0" w:color="auto"/>
      </w:divBdr>
    </w:div>
    <w:div w:id="238714361">
      <w:bodyDiv w:val="1"/>
      <w:marLeft w:val="0"/>
      <w:marRight w:val="0"/>
      <w:marTop w:val="0"/>
      <w:marBottom w:val="0"/>
      <w:divBdr>
        <w:top w:val="none" w:sz="0" w:space="0" w:color="auto"/>
        <w:left w:val="none" w:sz="0" w:space="0" w:color="auto"/>
        <w:bottom w:val="none" w:sz="0" w:space="0" w:color="auto"/>
        <w:right w:val="none" w:sz="0" w:space="0" w:color="auto"/>
      </w:divBdr>
    </w:div>
    <w:div w:id="342245017">
      <w:bodyDiv w:val="1"/>
      <w:marLeft w:val="0"/>
      <w:marRight w:val="0"/>
      <w:marTop w:val="0"/>
      <w:marBottom w:val="0"/>
      <w:divBdr>
        <w:top w:val="none" w:sz="0" w:space="0" w:color="auto"/>
        <w:left w:val="none" w:sz="0" w:space="0" w:color="auto"/>
        <w:bottom w:val="none" w:sz="0" w:space="0" w:color="auto"/>
        <w:right w:val="none" w:sz="0" w:space="0" w:color="auto"/>
      </w:divBdr>
    </w:div>
    <w:div w:id="375006152">
      <w:bodyDiv w:val="1"/>
      <w:marLeft w:val="0"/>
      <w:marRight w:val="0"/>
      <w:marTop w:val="0"/>
      <w:marBottom w:val="0"/>
      <w:divBdr>
        <w:top w:val="none" w:sz="0" w:space="0" w:color="auto"/>
        <w:left w:val="none" w:sz="0" w:space="0" w:color="auto"/>
        <w:bottom w:val="none" w:sz="0" w:space="0" w:color="auto"/>
        <w:right w:val="none" w:sz="0" w:space="0" w:color="auto"/>
      </w:divBdr>
    </w:div>
    <w:div w:id="406609354">
      <w:bodyDiv w:val="1"/>
      <w:marLeft w:val="0"/>
      <w:marRight w:val="0"/>
      <w:marTop w:val="0"/>
      <w:marBottom w:val="0"/>
      <w:divBdr>
        <w:top w:val="none" w:sz="0" w:space="0" w:color="auto"/>
        <w:left w:val="none" w:sz="0" w:space="0" w:color="auto"/>
        <w:bottom w:val="none" w:sz="0" w:space="0" w:color="auto"/>
        <w:right w:val="none" w:sz="0" w:space="0" w:color="auto"/>
      </w:divBdr>
    </w:div>
    <w:div w:id="431979495">
      <w:bodyDiv w:val="1"/>
      <w:marLeft w:val="0"/>
      <w:marRight w:val="0"/>
      <w:marTop w:val="0"/>
      <w:marBottom w:val="0"/>
      <w:divBdr>
        <w:top w:val="none" w:sz="0" w:space="0" w:color="auto"/>
        <w:left w:val="none" w:sz="0" w:space="0" w:color="auto"/>
        <w:bottom w:val="none" w:sz="0" w:space="0" w:color="auto"/>
        <w:right w:val="none" w:sz="0" w:space="0" w:color="auto"/>
      </w:divBdr>
    </w:div>
    <w:div w:id="503394592">
      <w:bodyDiv w:val="1"/>
      <w:marLeft w:val="0"/>
      <w:marRight w:val="0"/>
      <w:marTop w:val="0"/>
      <w:marBottom w:val="0"/>
      <w:divBdr>
        <w:top w:val="none" w:sz="0" w:space="0" w:color="auto"/>
        <w:left w:val="none" w:sz="0" w:space="0" w:color="auto"/>
        <w:bottom w:val="none" w:sz="0" w:space="0" w:color="auto"/>
        <w:right w:val="none" w:sz="0" w:space="0" w:color="auto"/>
      </w:divBdr>
    </w:div>
    <w:div w:id="596522823">
      <w:bodyDiv w:val="1"/>
      <w:marLeft w:val="0"/>
      <w:marRight w:val="0"/>
      <w:marTop w:val="0"/>
      <w:marBottom w:val="0"/>
      <w:divBdr>
        <w:top w:val="none" w:sz="0" w:space="0" w:color="auto"/>
        <w:left w:val="none" w:sz="0" w:space="0" w:color="auto"/>
        <w:bottom w:val="none" w:sz="0" w:space="0" w:color="auto"/>
        <w:right w:val="none" w:sz="0" w:space="0" w:color="auto"/>
      </w:divBdr>
    </w:div>
    <w:div w:id="661199382">
      <w:bodyDiv w:val="1"/>
      <w:marLeft w:val="0"/>
      <w:marRight w:val="0"/>
      <w:marTop w:val="0"/>
      <w:marBottom w:val="0"/>
      <w:divBdr>
        <w:top w:val="none" w:sz="0" w:space="0" w:color="auto"/>
        <w:left w:val="none" w:sz="0" w:space="0" w:color="auto"/>
        <w:bottom w:val="none" w:sz="0" w:space="0" w:color="auto"/>
        <w:right w:val="none" w:sz="0" w:space="0" w:color="auto"/>
      </w:divBdr>
    </w:div>
    <w:div w:id="680012011">
      <w:bodyDiv w:val="1"/>
      <w:marLeft w:val="0"/>
      <w:marRight w:val="0"/>
      <w:marTop w:val="0"/>
      <w:marBottom w:val="0"/>
      <w:divBdr>
        <w:top w:val="none" w:sz="0" w:space="0" w:color="auto"/>
        <w:left w:val="none" w:sz="0" w:space="0" w:color="auto"/>
        <w:bottom w:val="none" w:sz="0" w:space="0" w:color="auto"/>
        <w:right w:val="none" w:sz="0" w:space="0" w:color="auto"/>
      </w:divBdr>
    </w:div>
    <w:div w:id="746197732">
      <w:bodyDiv w:val="1"/>
      <w:marLeft w:val="0"/>
      <w:marRight w:val="0"/>
      <w:marTop w:val="0"/>
      <w:marBottom w:val="0"/>
      <w:divBdr>
        <w:top w:val="none" w:sz="0" w:space="0" w:color="auto"/>
        <w:left w:val="none" w:sz="0" w:space="0" w:color="auto"/>
        <w:bottom w:val="none" w:sz="0" w:space="0" w:color="auto"/>
        <w:right w:val="none" w:sz="0" w:space="0" w:color="auto"/>
      </w:divBdr>
    </w:div>
    <w:div w:id="765418961">
      <w:bodyDiv w:val="1"/>
      <w:marLeft w:val="0"/>
      <w:marRight w:val="0"/>
      <w:marTop w:val="0"/>
      <w:marBottom w:val="0"/>
      <w:divBdr>
        <w:top w:val="none" w:sz="0" w:space="0" w:color="auto"/>
        <w:left w:val="none" w:sz="0" w:space="0" w:color="auto"/>
        <w:bottom w:val="none" w:sz="0" w:space="0" w:color="auto"/>
        <w:right w:val="none" w:sz="0" w:space="0" w:color="auto"/>
      </w:divBdr>
    </w:div>
    <w:div w:id="1003045634">
      <w:bodyDiv w:val="1"/>
      <w:marLeft w:val="0"/>
      <w:marRight w:val="0"/>
      <w:marTop w:val="0"/>
      <w:marBottom w:val="0"/>
      <w:divBdr>
        <w:top w:val="none" w:sz="0" w:space="0" w:color="auto"/>
        <w:left w:val="none" w:sz="0" w:space="0" w:color="auto"/>
        <w:bottom w:val="none" w:sz="0" w:space="0" w:color="auto"/>
        <w:right w:val="none" w:sz="0" w:space="0" w:color="auto"/>
      </w:divBdr>
    </w:div>
    <w:div w:id="1035539584">
      <w:bodyDiv w:val="1"/>
      <w:marLeft w:val="0"/>
      <w:marRight w:val="0"/>
      <w:marTop w:val="0"/>
      <w:marBottom w:val="0"/>
      <w:divBdr>
        <w:top w:val="none" w:sz="0" w:space="0" w:color="auto"/>
        <w:left w:val="none" w:sz="0" w:space="0" w:color="auto"/>
        <w:bottom w:val="none" w:sz="0" w:space="0" w:color="auto"/>
        <w:right w:val="none" w:sz="0" w:space="0" w:color="auto"/>
      </w:divBdr>
    </w:div>
    <w:div w:id="1045787120">
      <w:bodyDiv w:val="1"/>
      <w:marLeft w:val="0"/>
      <w:marRight w:val="0"/>
      <w:marTop w:val="0"/>
      <w:marBottom w:val="0"/>
      <w:divBdr>
        <w:top w:val="none" w:sz="0" w:space="0" w:color="auto"/>
        <w:left w:val="none" w:sz="0" w:space="0" w:color="auto"/>
        <w:bottom w:val="none" w:sz="0" w:space="0" w:color="auto"/>
        <w:right w:val="none" w:sz="0" w:space="0" w:color="auto"/>
      </w:divBdr>
    </w:div>
    <w:div w:id="1073819730">
      <w:bodyDiv w:val="1"/>
      <w:marLeft w:val="0"/>
      <w:marRight w:val="0"/>
      <w:marTop w:val="0"/>
      <w:marBottom w:val="0"/>
      <w:divBdr>
        <w:top w:val="none" w:sz="0" w:space="0" w:color="auto"/>
        <w:left w:val="none" w:sz="0" w:space="0" w:color="auto"/>
        <w:bottom w:val="none" w:sz="0" w:space="0" w:color="auto"/>
        <w:right w:val="none" w:sz="0" w:space="0" w:color="auto"/>
      </w:divBdr>
    </w:div>
    <w:div w:id="1096706773">
      <w:bodyDiv w:val="1"/>
      <w:marLeft w:val="0"/>
      <w:marRight w:val="0"/>
      <w:marTop w:val="0"/>
      <w:marBottom w:val="0"/>
      <w:divBdr>
        <w:top w:val="none" w:sz="0" w:space="0" w:color="auto"/>
        <w:left w:val="none" w:sz="0" w:space="0" w:color="auto"/>
        <w:bottom w:val="none" w:sz="0" w:space="0" w:color="auto"/>
        <w:right w:val="none" w:sz="0" w:space="0" w:color="auto"/>
      </w:divBdr>
    </w:div>
    <w:div w:id="1124931365">
      <w:bodyDiv w:val="1"/>
      <w:marLeft w:val="0"/>
      <w:marRight w:val="0"/>
      <w:marTop w:val="0"/>
      <w:marBottom w:val="0"/>
      <w:divBdr>
        <w:top w:val="none" w:sz="0" w:space="0" w:color="auto"/>
        <w:left w:val="none" w:sz="0" w:space="0" w:color="auto"/>
        <w:bottom w:val="none" w:sz="0" w:space="0" w:color="auto"/>
        <w:right w:val="none" w:sz="0" w:space="0" w:color="auto"/>
      </w:divBdr>
    </w:div>
    <w:div w:id="1164391887">
      <w:bodyDiv w:val="1"/>
      <w:marLeft w:val="0"/>
      <w:marRight w:val="0"/>
      <w:marTop w:val="0"/>
      <w:marBottom w:val="0"/>
      <w:divBdr>
        <w:top w:val="none" w:sz="0" w:space="0" w:color="auto"/>
        <w:left w:val="none" w:sz="0" w:space="0" w:color="auto"/>
        <w:bottom w:val="none" w:sz="0" w:space="0" w:color="auto"/>
        <w:right w:val="none" w:sz="0" w:space="0" w:color="auto"/>
      </w:divBdr>
    </w:div>
    <w:div w:id="1169709030">
      <w:bodyDiv w:val="1"/>
      <w:marLeft w:val="0"/>
      <w:marRight w:val="0"/>
      <w:marTop w:val="0"/>
      <w:marBottom w:val="0"/>
      <w:divBdr>
        <w:top w:val="none" w:sz="0" w:space="0" w:color="auto"/>
        <w:left w:val="none" w:sz="0" w:space="0" w:color="auto"/>
        <w:bottom w:val="none" w:sz="0" w:space="0" w:color="auto"/>
        <w:right w:val="none" w:sz="0" w:space="0" w:color="auto"/>
      </w:divBdr>
    </w:div>
    <w:div w:id="1309170347">
      <w:bodyDiv w:val="1"/>
      <w:marLeft w:val="0"/>
      <w:marRight w:val="0"/>
      <w:marTop w:val="0"/>
      <w:marBottom w:val="0"/>
      <w:divBdr>
        <w:top w:val="none" w:sz="0" w:space="0" w:color="auto"/>
        <w:left w:val="none" w:sz="0" w:space="0" w:color="auto"/>
        <w:bottom w:val="none" w:sz="0" w:space="0" w:color="auto"/>
        <w:right w:val="none" w:sz="0" w:space="0" w:color="auto"/>
      </w:divBdr>
    </w:div>
    <w:div w:id="1338652616">
      <w:bodyDiv w:val="1"/>
      <w:marLeft w:val="0"/>
      <w:marRight w:val="0"/>
      <w:marTop w:val="0"/>
      <w:marBottom w:val="0"/>
      <w:divBdr>
        <w:top w:val="none" w:sz="0" w:space="0" w:color="auto"/>
        <w:left w:val="none" w:sz="0" w:space="0" w:color="auto"/>
        <w:bottom w:val="none" w:sz="0" w:space="0" w:color="auto"/>
        <w:right w:val="none" w:sz="0" w:space="0" w:color="auto"/>
      </w:divBdr>
    </w:div>
    <w:div w:id="1365134787">
      <w:bodyDiv w:val="1"/>
      <w:marLeft w:val="0"/>
      <w:marRight w:val="0"/>
      <w:marTop w:val="0"/>
      <w:marBottom w:val="0"/>
      <w:divBdr>
        <w:top w:val="none" w:sz="0" w:space="0" w:color="auto"/>
        <w:left w:val="none" w:sz="0" w:space="0" w:color="auto"/>
        <w:bottom w:val="none" w:sz="0" w:space="0" w:color="auto"/>
        <w:right w:val="none" w:sz="0" w:space="0" w:color="auto"/>
      </w:divBdr>
    </w:div>
    <w:div w:id="1367952584">
      <w:bodyDiv w:val="1"/>
      <w:marLeft w:val="0"/>
      <w:marRight w:val="0"/>
      <w:marTop w:val="0"/>
      <w:marBottom w:val="0"/>
      <w:divBdr>
        <w:top w:val="none" w:sz="0" w:space="0" w:color="auto"/>
        <w:left w:val="none" w:sz="0" w:space="0" w:color="auto"/>
        <w:bottom w:val="none" w:sz="0" w:space="0" w:color="auto"/>
        <w:right w:val="none" w:sz="0" w:space="0" w:color="auto"/>
      </w:divBdr>
    </w:div>
    <w:div w:id="1399353722">
      <w:bodyDiv w:val="1"/>
      <w:marLeft w:val="0"/>
      <w:marRight w:val="0"/>
      <w:marTop w:val="0"/>
      <w:marBottom w:val="0"/>
      <w:divBdr>
        <w:top w:val="none" w:sz="0" w:space="0" w:color="auto"/>
        <w:left w:val="none" w:sz="0" w:space="0" w:color="auto"/>
        <w:bottom w:val="none" w:sz="0" w:space="0" w:color="auto"/>
        <w:right w:val="none" w:sz="0" w:space="0" w:color="auto"/>
      </w:divBdr>
    </w:div>
    <w:div w:id="1497920084">
      <w:bodyDiv w:val="1"/>
      <w:marLeft w:val="0"/>
      <w:marRight w:val="0"/>
      <w:marTop w:val="0"/>
      <w:marBottom w:val="0"/>
      <w:divBdr>
        <w:top w:val="none" w:sz="0" w:space="0" w:color="auto"/>
        <w:left w:val="none" w:sz="0" w:space="0" w:color="auto"/>
        <w:bottom w:val="none" w:sz="0" w:space="0" w:color="auto"/>
        <w:right w:val="none" w:sz="0" w:space="0" w:color="auto"/>
      </w:divBdr>
    </w:div>
    <w:div w:id="1506894696">
      <w:bodyDiv w:val="1"/>
      <w:marLeft w:val="0"/>
      <w:marRight w:val="0"/>
      <w:marTop w:val="0"/>
      <w:marBottom w:val="0"/>
      <w:divBdr>
        <w:top w:val="none" w:sz="0" w:space="0" w:color="auto"/>
        <w:left w:val="none" w:sz="0" w:space="0" w:color="auto"/>
        <w:bottom w:val="none" w:sz="0" w:space="0" w:color="auto"/>
        <w:right w:val="none" w:sz="0" w:space="0" w:color="auto"/>
      </w:divBdr>
    </w:div>
    <w:div w:id="1607616727">
      <w:bodyDiv w:val="1"/>
      <w:marLeft w:val="0"/>
      <w:marRight w:val="0"/>
      <w:marTop w:val="0"/>
      <w:marBottom w:val="0"/>
      <w:divBdr>
        <w:top w:val="none" w:sz="0" w:space="0" w:color="auto"/>
        <w:left w:val="none" w:sz="0" w:space="0" w:color="auto"/>
        <w:bottom w:val="none" w:sz="0" w:space="0" w:color="auto"/>
        <w:right w:val="none" w:sz="0" w:space="0" w:color="auto"/>
      </w:divBdr>
    </w:div>
    <w:div w:id="1607807262">
      <w:bodyDiv w:val="1"/>
      <w:marLeft w:val="0"/>
      <w:marRight w:val="0"/>
      <w:marTop w:val="0"/>
      <w:marBottom w:val="0"/>
      <w:divBdr>
        <w:top w:val="none" w:sz="0" w:space="0" w:color="auto"/>
        <w:left w:val="none" w:sz="0" w:space="0" w:color="auto"/>
        <w:bottom w:val="none" w:sz="0" w:space="0" w:color="auto"/>
        <w:right w:val="none" w:sz="0" w:space="0" w:color="auto"/>
      </w:divBdr>
    </w:div>
    <w:div w:id="1624463169">
      <w:bodyDiv w:val="1"/>
      <w:marLeft w:val="0"/>
      <w:marRight w:val="0"/>
      <w:marTop w:val="0"/>
      <w:marBottom w:val="0"/>
      <w:divBdr>
        <w:top w:val="none" w:sz="0" w:space="0" w:color="auto"/>
        <w:left w:val="none" w:sz="0" w:space="0" w:color="auto"/>
        <w:bottom w:val="none" w:sz="0" w:space="0" w:color="auto"/>
        <w:right w:val="none" w:sz="0" w:space="0" w:color="auto"/>
      </w:divBdr>
    </w:div>
    <w:div w:id="1648977735">
      <w:bodyDiv w:val="1"/>
      <w:marLeft w:val="0"/>
      <w:marRight w:val="0"/>
      <w:marTop w:val="0"/>
      <w:marBottom w:val="0"/>
      <w:divBdr>
        <w:top w:val="none" w:sz="0" w:space="0" w:color="auto"/>
        <w:left w:val="none" w:sz="0" w:space="0" w:color="auto"/>
        <w:bottom w:val="none" w:sz="0" w:space="0" w:color="auto"/>
        <w:right w:val="none" w:sz="0" w:space="0" w:color="auto"/>
      </w:divBdr>
    </w:div>
    <w:div w:id="1651443342">
      <w:bodyDiv w:val="1"/>
      <w:marLeft w:val="0"/>
      <w:marRight w:val="0"/>
      <w:marTop w:val="0"/>
      <w:marBottom w:val="0"/>
      <w:divBdr>
        <w:top w:val="none" w:sz="0" w:space="0" w:color="auto"/>
        <w:left w:val="none" w:sz="0" w:space="0" w:color="auto"/>
        <w:bottom w:val="none" w:sz="0" w:space="0" w:color="auto"/>
        <w:right w:val="none" w:sz="0" w:space="0" w:color="auto"/>
      </w:divBdr>
    </w:div>
    <w:div w:id="1880359284">
      <w:bodyDiv w:val="1"/>
      <w:marLeft w:val="0"/>
      <w:marRight w:val="0"/>
      <w:marTop w:val="0"/>
      <w:marBottom w:val="0"/>
      <w:divBdr>
        <w:top w:val="none" w:sz="0" w:space="0" w:color="auto"/>
        <w:left w:val="none" w:sz="0" w:space="0" w:color="auto"/>
        <w:bottom w:val="none" w:sz="0" w:space="0" w:color="auto"/>
        <w:right w:val="none" w:sz="0" w:space="0" w:color="auto"/>
      </w:divBdr>
    </w:div>
    <w:div w:id="197363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inpatientrehabilitationfacilitycompare/" TargetMode="External"/><Relationship Id="rId13" Type="http://schemas.openxmlformats.org/officeDocument/2006/relationships/hyperlink" Target="http://www.resdac.org/cm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sdac.org/cms-data/files/op-rif"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sdac.org/cms-data/files/ip-ri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resdac.org/cms-data/files/hha-rif"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www.cms.gov/Medicare/Quality-Initiatives-Patient-Assessment-Instruments/HomeHealthQualityInits/Downloads/MeasureSpecificationsForCY17-HH-QRP-FR.pdf" TargetMode="External"/><Relationship Id="rId14" Type="http://schemas.openxmlformats.org/officeDocument/2006/relationships/hyperlink" Target="https://www.cms.gov/Medicare/Health-Plans/MedicareAdvtgSpecRateStats/Risk-Adjustors.html"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cms.gov/Medicare/Quality-Initiatives-Patient-Assessment-Instruments/IRF-Quality-Reporting/Downloads/Measure-Specifications-for-FY17-IRF-QRP-Final-Rule.pdf" TargetMode="External"/><Relationship Id="rId3" Type="http://schemas.openxmlformats.org/officeDocument/2006/relationships/hyperlink" Target="https://archive.ahrq.gov/research/findings/final-reports/medicareindicators/medicareindicators.pdf" TargetMode="External"/><Relationship Id="rId7" Type="http://schemas.openxmlformats.org/officeDocument/2006/relationships/hyperlink" Target="http://www.qualityforum.org/QPS/1789" TargetMode="External"/><Relationship Id="rId2" Type="http://schemas.openxmlformats.org/officeDocument/2006/relationships/hyperlink" Target="https://www.ers.usda.gov/data-products/rural-urban-continuum-codes/" TargetMode="External"/><Relationship Id="rId1" Type="http://schemas.openxmlformats.org/officeDocument/2006/relationships/hyperlink" Target="https://www.huduser.gov/portal/datasets/usps_crosswalk.html" TargetMode="External"/><Relationship Id="rId6" Type="http://schemas.openxmlformats.org/officeDocument/2006/relationships/hyperlink" Target="http://www.qualityforum.org/QPS/2512" TargetMode="External"/><Relationship Id="rId5" Type="http://schemas.openxmlformats.org/officeDocument/2006/relationships/hyperlink" Target="http://www.qualityforum.org/QPS/2502" TargetMode="External"/><Relationship Id="rId10" Type="http://schemas.openxmlformats.org/officeDocument/2006/relationships/hyperlink" Target="https://www.cms.gov/Medicare/Quality-Initiatives-Patient-Assessment-Instruments/HospitalQualityInits/Downloads/Hospital-Wide-All-Cause-Readmission-Updates.zip" TargetMode="External"/><Relationship Id="rId4" Type="http://schemas.openxmlformats.org/officeDocument/2006/relationships/hyperlink" Target="http://www.qualityforum.org/QPS/2510" TargetMode="External"/><Relationship Id="rId9" Type="http://schemas.openxmlformats.org/officeDocument/2006/relationships/hyperlink" Target="http://www.qualityforum.org/QPS/178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DFDE70186F34CF7A49800AFE090BEF4"/>
        <w:category>
          <w:name w:val="General"/>
          <w:gallery w:val="placeholder"/>
        </w:category>
        <w:types>
          <w:type w:val="bbPlcHdr"/>
        </w:types>
        <w:behaviors>
          <w:behavior w:val="content"/>
        </w:behaviors>
        <w:guid w:val="{9CB61B6A-8CE5-4EAD-A0A4-76C68766087A}"/>
      </w:docPartPr>
      <w:docPartBody>
        <w:p w:rsidR="00DB279B" w:rsidRDefault="00DB279B" w:rsidP="00DB279B">
          <w:pPr>
            <w:pStyle w:val="2DFDE70186F34CF7A49800AFE090BEF4"/>
          </w:pPr>
          <w:r w:rsidRPr="00A25024">
            <w:rPr>
              <w:rStyle w:val="PlaceholderText"/>
              <w:rFonts w:cstheme="minorHAnsi"/>
              <w:color w:val="A6A6A6" w:themeColor="background1" w:themeShade="A6"/>
            </w:rPr>
            <w:t>Click here to enter measure title</w:t>
          </w:r>
        </w:p>
      </w:docPartBody>
    </w:docPart>
    <w:docPart>
      <w:docPartPr>
        <w:name w:val="6393F25D78004B3DA49DF870A906F540"/>
        <w:category>
          <w:name w:val="General"/>
          <w:gallery w:val="placeholder"/>
        </w:category>
        <w:types>
          <w:type w:val="bbPlcHdr"/>
        </w:types>
        <w:behaviors>
          <w:behavior w:val="content"/>
        </w:behaviors>
        <w:guid w:val="{365EDAD0-5554-4EAC-9C39-DFA2935693BE}"/>
      </w:docPartPr>
      <w:docPartBody>
        <w:p w:rsidR="00DB279B" w:rsidRDefault="00DB279B" w:rsidP="00DB279B">
          <w:pPr>
            <w:pStyle w:val="6393F25D78004B3DA49DF870A906F540"/>
          </w:pPr>
          <w:r w:rsidRPr="00A25024">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rebuchet MS,Calibri">
    <w:altName w:val="Trebuchet MS"/>
    <w:panose1 w:val="00000000000000000000"/>
    <w:charset w:val="00"/>
    <w:family w:val="roman"/>
    <w:notTrueType/>
    <w:pitch w:val="default"/>
  </w:font>
  <w:font w:name="Trebuchet MS,">
    <w:altName w:val="Trebuchet MS"/>
    <w:panose1 w:val="00000000000000000000"/>
    <w:charset w:val="00"/>
    <w:family w:val="roman"/>
    <w:notTrueType/>
    <w:pitch w:val="default"/>
  </w:font>
  <w:font w:name="Trebuchet MS,Times New Roman">
    <w:altName w:val="Times New Roman"/>
    <w:panose1 w:val="00000000000000000000"/>
    <w:charset w:val="00"/>
    <w:family w:val="roman"/>
    <w:notTrueType/>
    <w:pitch w:val="default"/>
  </w:font>
  <w:font w:name="SymbolMT">
    <w:altName w:val="MS Mincho"/>
    <w:panose1 w:val="00000000000000000000"/>
    <w:charset w:val="80"/>
    <w:family w:val="auto"/>
    <w:notTrueType/>
    <w:pitch w:val="default"/>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CDD"/>
    <w:rsid w:val="000B1D4E"/>
    <w:rsid w:val="002747DC"/>
    <w:rsid w:val="004D6568"/>
    <w:rsid w:val="00564D62"/>
    <w:rsid w:val="005E01D1"/>
    <w:rsid w:val="006003A3"/>
    <w:rsid w:val="00636CDD"/>
    <w:rsid w:val="00A417EC"/>
    <w:rsid w:val="00DB279B"/>
    <w:rsid w:val="00E1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279B"/>
    <w:rPr>
      <w:color w:val="808080"/>
    </w:rPr>
  </w:style>
  <w:style w:type="paragraph" w:customStyle="1" w:styleId="9C3C5439FC4A41D3B64AE9A7F100B6D8">
    <w:name w:val="9C3C5439FC4A41D3B64AE9A7F100B6D8"/>
    <w:rsid w:val="00636CDD"/>
  </w:style>
  <w:style w:type="paragraph" w:customStyle="1" w:styleId="46761FDB89FE41C99AB9EFDFDF09334F">
    <w:name w:val="46761FDB89FE41C99AB9EFDFDF09334F"/>
    <w:rsid w:val="00636CDD"/>
  </w:style>
  <w:style w:type="paragraph" w:customStyle="1" w:styleId="FA02355B98E44275AD047FB9630B03B7">
    <w:name w:val="FA02355B98E44275AD047FB9630B03B7"/>
    <w:rsid w:val="00636CDD"/>
  </w:style>
  <w:style w:type="paragraph" w:customStyle="1" w:styleId="2DFDE70186F34CF7A49800AFE090BEF4">
    <w:name w:val="2DFDE70186F34CF7A49800AFE090BEF4"/>
    <w:rsid w:val="00DB279B"/>
  </w:style>
  <w:style w:type="paragraph" w:customStyle="1" w:styleId="6393F25D78004B3DA49DF870A906F540">
    <w:name w:val="6393F25D78004B3DA49DF870A906F540"/>
    <w:rsid w:val="00DB27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6A002-C9B5-433D-A52C-0ABA8577C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6764</Words>
  <Characters>38555</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Molly Marino</dc:creator>
  <cp:keywords/>
  <dc:description/>
  <cp:lastModifiedBy>Alrick Edwards</cp:lastModifiedBy>
  <cp:revision>2</cp:revision>
  <cp:lastPrinted>2018-10-29T14:46:00Z</cp:lastPrinted>
  <dcterms:created xsi:type="dcterms:W3CDTF">2018-11-08T22:42:00Z</dcterms:created>
  <dcterms:modified xsi:type="dcterms:W3CDTF">2018-11-08T22:42:00Z</dcterms:modified>
</cp:coreProperties>
</file>