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09360975" w:rsidR="00496AF8" w:rsidRPr="001A6D05" w:rsidRDefault="007C1887" w:rsidP="004F78F5">
      <w:pPr>
        <w:ind w:left="0" w:firstLine="0"/>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4F78F5">
      <w:pPr>
        <w:ind w:left="0" w:firstLine="0"/>
        <w:rPr>
          <w:noProof/>
        </w:rPr>
      </w:pPr>
    </w:p>
    <w:p w14:paraId="55B8DA2E" w14:textId="77777777" w:rsidR="004F7D7E" w:rsidRPr="003B1CC5" w:rsidRDefault="004F7D7E" w:rsidP="004F78F5">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55993AF0" w:rsidR="00496AF8" w:rsidRPr="003B1CC5" w:rsidRDefault="00496AF8" w:rsidP="004F78F5">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Fonts w:eastAsiaTheme="minorEastAsia" w:cstheme="minorHAnsi"/>
              </w:rPr>
              <w:id w:val="-401986597"/>
              <w:placeholder>
                <w:docPart w:val="0968C57AC2B345BAB2CCD9D164585ED3"/>
              </w:placeholder>
            </w:sdtPr>
            <w:sdtEndPr>
              <w:rPr>
                <w:rStyle w:val="Style1"/>
              </w:rPr>
            </w:sdtEndPr>
            <w:sdtContent>
              <w:sdt>
                <w:sdtPr>
                  <w:rPr>
                    <w:rStyle w:val="Style1"/>
                    <w:rFonts w:eastAsiaTheme="minorEastAsia" w:cstheme="minorHAnsi"/>
                    <w:noProof/>
                  </w:rPr>
                  <w:id w:val="-1364206501"/>
                  <w:placeholder>
                    <w:docPart w:val="04F13D514D06475684A2ADC5E3B40D9D"/>
                  </w:placeholder>
                </w:sdtPr>
                <w:sdtEndPr>
                  <w:rPr>
                    <w:rStyle w:val="Style1"/>
                  </w:rPr>
                </w:sdtEndPr>
                <w:sdtContent>
                  <w:r w:rsidR="0095432D">
                    <w:rPr>
                      <w:rStyle w:val="Style1"/>
                      <w:rFonts w:eastAsiaTheme="minorEastAsia" w:cstheme="minorHAnsi"/>
                    </w:rPr>
                    <w:t xml:space="preserve">Discharge to Community-Post Acute Care Measure for </w:t>
                  </w:r>
                  <w:r w:rsidR="00F32AAE">
                    <w:rPr>
                      <w:rStyle w:val="Style1"/>
                      <w:rFonts w:eastAsiaTheme="minorEastAsia" w:cstheme="minorHAnsi"/>
                    </w:rPr>
                    <w:t>Home Health Agencies</w:t>
                  </w:r>
                  <w:r w:rsidR="0095432D">
                    <w:rPr>
                      <w:rStyle w:val="Style1"/>
                      <w:rFonts w:eastAsiaTheme="minorEastAsia" w:cstheme="minorHAnsi"/>
                    </w:rPr>
                    <w:t xml:space="preserve"> (</w:t>
                  </w:r>
                  <w:r w:rsidR="00F32AAE">
                    <w:rPr>
                      <w:rStyle w:val="Style1"/>
                      <w:rFonts w:eastAsiaTheme="minorEastAsia" w:cstheme="minorHAnsi"/>
                    </w:rPr>
                    <w:t>HHAs</w:t>
                  </w:r>
                  <w:r w:rsidR="0095432D">
                    <w:rPr>
                      <w:rStyle w:val="Style1"/>
                      <w:rFonts w:eastAsiaTheme="minorEastAsia" w:cstheme="minorHAnsi"/>
                    </w:rPr>
                    <w:t>)</w:t>
                  </w:r>
                </w:sdtContent>
              </w:sdt>
            </w:sdtContent>
          </w:sdt>
          <w:r w:rsidR="0095432D">
            <w:rPr>
              <w:rFonts w:eastAsiaTheme="minorEastAsia" w:cstheme="minorHAnsi"/>
              <w:noProof/>
            </w:rPr>
            <w:t xml:space="preserve">  </w:t>
          </w:r>
        </w:sdtContent>
      </w:sdt>
    </w:p>
    <w:p w14:paraId="55B8DA30" w14:textId="77777777" w:rsidR="00114848" w:rsidRPr="003B1CC5" w:rsidRDefault="00E97E59" w:rsidP="004F78F5">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60AF05E0" w:rsidR="00496AF8" w:rsidRPr="003B1CC5" w:rsidRDefault="00496AF8" w:rsidP="004F78F5">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12-18T00:00:00Z">
            <w:dateFormat w:val="M/d/yyyy"/>
            <w:lid w:val="en-US"/>
            <w:storeMappedDataAs w:val="dateTime"/>
            <w:calendar w:val="gregorian"/>
          </w:date>
        </w:sdtPr>
        <w:sdtEndPr>
          <w:rPr>
            <w:rStyle w:val="DefaultParagraphFont"/>
            <w:noProof/>
            <w:color w:val="auto"/>
            <w:u w:val="none"/>
          </w:rPr>
        </w:sdtEndPr>
        <w:sdtContent>
          <w:r w:rsidR="005214F8">
            <w:rPr>
              <w:rStyle w:val="Style2"/>
            </w:rPr>
            <w:t>12/18/2018</w:t>
          </w:r>
        </w:sdtContent>
      </w:sdt>
    </w:p>
    <w:p w14:paraId="55B8DA32" w14:textId="77777777" w:rsidR="00176E60" w:rsidRPr="003B1CC5" w:rsidRDefault="00176E60" w:rsidP="004F78F5">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4F78F5">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4F78F5">
            <w:pPr>
              <w:pStyle w:val="CommentText"/>
              <w:numPr>
                <w:ilvl w:val="0"/>
                <w:numId w:val="5"/>
              </w:numPr>
              <w:ind w:left="0" w:firstLine="0"/>
              <w:rPr>
                <w:i/>
                <w:sz w:val="22"/>
                <w:szCs w:val="22"/>
              </w:rPr>
            </w:pPr>
            <w:r w:rsidRPr="00EF18B5">
              <w:rPr>
                <w:i/>
                <w:sz w:val="22"/>
                <w:szCs w:val="22"/>
              </w:rPr>
              <w:t xml:space="preserve">Complete 1a.1 </w:t>
            </w:r>
            <w:r w:rsidR="004922E4" w:rsidRPr="00EF18B5">
              <w:rPr>
                <w:i/>
                <w:sz w:val="22"/>
                <w:szCs w:val="22"/>
              </w:rPr>
              <w:t>and 1a.</w:t>
            </w:r>
            <w:r w:rsidRPr="00EF18B5">
              <w:rPr>
                <w:i/>
                <w:sz w:val="22"/>
                <w:szCs w:val="22"/>
              </w:rPr>
              <w:t>2 for all measures</w:t>
            </w:r>
            <w:r>
              <w:rPr>
                <w:i/>
                <w:sz w:val="22"/>
                <w:szCs w:val="22"/>
              </w:rPr>
              <w:t xml:space="preserve">. </w:t>
            </w:r>
            <w:r w:rsidR="004922E4">
              <w:rPr>
                <w:i/>
                <w:sz w:val="22"/>
                <w:szCs w:val="22"/>
              </w:rPr>
              <w:t>If instrument-based measure, complete 1a.3.</w:t>
            </w:r>
          </w:p>
          <w:p w14:paraId="55B8DA35" w14:textId="77777777" w:rsidR="000F4A7F" w:rsidRPr="00EF18B5" w:rsidRDefault="000F4A7F" w:rsidP="004F78F5">
            <w:pPr>
              <w:pStyle w:val="CommentText"/>
              <w:numPr>
                <w:ilvl w:val="0"/>
                <w:numId w:val="5"/>
              </w:numPr>
              <w:ind w:left="0" w:firstLine="0"/>
              <w:rPr>
                <w:i/>
                <w:sz w:val="22"/>
                <w:szCs w:val="22"/>
              </w:rPr>
            </w:pPr>
            <w:r w:rsidRPr="00EF18B5">
              <w:rPr>
                <w:i/>
                <w:sz w:val="22"/>
                <w:szCs w:val="22"/>
              </w:rPr>
              <w:t xml:space="preserve">Complete </w:t>
            </w:r>
            <w:r w:rsidRPr="00EF18B5">
              <w:rPr>
                <w:b/>
                <w:i/>
                <w:sz w:val="22"/>
                <w:szCs w:val="22"/>
              </w:rPr>
              <w:t xml:space="preserve">EITHER 1a.2, 1a.3 or 1a.4 </w:t>
            </w:r>
            <w:r w:rsidRPr="00EF18B5">
              <w:rPr>
                <w:i/>
                <w:sz w:val="22"/>
                <w:szCs w:val="22"/>
              </w:rPr>
              <w:t>as applicable for the type of measure and evidence.</w:t>
            </w:r>
          </w:p>
          <w:p w14:paraId="55B8DA36" w14:textId="77777777" w:rsidR="00024526" w:rsidRPr="003B1CC5" w:rsidRDefault="00024526" w:rsidP="004F78F5">
            <w:pPr>
              <w:pStyle w:val="CommentText"/>
              <w:numPr>
                <w:ilvl w:val="0"/>
                <w:numId w:val="5"/>
              </w:numPr>
              <w:ind w:left="0" w:firstLine="0"/>
              <w:rPr>
                <w:i/>
                <w:sz w:val="22"/>
                <w:szCs w:val="22"/>
              </w:rPr>
            </w:pPr>
            <w:r w:rsidRPr="003B1CC5">
              <w:rPr>
                <w:i/>
                <w:sz w:val="22"/>
                <w:szCs w:val="22"/>
              </w:rPr>
              <w:t xml:space="preserve">For composite performance measures:  </w:t>
            </w:r>
          </w:p>
          <w:p w14:paraId="55B8DA37" w14:textId="77777777" w:rsidR="00024526" w:rsidRPr="003B1CC5" w:rsidRDefault="00024526" w:rsidP="004F78F5">
            <w:pPr>
              <w:pStyle w:val="CommentText"/>
              <w:numPr>
                <w:ilvl w:val="1"/>
                <w:numId w:val="5"/>
              </w:numPr>
              <w:ind w:left="0" w:firstLine="0"/>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4F78F5">
            <w:pPr>
              <w:pStyle w:val="CommentText"/>
              <w:numPr>
                <w:ilvl w:val="1"/>
                <w:numId w:val="5"/>
              </w:numPr>
              <w:ind w:left="0" w:firstLine="0"/>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4F78F5">
            <w:pPr>
              <w:pStyle w:val="ListParagraph"/>
              <w:numPr>
                <w:ilvl w:val="0"/>
                <w:numId w:val="5"/>
              </w:numPr>
              <w:spacing w:after="0" w:line="240" w:lineRule="auto"/>
              <w:ind w:left="0" w:firstLine="0"/>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4F78F5">
            <w:pPr>
              <w:pStyle w:val="ListParagraph"/>
              <w:numPr>
                <w:ilvl w:val="0"/>
                <w:numId w:val="5"/>
              </w:numPr>
              <w:spacing w:after="0" w:line="240" w:lineRule="auto"/>
              <w:ind w:left="0" w:firstLine="0"/>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4F78F5">
            <w:pPr>
              <w:pStyle w:val="ListParagraph"/>
              <w:numPr>
                <w:ilvl w:val="0"/>
                <w:numId w:val="5"/>
              </w:numPr>
              <w:spacing w:after="0" w:line="240" w:lineRule="auto"/>
              <w:ind w:left="0" w:firstLine="0"/>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4F78F5">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4F78F5">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4F78F5">
            <w:pPr>
              <w:ind w:left="0" w:firstLine="0"/>
              <w:rPr>
                <w:sz w:val="20"/>
                <w:szCs w:val="20"/>
              </w:rPr>
            </w:pPr>
            <w:bookmarkStart w:id="0" w:name="Note2"/>
            <w:bookmarkEnd w:id="0"/>
          </w:p>
          <w:p w14:paraId="55B8DA40" w14:textId="77777777" w:rsidR="008659ED" w:rsidRPr="003B1CC5" w:rsidRDefault="008659ED" w:rsidP="004F78F5">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4F78F5">
            <w:pPr>
              <w:ind w:left="0" w:firstLine="0"/>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4F78F5">
            <w:pPr>
              <w:numPr>
                <w:ilvl w:val="0"/>
                <w:numId w:val="7"/>
              </w:numPr>
              <w:ind w:left="0" w:firstLine="0"/>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4F78F5">
            <w:pPr>
              <w:numPr>
                <w:ilvl w:val="0"/>
                <w:numId w:val="7"/>
              </w:numPr>
              <w:ind w:left="0" w:firstLine="0"/>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4F78F5">
            <w:pPr>
              <w:numPr>
                <w:ilvl w:val="0"/>
                <w:numId w:val="7"/>
              </w:numPr>
              <w:ind w:left="0" w:firstLine="0"/>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4F78F5">
            <w:pPr>
              <w:numPr>
                <w:ilvl w:val="0"/>
                <w:numId w:val="8"/>
              </w:numPr>
              <w:autoSpaceDE w:val="0"/>
              <w:autoSpaceDN w:val="0"/>
              <w:adjustRightInd w:val="0"/>
              <w:ind w:left="0" w:firstLine="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4F78F5">
            <w:pPr>
              <w:pStyle w:val="ListParagraph"/>
              <w:numPr>
                <w:ilvl w:val="0"/>
                <w:numId w:val="8"/>
              </w:numPr>
              <w:autoSpaceDE w:val="0"/>
              <w:autoSpaceDN w:val="0"/>
              <w:adjustRightInd w:val="0"/>
              <w:spacing w:after="0" w:line="240" w:lineRule="auto"/>
              <w:ind w:left="0" w:firstLine="0"/>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4F78F5">
            <w:pPr>
              <w:pStyle w:val="ListParagraph"/>
              <w:numPr>
                <w:ilvl w:val="0"/>
                <w:numId w:val="8"/>
              </w:numPr>
              <w:autoSpaceDE w:val="0"/>
              <w:autoSpaceDN w:val="0"/>
              <w:adjustRightInd w:val="0"/>
              <w:spacing w:after="0" w:line="240" w:lineRule="auto"/>
              <w:ind w:left="0" w:firstLine="0"/>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4F78F5">
            <w:pPr>
              <w:numPr>
                <w:ilvl w:val="0"/>
                <w:numId w:val="8"/>
              </w:numPr>
              <w:autoSpaceDE w:val="0"/>
              <w:autoSpaceDN w:val="0"/>
              <w:adjustRightInd w:val="0"/>
              <w:ind w:left="0" w:firstLine="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4F78F5">
            <w:pPr>
              <w:autoSpaceDE w:val="0"/>
              <w:autoSpaceDN w:val="0"/>
              <w:adjustRightInd w:val="0"/>
              <w:ind w:left="0" w:firstLine="0"/>
              <w:rPr>
                <w:rFonts w:eastAsia="Calibri" w:cs="Calibri"/>
                <w:b/>
                <w:bCs/>
                <w:iCs/>
                <w:sz w:val="18"/>
              </w:rPr>
            </w:pPr>
          </w:p>
          <w:p w14:paraId="55B8DA48" w14:textId="77777777" w:rsidR="008659ED" w:rsidRPr="003B1CC5" w:rsidRDefault="008659ED" w:rsidP="004F78F5">
            <w:pPr>
              <w:autoSpaceDE w:val="0"/>
              <w:autoSpaceDN w:val="0"/>
              <w:adjustRightInd w:val="0"/>
              <w:ind w:left="0" w:firstLine="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4F78F5">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4F78F5">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4F78F5">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4F78F5">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4F78F5">
      <w:pPr>
        <w:ind w:left="0" w:firstLine="0"/>
        <w:rPr>
          <w:b/>
          <w:bCs/>
          <w:color w:val="0000FF"/>
        </w:rPr>
      </w:pPr>
    </w:p>
    <w:p w14:paraId="55B8DA4F" w14:textId="77777777" w:rsidR="00A67EB1" w:rsidRPr="003B1CC5" w:rsidRDefault="00496AF8" w:rsidP="004F78F5">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4F78F5">
      <w:pPr>
        <w:ind w:left="0" w:firstLine="0"/>
        <w:rPr>
          <w:rFonts w:cs="Calibri"/>
          <w:bCs/>
        </w:rPr>
      </w:pPr>
      <w:r w:rsidRPr="003B1CC5">
        <w:rPr>
          <w:rFonts w:cs="Calibri"/>
          <w:bCs/>
        </w:rPr>
        <w:t>O</w:t>
      </w:r>
      <w:r w:rsidR="00496AF8" w:rsidRPr="003B1CC5">
        <w:rPr>
          <w:rFonts w:cs="Calibri"/>
          <w:bCs/>
        </w:rPr>
        <w:t>utcome</w:t>
      </w:r>
    </w:p>
    <w:p w14:paraId="55B8DA51" w14:textId="5CEAB38B" w:rsidR="00496AF8" w:rsidRPr="003B1CC5" w:rsidRDefault="005214F8" w:rsidP="004F78F5">
      <w:pPr>
        <w:ind w:left="0" w:firstLine="0"/>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F759BF">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887337115"/>
            </w:sdtPr>
            <w:sdtEndPr>
              <w:rPr>
                <w:rStyle w:val="DefaultParagraphFont"/>
                <w:rFonts w:cstheme="minorBidi"/>
                <w:color w:val="auto"/>
                <w:u w:val="none"/>
              </w:rPr>
            </w:sdtEndPr>
            <w:sdtContent>
              <w:r w:rsidR="00494E4B">
                <w:rPr>
                  <w:rStyle w:val="Style2"/>
                  <w:rFonts w:cstheme="minorHAnsi"/>
                </w:rPr>
                <w:t xml:space="preserve">Successful discharge to community </w:t>
              </w:r>
            </w:sdtContent>
          </w:sdt>
          <w:r w:rsidR="00494E4B">
            <w:t xml:space="preserve"> </w:t>
          </w:r>
        </w:sdtContent>
      </w:sdt>
    </w:p>
    <w:p w14:paraId="55B8DA52" w14:textId="77777777" w:rsidR="00236F87" w:rsidRPr="003B1CC5" w:rsidRDefault="005214F8" w:rsidP="004F78F5">
      <w:pPr>
        <w:ind w:left="0" w:firstLine="0"/>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4F78F5">
      <w:pPr>
        <w:ind w:left="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5214F8" w:rsidP="004F78F5">
      <w:pPr>
        <w:ind w:left="0" w:firstLine="0"/>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5214F8" w:rsidP="004F78F5">
      <w:pPr>
        <w:ind w:left="0" w:firstLine="0"/>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4F78F5">
      <w:pPr>
        <w:ind w:left="0" w:firstLine="0"/>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5214F8" w:rsidP="004F78F5">
      <w:pPr>
        <w:ind w:left="0" w:firstLine="0"/>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5214F8" w:rsidP="004F78F5">
      <w:pPr>
        <w:ind w:left="0" w:firstLine="0"/>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4F78F5">
      <w:pPr>
        <w:ind w:left="0" w:firstLine="0"/>
        <w:rPr>
          <w:bCs/>
        </w:rPr>
      </w:pPr>
    </w:p>
    <w:p w14:paraId="55B8DA5A" w14:textId="6CA949A7" w:rsidR="002B06BD" w:rsidRDefault="00676BD4" w:rsidP="004F78F5">
      <w:pPr>
        <w:ind w:left="0" w:firstLine="0"/>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57B7BE9" w14:textId="77777777" w:rsidR="00985795" w:rsidRDefault="00985795" w:rsidP="004F78F5">
      <w:pPr>
        <w:ind w:left="0" w:firstLine="0"/>
        <w:rPr>
          <w:iCs/>
        </w:rPr>
      </w:pPr>
    </w:p>
    <w:p w14:paraId="6CDC0CE1" w14:textId="59B0B4AC" w:rsidR="004C7D29" w:rsidRPr="00737C35" w:rsidRDefault="004C7D29" w:rsidP="004C7D29">
      <w:pPr>
        <w:ind w:left="0" w:firstLine="0"/>
      </w:pPr>
      <w:bookmarkStart w:id="5" w:name="_Hlk526487434"/>
      <w:bookmarkStart w:id="6" w:name="_Hlk524608873"/>
      <w:r w:rsidRPr="00737C35">
        <w:t>This claims-based outcome measure assesses successfu</w:t>
      </w:r>
      <w:r w:rsidR="00F32AAE">
        <w:t>l discharge to community from a home health</w:t>
      </w:r>
      <w:r w:rsidRPr="00737C35">
        <w:t xml:space="preserve"> setting, with successful discharge to community including no unplanned readmissions </w:t>
      </w:r>
      <w:bookmarkStart w:id="7" w:name="_Hlk527106039"/>
      <w:r w:rsidRPr="00737C35">
        <w:t xml:space="preserve">to an acute hospital or long-term care hospital (LTCH) </w:t>
      </w:r>
      <w:bookmarkEnd w:id="7"/>
      <w:r w:rsidRPr="00737C35">
        <w:t xml:space="preserve">and no death in the 31 days following discharge. </w:t>
      </w:r>
      <w:bookmarkStart w:id="8" w:name="_Hlk527106031"/>
      <w:r w:rsidRPr="00737C35">
        <w:t xml:space="preserve">Successful discharge to a community-based setting is an important goal for patients in </w:t>
      </w:r>
      <w:r w:rsidR="008C4E2F">
        <w:t>HH</w:t>
      </w:r>
      <w:r w:rsidRPr="00737C35">
        <w:t xml:space="preserve"> settings. </w:t>
      </w:r>
      <w:bookmarkEnd w:id="8"/>
      <w:r w:rsidRPr="00737C35">
        <w:t xml:space="preserve">Section </w:t>
      </w:r>
      <w:r w:rsidRPr="00737C35">
        <w:rPr>
          <w:b/>
        </w:rPr>
        <w:t>1a.</w:t>
      </w:r>
      <w:r w:rsidR="00961382">
        <w:rPr>
          <w:b/>
        </w:rPr>
        <w:t>2</w:t>
      </w:r>
      <w:r w:rsidRPr="00737C35">
        <w:rPr>
          <w:b/>
        </w:rPr>
        <w:t xml:space="preserve"> </w:t>
      </w:r>
      <w:r w:rsidRPr="00737C35">
        <w:t xml:space="preserve">cites literature support regarding </w:t>
      </w:r>
      <w:bookmarkStart w:id="9" w:name="_Hlk527038928"/>
      <w:r w:rsidRPr="00737C35">
        <w:t xml:space="preserve">provider </w:t>
      </w:r>
      <w:bookmarkEnd w:id="9"/>
      <w:r w:rsidRPr="00737C35">
        <w:t xml:space="preserve">structures and processes associated with the discharge to community outcome. Interventions that enhance discharge transitions and coordination of care have been associated with increased discharge to community rates and reduced readmission rates following community discharge. </w:t>
      </w:r>
    </w:p>
    <w:p w14:paraId="50E6FD9C" w14:textId="77777777" w:rsidR="004C7D29" w:rsidRPr="00737C35" w:rsidRDefault="004C7D29" w:rsidP="004C7D29">
      <w:pPr>
        <w:ind w:left="0" w:firstLine="0"/>
        <w:rPr>
          <w:b/>
        </w:rPr>
      </w:pPr>
    </w:p>
    <w:p w14:paraId="19B0D717" w14:textId="6771C79C" w:rsidR="00961382" w:rsidRDefault="004C7D29" w:rsidP="004F78F5">
      <w:pPr>
        <w:ind w:left="0" w:firstLine="0"/>
      </w:pPr>
      <w:r w:rsidRPr="00737C35">
        <w:rPr>
          <w:b/>
        </w:rPr>
        <w:t>Figure 1</w:t>
      </w:r>
      <w:r w:rsidRPr="00737C35">
        <w:t xml:space="preserve"> illustrates some key </w:t>
      </w:r>
      <w:r w:rsidR="00F32AAE">
        <w:t>HHA</w:t>
      </w:r>
      <w:r w:rsidRPr="00737C35">
        <w:t xml:space="preserve"> structures and processes that influence the likelihood of a patient’s successful discharge to community.</w:t>
      </w:r>
      <w:bookmarkEnd w:id="5"/>
      <w:r w:rsidR="00CC48B2">
        <w:t xml:space="preserve"> The structures and processes listed in the figure are not exhaustive but are intended as examples of key structures and processes that could be </w:t>
      </w:r>
      <w:r w:rsidR="00494E4B">
        <w:t>implemented</w:t>
      </w:r>
      <w:r w:rsidR="00CC48B2">
        <w:t xml:space="preserve"> to facilitate successful discharge to community.</w:t>
      </w:r>
      <w:r w:rsidR="00961382">
        <w:t xml:space="preserve"> </w:t>
      </w:r>
      <w:r w:rsidR="00961382" w:rsidRPr="00120763">
        <w:rPr>
          <w:b/>
        </w:rPr>
        <w:t>Figure 1</w:t>
      </w:r>
      <w:r w:rsidR="00961382">
        <w:t xml:space="preserve"> is based on literature examining the relationship between structures, processes and successful community transitions, as well as the Department of Health and Human Services’ roadmap to better care transitio</w:t>
      </w:r>
      <w:r w:rsidR="00961382" w:rsidRPr="00445D01">
        <w:rPr>
          <w:rFonts w:cstheme="minorHAnsi"/>
        </w:rPr>
        <w:t xml:space="preserve">ns and fewer readmissions, which lists </w:t>
      </w:r>
      <w:r w:rsidR="00961382">
        <w:rPr>
          <w:rFonts w:cstheme="minorHAnsi"/>
        </w:rPr>
        <w:t>e</w:t>
      </w:r>
      <w:r w:rsidR="00961382" w:rsidRPr="00445D01">
        <w:rPr>
          <w:rFonts w:cstheme="minorHAnsi"/>
          <w:bCs/>
        </w:rPr>
        <w:t>lements for safe, effective and efficient care transitions</w:t>
      </w:r>
      <w:r w:rsidR="00A9446B">
        <w:t>. [1]</w:t>
      </w:r>
    </w:p>
    <w:p w14:paraId="21278141" w14:textId="77777777" w:rsidR="00961382" w:rsidRDefault="00961382" w:rsidP="004F78F5">
      <w:pPr>
        <w:ind w:left="0" w:firstLine="0"/>
      </w:pPr>
    </w:p>
    <w:p w14:paraId="7D3E4736" w14:textId="77777777" w:rsidR="00BB2238" w:rsidRPr="00C450B4" w:rsidRDefault="00A9446B" w:rsidP="00BB2238">
      <w:pPr>
        <w:pStyle w:val="EndNoteBibliography"/>
      </w:pPr>
      <w:r>
        <w:t xml:space="preserve">[1] </w:t>
      </w:r>
      <w:r w:rsidR="00961382" w:rsidRPr="00242009">
        <w:rPr>
          <w:i/>
        </w:rPr>
        <w:t xml:space="preserve">United States Department of Health and Human Services: Roadmap to better care transitions and fewer readmissions. </w:t>
      </w:r>
      <w:r w:rsidR="00961382" w:rsidRPr="00242009">
        <w:t>2011.</w:t>
      </w:r>
      <w:r w:rsidR="00BB2238">
        <w:t xml:space="preserve"> </w:t>
      </w:r>
      <w:r w:rsidR="00BB2238" w:rsidRPr="00081A08">
        <w:t>Available</w:t>
      </w:r>
      <w:r w:rsidR="00BB2238">
        <w:t xml:space="preserve"> at: </w:t>
      </w:r>
      <w:hyperlink r:id="rId16" w:history="1">
        <w:r w:rsidR="00BB2238" w:rsidRPr="0040723D">
          <w:rPr>
            <w:rStyle w:val="Hyperlink"/>
          </w:rPr>
          <w:t>https://www.in.gov/isdh/files/improve_care_tran.pdf</w:t>
        </w:r>
      </w:hyperlink>
      <w:r w:rsidR="00BB2238">
        <w:t xml:space="preserve">  </w:t>
      </w:r>
    </w:p>
    <w:p w14:paraId="0AEE7389" w14:textId="3EAFE704" w:rsidR="00961382" w:rsidRPr="00961382" w:rsidRDefault="00BB2238" w:rsidP="004F78F5">
      <w:pPr>
        <w:ind w:left="0" w:firstLine="0"/>
        <w:sectPr w:rsidR="00961382" w:rsidRPr="00961382">
          <w:headerReference w:type="default" r:id="rId17"/>
          <w:footerReference w:type="default" r:id="rId18"/>
          <w:pgSz w:w="12240" w:h="15840"/>
          <w:pgMar w:top="1440" w:right="1440" w:bottom="1440" w:left="1440" w:header="720" w:footer="720" w:gutter="0"/>
          <w:cols w:space="720"/>
        </w:sectPr>
      </w:pPr>
      <w:r>
        <w:t xml:space="preserve">   </w:t>
      </w:r>
    </w:p>
    <w:p w14:paraId="6F91875B" w14:textId="3A33C7C6" w:rsidR="00A975E4" w:rsidRPr="00737C35" w:rsidRDefault="00A975E4" w:rsidP="00A975E4">
      <w:pPr>
        <w:autoSpaceDE w:val="0"/>
        <w:autoSpaceDN w:val="0"/>
        <w:adjustRightInd w:val="0"/>
        <w:spacing w:before="240"/>
        <w:ind w:left="0" w:firstLine="0"/>
        <w:rPr>
          <w:rStyle w:val="Style1"/>
          <w:b/>
          <w:color w:val="auto"/>
        </w:rPr>
      </w:pPr>
      <w:bookmarkStart w:id="10" w:name="_Hlk526487520"/>
      <w:bookmarkEnd w:id="6"/>
      <w:r w:rsidRPr="00737C35">
        <w:rPr>
          <w:rStyle w:val="Style1"/>
          <w:b/>
          <w:color w:val="auto"/>
        </w:rPr>
        <w:lastRenderedPageBreak/>
        <w:t xml:space="preserve">Figure 1. </w:t>
      </w:r>
      <w:bookmarkStart w:id="11" w:name="_Hlk526487490"/>
      <w:bookmarkStart w:id="12" w:name="_Hlk527106145"/>
      <w:r w:rsidR="00885CAE">
        <w:rPr>
          <w:rStyle w:val="Style1"/>
          <w:b/>
          <w:color w:val="auto"/>
        </w:rPr>
        <w:t xml:space="preserve">Examples of </w:t>
      </w:r>
      <w:r w:rsidR="00F17998">
        <w:rPr>
          <w:rStyle w:val="Style1"/>
          <w:b/>
          <w:color w:val="auto"/>
        </w:rPr>
        <w:t>HHA</w:t>
      </w:r>
      <w:r w:rsidRPr="00737C35">
        <w:rPr>
          <w:rStyle w:val="Style1"/>
          <w:b/>
          <w:color w:val="auto"/>
        </w:rPr>
        <w:t xml:space="preserve"> Structures and Processes </w:t>
      </w:r>
      <w:r w:rsidR="00494E4B">
        <w:rPr>
          <w:rStyle w:val="Style1"/>
          <w:b/>
          <w:color w:val="auto"/>
        </w:rPr>
        <w:t>that</w:t>
      </w:r>
      <w:r w:rsidRPr="00737C35">
        <w:rPr>
          <w:rStyle w:val="Style1"/>
          <w:b/>
          <w:color w:val="auto"/>
        </w:rPr>
        <w:t xml:space="preserve"> Influenc</w:t>
      </w:r>
      <w:r w:rsidR="00494E4B">
        <w:rPr>
          <w:rStyle w:val="Style1"/>
          <w:b/>
          <w:color w:val="auto"/>
        </w:rPr>
        <w:t xml:space="preserve">e </w:t>
      </w:r>
      <w:r w:rsidRPr="00737C35">
        <w:rPr>
          <w:rStyle w:val="Style1"/>
          <w:b/>
          <w:color w:val="auto"/>
        </w:rPr>
        <w:t>the Outcome</w:t>
      </w:r>
      <w:bookmarkEnd w:id="11"/>
      <w:r w:rsidRPr="00737C35">
        <w:rPr>
          <w:rStyle w:val="Style1"/>
          <w:b/>
          <w:color w:val="auto"/>
        </w:rPr>
        <w:t xml:space="preserve"> of Successful Discharge to Community</w:t>
      </w:r>
    </w:p>
    <w:bookmarkEnd w:id="12"/>
    <w:p w14:paraId="1FE8157B" w14:textId="77777777" w:rsidR="00D16FD2" w:rsidRDefault="00D16FD2" w:rsidP="004F78F5">
      <w:pPr>
        <w:autoSpaceDE w:val="0"/>
        <w:autoSpaceDN w:val="0"/>
        <w:adjustRightInd w:val="0"/>
        <w:spacing w:before="240"/>
        <w:ind w:left="0" w:firstLine="0"/>
        <w:rPr>
          <w:rStyle w:val="Style1"/>
          <w:rFonts w:eastAsia="Calibri" w:cs="Times New Roman"/>
          <w:noProof/>
          <w:sz w:val="24"/>
        </w:rPr>
      </w:pPr>
    </w:p>
    <w:p w14:paraId="258CDD63" w14:textId="1A21B045" w:rsidR="00D16FD2" w:rsidRDefault="000B660F" w:rsidP="004F78F5">
      <w:pPr>
        <w:ind w:left="0" w:firstLine="0"/>
        <w:rPr>
          <w:b/>
        </w:rPr>
      </w:pPr>
      <w:r>
        <w:rPr>
          <w:noProof/>
        </w:rPr>
        <w:drawing>
          <wp:inline distT="0" distB="0" distL="0" distR="0" wp14:anchorId="19740EED" wp14:editId="33725E3B">
            <wp:extent cx="8160385" cy="5049078"/>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2815E04E" w14:textId="77777777" w:rsidR="00D16FD2" w:rsidRDefault="00D16FD2" w:rsidP="004F78F5">
      <w:pPr>
        <w:ind w:left="0" w:right="140" w:firstLine="0"/>
        <w:rPr>
          <w:b/>
          <w:bCs/>
          <w:color w:val="0000FF"/>
        </w:rPr>
      </w:pPr>
    </w:p>
    <w:p w14:paraId="4C4B9552" w14:textId="77777777" w:rsidR="00D16FD2" w:rsidRDefault="00D16FD2" w:rsidP="004F78F5">
      <w:pPr>
        <w:ind w:left="0" w:firstLine="0"/>
        <w:rPr>
          <w:b/>
          <w:bCs/>
          <w:color w:val="0000FF"/>
        </w:rPr>
        <w:sectPr w:rsidR="00D16FD2" w:rsidSect="004306C5">
          <w:pgSz w:w="15840" w:h="12240" w:orient="landscape"/>
          <w:pgMar w:top="1440" w:right="1440" w:bottom="1440" w:left="1440" w:header="720" w:footer="720" w:gutter="0"/>
          <w:cols w:space="720"/>
          <w:docGrid w:linePitch="299"/>
        </w:sectPr>
      </w:pPr>
    </w:p>
    <w:p w14:paraId="0AAC3738" w14:textId="77777777" w:rsidR="00D16FD2" w:rsidRDefault="00D16FD2" w:rsidP="004F78F5">
      <w:pPr>
        <w:ind w:left="0" w:right="140" w:firstLine="0"/>
        <w:rPr>
          <w:b/>
          <w:bCs/>
          <w:color w:val="0000FF"/>
        </w:rPr>
      </w:pPr>
    </w:p>
    <w:bookmarkEnd w:id="10"/>
    <w:p w14:paraId="3973069E" w14:textId="77777777" w:rsidR="00B0762F" w:rsidRDefault="00B0762F" w:rsidP="004F78F5">
      <w:pPr>
        <w:ind w:left="0" w:firstLine="0"/>
        <w:rPr>
          <w:b/>
          <w:color w:val="0000FF"/>
        </w:rPr>
      </w:pPr>
    </w:p>
    <w:p w14:paraId="33C7741B" w14:textId="4993289B" w:rsidR="004922E4" w:rsidRPr="004922E4" w:rsidRDefault="004922E4" w:rsidP="004F78F5">
      <w:pPr>
        <w:ind w:left="0" w:right="140" w:firstLine="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4F78F5">
      <w:pPr>
        <w:ind w:left="0" w:firstLine="0"/>
        <w:rPr>
          <w:b/>
          <w:color w:val="0000FF"/>
        </w:rPr>
      </w:pPr>
    </w:p>
    <w:p w14:paraId="55B8DA5D" w14:textId="77777777" w:rsidR="00676BD4" w:rsidRDefault="00676BD4" w:rsidP="004F78F5">
      <w:pPr>
        <w:ind w:left="0" w:firstLine="0"/>
        <w:rPr>
          <w:b/>
          <w:color w:val="0000FF"/>
        </w:rPr>
      </w:pPr>
    </w:p>
    <w:p w14:paraId="55B8DA5E" w14:textId="1BFB7597" w:rsidR="00F90F82" w:rsidRDefault="003B2CE9" w:rsidP="004F78F5">
      <w:pPr>
        <w:ind w:left="0" w:firstLine="0"/>
        <w:rPr>
          <w:b/>
          <w:color w:val="0000FF"/>
        </w:rPr>
      </w:pPr>
      <w:r>
        <w:rPr>
          <w:b/>
          <w:color w:val="0000FF"/>
        </w:rPr>
        <w:t>N/A</w:t>
      </w:r>
    </w:p>
    <w:p w14:paraId="55B8DA5F" w14:textId="77777777" w:rsidR="00676BD4" w:rsidRDefault="00676BD4" w:rsidP="004F78F5">
      <w:pPr>
        <w:ind w:left="0" w:firstLine="0"/>
        <w:rPr>
          <w:b/>
          <w:color w:val="0000FF"/>
        </w:rPr>
      </w:pPr>
    </w:p>
    <w:p w14:paraId="55B8DA60" w14:textId="77777777" w:rsidR="00676BD4" w:rsidRDefault="00676BD4" w:rsidP="004F78F5">
      <w:pPr>
        <w:ind w:left="0" w:firstLine="0"/>
        <w:rPr>
          <w:b/>
          <w:color w:val="0000FF"/>
        </w:rPr>
      </w:pPr>
    </w:p>
    <w:p w14:paraId="55B8DA61" w14:textId="77777777" w:rsidR="00676BD4" w:rsidRDefault="00C41794" w:rsidP="004F78F5">
      <w:pPr>
        <w:ind w:left="0" w:firstLine="0"/>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4F78F5">
      <w:pPr>
        <w:ind w:left="0" w:firstLine="0"/>
        <w:rPr>
          <w:b/>
          <w:color w:val="0000FF"/>
        </w:rPr>
      </w:pPr>
    </w:p>
    <w:p w14:paraId="55B8DA63" w14:textId="26AB307C" w:rsidR="00496AF8" w:rsidRDefault="00B058A6" w:rsidP="004F78F5">
      <w:pPr>
        <w:ind w:left="0" w:firstLine="0"/>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3F83AE42" w14:textId="77777777" w:rsidR="005924B7" w:rsidRDefault="005924B7" w:rsidP="004F78F5">
      <w:pPr>
        <w:ind w:left="0" w:firstLine="0"/>
        <w:rPr>
          <w:b/>
          <w:iCs/>
        </w:rPr>
      </w:pPr>
    </w:p>
    <w:p w14:paraId="3F5B6F9C" w14:textId="2EBACE57" w:rsidR="00F76B0C" w:rsidRDefault="0022221B" w:rsidP="00312276">
      <w:pPr>
        <w:ind w:left="0" w:firstLine="0"/>
        <w:rPr>
          <w:rFonts w:cstheme="minorHAnsi"/>
        </w:rPr>
      </w:pPr>
      <w:bookmarkStart w:id="13" w:name="_Hlk512841462"/>
      <w:bookmarkStart w:id="14" w:name="_Hlk528699245"/>
      <w:r>
        <w:rPr>
          <w:rFonts w:cstheme="minorHAnsi"/>
        </w:rPr>
        <w:t xml:space="preserve">The empirical evidence provided below comes from </w:t>
      </w:r>
      <w:r>
        <w:rPr>
          <w:rFonts w:cstheme="minorHAnsi"/>
        </w:rPr>
        <w:t>HH</w:t>
      </w:r>
      <w:r>
        <w:rPr>
          <w:rFonts w:cstheme="minorHAnsi"/>
        </w:rPr>
        <w:t xml:space="preserve">-specific literature, as well as literature from other </w:t>
      </w:r>
      <w:r>
        <w:rPr>
          <w:rFonts w:cstheme="minorHAnsi"/>
        </w:rPr>
        <w:t>post-acute care</w:t>
      </w:r>
      <w:r>
        <w:rPr>
          <w:rFonts w:cstheme="minorHAnsi"/>
        </w:rPr>
        <w:t xml:space="preserve"> </w:t>
      </w:r>
      <w:r>
        <w:rPr>
          <w:rFonts w:cstheme="minorHAnsi"/>
        </w:rPr>
        <w:t xml:space="preserve">(PAC) </w:t>
      </w:r>
      <w:r>
        <w:rPr>
          <w:rFonts w:cstheme="minorHAnsi"/>
        </w:rPr>
        <w:t xml:space="preserve">and hospital settings, </w:t>
      </w:r>
      <w:r w:rsidRPr="006435B9">
        <w:t xml:space="preserve">as evidence related to </w:t>
      </w:r>
      <w:bookmarkStart w:id="15" w:name="_Hlk532898720"/>
      <w:r>
        <w:t>healthcare structures and processes</w:t>
      </w:r>
      <w:r w:rsidRPr="00711C0B">
        <w:t xml:space="preserve"> </w:t>
      </w:r>
      <w:r>
        <w:t>for improving</w:t>
      </w:r>
      <w:bookmarkEnd w:id="15"/>
      <w:r>
        <w:t xml:space="preserve"> </w:t>
      </w:r>
      <w:r w:rsidRPr="006435B9">
        <w:t xml:space="preserve">discharge to community outcomes </w:t>
      </w:r>
      <w:r>
        <w:t xml:space="preserve">is largely applicable </w:t>
      </w:r>
      <w:r w:rsidRPr="006435B9">
        <w:t xml:space="preserve">across PAC </w:t>
      </w:r>
      <w:r>
        <w:t xml:space="preserve">and hospital </w:t>
      </w:r>
      <w:r w:rsidRPr="006435B9">
        <w:t>settings</w:t>
      </w:r>
      <w:r w:rsidRPr="006435B9">
        <w:rPr>
          <w:rFonts w:cstheme="minorHAnsi"/>
        </w:rPr>
        <w:t xml:space="preserve">. </w:t>
      </w:r>
      <w:bookmarkEnd w:id="14"/>
      <w:r>
        <w:rPr>
          <w:rFonts w:cstheme="minorHAnsi"/>
        </w:rPr>
        <w:t>T</w:t>
      </w:r>
      <w:r w:rsidRPr="003D699E">
        <w:rPr>
          <w:rFonts w:cstheme="minorHAnsi"/>
        </w:rPr>
        <w:t xml:space="preserve">here is consistent evidence in the literature </w:t>
      </w:r>
      <w:r>
        <w:rPr>
          <w:rFonts w:cstheme="minorHAnsi"/>
        </w:rPr>
        <w:t xml:space="preserve">across </w:t>
      </w:r>
      <w:r>
        <w:rPr>
          <w:rFonts w:cstheme="minorHAnsi"/>
        </w:rPr>
        <w:t>PAC</w:t>
      </w:r>
      <w:r w:rsidRPr="003D699E">
        <w:rPr>
          <w:rFonts w:cstheme="minorHAnsi"/>
        </w:rPr>
        <w:t xml:space="preserve"> settings that</w:t>
      </w:r>
      <w:r>
        <w:rPr>
          <w:rFonts w:cstheme="minorHAnsi"/>
        </w:rPr>
        <w:t xml:space="preserve"> rehabilitation interventions,</w:t>
      </w:r>
      <w:r w:rsidRPr="003D699E">
        <w:rPr>
          <w:rFonts w:cstheme="minorHAnsi"/>
        </w:rPr>
        <w:t xml:space="preserve"> discharge planning</w:t>
      </w:r>
      <w:r>
        <w:rPr>
          <w:rFonts w:cstheme="minorHAnsi"/>
        </w:rPr>
        <w:t>,</w:t>
      </w:r>
      <w:r w:rsidRPr="003D699E">
        <w:rPr>
          <w:rFonts w:cstheme="minorHAnsi"/>
        </w:rPr>
        <w:t xml:space="preserve"> and care coordination can improve discharge to community rates. Thus, evidence from other inpatient PAC and hospital settings can be used to support the DTC-PAC </w:t>
      </w:r>
      <w:r>
        <w:rPr>
          <w:rFonts w:cstheme="minorHAnsi"/>
        </w:rPr>
        <w:t>HHA</w:t>
      </w:r>
      <w:r>
        <w:rPr>
          <w:rFonts w:cstheme="minorHAnsi"/>
        </w:rPr>
        <w:t xml:space="preserve"> </w:t>
      </w:r>
      <w:r w:rsidRPr="003D699E">
        <w:rPr>
          <w:rFonts w:cstheme="minorHAnsi"/>
        </w:rPr>
        <w:t>measure</w:t>
      </w:r>
      <w:r w:rsidRPr="006435B9">
        <w:rPr>
          <w:rFonts w:cstheme="minorHAnsi"/>
        </w:rPr>
        <w:t>.</w:t>
      </w:r>
    </w:p>
    <w:p w14:paraId="4F8A9E18" w14:textId="77777777" w:rsidR="0022221B" w:rsidRDefault="0022221B" w:rsidP="00312276">
      <w:pPr>
        <w:ind w:left="0" w:firstLine="0"/>
      </w:pPr>
    </w:p>
    <w:p w14:paraId="532CBA74" w14:textId="62ECA4BF" w:rsidR="00F76B0C" w:rsidRDefault="00F76B0C" w:rsidP="00F76B0C">
      <w:pPr>
        <w:ind w:left="0" w:firstLine="0"/>
      </w:pPr>
      <w:r>
        <w:t>A</w:t>
      </w:r>
      <w:r w:rsidRPr="00D53D70">
        <w:t xml:space="preserve"> review of home health interventions reveals that many factors determine whether or not the patient is successfully discharged to the community.  A comprehensive care approach to home health helps ensure success (i.e., keeping the patient in the community).  Comprehensive care may include usual care for the specific illnesses, as well as nutritional care, mental health care, medication adherence counselling, telehealth, and fall prevention. The more comprehensive model of care better prepares the patient mentally and physically for discharge helping ensure that they have the necessary knowledge and skills to remain in the community</w:t>
      </w:r>
      <w:r w:rsidR="00E03CB7">
        <w:t>. [</w:t>
      </w:r>
      <w:r w:rsidR="00446E23">
        <w:t>2-8</w:t>
      </w:r>
      <w:r w:rsidR="00CA4009">
        <w:t>]</w:t>
      </w:r>
      <w:r w:rsidRPr="00D53D70">
        <w:t xml:space="preserve"> </w:t>
      </w:r>
    </w:p>
    <w:p w14:paraId="6A68D7D3" w14:textId="77777777" w:rsidR="00F76B0C" w:rsidRDefault="00F76B0C" w:rsidP="00312276">
      <w:pPr>
        <w:ind w:left="0" w:firstLine="0"/>
      </w:pPr>
    </w:p>
    <w:p w14:paraId="51022FA1" w14:textId="7E127FAD" w:rsidR="00312276" w:rsidRDefault="00CC65B9" w:rsidP="00312276">
      <w:pPr>
        <w:ind w:left="0" w:firstLine="0"/>
      </w:pPr>
      <w:r w:rsidRPr="00103291">
        <w:fldChar w:fldCharType="begin">
          <w:fldData xml:space="preserve">PEVuZE5vdGU+PENpdGU+PEF1dGhvcj5CZXJrb3dpdHo8L0F1dGhvcj48WWVhcj4yMDExPC9ZZWFy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</w:fldData>
        </w:fldChar>
      </w:r>
      <w:r>
        <w:instrText xml:space="preserve"> ADDIN EN.CITE </w:instrText>
      </w:r>
      <w:r>
        <w:fldChar w:fldCharType="begin">
          <w:fldData xml:space="preserve">PEVuZE5vdGU+PENpdGU+PEF1dGhvcj5CZXJrb3dpdHo8L0F1dGhvcj48WWVhcj4yMDExPC9ZZWFy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</w:fldData>
        </w:fldChar>
      </w:r>
      <w:r>
        <w:instrText xml:space="preserve"> ADDIN EN.CITE.DATA </w:instrText>
      </w:r>
      <w:r>
        <w:fldChar w:fldCharType="end"/>
      </w:r>
      <w:r w:rsidRPr="00103291">
        <w:fldChar w:fldCharType="end"/>
      </w:r>
      <w:r w:rsidR="0009764E">
        <w:t xml:space="preserve">Beck et. al </w:t>
      </w:r>
      <w:r w:rsidR="00BB2238">
        <w:t>[2]</w:t>
      </w:r>
      <w:r w:rsidR="0009764E">
        <w:t xml:space="preserve"> tested whether</w:t>
      </w:r>
      <w:r w:rsidR="0009764E" w:rsidRPr="0009764E">
        <w:t xml:space="preserve"> adding a dietician to a discharge </w:t>
      </w:r>
      <w:r w:rsidR="0009764E">
        <w:t xml:space="preserve">team </w:t>
      </w:r>
      <w:r w:rsidR="0009764E" w:rsidRPr="0009764E">
        <w:t>after discharge of geriatric patients improves nutritional status, muscle strength and</w:t>
      </w:r>
      <w:r w:rsidR="0009764E">
        <w:t xml:space="preserve"> other</w:t>
      </w:r>
      <w:r w:rsidR="0009764E" w:rsidRPr="0009764E">
        <w:t xml:space="preserve"> patient relevant outcomes. The dietician performed a total of three home visits with the aim of developing and implementing an individual nutritional care plan. </w:t>
      </w:r>
      <w:r w:rsidR="0009764E">
        <w:t xml:space="preserve"> </w:t>
      </w:r>
      <w:r w:rsidR="00541521" w:rsidRPr="00541521">
        <w:t xml:space="preserve">In </w:t>
      </w:r>
      <w:r w:rsidR="0009764E">
        <w:t>their</w:t>
      </w:r>
      <w:r w:rsidR="00541521" w:rsidRPr="00541521">
        <w:t xml:space="preserve"> twelve-week randomized controlled trial</w:t>
      </w:r>
      <w:r w:rsidR="0009764E">
        <w:t xml:space="preserve"> of patients seventy and older</w:t>
      </w:r>
      <w:r w:rsidR="00541521" w:rsidRPr="00541521">
        <w:t>, researchers found that odds ratio for hospitalization and mortality six months after discharge were 0.367 (0.129; 1.042) and 0.323 (0.060; 1.724) based on receiving additional discharge team support with a dietician versus to discharge team support only</w:t>
      </w:r>
      <w:r w:rsidR="0009764E">
        <w:t xml:space="preserve">. The study concluded that adding a dietician can improve </w:t>
      </w:r>
      <w:r w:rsidR="004F0A96">
        <w:t>nutritional status and reduce the number of hospitalizations within 6-months of the intervention</w:t>
      </w:r>
      <w:r w:rsidR="00BB11EE">
        <w:t>.</w:t>
      </w:r>
      <w:r w:rsidR="00BB2238">
        <w:t xml:space="preserve"> </w:t>
      </w:r>
      <w:r w:rsidR="00E03CB7">
        <w:t>[2</w:t>
      </w:r>
      <w:r w:rsidR="00BB11EE">
        <w:t>]</w:t>
      </w:r>
    </w:p>
    <w:p w14:paraId="45BCDB85" w14:textId="77777777" w:rsidR="00312276" w:rsidRDefault="00312276" w:rsidP="00312276">
      <w:pPr>
        <w:ind w:left="0" w:firstLine="0"/>
      </w:pPr>
    </w:p>
    <w:p w14:paraId="259E2DE9" w14:textId="0755B522" w:rsidR="00312276" w:rsidRDefault="00312276" w:rsidP="00312276">
      <w:pPr>
        <w:ind w:left="0" w:firstLine="0"/>
      </w:pPr>
      <w:r>
        <w:t>Smolis</w:t>
      </w:r>
      <w:r w:rsidR="00376D47">
        <w:t>-Bak</w:t>
      </w:r>
      <w:r>
        <w:t xml:space="preserve"> et al. </w:t>
      </w:r>
      <w:r w:rsidR="00BB2238">
        <w:t>[3]</w:t>
      </w:r>
      <w:r w:rsidR="00BB2238">
        <w:t xml:space="preserve"> </w:t>
      </w:r>
      <w:r w:rsidR="00CF66C0">
        <w:t>assessed the effectiveness of cardiac resycnchronization therapy via exercise treatment.  The prospective randomized study was conducted with 52 patients in which the control group</w:t>
      </w:r>
      <w:r w:rsidR="00CF66C0" w:rsidRPr="00CF66C0">
        <w:t xml:space="preserve"> </w:t>
      </w:r>
      <w:r w:rsidR="00CF66C0">
        <w:t xml:space="preserve">(n=26) </w:t>
      </w:r>
      <w:r w:rsidR="00CF66C0" w:rsidRPr="00CF66C0">
        <w:t>consisted of patients who had hospital rehabilitation, but no training program after discharge.</w:t>
      </w:r>
      <w:r w:rsidR="00CF66C0">
        <w:t xml:space="preserve"> The treatment group  </w:t>
      </w:r>
      <w:r w:rsidR="00CF66C0" w:rsidRPr="00CF66C0">
        <w:t>(n=26) underwent initial exercise training in the hospital setting and continued training program at home with telemonitoring 5 times a week for 8weeks.</w:t>
      </w:r>
      <w:r w:rsidR="00CF66C0">
        <w:t xml:space="preserve"> </w:t>
      </w:r>
      <w:r w:rsidR="002A68AD" w:rsidRPr="002A68AD">
        <w:t xml:space="preserve">After 3-4months the </w:t>
      </w:r>
      <w:r w:rsidR="002A68AD">
        <w:t>treatment</w:t>
      </w:r>
      <w:r w:rsidR="002A68AD" w:rsidRPr="002A68AD">
        <w:t xml:space="preserve"> group achieved better results in VO2 peak, VCO2 peak and treadmill test duration. But after 12months the measurements returned to the baseline values. </w:t>
      </w:r>
      <w:r w:rsidR="002A68AD">
        <w:t>Other</w:t>
      </w:r>
      <w:r w:rsidR="00CF66C0">
        <w:t xml:space="preserve"> results from the study showed that </w:t>
      </w:r>
      <w:r>
        <w:t xml:space="preserve"> the effects of hospital and home-based tele-monitoring exercise training found improvements in </w:t>
      </w:r>
      <w:r w:rsidRPr="000A4D79">
        <w:t xml:space="preserve">left ventricular ejection fraction, in both groups (25.3±7.4% to 28.9±9.1%, </w:t>
      </w:r>
      <w:r>
        <w:t>home-based</w:t>
      </w:r>
      <w:r w:rsidRPr="000A4D79">
        <w:t xml:space="preserve"> group, p=0.0213 and 24.9±7.2% to 31.7±10.6%, </w:t>
      </w:r>
      <w:r>
        <w:t>hospital</w:t>
      </w:r>
      <w:r w:rsidRPr="000A4D79">
        <w:t xml:space="preserve"> group, p=0.0001).</w:t>
      </w:r>
      <w:r>
        <w:t xml:space="preserve"> There was s</w:t>
      </w:r>
      <w:r w:rsidRPr="008D315B">
        <w:t xml:space="preserve">ignificant improvement in all domains of </w:t>
      </w:r>
      <w:r>
        <w:t xml:space="preserve">quality of living </w:t>
      </w:r>
      <w:r w:rsidRPr="008D315B">
        <w:t xml:space="preserve">was observed in the </w:t>
      </w:r>
      <w:r>
        <w:t>home-based</w:t>
      </w:r>
      <w:r w:rsidRPr="008D315B">
        <w:t xml:space="preserve"> group, while the </w:t>
      </w:r>
      <w:r>
        <w:t>hospital group</w:t>
      </w:r>
      <w:r w:rsidRPr="008D315B">
        <w:t xml:space="preserve"> declared only higher energy levels and less pain</w:t>
      </w:r>
      <w:r w:rsidR="00CF66C0">
        <w:t>. The study found that both hospital and home-based programs saw improvements and the home based group experienced additional benefits to quality of life, though the long-term prognosis of patients was not impacted by the kind of intervention they received</w:t>
      </w:r>
      <w:r w:rsidR="00446E23">
        <w:t>.</w:t>
      </w:r>
      <w:r w:rsidR="00BB2238">
        <w:t xml:space="preserve"> </w:t>
      </w:r>
      <w:r w:rsidR="00E03CB7">
        <w:t>[3</w:t>
      </w:r>
      <w:r>
        <w:t>]</w:t>
      </w:r>
    </w:p>
    <w:p w14:paraId="7F48336F" w14:textId="77777777" w:rsidR="00312276" w:rsidRDefault="00312276" w:rsidP="00312276"/>
    <w:p w14:paraId="651E882C" w14:textId="26B8F963" w:rsidR="00312276" w:rsidRDefault="00131280" w:rsidP="00131280">
      <w:pPr>
        <w:ind w:left="0" w:firstLine="0"/>
      </w:pPr>
      <w:r w:rsidRPr="00131280">
        <w:t xml:space="preserve">Verloo et al </w:t>
      </w:r>
      <w:r w:rsidR="00BB2238">
        <w:t>[</w:t>
      </w:r>
      <w:r w:rsidR="00BB2238">
        <w:t>4</w:t>
      </w:r>
      <w:r w:rsidR="00BB2238">
        <w:t>]</w:t>
      </w:r>
      <w:r w:rsidR="00BB2238">
        <w:t xml:space="preserve"> </w:t>
      </w:r>
      <w:r w:rsidRPr="00131280">
        <w:t xml:space="preserve">found in a randomized clinical pilot trial using a before/after design was conducted with older patients discharged from hospital who had a medical prescription to receive home care. </w:t>
      </w:r>
      <w:r w:rsidR="00DF3048">
        <w:t xml:space="preserve">All patients were monitored for symptoms of delirium using the Confusion Assessment Method. Cognitive and functional statuses were measured with the Mini-Mental State Examination and the Katz and Lawton Index. </w:t>
      </w:r>
      <w:r w:rsidRPr="00131280">
        <w:t xml:space="preserve">A total of 51 patients were randomized into the experimental group (EG) and 52 patients into the control group (CG). </w:t>
      </w:r>
      <w:r w:rsidR="00DF3048">
        <w:t xml:space="preserve">Besides usual home care, nursing interventions were offered by a geriatric nurse specialist to the EG. </w:t>
      </w:r>
      <w:r w:rsidRPr="00131280">
        <w:t xml:space="preserve">After </w:t>
      </w:r>
      <w:r w:rsidR="00DF3048">
        <w:t xml:space="preserve">risk </w:t>
      </w:r>
      <w:r w:rsidRPr="00131280">
        <w:t>adjustment, statistical differences were found in favor of the EG for symptoms of delirium (p = 0.046), cognitive impairment (p = 0.015), and functional status (p = 0.033)</w:t>
      </w:r>
      <w:r w:rsidR="00DF3048">
        <w:t>, all issues of importance for successfully remaining at home and avoiding hospitalization</w:t>
      </w:r>
      <w:r w:rsidRPr="00131280">
        <w:t>. This intervention suggests functional and cognitive improvements can be addressed through a nursing intervention</w:t>
      </w:r>
      <w:r w:rsidR="00446E23">
        <w:t>.</w:t>
      </w:r>
      <w:r w:rsidR="00BB2238">
        <w:t xml:space="preserve"> </w:t>
      </w:r>
      <w:r w:rsidR="00E03CB7">
        <w:t>[4</w:t>
      </w:r>
      <w:r w:rsidR="00F76B0C">
        <w:t>]</w:t>
      </w:r>
    </w:p>
    <w:p w14:paraId="20C83943" w14:textId="77777777" w:rsidR="002A68AD" w:rsidRDefault="002A68AD" w:rsidP="00131280">
      <w:pPr>
        <w:ind w:left="0" w:firstLine="0"/>
      </w:pPr>
    </w:p>
    <w:p w14:paraId="3C4989AB" w14:textId="21440BA1" w:rsidR="002A68AD" w:rsidRDefault="002A68AD" w:rsidP="00131280">
      <w:pPr>
        <w:ind w:left="0" w:firstLine="0"/>
      </w:pPr>
      <w:r>
        <w:t xml:space="preserve">Echeverry et. al </w:t>
      </w:r>
      <w:r w:rsidR="00BB2238">
        <w:t>[</w:t>
      </w:r>
      <w:r w:rsidR="00BB2238">
        <w:t>5</w:t>
      </w:r>
      <w:r w:rsidR="00BB2238">
        <w:t>]</w:t>
      </w:r>
      <w:r w:rsidR="00BB2238">
        <w:t xml:space="preserve"> </w:t>
      </w:r>
      <w:r>
        <w:t>found that by</w:t>
      </w:r>
      <w:r w:rsidRPr="002A68AD">
        <w:t xml:space="preserve"> providing quality primary care in the home setting, nurse practitioners can treat homebound patients effectively and decrease the number of hospitalizations, 30-day readmissions, and emergency department visits. Forty patients with a diagnosis of Class III or IV heart failure who were homebound were chosen for this project. The project manager, an Adult-Gerontological nurse practitioner, made home visits to these patients on a monthly and as-needed basis throughout the 3-month project. The rate of hospital admissions, emergency department visits, and 30-day readmissions was reduced by 64%, 85%, and 95%, respectively. Patients were assessed using the Kansas City Cardiomyopathy Questionnaire at the initial visit and at 3 months. The scoring for physical functionality, symptom frequency, and quality of life were improved by 44%, 40%, and 54%, respectively</w:t>
      </w:r>
      <w:r w:rsidR="00446E23">
        <w:t>.</w:t>
      </w:r>
      <w:r w:rsidR="00BB2238">
        <w:t xml:space="preserve"> [</w:t>
      </w:r>
      <w:r w:rsidR="00E03CB7">
        <w:t>5]</w:t>
      </w:r>
    </w:p>
    <w:p w14:paraId="48404726" w14:textId="64F652F8" w:rsidR="00541521" w:rsidRPr="00D53D70" w:rsidRDefault="00541521" w:rsidP="00E03CB7">
      <w:pPr>
        <w:ind w:left="90" w:firstLine="0"/>
      </w:pPr>
    </w:p>
    <w:p w14:paraId="516A90E6" w14:textId="161CBFE8" w:rsidR="00BB2238" w:rsidRDefault="00BB2238" w:rsidP="00BB2238">
      <w:pPr>
        <w:ind w:left="0" w:firstLine="0"/>
        <w:rPr>
          <w:rFonts w:cstheme="minorHAnsi"/>
        </w:rPr>
      </w:pPr>
      <w:bookmarkStart w:id="16" w:name="_Hlk532810181"/>
      <w:r w:rsidRPr="00BE5CBC">
        <w:rPr>
          <w:rFonts w:cstheme="minorHAnsi"/>
        </w:rPr>
        <w:t xml:space="preserve">In a retrospective analysis, Logue and Drago </w:t>
      </w:r>
      <w:r w:rsidR="006D03E2">
        <w:rPr>
          <w:rFonts w:cstheme="minorHAnsi"/>
        </w:rPr>
        <w:t xml:space="preserve">[6] </w:t>
      </w:r>
      <w:r w:rsidRPr="00BE5CBC">
        <w:rPr>
          <w:rFonts w:cstheme="minorHAnsi"/>
        </w:rPr>
        <w:t>described the impact of a modified community-based care transitions program on 30-day all-cause readmissions in 149 Medicare FFS patients in two hospital catchment areas in Arizona. The care transitions program included home-based in-person and phone visits by licensed practical nurses and registered nurses. The program focused on medication self-management, use of a personal health record by the patient or caregiver to facilitate communication and ensure continuity of the care plan across providers and settings, timely follow-up visits with care teams, educating patients on red flags indicating worsening condition, and depression and mobility screening. The 30-day all-cause readmission rate was 4% for patients who completed the program; compared with a baseline readmission rate of 15%, the program resulted in a 7</w:t>
      </w:r>
      <w:bookmarkStart w:id="17" w:name="_GoBack"/>
      <w:bookmarkEnd w:id="17"/>
      <w:r w:rsidRPr="00BE5CBC">
        <w:rPr>
          <w:rFonts w:cstheme="minorHAnsi"/>
        </w:rPr>
        <w:t>3% reduction in all-cause readmissions. Compared with the national average 30-day readmission rate, the program resulted in an 80% reduction in readmissions.</w:t>
      </w:r>
      <w:r w:rsidRPr="00BE5CBC">
        <w:rPr>
          <w:rFonts w:cstheme="minorHAnsi"/>
          <w:color w:val="000000"/>
          <w:shd w:val="clear" w:color="auto" w:fill="FFFFFF"/>
        </w:rPr>
        <w:t xml:space="preserve"> The authors also reported other positive outcomes, including </w:t>
      </w:r>
      <w:r w:rsidRPr="00BE5CBC">
        <w:rPr>
          <w:rFonts w:cstheme="minorHAnsi"/>
        </w:rPr>
        <w:t>high levels of patient satisfaction with the care transitions program, significant improvement in participants’ confidence with self-care, and actual Medicare cost savings during the 9-month study period of $214,192, excluding the cost to administer the program. The authors concluded that a customized care transitions approach is desirable and often required as the most cost</w:t>
      </w:r>
      <w:r>
        <w:rPr>
          <w:rFonts w:cstheme="minorHAnsi"/>
        </w:rPr>
        <w:t>-</w:t>
      </w:r>
      <w:r w:rsidRPr="00BE5CBC">
        <w:rPr>
          <w:rFonts w:cstheme="minorHAnsi"/>
        </w:rPr>
        <w:t>effective way to manage care transitions and employ evidence</w:t>
      </w:r>
      <w:r>
        <w:rPr>
          <w:rFonts w:cstheme="minorHAnsi"/>
        </w:rPr>
        <w:t>-</w:t>
      </w:r>
      <w:r w:rsidRPr="00BE5CBC">
        <w:rPr>
          <w:rFonts w:cstheme="minorHAnsi"/>
        </w:rPr>
        <w:t>based policy</w:t>
      </w:r>
      <w:r>
        <w:rPr>
          <w:rFonts w:cstheme="minorHAnsi"/>
        </w:rPr>
        <w:t>-</w:t>
      </w:r>
      <w:r w:rsidRPr="00BE5CBC">
        <w:rPr>
          <w:rFonts w:cstheme="minorHAnsi"/>
        </w:rPr>
        <w:t>making. [</w:t>
      </w:r>
      <w:r>
        <w:rPr>
          <w:rFonts w:cstheme="minorHAnsi"/>
        </w:rPr>
        <w:t>6</w:t>
      </w:r>
      <w:r w:rsidRPr="00BE5CBC">
        <w:rPr>
          <w:rFonts w:cstheme="minorHAnsi"/>
        </w:rPr>
        <w:t xml:space="preserve">] </w:t>
      </w:r>
    </w:p>
    <w:bookmarkEnd w:id="16"/>
    <w:p w14:paraId="4BA23E64" w14:textId="77777777" w:rsidR="00E03CB7" w:rsidRDefault="00E03CB7" w:rsidP="00CC65B9">
      <w:pPr>
        <w:ind w:left="0" w:firstLine="0"/>
        <w:rPr>
          <w:rFonts w:cstheme="minorHAnsi"/>
        </w:rPr>
      </w:pPr>
    </w:p>
    <w:p w14:paraId="2E4034A9" w14:textId="1EBFECB2" w:rsidR="00F56350" w:rsidRDefault="0039500F" w:rsidP="00CC65B9">
      <w:pPr>
        <w:ind w:left="0" w:firstLine="0"/>
        <w:rPr>
          <w:rFonts w:cstheme="minorHAnsi"/>
        </w:rPr>
      </w:pPr>
      <w:r>
        <w:rPr>
          <w:rFonts w:cstheme="minorHAnsi"/>
        </w:rPr>
        <w:t xml:space="preserve">Nouryan et. al (2018) in a randomized-controlled study followed 89  Medicare patients with heart failure (HF) after discharge for six months. </w:t>
      </w:r>
      <w:r w:rsidR="00294DE7" w:rsidRPr="00294DE7">
        <w:rPr>
          <w:rFonts w:cstheme="minorHAnsi"/>
        </w:rPr>
        <w:t xml:space="preserve">Patients were randomized to </w:t>
      </w:r>
      <w:r w:rsidR="00294DE7">
        <w:rPr>
          <w:rFonts w:cstheme="minorHAnsi"/>
        </w:rPr>
        <w:t>home telemonitoring (</w:t>
      </w:r>
      <w:r w:rsidR="00294DE7" w:rsidRPr="00294DE7">
        <w:rPr>
          <w:rFonts w:cstheme="minorHAnsi"/>
        </w:rPr>
        <w:t>HTM</w:t>
      </w:r>
      <w:r w:rsidR="00294DE7">
        <w:rPr>
          <w:rFonts w:cstheme="minorHAnsi"/>
        </w:rPr>
        <w:t>)</w:t>
      </w:r>
      <w:r w:rsidR="00294DE7" w:rsidRPr="00294DE7">
        <w:rPr>
          <w:rFonts w:cstheme="minorHAnsi"/>
        </w:rPr>
        <w:t xml:space="preserve"> or comprehensive outpatient management (COM). HTM received weekly (video) televisits with daily vital sign monitoring. COM was contacted weekly by telephone. Outcomes included emergency department (ED) and </w:t>
      </w:r>
      <w:r w:rsidR="00294DE7">
        <w:rPr>
          <w:rFonts w:cstheme="minorHAnsi"/>
        </w:rPr>
        <w:t>hospital</w:t>
      </w:r>
      <w:r w:rsidR="00294DE7" w:rsidRPr="00294DE7">
        <w:rPr>
          <w:rFonts w:cstheme="minorHAnsi"/>
        </w:rPr>
        <w:t xml:space="preserve"> utilization and </w:t>
      </w:r>
      <w:r w:rsidR="00294DE7" w:rsidRPr="00F56350">
        <w:rPr>
          <w:rFonts w:cstheme="minorHAnsi"/>
        </w:rPr>
        <w:t xml:space="preserve">quality of life </w:t>
      </w:r>
      <w:r w:rsidR="00294DE7">
        <w:rPr>
          <w:rFonts w:cstheme="minorHAnsi"/>
        </w:rPr>
        <w:t>(</w:t>
      </w:r>
      <w:r w:rsidR="00294DE7" w:rsidRPr="00294DE7">
        <w:rPr>
          <w:rFonts w:cstheme="minorHAnsi"/>
        </w:rPr>
        <w:t>QoL</w:t>
      </w:r>
      <w:r w:rsidR="00294DE7">
        <w:rPr>
          <w:rFonts w:cstheme="minorHAnsi"/>
        </w:rPr>
        <w:t>)</w:t>
      </w:r>
      <w:r w:rsidR="00294DE7" w:rsidRPr="00294DE7">
        <w:rPr>
          <w:rFonts w:cstheme="minorHAnsi"/>
        </w:rPr>
        <w:t>.</w:t>
      </w:r>
      <w:r w:rsidR="00294DE7">
        <w:rPr>
          <w:rFonts w:cstheme="minorHAnsi"/>
        </w:rPr>
        <w:t xml:space="preserve"> </w:t>
      </w:r>
      <w:r w:rsidR="00294DE7">
        <w:t xml:space="preserve">Thirty-eight percent of HTM had ≥1 ED visit versus 60% of COM (p = 0.04), while 48% of HTM had ≥1 hospitalization versus 55% of COM (p = 0.47). Length of stay (LOS) (days) was 4.0 for HTM versus 7.4 for COM (p = 0.39). Costs were $38,990 for HTM versus $50,943 for COM (p = 0.91). QoL improved by -9.66 for HTM and -3.56 for COM (p = 0.02). </w:t>
      </w:r>
      <w:r w:rsidR="00294DE7" w:rsidRPr="00F56350">
        <w:rPr>
          <w:rFonts w:cstheme="minorHAnsi"/>
        </w:rPr>
        <w:t>Hom</w:t>
      </w:r>
      <w:r w:rsidR="00294DE7">
        <w:rPr>
          <w:rFonts w:cstheme="minorHAnsi"/>
        </w:rPr>
        <w:t>e telemonitoring is a prom</w:t>
      </w:r>
      <w:r w:rsidR="00294DE7" w:rsidRPr="00F56350">
        <w:rPr>
          <w:rFonts w:cstheme="minorHAnsi"/>
        </w:rPr>
        <w:t>ising approach to QoL an</w:t>
      </w:r>
      <w:r w:rsidR="00294DE7">
        <w:rPr>
          <w:rFonts w:cstheme="minorHAnsi"/>
        </w:rPr>
        <w:t>d decrease hospital utilization amongst home health patients</w:t>
      </w:r>
      <w:r w:rsidR="00446E23">
        <w:rPr>
          <w:rFonts w:cstheme="minorHAnsi"/>
        </w:rPr>
        <w:t>.</w:t>
      </w:r>
      <w:r w:rsidR="009C22D2">
        <w:rPr>
          <w:rFonts w:cstheme="minorHAnsi"/>
        </w:rPr>
        <w:t xml:space="preserve"> </w:t>
      </w:r>
      <w:r w:rsidR="00446E23">
        <w:rPr>
          <w:rFonts w:cstheme="minorHAnsi"/>
        </w:rPr>
        <w:t>[7]</w:t>
      </w:r>
    </w:p>
    <w:p w14:paraId="7223CFE7" w14:textId="77777777" w:rsidR="00F56350" w:rsidRDefault="00F56350" w:rsidP="00CC65B9">
      <w:pPr>
        <w:ind w:left="0" w:firstLine="0"/>
        <w:rPr>
          <w:rFonts w:cstheme="minorHAnsi"/>
        </w:rPr>
      </w:pPr>
    </w:p>
    <w:p w14:paraId="0E2D73AE" w14:textId="2288BBCA" w:rsidR="00294DE7" w:rsidRDefault="00294DE7" w:rsidP="00CC65B9">
      <w:pPr>
        <w:ind w:left="0" w:firstLine="0"/>
        <w:rPr>
          <w:rFonts w:cstheme="minorHAnsi"/>
        </w:rPr>
      </w:pPr>
      <w:r>
        <w:rPr>
          <w:rFonts w:cstheme="minorHAnsi"/>
        </w:rPr>
        <w:t xml:space="preserve">Punchik et. al </w:t>
      </w:r>
      <w:r w:rsidR="009C22D2">
        <w:rPr>
          <w:rFonts w:cstheme="minorHAnsi"/>
        </w:rPr>
        <w:t xml:space="preserve">[8] </w:t>
      </w:r>
      <w:r>
        <w:rPr>
          <w:rFonts w:cstheme="minorHAnsi"/>
        </w:rPr>
        <w:t xml:space="preserve">completed a </w:t>
      </w:r>
      <w:r w:rsidRPr="00294DE7">
        <w:rPr>
          <w:rFonts w:cstheme="minorHAnsi"/>
        </w:rPr>
        <w:t>retrospective study of healthcare utilization among homebound patients who received home care for CHF from 2012-1015. The outcome measures were number of hospital admissions per month, total number of hospitalization days and days for CHF only, emergency room visits, and overall costs. A comparison was conducted between the 6-month period prior to entry into home care and the time in home care.</w:t>
      </w:r>
      <w:r>
        <w:rPr>
          <w:rFonts w:cstheme="minorHAnsi"/>
        </w:rPr>
        <w:t xml:space="preserve"> </w:t>
      </w:r>
      <w:r w:rsidRPr="00294DE7">
        <w:rPr>
          <w:rFonts w:cstheme="minorHAnsi"/>
        </w:rPr>
        <w:t>Over the study period 196 patients were treated by home care for CHF with a mean age of 79.4±9.5 years. 113 (57.7%) were women. Compared to the six months prior to home care, there were statistically significant decreases in hospitalizations (46.3%), in the number of total in-hospital days (28.7%), in the number of in-hospital days for CHF (66.7%), in emergency room visits (47%), and in overall costs (23.9%).</w:t>
      </w:r>
      <w:r>
        <w:rPr>
          <w:rFonts w:cstheme="minorHAnsi"/>
        </w:rPr>
        <w:t xml:space="preserve"> Home health </w:t>
      </w:r>
      <w:r w:rsidR="00446E23">
        <w:rPr>
          <w:rFonts w:cstheme="minorHAnsi"/>
        </w:rPr>
        <w:t xml:space="preserve">care </w:t>
      </w:r>
      <w:r>
        <w:rPr>
          <w:rFonts w:cstheme="minorHAnsi"/>
        </w:rPr>
        <w:t>for home bound patients with CHF can help to reduce costs and the potential for re</w:t>
      </w:r>
      <w:r w:rsidR="00446E23">
        <w:rPr>
          <w:rFonts w:cstheme="minorHAnsi"/>
        </w:rPr>
        <w:t>-</w:t>
      </w:r>
      <w:r>
        <w:rPr>
          <w:rFonts w:cstheme="minorHAnsi"/>
        </w:rPr>
        <w:t>hospitalizations am</w:t>
      </w:r>
      <w:r w:rsidR="00446E23">
        <w:rPr>
          <w:rFonts w:cstheme="minorHAnsi"/>
        </w:rPr>
        <w:t>ongst this vulnerable population.</w:t>
      </w:r>
      <w:r w:rsidR="009C22D2">
        <w:rPr>
          <w:rFonts w:cstheme="minorHAnsi"/>
        </w:rPr>
        <w:t xml:space="preserve"> </w:t>
      </w:r>
      <w:r>
        <w:rPr>
          <w:rFonts w:cstheme="minorHAnsi"/>
        </w:rPr>
        <w:t xml:space="preserve">[8] </w:t>
      </w:r>
    </w:p>
    <w:p w14:paraId="6F4BD417" w14:textId="77777777" w:rsidR="00294DE7" w:rsidRPr="00103291" w:rsidRDefault="00294DE7" w:rsidP="00CC65B9">
      <w:pPr>
        <w:ind w:left="0" w:firstLine="0"/>
        <w:rPr>
          <w:rFonts w:cstheme="minorHAnsi"/>
        </w:rPr>
      </w:pPr>
    </w:p>
    <w:p w14:paraId="30238DF9" w14:textId="77777777" w:rsidR="00CC65B9" w:rsidRPr="00103291" w:rsidRDefault="00CC65B9" w:rsidP="00CC65B9">
      <w:pPr>
        <w:ind w:left="0" w:firstLine="0"/>
      </w:pPr>
      <w:r w:rsidRPr="00103291">
        <w:rPr>
          <w:rFonts w:cstheme="minorHAnsi"/>
        </w:rPr>
        <w:t xml:space="preserve">The effectiveness of these interventions suggests that improvement in discharge to community rates among </w:t>
      </w:r>
      <w:r>
        <w:rPr>
          <w:rFonts w:cstheme="minorHAnsi"/>
        </w:rPr>
        <w:t>HH</w:t>
      </w:r>
      <w:r w:rsidRPr="00103291">
        <w:rPr>
          <w:rFonts w:cstheme="minorHAnsi"/>
        </w:rPr>
        <w:t xml:space="preserve"> </w:t>
      </w:r>
      <w:r>
        <w:rPr>
          <w:rFonts w:cstheme="minorHAnsi"/>
        </w:rPr>
        <w:t>patients</w:t>
      </w:r>
      <w:r w:rsidRPr="00103291">
        <w:rPr>
          <w:rFonts w:cstheme="minorHAnsi"/>
        </w:rPr>
        <w:t xml:space="preserve"> is possible through modified provider-led processes and interventions.</w:t>
      </w:r>
    </w:p>
    <w:bookmarkEnd w:id="13"/>
    <w:p w14:paraId="3DB1FE29" w14:textId="77777777" w:rsidR="00CC65B9" w:rsidRDefault="00CC65B9" w:rsidP="004F78F5">
      <w:pPr>
        <w:ind w:left="0" w:firstLine="0"/>
        <w:rPr>
          <w:b/>
          <w:iCs/>
        </w:rPr>
      </w:pPr>
    </w:p>
    <w:p w14:paraId="41EB90D1" w14:textId="77777777" w:rsidR="0022221B" w:rsidRDefault="0022221B" w:rsidP="0022221B">
      <w:pPr>
        <w:ind w:left="0" w:firstLine="0"/>
        <w:rPr>
          <w:color w:val="FF0000"/>
        </w:rPr>
      </w:pPr>
      <w:r w:rsidRPr="006435B9">
        <w:t>Discharge to community is an actionable health care outcome, as targeted interventions have been shown to successfully increase discharge to community rates in a variety of post-acute settings</w:t>
      </w:r>
      <w:r>
        <w:t xml:space="preserve">. </w:t>
      </w:r>
      <w:bookmarkStart w:id="18" w:name="_Hlk532833813"/>
      <w:r>
        <w:t>T</w:t>
      </w:r>
      <w:r w:rsidRPr="00103291">
        <w:t xml:space="preserve">hese interventions </w:t>
      </w:r>
      <w:r>
        <w:t xml:space="preserve">frequently </w:t>
      </w:r>
      <w:r w:rsidRPr="00103291">
        <w:t>involve specific rehabilitation strategies such as addressing discharge barriers and improving medical and functional status</w:t>
      </w:r>
      <w:r>
        <w:t xml:space="preserve">, </w:t>
      </w:r>
      <w:r w:rsidRPr="00103291">
        <w:t>discharge planning</w:t>
      </w:r>
      <w:r>
        <w:t>,</w:t>
      </w:r>
      <w:r w:rsidRPr="00DC52A7">
        <w:t xml:space="preserve"> </w:t>
      </w:r>
      <w:bookmarkStart w:id="19" w:name="_Hlk532898686"/>
      <w:r w:rsidRPr="006435B9">
        <w:t>communication</w:t>
      </w:r>
      <w:r>
        <w:t xml:space="preserve"> and</w:t>
      </w:r>
      <w:r w:rsidRPr="006435B9">
        <w:t xml:space="preserve"> care coordination</w:t>
      </w:r>
      <w:bookmarkEnd w:id="19"/>
      <w:r w:rsidRPr="006435B9">
        <w:t>,</w:t>
      </w:r>
      <w:r w:rsidRPr="00103291">
        <w:t xml:space="preserve"> </w:t>
      </w:r>
      <w:r>
        <w:t>or community-based transitional care services and supports</w:t>
      </w:r>
      <w:bookmarkEnd w:id="18"/>
      <w:r>
        <w:t xml:space="preserve">. </w:t>
      </w:r>
      <w:r>
        <w:br/>
      </w:r>
    </w:p>
    <w:p w14:paraId="3263ADD9" w14:textId="051F8117" w:rsidR="009C22D2" w:rsidRPr="00247D88" w:rsidRDefault="009C22D2" w:rsidP="009C22D2">
      <w:pPr>
        <w:ind w:left="0" w:firstLine="0"/>
        <w:rPr>
          <w:rFonts w:cstheme="minorHAnsi"/>
        </w:rPr>
      </w:pPr>
      <w:r>
        <w:rPr>
          <w:rFonts w:cstheme="minorHAnsi"/>
        </w:rPr>
        <w:t xml:space="preserve">Using an </w:t>
      </w:r>
      <w:r w:rsidRPr="00247D88">
        <w:rPr>
          <w:rFonts w:cstheme="minorHAnsi"/>
        </w:rPr>
        <w:t>observational stud</w:t>
      </w:r>
      <w:r>
        <w:rPr>
          <w:rFonts w:cstheme="minorHAnsi"/>
        </w:rPr>
        <w:t>y design</w:t>
      </w:r>
      <w:r w:rsidRPr="00247D88">
        <w:rPr>
          <w:rFonts w:cstheme="minorHAnsi"/>
        </w:rPr>
        <w:t>, Kushner et al.</w:t>
      </w:r>
      <w:r w:rsidR="0022221B">
        <w:rPr>
          <w:rFonts w:cstheme="minorHAnsi"/>
        </w:rPr>
        <w:t>[9,10,11]</w:t>
      </w:r>
      <w:r w:rsidRPr="00247D88">
        <w:rPr>
          <w:rFonts w:cstheme="minorHAnsi"/>
        </w:rPr>
        <w:t xml:space="preserve"> assessed the impact of the </w:t>
      </w:r>
      <w:r w:rsidRPr="00247D88">
        <w:rPr>
          <w:rFonts w:cstheme="minorHAnsi"/>
          <w:lang w:val="en"/>
        </w:rPr>
        <w:t>Siebens Domain Management Model (SDMM)</w:t>
      </w:r>
      <w:r w:rsidRPr="00247D88">
        <w:rPr>
          <w:rFonts w:cstheme="minorHAnsi"/>
        </w:rPr>
        <w:t xml:space="preserve"> on several discharge outcomes in IRF geriatric, stroke, and geriatric-stroke patients at a single facility</w:t>
      </w:r>
      <w:r>
        <w:rPr>
          <w:rFonts w:cstheme="minorHAnsi"/>
        </w:rPr>
        <w:t xml:space="preserve">, and compared outcomes to national IRF outcomes using </w:t>
      </w:r>
      <w:r w:rsidRPr="00247D88">
        <w:rPr>
          <w:rFonts w:cstheme="minorHAnsi"/>
          <w:lang w:val="en"/>
        </w:rPr>
        <w:t>Uniform Data System for Medical Rehabilitation</w:t>
      </w:r>
      <w:r w:rsidRPr="00243803">
        <w:rPr>
          <w:rFonts w:cstheme="minorHAnsi"/>
        </w:rPr>
        <w:t xml:space="preserve"> </w:t>
      </w:r>
      <w:r>
        <w:rPr>
          <w:rFonts w:cstheme="minorHAnsi"/>
        </w:rPr>
        <w:t>(</w:t>
      </w:r>
      <w:r w:rsidRPr="00243803">
        <w:rPr>
          <w:rFonts w:cstheme="minorHAnsi"/>
        </w:rPr>
        <w:t>UDSMR</w:t>
      </w:r>
      <w:r>
        <w:rPr>
          <w:rFonts w:cstheme="minorHAnsi"/>
        </w:rPr>
        <w:t>)</w:t>
      </w:r>
      <w:r w:rsidRPr="00243803">
        <w:rPr>
          <w:rFonts w:cstheme="minorHAnsi"/>
        </w:rPr>
        <w:t xml:space="preserve"> data</w:t>
      </w:r>
      <w:r w:rsidRPr="00247D88">
        <w:rPr>
          <w:rFonts w:cstheme="minorHAnsi"/>
        </w:rPr>
        <w:t xml:space="preserve"> [</w:t>
      </w:r>
      <w:r>
        <w:rPr>
          <w:rFonts w:cstheme="minorHAnsi"/>
        </w:rPr>
        <w:t>9,10,11</w:t>
      </w:r>
      <w:r w:rsidRPr="00247D88">
        <w:rPr>
          <w:rFonts w:cstheme="minorHAnsi"/>
        </w:rPr>
        <w:t xml:space="preserve">]. The SDMM intervention </w:t>
      </w:r>
      <w:r w:rsidRPr="00247D88">
        <w:rPr>
          <w:rFonts w:cstheme="minorHAnsi"/>
          <w:lang w:val="en"/>
        </w:rPr>
        <w:t xml:space="preserve">focused on effective </w:t>
      </w:r>
      <w:r>
        <w:rPr>
          <w:rFonts w:cstheme="minorHAnsi"/>
          <w:lang w:val="en"/>
        </w:rPr>
        <w:t xml:space="preserve">interdisciplinary </w:t>
      </w:r>
      <w:r w:rsidRPr="00247D88">
        <w:rPr>
          <w:rFonts w:cstheme="minorHAnsi"/>
          <w:lang w:val="en"/>
        </w:rPr>
        <w:t>communication and collaboration providing a standard format for weekly interdisciplinary team conferences. The intervention also involved weekly adjustments of care focusing on potential barriers to home or community discharge including medical/surgical issues, mental status/emotions/coping, physical function, and living environment/community re-entry needs.</w:t>
      </w:r>
      <w:r w:rsidRPr="00247D88">
        <w:rPr>
          <w:rFonts w:cstheme="minorHAnsi"/>
        </w:rPr>
        <w:t xml:space="preserve"> In all three patient groups, the authors reported significantly higher discharges to community </w:t>
      </w:r>
      <w:r w:rsidRPr="004D5853">
        <w:rPr>
          <w:rFonts w:cstheme="minorHAnsi"/>
        </w:rPr>
        <w:t>in</w:t>
      </w:r>
      <w:r w:rsidRPr="00247D88">
        <w:rPr>
          <w:rFonts w:cstheme="minorHAnsi"/>
        </w:rPr>
        <w:t xml:space="preserve"> the post-intervention period (</w:t>
      </w:r>
      <w:r>
        <w:rPr>
          <w:rFonts w:cstheme="minorHAnsi"/>
        </w:rPr>
        <w:t xml:space="preserve">year </w:t>
      </w:r>
      <w:r w:rsidRPr="00247D88">
        <w:rPr>
          <w:rFonts w:cstheme="minorHAnsi"/>
        </w:rPr>
        <w:t>2012) compared with pre-intervention (</w:t>
      </w:r>
      <w:r>
        <w:rPr>
          <w:rFonts w:cstheme="minorHAnsi"/>
        </w:rPr>
        <w:t xml:space="preserve">year </w:t>
      </w:r>
      <w:r w:rsidRPr="00247D88">
        <w:rPr>
          <w:rFonts w:cstheme="minorHAnsi"/>
        </w:rPr>
        <w:t>2010)</w:t>
      </w:r>
      <w:r w:rsidRPr="00F84496">
        <w:rPr>
          <w:rFonts w:cstheme="minorHAnsi"/>
        </w:rPr>
        <w:t xml:space="preserve"> </w:t>
      </w:r>
      <w:r>
        <w:rPr>
          <w:rFonts w:cstheme="minorHAnsi"/>
        </w:rPr>
        <w:t>(</w:t>
      </w:r>
      <w:r w:rsidRPr="004D5853">
        <w:rPr>
          <w:rFonts w:cstheme="minorHAnsi"/>
          <w:i/>
        </w:rPr>
        <w:t>p</w:t>
      </w:r>
      <w:r>
        <w:rPr>
          <w:rFonts w:cstheme="minorHAnsi"/>
        </w:rPr>
        <w:t xml:space="preserve"> &lt; 0.05)</w:t>
      </w:r>
      <w:r w:rsidRPr="00247D88">
        <w:rPr>
          <w:rFonts w:cstheme="minorHAnsi"/>
        </w:rPr>
        <w:t>. Pre-intervention versus post-intervention discharge to community rates were 58.5% (of 429) vs. 74.4% (of 524) in geriatric patients [</w:t>
      </w:r>
      <w:r>
        <w:rPr>
          <w:rFonts w:cstheme="minorHAnsi"/>
        </w:rPr>
        <w:t>9</w:t>
      </w:r>
      <w:r w:rsidRPr="00247D88">
        <w:rPr>
          <w:rFonts w:cstheme="minorHAnsi"/>
        </w:rPr>
        <w:t>], 57.8% (of 154) vs. 81.2% (of 151) in stroke patients [</w:t>
      </w:r>
      <w:r>
        <w:rPr>
          <w:rFonts w:cstheme="minorHAnsi"/>
        </w:rPr>
        <w:t>10</w:t>
      </w:r>
      <w:r w:rsidRPr="00247D88">
        <w:rPr>
          <w:rFonts w:cstheme="minorHAnsi"/>
        </w:rPr>
        <w:t>], and 56.9% (of 60) vs. 79.3% (of 58) in geriatric-stroke patients [</w:t>
      </w:r>
      <w:r>
        <w:rPr>
          <w:rFonts w:cstheme="minorHAnsi"/>
        </w:rPr>
        <w:t>11</w:t>
      </w:r>
      <w:r w:rsidRPr="00247D88">
        <w:rPr>
          <w:rFonts w:cstheme="minorHAnsi"/>
        </w:rPr>
        <w:t>]. The authors also reported other outcome improvements following SDMM implementation including fewer discharges to long-term care</w:t>
      </w:r>
      <w:r>
        <w:rPr>
          <w:rFonts w:cstheme="minorHAnsi"/>
        </w:rPr>
        <w:t xml:space="preserve"> (24.0% pre-intervention vs. 10.4% post-intervention)</w:t>
      </w:r>
      <w:r w:rsidRPr="00247D88">
        <w:rPr>
          <w:rFonts w:cstheme="minorHAnsi"/>
        </w:rPr>
        <w:t xml:space="preserve"> [</w:t>
      </w:r>
      <w:r>
        <w:rPr>
          <w:rFonts w:cstheme="minorHAnsi"/>
        </w:rPr>
        <w:t>9</w:t>
      </w:r>
      <w:r w:rsidRPr="00247D88">
        <w:rPr>
          <w:rFonts w:cstheme="minorHAnsi"/>
        </w:rPr>
        <w:t>], fewer acute care transfers</w:t>
      </w:r>
      <w:r>
        <w:rPr>
          <w:rFonts w:cstheme="minorHAnsi"/>
        </w:rPr>
        <w:t xml:space="preserve"> (27.3% pre-intervention vs. 9.4% post-intervention)</w:t>
      </w:r>
      <w:r w:rsidRPr="00247D88">
        <w:rPr>
          <w:rFonts w:cstheme="minorHAnsi"/>
        </w:rPr>
        <w:t xml:space="preserve"> [</w:t>
      </w:r>
      <w:r>
        <w:rPr>
          <w:rFonts w:cstheme="minorHAnsi"/>
        </w:rPr>
        <w:t>10</w:t>
      </w:r>
      <w:r w:rsidRPr="00247D88">
        <w:rPr>
          <w:rFonts w:cstheme="minorHAnsi"/>
        </w:rPr>
        <w:t>], reduced length of IRF stay [</w:t>
      </w:r>
      <w:r>
        <w:rPr>
          <w:rFonts w:cstheme="minorHAnsi"/>
        </w:rPr>
        <w:t>10,11</w:t>
      </w:r>
      <w:r w:rsidRPr="00247D88">
        <w:rPr>
          <w:rFonts w:cstheme="minorHAnsi"/>
        </w:rPr>
        <w:t>], and improved Functional Independence Measure (FIM) efficiency [</w:t>
      </w:r>
      <w:r>
        <w:rPr>
          <w:rFonts w:cstheme="minorHAnsi"/>
        </w:rPr>
        <w:t>9,10</w:t>
      </w:r>
      <w:r w:rsidRPr="00247D88">
        <w:rPr>
          <w:rFonts w:cstheme="minorHAnsi"/>
        </w:rPr>
        <w:t>]. While the authors did not adjust for patient characteristics when comparing outcomes, the magnitude of differences strongly suggests that discharge planning processes can improve discharge to community rates. The authors also reported that unlike the pre-intervention group, the post-intervention group had significantly higher (3-4 times higher) discharge to community rates [</w:t>
      </w:r>
      <w:r>
        <w:rPr>
          <w:rFonts w:cstheme="minorHAnsi"/>
        </w:rPr>
        <w:t>9,10,11</w:t>
      </w:r>
      <w:r w:rsidRPr="00247D88">
        <w:rPr>
          <w:rFonts w:cstheme="minorHAnsi"/>
        </w:rPr>
        <w:t>], fewer acute care transfers [</w:t>
      </w:r>
      <w:r>
        <w:rPr>
          <w:rFonts w:cstheme="minorHAnsi"/>
        </w:rPr>
        <w:t>9</w:t>
      </w:r>
      <w:r w:rsidRPr="00247D88">
        <w:rPr>
          <w:rFonts w:cstheme="minorHAnsi"/>
        </w:rPr>
        <w:t>,</w:t>
      </w:r>
      <w:r>
        <w:rPr>
          <w:rFonts w:cstheme="minorHAnsi"/>
        </w:rPr>
        <w:t>11</w:t>
      </w:r>
      <w:r w:rsidRPr="00247D88">
        <w:rPr>
          <w:rFonts w:cstheme="minorHAnsi"/>
        </w:rPr>
        <w:t>], fewer long-term care discharges [</w:t>
      </w:r>
      <w:r>
        <w:rPr>
          <w:rFonts w:cstheme="minorHAnsi"/>
        </w:rPr>
        <w:t>11</w:t>
      </w:r>
      <w:r w:rsidRPr="00247D88">
        <w:rPr>
          <w:rFonts w:cstheme="minorHAnsi"/>
        </w:rPr>
        <w:t xml:space="preserve">], </w:t>
      </w:r>
      <w:r>
        <w:rPr>
          <w:rFonts w:cstheme="minorHAnsi"/>
        </w:rPr>
        <w:t xml:space="preserve">and </w:t>
      </w:r>
      <w:r w:rsidRPr="00247D88">
        <w:rPr>
          <w:rFonts w:cstheme="minorHAnsi"/>
        </w:rPr>
        <w:t>higher FIM efficiency [</w:t>
      </w:r>
      <w:r>
        <w:rPr>
          <w:rFonts w:cstheme="minorHAnsi"/>
        </w:rPr>
        <w:t>9,10,11</w:t>
      </w:r>
      <w:r>
        <w:rPr>
          <w:rFonts w:cstheme="minorHAnsi"/>
        </w:rPr>
        <w:t>]</w:t>
      </w:r>
      <w:r w:rsidRPr="00247D88">
        <w:rPr>
          <w:rFonts w:cstheme="minorHAnsi"/>
        </w:rPr>
        <w:t xml:space="preserve"> compared with case-mix group adjusted national </w:t>
      </w:r>
      <w:r>
        <w:rPr>
          <w:rFonts w:cstheme="minorHAnsi"/>
        </w:rPr>
        <w:t xml:space="preserve">UDSMR </w:t>
      </w:r>
      <w:r w:rsidRPr="00247D88">
        <w:rPr>
          <w:rFonts w:cstheme="minorHAnsi"/>
        </w:rPr>
        <w:t>data</w:t>
      </w:r>
      <w:r>
        <w:rPr>
          <w:rFonts w:cstheme="minorHAnsi"/>
        </w:rPr>
        <w:t>, using a 0.05 significance level</w:t>
      </w:r>
      <w:r w:rsidRPr="00247D88">
        <w:rPr>
          <w:rFonts w:cstheme="minorHAnsi"/>
        </w:rPr>
        <w:t>.</w:t>
      </w:r>
    </w:p>
    <w:p w14:paraId="3471585F" w14:textId="77777777" w:rsidR="00446E23" w:rsidRDefault="00446E23" w:rsidP="00446E23">
      <w:pPr>
        <w:ind w:left="0" w:firstLine="0"/>
        <w:rPr>
          <w:rFonts w:cstheme="minorHAnsi"/>
        </w:rPr>
      </w:pPr>
    </w:p>
    <w:p w14:paraId="7B580FD9" w14:textId="69987331" w:rsidR="00446E23" w:rsidRPr="000475AC" w:rsidRDefault="00446E23" w:rsidP="00446E23">
      <w:pPr>
        <w:ind w:left="0" w:firstLine="0"/>
        <w:rPr>
          <w:rFonts w:cstheme="minorHAnsi"/>
        </w:rPr>
      </w:pPr>
      <w:bookmarkStart w:id="20" w:name="_Hlk532798488"/>
      <w:r w:rsidRPr="000475AC">
        <w:rPr>
          <w:rFonts w:cstheme="minorHAnsi"/>
        </w:rPr>
        <w:t xml:space="preserve">Berkowitz et al. </w:t>
      </w:r>
      <w:r w:rsidR="009C22D2">
        <w:rPr>
          <w:rFonts w:cstheme="minorHAnsi"/>
        </w:rPr>
        <w:t xml:space="preserve">[12] </w:t>
      </w:r>
      <w:r w:rsidRPr="000475AC">
        <w:rPr>
          <w:rFonts w:cstheme="minorHAnsi"/>
        </w:rPr>
        <w:t>examined the impact of a three-component intervention on discharge disposition outcomes of residents admitted to a single SNF between June 2008 and May 2010. The intervention included standardized physician admission procedures with a goals-of-care discussion; palliative care consultation for patients with three or more hospital admissions over the prior 6 months; and bimonthly multidisciplinary root-cause analysis conferences for re</w:t>
      </w:r>
      <w:r w:rsidR="00F47618">
        <w:rPr>
          <w:rFonts w:cstheme="minorHAnsi"/>
        </w:rPr>
        <w:t>-</w:t>
      </w:r>
      <w:r w:rsidRPr="000475AC">
        <w:rPr>
          <w:rFonts w:cstheme="minorHAnsi"/>
        </w:rPr>
        <w:t>hospitalized patients to identify problems and improve processes of care. 862 patients were included in the pre-intervention period (June</w:t>
      </w:r>
      <w:r>
        <w:rPr>
          <w:rFonts w:cstheme="minorHAnsi"/>
        </w:rPr>
        <w:t xml:space="preserve"> </w:t>
      </w:r>
      <w:r w:rsidRPr="000475AC">
        <w:rPr>
          <w:rFonts w:cstheme="minorHAnsi"/>
        </w:rPr>
        <w:t>2008–May 2009) and 863 during the post-intervention period (June 2009–May 2010). Discharge dispositions differed significantly (</w:t>
      </w:r>
      <w:r w:rsidRPr="000475AC">
        <w:rPr>
          <w:rFonts w:cstheme="minorHAnsi"/>
          <w:i/>
        </w:rPr>
        <w:t>p</w:t>
      </w:r>
      <w:r w:rsidRPr="000475AC">
        <w:rPr>
          <w:rFonts w:cstheme="minorHAnsi"/>
        </w:rPr>
        <w:t xml:space="preserve"> =.03)</w:t>
      </w:r>
      <w:r>
        <w:rPr>
          <w:rFonts w:cstheme="minorHAnsi"/>
        </w:rPr>
        <w:t xml:space="preserve"> </w:t>
      </w:r>
      <w:r w:rsidRPr="000475AC">
        <w:rPr>
          <w:rFonts w:cstheme="minorHAnsi"/>
        </w:rPr>
        <w:t>between the pre- and post-intervention periods, with discharges to home increasing from 68.6% to 73.0%. The rate of re</w:t>
      </w:r>
      <w:r w:rsidR="00F47618">
        <w:rPr>
          <w:rFonts w:cstheme="minorHAnsi"/>
        </w:rPr>
        <w:t>-</w:t>
      </w:r>
      <w:r w:rsidRPr="000475AC">
        <w:rPr>
          <w:rFonts w:cstheme="minorHAnsi"/>
        </w:rPr>
        <w:t>hospitalization declined 19.4% from 16.5% to 13.3%, and discharges to long-term care fell from 13.8% to 11.5%.</w:t>
      </w:r>
      <w:r w:rsidR="00CA4009">
        <w:rPr>
          <w:rFonts w:cstheme="minorHAnsi"/>
        </w:rPr>
        <w:t xml:space="preserve"> </w:t>
      </w:r>
      <w:r w:rsidR="00BB11EE">
        <w:rPr>
          <w:rFonts w:cstheme="minorHAnsi"/>
        </w:rPr>
        <w:t>[1</w:t>
      </w:r>
      <w:r w:rsidR="009C22D2">
        <w:rPr>
          <w:rFonts w:cstheme="minorHAnsi"/>
        </w:rPr>
        <w:t>2</w:t>
      </w:r>
      <w:r w:rsidRPr="000475AC">
        <w:rPr>
          <w:rFonts w:cstheme="minorHAnsi"/>
        </w:rPr>
        <w:t xml:space="preserve">] </w:t>
      </w:r>
    </w:p>
    <w:bookmarkEnd w:id="20"/>
    <w:p w14:paraId="7C64E1C7" w14:textId="77777777" w:rsidR="00446E23" w:rsidRDefault="00446E23" w:rsidP="00446E23">
      <w:pPr>
        <w:autoSpaceDE w:val="0"/>
        <w:autoSpaceDN w:val="0"/>
        <w:adjustRightInd w:val="0"/>
        <w:ind w:left="0" w:firstLine="0"/>
      </w:pPr>
    </w:p>
    <w:p w14:paraId="42EE7C80" w14:textId="77777777" w:rsidR="00BB2238" w:rsidRDefault="00BB2238" w:rsidP="00BB2238">
      <w:pPr>
        <w:ind w:left="0" w:firstLine="0"/>
        <w:rPr>
          <w:rFonts w:eastAsia="Calibri"/>
        </w:rPr>
      </w:pPr>
      <w:r>
        <w:rPr>
          <w:rFonts w:cstheme="minorHAnsi"/>
        </w:rPr>
        <w:t xml:space="preserve">The empirical evidence provided above </w:t>
      </w:r>
      <w:r>
        <w:rPr>
          <w:rFonts w:eastAsia="Calibri"/>
        </w:rPr>
        <w:t>demonstrates</w:t>
      </w:r>
      <w:r w:rsidRPr="006435B9">
        <w:rPr>
          <w:rFonts w:eastAsia="Calibri"/>
        </w:rPr>
        <w:t xml:space="preserve"> that improvement in </w:t>
      </w:r>
      <w:r>
        <w:rPr>
          <w:rFonts w:eastAsia="Calibri"/>
        </w:rPr>
        <w:t xml:space="preserve">successful </w:t>
      </w:r>
      <w:r w:rsidRPr="006435B9">
        <w:rPr>
          <w:rFonts w:eastAsia="Calibri"/>
        </w:rPr>
        <w:t xml:space="preserve">discharge to community rates among </w:t>
      </w:r>
      <w:r>
        <w:rPr>
          <w:rFonts w:eastAsia="Calibri"/>
        </w:rPr>
        <w:t xml:space="preserve">PAC </w:t>
      </w:r>
      <w:r w:rsidRPr="006435B9">
        <w:rPr>
          <w:rFonts w:eastAsia="Calibri"/>
        </w:rPr>
        <w:t>patients is possible through modifying provider-led processes and interventions</w:t>
      </w:r>
      <w:r>
        <w:rPr>
          <w:rFonts w:eastAsia="Calibri"/>
        </w:rPr>
        <w:t xml:space="preserve"> in the PAC setting and community.</w:t>
      </w:r>
    </w:p>
    <w:p w14:paraId="1E1FBEFC" w14:textId="77777777" w:rsidR="00BB2238" w:rsidRDefault="00BB2238" w:rsidP="004F78F5">
      <w:pPr>
        <w:ind w:left="0" w:firstLine="0"/>
        <w:rPr>
          <w:b/>
          <w:iCs/>
        </w:rPr>
      </w:pPr>
    </w:p>
    <w:p w14:paraId="5C38BA14" w14:textId="3DAF2629" w:rsidR="00961382" w:rsidRPr="00D53D70" w:rsidRDefault="00961382" w:rsidP="00961382">
      <w:pPr>
        <w:pStyle w:val="EndNoteBibliography"/>
        <w:ind w:left="0" w:firstLine="0"/>
        <w:rPr>
          <w:rFonts w:eastAsia="Times New Roman" w:cs="Times New Roman"/>
        </w:rPr>
      </w:pPr>
      <w:r>
        <w:fldChar w:fldCharType="begin"/>
      </w:r>
      <w:r>
        <w:instrText xml:space="preserve"> ADDIN EN.REFLIST </w:instrText>
      </w:r>
      <w:r>
        <w:fldChar w:fldCharType="separate"/>
      </w:r>
    </w:p>
    <w:p w14:paraId="1FDB1C5A" w14:textId="6E12D92F" w:rsidR="00961382" w:rsidRPr="007E345F" w:rsidRDefault="00DF3048" w:rsidP="002E727C">
      <w:pPr>
        <w:rPr>
          <w:rFonts w:eastAsia="Times New Roman" w:cs="Times New Roman"/>
        </w:rPr>
      </w:pPr>
      <w:r>
        <w:rPr>
          <w:rFonts w:eastAsia="Times New Roman" w:cs="Arial"/>
        </w:rPr>
        <w:t xml:space="preserve"> </w:t>
      </w:r>
      <w:r w:rsidR="00E03CB7">
        <w:rPr>
          <w:rFonts w:eastAsia="Times New Roman" w:cs="Arial"/>
        </w:rPr>
        <w:t>[2</w:t>
      </w:r>
      <w:r w:rsidR="002E727C" w:rsidRPr="007E345F">
        <w:rPr>
          <w:rFonts w:eastAsia="Times New Roman" w:cs="Arial"/>
        </w:rPr>
        <w:t>]</w:t>
      </w:r>
      <w:r w:rsidR="002E727C" w:rsidRPr="007E345F">
        <w:rPr>
          <w:rFonts w:eastAsia="Times New Roman" w:cs="Arial"/>
        </w:rPr>
        <w:tab/>
      </w:r>
      <w:r w:rsidR="00961382" w:rsidRPr="007E345F">
        <w:rPr>
          <w:rFonts w:eastAsia="Times New Roman" w:cs="Arial"/>
        </w:rPr>
        <w:t xml:space="preserve">Beck, A., Andersen, U. T., Leedo, E., Jensen, L. L., Martins, K., Quvang, M., Rask, K. O., Vedelspang, A., &amp; Roholt, F. (2015). Does adding a dietician to the liaison team after discharge of geriatric patients improve nutritional outcome: a randomised controlled trial. </w:t>
      </w:r>
      <w:r w:rsidR="00961382" w:rsidRPr="007E345F">
        <w:rPr>
          <w:rFonts w:eastAsia="Times New Roman" w:cs="Arial"/>
          <w:i/>
          <w:iCs/>
        </w:rPr>
        <w:t xml:space="preserve">Clinical Rehabilitation, </w:t>
      </w:r>
      <w:r w:rsidR="00961382" w:rsidRPr="007E345F">
        <w:rPr>
          <w:rFonts w:eastAsia="Times New Roman" w:cs="Arial"/>
        </w:rPr>
        <w:t>29(11): 1117–1128.</w:t>
      </w:r>
    </w:p>
    <w:p w14:paraId="25C305B2" w14:textId="27E64245" w:rsidR="00961382" w:rsidRPr="007E345F" w:rsidRDefault="00E03CB7" w:rsidP="002E727C">
      <w:r>
        <w:rPr>
          <w:rFonts w:eastAsia="Times New Roman" w:cs="Arial"/>
        </w:rPr>
        <w:t>[3</w:t>
      </w:r>
      <w:r w:rsidR="002E727C" w:rsidRPr="007E345F">
        <w:rPr>
          <w:rFonts w:eastAsia="Times New Roman" w:cs="Arial"/>
        </w:rPr>
        <w:t xml:space="preserve">] </w:t>
      </w:r>
      <w:r w:rsidR="00961382" w:rsidRPr="007E345F">
        <w:rPr>
          <w:rFonts w:eastAsia="Times New Roman" w:cs="Arial"/>
        </w:rPr>
        <w:t xml:space="preserve">Smolis-Bak E, Dabrowski R, Piotrowicz E, Chwyczko T., Dobraszkiewicz-Wasilewska B, Kowalik I, Kazimierska B, Jedrzejczyk B, Smolis R, Gepner K, Maciag A, Sterlinski M  &amp; Szwed, H. (2015). Hospital-based and telemonitoring guided home-based training programs: effects on exercise tolerance and quality of life in patients with heart failure (NYHA class III) and cardiac resynchronization therapy. A randomized, prospective observation. </w:t>
      </w:r>
      <w:r w:rsidR="00961382" w:rsidRPr="007E345F">
        <w:rPr>
          <w:rFonts w:eastAsia="Times New Roman" w:cs="Arial"/>
          <w:i/>
          <w:iCs/>
        </w:rPr>
        <w:t>International Journal of Cardiology</w:t>
      </w:r>
      <w:r w:rsidR="00961382" w:rsidRPr="007E345F">
        <w:rPr>
          <w:rFonts w:eastAsia="Times New Roman" w:cs="Arial"/>
        </w:rPr>
        <w:t xml:space="preserve">, 199, 442–447. </w:t>
      </w:r>
    </w:p>
    <w:p w14:paraId="45BE540E" w14:textId="721510E9" w:rsidR="00961382" w:rsidRDefault="00E03CB7" w:rsidP="002E727C">
      <w:pPr>
        <w:rPr>
          <w:rFonts w:eastAsia="Times New Roman" w:cs="Arial"/>
        </w:rPr>
      </w:pPr>
      <w:r>
        <w:rPr>
          <w:rFonts w:eastAsia="Times New Roman" w:cs="Arial"/>
        </w:rPr>
        <w:t>[4</w:t>
      </w:r>
      <w:r w:rsidR="00111E51" w:rsidRPr="007E345F">
        <w:rPr>
          <w:rFonts w:eastAsia="Times New Roman" w:cs="Arial"/>
        </w:rPr>
        <w:t xml:space="preserve">] Verloo, H., Goulet, C., Morin, D., &amp; von Gunten, A. (2015). Effect Estimation of an Innovative Nursing Intervention to Improve Delirium among Home-Dwelling Older Adults: A Randomized </w:t>
      </w:r>
      <w:r w:rsidR="00961382" w:rsidRPr="007E345F">
        <w:rPr>
          <w:rFonts w:eastAsia="Times New Roman" w:cs="Arial"/>
        </w:rPr>
        <w:t xml:space="preserve">Controlled Pilot Trial. </w:t>
      </w:r>
      <w:r w:rsidR="00961382" w:rsidRPr="007E345F">
        <w:rPr>
          <w:rFonts w:eastAsia="Times New Roman" w:cs="Arial"/>
          <w:i/>
          <w:iCs/>
        </w:rPr>
        <w:t>Dementia and Geriatric Cognitive Disorders Extra</w:t>
      </w:r>
      <w:r w:rsidR="00961382" w:rsidRPr="007E345F">
        <w:rPr>
          <w:rFonts w:eastAsia="Times New Roman" w:cs="Arial"/>
        </w:rPr>
        <w:t>, 5(1): 176–190.</w:t>
      </w:r>
    </w:p>
    <w:p w14:paraId="7AF7DB17" w14:textId="119CEC48" w:rsidR="00E03CB7" w:rsidRDefault="00E03CB7" w:rsidP="00E03CB7">
      <w:pPr>
        <w:rPr>
          <w:rFonts w:eastAsia="Times New Roman" w:cs="Arial"/>
          <w:i/>
          <w:iCs/>
        </w:rPr>
      </w:pPr>
      <w:r w:rsidRPr="00E03CB7">
        <w:rPr>
          <w:rFonts w:eastAsia="Times New Roman" w:cs="Arial"/>
        </w:rPr>
        <w:t xml:space="preserve">[5] Echeverry, L. M., Lamb, K. V, &amp; Miller, J. (2015). Impact of APN Home Visits in Reducing Healthcare Costs and Improving Function in Homebound Heart Failure. </w:t>
      </w:r>
      <w:r w:rsidRPr="00E03CB7">
        <w:rPr>
          <w:rFonts w:eastAsia="Times New Roman" w:cs="Arial"/>
          <w:i/>
          <w:iCs/>
        </w:rPr>
        <w:t xml:space="preserve">Home Healthcare Now, </w:t>
      </w:r>
      <w:r w:rsidRPr="00E03CB7">
        <w:rPr>
          <w:rFonts w:eastAsia="Times New Roman" w:cs="Arial"/>
        </w:rPr>
        <w:t>33(10): 532–537</w:t>
      </w:r>
      <w:r w:rsidRPr="00E03CB7">
        <w:rPr>
          <w:rFonts w:eastAsia="Times New Roman" w:cs="Arial"/>
          <w:i/>
          <w:iCs/>
        </w:rPr>
        <w:t>.</w:t>
      </w:r>
    </w:p>
    <w:p w14:paraId="540C5133" w14:textId="32D7C013" w:rsidR="00E03CB7" w:rsidRDefault="00E03CB7" w:rsidP="00E03CB7">
      <w:pPr>
        <w:ind w:left="432" w:hanging="432"/>
      </w:pPr>
      <w:r>
        <w:t>[6] Logue MD, Drago J. Evaluation of a modified community based care transitions model to reduce costs and improve outcomes. BMC Geriatrics. 2013;13(1):94.</w:t>
      </w:r>
    </w:p>
    <w:p w14:paraId="376080DA" w14:textId="237D5922" w:rsidR="00E03CB7" w:rsidRDefault="00E03CB7" w:rsidP="00E03CB7">
      <w:r>
        <w:t>[7] Nouryan CN</w:t>
      </w:r>
      <w:r w:rsidRPr="00AD7410">
        <w:t>, Morahan S, Pecinka</w:t>
      </w:r>
      <w:r>
        <w:t xml:space="preserve"> K, Akerman M, Lesser M, Chaikin D, Castillo S, Zhang M</w:t>
      </w:r>
      <w:r w:rsidRPr="00AD7410">
        <w:t xml:space="preserve">, Pekmezaris </w:t>
      </w:r>
      <w:r>
        <w:t xml:space="preserve"> (2018)</w:t>
      </w:r>
      <w:r w:rsidRPr="00AD7410">
        <w:t xml:space="preserve"> Home Telemonitoring of Community-Dwelling Heart Failure Patients After Home Care Discharge.</w:t>
      </w:r>
      <w:r>
        <w:t xml:space="preserve"> </w:t>
      </w:r>
      <w:r w:rsidRPr="00507F7B">
        <w:rPr>
          <w:i/>
        </w:rPr>
        <w:t>Telemedicine and E-Health</w:t>
      </w:r>
    </w:p>
    <w:p w14:paraId="76187640" w14:textId="1AD125C6" w:rsidR="00E03CB7" w:rsidRDefault="00E03CB7" w:rsidP="00E03CB7">
      <w:r>
        <w:t xml:space="preserve">[8] </w:t>
      </w:r>
      <w:r w:rsidRPr="00507F7B">
        <w:t>Punchik B, Komarov R</w:t>
      </w:r>
      <w:r>
        <w:t>, Gavrikov D, Semenov A, Freud T, Kagan E, Goldberg Y, Press Y</w:t>
      </w:r>
      <w:r w:rsidRPr="00507F7B">
        <w:t>.</w:t>
      </w:r>
      <w:r w:rsidRPr="00507F7B">
        <w:rPr>
          <w:i/>
        </w:rPr>
        <w:t xml:space="preserve"> </w:t>
      </w:r>
      <w:r>
        <w:rPr>
          <w:i/>
        </w:rPr>
        <w:t>(</w:t>
      </w:r>
      <w:r w:rsidRPr="008A6827">
        <w:t>2017</w:t>
      </w:r>
      <w:r>
        <w:t>)</w:t>
      </w:r>
      <w:r w:rsidRPr="00507F7B">
        <w:rPr>
          <w:i/>
        </w:rPr>
        <w:t xml:space="preserve"> </w:t>
      </w:r>
      <w:r>
        <w:t xml:space="preserve"> </w:t>
      </w:r>
      <w:r w:rsidRPr="00507F7B">
        <w:t>Can home care for homebound patients with chronic heart failure reduce hospitalizations and costs?</w:t>
      </w:r>
      <w:r>
        <w:t xml:space="preserve"> </w:t>
      </w:r>
      <w:r w:rsidRPr="00507F7B">
        <w:rPr>
          <w:i/>
        </w:rPr>
        <w:t>PLoS One.</w:t>
      </w:r>
      <w:r w:rsidRPr="00CA4009">
        <w:t xml:space="preserve"> 12 (7)</w:t>
      </w:r>
    </w:p>
    <w:p w14:paraId="50E066ED" w14:textId="2CEBDE6D" w:rsidR="009C22D2" w:rsidRDefault="009C22D2" w:rsidP="009C22D2">
      <w:r>
        <w:t xml:space="preserve">[9]  </w:t>
      </w:r>
      <w:r>
        <w:t>Kushner DS, Peters KM, Johnson-Greene D. Evaluating Siebens Domain Management Model for inpatient rehabilitation to increase functional independence and discharge rate to home in geriatric patients. Archives of Physical Medicine and Rehabilitation. 2015;96(7):1310-1318.</w:t>
      </w:r>
    </w:p>
    <w:p w14:paraId="4BD97E72" w14:textId="7F34F019" w:rsidR="009C22D2" w:rsidRDefault="009C22D2" w:rsidP="009C22D2">
      <w:r>
        <w:t>[</w:t>
      </w:r>
      <w:r>
        <w:t>10</w:t>
      </w:r>
      <w:r>
        <w:t>] Kushner DS, Peters KM, Johnson-Greene D. Evaluating use of the Siebens Domain Management Model during inpatient rehabilitation to increase functional independence and discharge rate to home in stroke patients. PM&amp;R: The Journal of Injury, Function, and Rehabilitation. 2015;7(4):354-364.</w:t>
      </w:r>
    </w:p>
    <w:p w14:paraId="71D4A7EA" w14:textId="255F4656" w:rsidR="009C22D2" w:rsidRDefault="009C22D2" w:rsidP="009C22D2">
      <w:r>
        <w:t>[</w:t>
      </w:r>
      <w:r>
        <w:t>11</w:t>
      </w:r>
      <w:r>
        <w:t>] Kushner DS, Peters KM, Johnson-Greene D. Evaluating the Siebens Model in geriatric-stroke inpatient rehabilitation to reduce institutionalization and acute-care readmissions. Journal of Stroke and Cerebrovascular Diseases. 2016;25(2):317-326.</w:t>
      </w:r>
    </w:p>
    <w:p w14:paraId="0117E160" w14:textId="384688BE" w:rsidR="00DF3048" w:rsidRDefault="00961382" w:rsidP="00DF3048">
      <w:pPr>
        <w:pStyle w:val="EndNoteBibliography"/>
      </w:pPr>
      <w:r>
        <w:fldChar w:fldCharType="end"/>
      </w:r>
      <w:r w:rsidR="00DF3048">
        <w:t>[</w:t>
      </w:r>
      <w:r w:rsidR="009C22D2">
        <w:t>12</w:t>
      </w:r>
      <w:r w:rsidR="00DF3048">
        <w:t>]</w:t>
      </w:r>
      <w:r w:rsidR="00DF3048">
        <w:tab/>
      </w:r>
      <w:r w:rsidR="009C22D2">
        <w:t xml:space="preserve"> </w:t>
      </w:r>
      <w:r w:rsidR="00DF3048" w:rsidRPr="000C3291">
        <w:t xml:space="preserve">Berkowitz RE, Jones RN, Rieder R, et al. Improving disposition outcomes for patients in a geriatric skilled nursing facility. </w:t>
      </w:r>
      <w:r w:rsidR="00DF3048" w:rsidRPr="000C3291">
        <w:rPr>
          <w:i/>
        </w:rPr>
        <w:t xml:space="preserve">Journal of the American Geriatrics Society. </w:t>
      </w:r>
      <w:r w:rsidR="00DF3048" w:rsidRPr="000C3291">
        <w:t>2011;59(6):1130-1136.</w:t>
      </w:r>
    </w:p>
    <w:p w14:paraId="11847CB0" w14:textId="1C797731" w:rsidR="00961382" w:rsidRDefault="00961382" w:rsidP="00961382">
      <w:pPr>
        <w:ind w:left="0" w:firstLine="0"/>
        <w:rPr>
          <w:b/>
          <w:iCs/>
        </w:rPr>
      </w:pPr>
    </w:p>
    <w:p w14:paraId="55B8DA65" w14:textId="77777777" w:rsidR="00676BD4" w:rsidRDefault="00676BD4" w:rsidP="004F78F5">
      <w:pPr>
        <w:ind w:left="0" w:firstLine="0"/>
        <w:rPr>
          <w:i/>
          <w:iCs/>
          <w:highlight w:val="green"/>
          <w:u w:val="single"/>
        </w:rPr>
      </w:pPr>
    </w:p>
    <w:p w14:paraId="55B8DA66" w14:textId="725FE95F" w:rsidR="00C41794" w:rsidRPr="003B1CC5" w:rsidRDefault="002B06BD" w:rsidP="004F78F5">
      <w:pPr>
        <w:ind w:left="0" w:firstLine="0"/>
        <w:rPr>
          <w:b/>
          <w:iCs/>
        </w:rPr>
      </w:pPr>
      <w:bookmarkStart w:id="21" w:name="Section1a3"/>
      <w:bookmarkEnd w:id="21"/>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4F78F5">
      <w:pPr>
        <w:ind w:left="0" w:firstLine="0"/>
        <w:rPr>
          <w:i/>
          <w:iCs/>
        </w:rPr>
      </w:pPr>
    </w:p>
    <w:p w14:paraId="55B8DA68" w14:textId="77777777" w:rsidR="00A9011D" w:rsidRPr="00A9011D" w:rsidRDefault="00A9011D" w:rsidP="004F78F5">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4F78F5">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4F78F5">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4F78F5">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4F78F5">
      <w:pPr>
        <w:ind w:left="0" w:firstLine="0"/>
        <w:rPr>
          <w:rFonts w:ascii="Calibri" w:eastAsia="Calibri" w:hAnsi="Calibri" w:cs="Times New Roman"/>
        </w:rPr>
      </w:pPr>
      <w:r w:rsidRPr="00533DC2">
        <w:rPr>
          <w:rFonts w:ascii="Times New Roman" w:eastAsia="Arial Unicode MS" w:hAnsi="Times New Roman" w:cs="Mangal" w:hint="eastAsia"/>
          <w:color w:val="0000FF"/>
          <w:kern w:val="1"/>
          <w:sz w:val="24"/>
          <w:szCs w:val="24"/>
          <w:lang w:eastAsia="hi-IN" w:bidi="hi-IN"/>
        </w:rPr>
        <w:t>☐</w:t>
      </w:r>
      <w:r w:rsidRPr="00533DC2">
        <w:rPr>
          <w:rFonts w:ascii="Calibri" w:eastAsia="Calibri" w:hAnsi="Calibri" w:cs="Times New Roman"/>
        </w:rPr>
        <w:t xml:space="preserve"> Other</w:t>
      </w:r>
      <w:r w:rsidRPr="00A9011D">
        <w:rPr>
          <w:rFonts w:ascii="Calibri" w:eastAsia="Calibri" w:hAnsi="Calibri" w:cs="Times New Roman"/>
        </w:rPr>
        <w:t xml:space="preserve"> </w:t>
      </w:r>
    </w:p>
    <w:p w14:paraId="55B8DA6D" w14:textId="77777777" w:rsidR="00A9011D" w:rsidRDefault="00A9011D" w:rsidP="004F78F5">
      <w:pPr>
        <w:ind w:left="0" w:firstLine="0"/>
        <w:rPr>
          <w:i/>
          <w:iCs/>
        </w:rPr>
      </w:pPr>
    </w:p>
    <w:p w14:paraId="55B8DA6E" w14:textId="77777777" w:rsidR="004E7215" w:rsidRPr="003B1CC5" w:rsidRDefault="004E7215" w:rsidP="004F78F5">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4F78F5">
            <w:pPr>
              <w:ind w:left="0" w:firstLine="0"/>
              <w:rPr>
                <w:b/>
              </w:rPr>
            </w:pPr>
            <w:r w:rsidRPr="00AB4ECE">
              <w:rPr>
                <w:b/>
              </w:rPr>
              <w:t>Source of Systematic Review:</w:t>
            </w:r>
          </w:p>
          <w:p w14:paraId="55B8DA70" w14:textId="77777777" w:rsidR="00AB4ECE" w:rsidRPr="00AB4ECE" w:rsidRDefault="00AB4ECE" w:rsidP="004F78F5">
            <w:pPr>
              <w:pStyle w:val="ListParagraph"/>
              <w:numPr>
                <w:ilvl w:val="0"/>
                <w:numId w:val="9"/>
              </w:numPr>
              <w:ind w:left="0" w:firstLine="0"/>
              <w:rPr>
                <w:b/>
              </w:rPr>
            </w:pPr>
            <w:r w:rsidRPr="00AB4ECE">
              <w:rPr>
                <w:b/>
              </w:rPr>
              <w:t>Title</w:t>
            </w:r>
          </w:p>
          <w:p w14:paraId="55B8DA71" w14:textId="77777777" w:rsidR="00AB4ECE" w:rsidRPr="00AB4ECE" w:rsidRDefault="00AB4ECE" w:rsidP="004F78F5">
            <w:pPr>
              <w:pStyle w:val="ListParagraph"/>
              <w:numPr>
                <w:ilvl w:val="0"/>
                <w:numId w:val="9"/>
              </w:numPr>
              <w:ind w:left="0" w:firstLine="0"/>
              <w:rPr>
                <w:b/>
              </w:rPr>
            </w:pPr>
            <w:r w:rsidRPr="00AB4ECE">
              <w:rPr>
                <w:b/>
              </w:rPr>
              <w:t>Author</w:t>
            </w:r>
          </w:p>
          <w:p w14:paraId="55B8DA72" w14:textId="77777777" w:rsidR="00AB4ECE" w:rsidRPr="00AB4ECE" w:rsidRDefault="00AB4ECE" w:rsidP="004F78F5">
            <w:pPr>
              <w:pStyle w:val="ListParagraph"/>
              <w:numPr>
                <w:ilvl w:val="0"/>
                <w:numId w:val="9"/>
              </w:numPr>
              <w:ind w:left="0" w:firstLine="0"/>
              <w:rPr>
                <w:b/>
              </w:rPr>
            </w:pPr>
            <w:r w:rsidRPr="00AB4ECE">
              <w:rPr>
                <w:b/>
              </w:rPr>
              <w:t>Date</w:t>
            </w:r>
          </w:p>
          <w:p w14:paraId="55B8DA73" w14:textId="77777777" w:rsidR="00AB4ECE" w:rsidRPr="00AB4ECE" w:rsidRDefault="00AB4ECE" w:rsidP="004F78F5">
            <w:pPr>
              <w:pStyle w:val="ListParagraph"/>
              <w:numPr>
                <w:ilvl w:val="0"/>
                <w:numId w:val="9"/>
              </w:numPr>
              <w:ind w:left="0" w:firstLine="0"/>
              <w:rPr>
                <w:b/>
              </w:rPr>
            </w:pPr>
            <w:r w:rsidRPr="00AB4ECE">
              <w:rPr>
                <w:b/>
              </w:rPr>
              <w:t>Citation, including page number</w:t>
            </w:r>
          </w:p>
          <w:p w14:paraId="55B8DA74" w14:textId="77777777" w:rsidR="00AB4ECE" w:rsidRPr="00AB4ECE" w:rsidRDefault="00AB4ECE" w:rsidP="004F78F5">
            <w:pPr>
              <w:pStyle w:val="ListParagraph"/>
              <w:numPr>
                <w:ilvl w:val="0"/>
                <w:numId w:val="9"/>
              </w:numPr>
              <w:ind w:left="0" w:firstLine="0"/>
              <w:rPr>
                <w:b/>
              </w:rPr>
            </w:pPr>
            <w:r w:rsidRPr="00AB4ECE">
              <w:rPr>
                <w:b/>
              </w:rPr>
              <w:t>URL</w:t>
            </w:r>
          </w:p>
        </w:tc>
        <w:tc>
          <w:tcPr>
            <w:tcW w:w="5130" w:type="dxa"/>
          </w:tcPr>
          <w:p w14:paraId="55B8DA75" w14:textId="77777777" w:rsidR="00AB4ECE" w:rsidRPr="00AB4ECE" w:rsidRDefault="00AB4ECE" w:rsidP="004F78F5">
            <w:pPr>
              <w:ind w:left="0" w:firstLine="0"/>
              <w:rPr>
                <w:b/>
              </w:rPr>
            </w:pPr>
          </w:p>
        </w:tc>
      </w:tr>
      <w:tr w:rsidR="00AB4ECE" w14:paraId="55B8DA79" w14:textId="77777777" w:rsidTr="00F90F82">
        <w:tc>
          <w:tcPr>
            <w:tcW w:w="4068" w:type="dxa"/>
          </w:tcPr>
          <w:p w14:paraId="55B8DA77" w14:textId="77777777" w:rsidR="00AB4ECE" w:rsidRDefault="00AB4ECE" w:rsidP="004F78F5">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4F78F5">
            <w:pPr>
              <w:ind w:left="0" w:firstLine="0"/>
            </w:pPr>
          </w:p>
        </w:tc>
      </w:tr>
      <w:tr w:rsidR="00AB4ECE" w14:paraId="55B8DA7C" w14:textId="77777777" w:rsidTr="00F90F82">
        <w:tc>
          <w:tcPr>
            <w:tcW w:w="4068" w:type="dxa"/>
          </w:tcPr>
          <w:p w14:paraId="55B8DA7A" w14:textId="77777777" w:rsidR="00AB4ECE" w:rsidRDefault="00AB4ECE" w:rsidP="004F78F5">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4F78F5">
            <w:pPr>
              <w:ind w:left="0" w:firstLine="0"/>
            </w:pPr>
          </w:p>
        </w:tc>
      </w:tr>
      <w:tr w:rsidR="00AB4ECE" w14:paraId="55B8DA7F" w14:textId="77777777" w:rsidTr="00F90F82">
        <w:tc>
          <w:tcPr>
            <w:tcW w:w="4068" w:type="dxa"/>
          </w:tcPr>
          <w:p w14:paraId="55B8DA7D" w14:textId="77777777" w:rsidR="00AB4ECE" w:rsidRDefault="00AB4ECE" w:rsidP="004F78F5">
            <w:pPr>
              <w:ind w:left="0" w:firstLine="0"/>
            </w:pPr>
            <w:r>
              <w:t>Provide all other grades and definitions from the evidence grading system</w:t>
            </w:r>
          </w:p>
        </w:tc>
        <w:tc>
          <w:tcPr>
            <w:tcW w:w="5130" w:type="dxa"/>
          </w:tcPr>
          <w:p w14:paraId="55B8DA7E" w14:textId="77777777" w:rsidR="00AB4ECE" w:rsidRDefault="00AB4ECE" w:rsidP="004F78F5">
            <w:pPr>
              <w:ind w:left="0" w:firstLine="0"/>
            </w:pPr>
          </w:p>
        </w:tc>
      </w:tr>
      <w:tr w:rsidR="00AB4ECE" w14:paraId="55B8DA82" w14:textId="77777777" w:rsidTr="00F90F82">
        <w:tc>
          <w:tcPr>
            <w:tcW w:w="4068" w:type="dxa"/>
          </w:tcPr>
          <w:p w14:paraId="55B8DA80" w14:textId="77777777" w:rsidR="00AB4ECE" w:rsidRDefault="00AB4ECE" w:rsidP="004F78F5">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4F78F5">
            <w:pPr>
              <w:ind w:left="0" w:firstLine="0"/>
            </w:pPr>
          </w:p>
        </w:tc>
      </w:tr>
      <w:tr w:rsidR="00AB4ECE" w14:paraId="55B8DA85" w14:textId="77777777" w:rsidTr="00F90F82">
        <w:tc>
          <w:tcPr>
            <w:tcW w:w="4068" w:type="dxa"/>
          </w:tcPr>
          <w:p w14:paraId="55B8DA83" w14:textId="77777777" w:rsidR="00AB4ECE" w:rsidRDefault="00AB4ECE" w:rsidP="004F78F5">
            <w:pPr>
              <w:ind w:left="0" w:firstLine="0"/>
            </w:pPr>
            <w:r>
              <w:t>Provide all other grades and definitions from the recommendation grading system</w:t>
            </w:r>
          </w:p>
        </w:tc>
        <w:tc>
          <w:tcPr>
            <w:tcW w:w="5130" w:type="dxa"/>
          </w:tcPr>
          <w:p w14:paraId="55B8DA84" w14:textId="77777777" w:rsidR="00AB4ECE" w:rsidRDefault="00AB4ECE" w:rsidP="004F78F5">
            <w:pPr>
              <w:ind w:left="0" w:firstLine="0"/>
            </w:pPr>
          </w:p>
        </w:tc>
      </w:tr>
      <w:tr w:rsidR="00AB4ECE" w14:paraId="55B8DA8A" w14:textId="77777777" w:rsidTr="00F90F82">
        <w:tc>
          <w:tcPr>
            <w:tcW w:w="4068" w:type="dxa"/>
          </w:tcPr>
          <w:p w14:paraId="55B8DA86" w14:textId="77777777" w:rsidR="00AB4ECE" w:rsidRDefault="000E5C93" w:rsidP="004F78F5">
            <w:pPr>
              <w:ind w:left="0" w:firstLine="0"/>
            </w:pPr>
            <w:r>
              <w:t>Body of evidence:</w:t>
            </w:r>
          </w:p>
          <w:p w14:paraId="55B8DA87" w14:textId="77777777" w:rsidR="000E5C93" w:rsidRDefault="000E5C93" w:rsidP="004F78F5">
            <w:pPr>
              <w:pStyle w:val="ListParagraph"/>
              <w:numPr>
                <w:ilvl w:val="0"/>
                <w:numId w:val="10"/>
              </w:numPr>
              <w:ind w:left="0" w:firstLine="0"/>
            </w:pPr>
            <w:r>
              <w:t>Quantity – how many studies?</w:t>
            </w:r>
          </w:p>
          <w:p w14:paraId="55B8DA88" w14:textId="77777777" w:rsidR="000E5C93" w:rsidRDefault="000E5C93" w:rsidP="004F78F5">
            <w:pPr>
              <w:pStyle w:val="ListParagraph"/>
              <w:numPr>
                <w:ilvl w:val="0"/>
                <w:numId w:val="10"/>
              </w:numPr>
              <w:ind w:left="0" w:firstLine="0"/>
            </w:pPr>
            <w:r>
              <w:t>Quality – what type of studies?</w:t>
            </w:r>
          </w:p>
        </w:tc>
        <w:tc>
          <w:tcPr>
            <w:tcW w:w="5130" w:type="dxa"/>
          </w:tcPr>
          <w:p w14:paraId="55B8DA89" w14:textId="77777777" w:rsidR="00AB4ECE" w:rsidRDefault="00AB4ECE" w:rsidP="004F78F5">
            <w:pPr>
              <w:ind w:left="0" w:firstLine="0"/>
            </w:pPr>
          </w:p>
        </w:tc>
      </w:tr>
      <w:tr w:rsidR="00AB4ECE" w14:paraId="55B8DA8D" w14:textId="77777777" w:rsidTr="00F90F82">
        <w:tc>
          <w:tcPr>
            <w:tcW w:w="4068" w:type="dxa"/>
          </w:tcPr>
          <w:p w14:paraId="55B8DA8B" w14:textId="77777777" w:rsidR="00AB4ECE" w:rsidRDefault="000E5C93" w:rsidP="004F78F5">
            <w:pPr>
              <w:ind w:left="0" w:firstLine="0"/>
            </w:pPr>
            <w:r>
              <w:t xml:space="preserve">Estimates of benefit and consistency across studies </w:t>
            </w:r>
          </w:p>
        </w:tc>
        <w:tc>
          <w:tcPr>
            <w:tcW w:w="5130" w:type="dxa"/>
          </w:tcPr>
          <w:p w14:paraId="55B8DA8C" w14:textId="77777777" w:rsidR="00AB4ECE" w:rsidRDefault="00AB4ECE" w:rsidP="004F78F5">
            <w:pPr>
              <w:ind w:left="0" w:firstLine="0"/>
            </w:pPr>
          </w:p>
        </w:tc>
      </w:tr>
      <w:tr w:rsidR="000E5C93" w14:paraId="55B8DA90" w14:textId="77777777" w:rsidTr="00F90F82">
        <w:tc>
          <w:tcPr>
            <w:tcW w:w="4068" w:type="dxa"/>
          </w:tcPr>
          <w:p w14:paraId="55B8DA8E" w14:textId="77777777" w:rsidR="000E5C93" w:rsidRDefault="000E5C93" w:rsidP="004F78F5">
            <w:pPr>
              <w:ind w:left="0" w:firstLine="0"/>
            </w:pPr>
            <w:r>
              <w:t>What harms were identified?</w:t>
            </w:r>
          </w:p>
        </w:tc>
        <w:tc>
          <w:tcPr>
            <w:tcW w:w="5130" w:type="dxa"/>
          </w:tcPr>
          <w:p w14:paraId="55B8DA8F" w14:textId="77777777" w:rsidR="000E5C93" w:rsidRDefault="000E5C93" w:rsidP="004F78F5">
            <w:pPr>
              <w:ind w:left="0" w:firstLine="0"/>
            </w:pPr>
          </w:p>
        </w:tc>
      </w:tr>
      <w:tr w:rsidR="000E5C93" w14:paraId="55B8DA93" w14:textId="77777777" w:rsidTr="00F90F82">
        <w:tc>
          <w:tcPr>
            <w:tcW w:w="4068" w:type="dxa"/>
          </w:tcPr>
          <w:p w14:paraId="55B8DA91" w14:textId="77777777" w:rsidR="000E5C93" w:rsidRDefault="000E5C93" w:rsidP="004F78F5">
            <w:pPr>
              <w:ind w:left="0" w:firstLine="0"/>
            </w:pPr>
            <w:r>
              <w:t>Identify any new studies conducted since the SR. Do the new studies change the conclusions from the SR?</w:t>
            </w:r>
          </w:p>
        </w:tc>
        <w:tc>
          <w:tcPr>
            <w:tcW w:w="5130" w:type="dxa"/>
          </w:tcPr>
          <w:p w14:paraId="55B8DA92" w14:textId="77777777" w:rsidR="000E5C93" w:rsidRDefault="000E5C93" w:rsidP="004F78F5">
            <w:pPr>
              <w:ind w:left="0" w:firstLine="0"/>
            </w:pPr>
          </w:p>
        </w:tc>
      </w:tr>
    </w:tbl>
    <w:p w14:paraId="55B8DA94" w14:textId="77777777" w:rsidR="007C1887" w:rsidRPr="003B1CC5" w:rsidRDefault="007C1887" w:rsidP="004F78F5">
      <w:pPr>
        <w:ind w:left="0" w:firstLine="0"/>
      </w:pPr>
    </w:p>
    <w:p w14:paraId="55B8DA95" w14:textId="77777777" w:rsidR="0094689F" w:rsidRPr="003B1CC5" w:rsidRDefault="00925F11" w:rsidP="004F78F5">
      <w:pPr>
        <w:ind w:left="0" w:firstLine="0"/>
        <w:rPr>
          <w:b/>
          <w:color w:val="0070C0"/>
        </w:rPr>
      </w:pPr>
      <w:r w:rsidRPr="003B1CC5">
        <w:rPr>
          <w:b/>
          <w:iCs/>
          <w:caps/>
        </w:rPr>
        <w:t>________________________</w:t>
      </w:r>
    </w:p>
    <w:p w14:paraId="55B8DA96" w14:textId="77777777" w:rsidR="00837121" w:rsidRPr="003B1CC5" w:rsidRDefault="000E5C93" w:rsidP="004F78F5">
      <w:pPr>
        <w:ind w:left="0" w:firstLine="0"/>
        <w:rPr>
          <w:b/>
        </w:rPr>
      </w:pPr>
      <w:bookmarkStart w:id="22" w:name="Section1a8"/>
      <w:bookmarkEnd w:id="22"/>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4F78F5">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4F78F5">
      <w:pPr>
        <w:ind w:left="0" w:firstLine="0"/>
      </w:pPr>
    </w:p>
    <w:p w14:paraId="55B8DA99" w14:textId="77777777" w:rsidR="000E5C93" w:rsidRPr="000E5C93" w:rsidRDefault="000E5C93" w:rsidP="004F78F5">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63371C4B" w:rsidR="000E5C93" w:rsidRDefault="000E5C93" w:rsidP="004F78F5">
      <w:pPr>
        <w:ind w:left="0" w:firstLine="0"/>
        <w:rPr>
          <w:b/>
        </w:rPr>
      </w:pPr>
    </w:p>
    <w:p w14:paraId="544557FD" w14:textId="77777777" w:rsidR="00C02853" w:rsidRPr="00CC65B9" w:rsidRDefault="00C02853" w:rsidP="004F78F5">
      <w:pPr>
        <w:ind w:left="0" w:firstLine="0"/>
      </w:pPr>
    </w:p>
    <w:p w14:paraId="0BE40D6A" w14:textId="0F5988C0" w:rsidR="0038136F" w:rsidRPr="00103291" w:rsidRDefault="0038136F" w:rsidP="004F78F5">
      <w:pPr>
        <w:ind w:left="0" w:firstLine="0"/>
        <w:rPr>
          <w:b/>
        </w:rPr>
      </w:pPr>
    </w:p>
    <w:p w14:paraId="55B8DA9B" w14:textId="77777777" w:rsidR="00837121" w:rsidRPr="00103291" w:rsidRDefault="000E5C93" w:rsidP="004F78F5">
      <w:pPr>
        <w:ind w:left="0" w:firstLine="0"/>
      </w:pPr>
      <w:r w:rsidRPr="00103291">
        <w:rPr>
          <w:b/>
        </w:rPr>
        <w:t xml:space="preserve">1a.4.2 </w:t>
      </w:r>
      <w:r w:rsidR="00837121" w:rsidRPr="00103291">
        <w:rPr>
          <w:b/>
        </w:rPr>
        <w:t>What process was used to identify the evidence?</w:t>
      </w:r>
    </w:p>
    <w:p w14:paraId="55B8DA9C" w14:textId="0CDB447D" w:rsidR="00837121" w:rsidRPr="00103291" w:rsidRDefault="00837121" w:rsidP="004F78F5">
      <w:pPr>
        <w:ind w:left="0" w:firstLine="0"/>
      </w:pPr>
    </w:p>
    <w:p w14:paraId="52DF1A6B" w14:textId="54055EC0" w:rsidR="009D49F9" w:rsidRPr="00103291" w:rsidRDefault="009D49F9" w:rsidP="004F78F5">
      <w:pPr>
        <w:ind w:left="0" w:firstLine="0"/>
      </w:pPr>
    </w:p>
    <w:p w14:paraId="6D10CA75" w14:textId="77777777" w:rsidR="009D49F9" w:rsidRPr="00103291" w:rsidRDefault="009D49F9" w:rsidP="004F78F5">
      <w:pPr>
        <w:ind w:left="0" w:firstLine="0"/>
      </w:pPr>
    </w:p>
    <w:p w14:paraId="55B8DA9D" w14:textId="1F54BD58" w:rsidR="00837121" w:rsidRPr="00144584" w:rsidRDefault="000E5C93" w:rsidP="004F78F5">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44584">
      <w:headerReference w:type="default" r:id="rId24"/>
      <w:footerReference w:type="default" r:id="rId2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82638F" w16cid:durableId="1F8BD34E"/>
  <w16cid:commentId w16cid:paraId="7F51A250" w16cid:durableId="1F8BD35A"/>
  <w16cid:commentId w16cid:paraId="76E5EEF0" w16cid:durableId="1F8BD4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3C567" w14:textId="77777777" w:rsidR="00A230D9" w:rsidRDefault="00A230D9">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214F8">
      <w:rPr>
        <w:noProof/>
      </w:rPr>
      <w:t>1</w:t>
    </w:r>
    <w:r w:rsidRPr="0039526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51033AA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214F8">
      <w:rPr>
        <w:noProof/>
      </w:rPr>
      <w:t>9</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94CAE" w14:textId="77777777" w:rsidR="00A230D9" w:rsidRDefault="00A230D9" w:rsidP="007E37A5">
    <w:pPr>
      <w:pStyle w:val="Header"/>
      <w:ind w:left="0" w:firstLine="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15AD2"/>
    <w:multiLevelType w:val="hybridMultilevel"/>
    <w:tmpl w:val="1C846E2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262510"/>
    <w:multiLevelType w:val="hybridMultilevel"/>
    <w:tmpl w:val="185CFEBA"/>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3"/>
  </w:num>
  <w:num w:numId="5">
    <w:abstractNumId w:val="5"/>
  </w:num>
  <w:num w:numId="6">
    <w:abstractNumId w:val="4"/>
  </w:num>
  <w:num w:numId="7">
    <w:abstractNumId w:val="11"/>
  </w:num>
  <w:num w:numId="8">
    <w:abstractNumId w:val="10"/>
  </w:num>
  <w:num w:numId="9">
    <w:abstractNumId w:val="12"/>
  </w:num>
  <w:num w:numId="10">
    <w:abstractNumId w:val="1"/>
  </w:num>
  <w:num w:numId="11">
    <w:abstractNumId w:val="8"/>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aeztaxt1t2dtzezpscpe2wewrrx020rwdx9&quot;&gt;DTC Envr Scan old 2015&lt;record-ids&gt;&lt;item&gt;2&lt;/item&gt;&lt;item&gt;6&lt;/item&gt;&lt;item&gt;9&lt;/item&gt;&lt;item&gt;19&lt;/item&gt;&lt;item&gt;24&lt;/item&gt;&lt;item&gt;40&lt;/item&gt;&lt;item&gt;46&lt;/item&gt;&lt;item&gt;91&lt;/item&gt;&lt;item&gt;97&lt;/item&gt;&lt;item&gt;129&lt;/item&gt;&lt;item&gt;130&lt;/item&gt;&lt;item&gt;131&lt;/item&gt;&lt;item&gt;132&lt;/item&gt;&lt;item&gt;144&lt;/item&gt;&lt;item&gt;146&lt;/item&gt;&lt;/record-ids&gt;&lt;/item&gt;&lt;item db-id=&quot;x2fdav2dn0wpxte0026vzz2f2zexpzrsfawd&quot;&gt;Annotated Bibliography DTC 3-29-18 Copy&lt;record-ids&gt;&lt;item&gt;11&lt;/item&gt;&lt;item&gt;15&lt;/item&gt;&lt;item&gt;49&lt;/item&gt;&lt;item&gt;53&lt;/item&gt;&lt;item&gt;55&lt;/item&gt;&lt;item&gt;70&lt;/item&gt;&lt;item&gt;75&lt;/item&gt;&lt;item&gt;85&lt;/item&gt;&lt;item&gt;86&lt;/item&gt;&lt;item&gt;88&lt;/item&gt;&lt;item&gt;89&lt;/item&gt;&lt;item&gt;96&lt;/item&gt;&lt;item&gt;98&lt;/item&gt;&lt;item&gt;99&lt;/item&gt;&lt;item&gt;105&lt;/item&gt;&lt;item&gt;195&lt;/item&gt;&lt;item&gt;196&lt;/item&gt;&lt;/record-ids&gt;&lt;/item&gt;&lt;/Libraries&gt;"/>
  </w:docVars>
  <w:rsids>
    <w:rsidRoot w:val="00496AF8"/>
    <w:rsid w:val="00004673"/>
    <w:rsid w:val="00015986"/>
    <w:rsid w:val="000160E6"/>
    <w:rsid w:val="000165D7"/>
    <w:rsid w:val="00024526"/>
    <w:rsid w:val="00030F43"/>
    <w:rsid w:val="00040DCF"/>
    <w:rsid w:val="00052C0B"/>
    <w:rsid w:val="00061CF3"/>
    <w:rsid w:val="00063601"/>
    <w:rsid w:val="00064E45"/>
    <w:rsid w:val="00073079"/>
    <w:rsid w:val="0007593F"/>
    <w:rsid w:val="00095EC9"/>
    <w:rsid w:val="00096A37"/>
    <w:rsid w:val="0009764E"/>
    <w:rsid w:val="000A0810"/>
    <w:rsid w:val="000A7D36"/>
    <w:rsid w:val="000B627F"/>
    <w:rsid w:val="000B660F"/>
    <w:rsid w:val="000C3291"/>
    <w:rsid w:val="000D48E6"/>
    <w:rsid w:val="000D649E"/>
    <w:rsid w:val="000D6D06"/>
    <w:rsid w:val="000E5C93"/>
    <w:rsid w:val="000F4A7F"/>
    <w:rsid w:val="00103291"/>
    <w:rsid w:val="00111E51"/>
    <w:rsid w:val="00114848"/>
    <w:rsid w:val="00120015"/>
    <w:rsid w:val="00120934"/>
    <w:rsid w:val="00131280"/>
    <w:rsid w:val="00132070"/>
    <w:rsid w:val="00140248"/>
    <w:rsid w:val="00141875"/>
    <w:rsid w:val="0014347E"/>
    <w:rsid w:val="00144584"/>
    <w:rsid w:val="00154438"/>
    <w:rsid w:val="001551F6"/>
    <w:rsid w:val="0015535B"/>
    <w:rsid w:val="00162036"/>
    <w:rsid w:val="001632DD"/>
    <w:rsid w:val="00172457"/>
    <w:rsid w:val="00176E60"/>
    <w:rsid w:val="001853FA"/>
    <w:rsid w:val="00192B3A"/>
    <w:rsid w:val="00194370"/>
    <w:rsid w:val="00194913"/>
    <w:rsid w:val="00194D9A"/>
    <w:rsid w:val="001A196B"/>
    <w:rsid w:val="001A6D05"/>
    <w:rsid w:val="001B38BF"/>
    <w:rsid w:val="001B772D"/>
    <w:rsid w:val="001C68CB"/>
    <w:rsid w:val="001D13CD"/>
    <w:rsid w:val="001D5B5D"/>
    <w:rsid w:val="001E092F"/>
    <w:rsid w:val="001E2983"/>
    <w:rsid w:val="001E6153"/>
    <w:rsid w:val="001F3779"/>
    <w:rsid w:val="001F6120"/>
    <w:rsid w:val="00201FF9"/>
    <w:rsid w:val="00205857"/>
    <w:rsid w:val="00205CC3"/>
    <w:rsid w:val="0020799A"/>
    <w:rsid w:val="002105AA"/>
    <w:rsid w:val="0022221B"/>
    <w:rsid w:val="00235ADC"/>
    <w:rsid w:val="00236F87"/>
    <w:rsid w:val="00253C3D"/>
    <w:rsid w:val="002639CF"/>
    <w:rsid w:val="00265702"/>
    <w:rsid w:val="002662B2"/>
    <w:rsid w:val="002717C7"/>
    <w:rsid w:val="0027181E"/>
    <w:rsid w:val="002875E9"/>
    <w:rsid w:val="00287EB3"/>
    <w:rsid w:val="00294DE7"/>
    <w:rsid w:val="002A47BA"/>
    <w:rsid w:val="002A6777"/>
    <w:rsid w:val="002A68AD"/>
    <w:rsid w:val="002B06BD"/>
    <w:rsid w:val="002C0E48"/>
    <w:rsid w:val="002C4DE4"/>
    <w:rsid w:val="002C6F04"/>
    <w:rsid w:val="002E1C8A"/>
    <w:rsid w:val="002E2177"/>
    <w:rsid w:val="002E2E41"/>
    <w:rsid w:val="002E727C"/>
    <w:rsid w:val="002E78CD"/>
    <w:rsid w:val="002F20A7"/>
    <w:rsid w:val="002F7F8A"/>
    <w:rsid w:val="003008F4"/>
    <w:rsid w:val="00302B1D"/>
    <w:rsid w:val="00307FA5"/>
    <w:rsid w:val="00312276"/>
    <w:rsid w:val="003139A0"/>
    <w:rsid w:val="00313CF9"/>
    <w:rsid w:val="00324D64"/>
    <w:rsid w:val="00336787"/>
    <w:rsid w:val="00352B52"/>
    <w:rsid w:val="003542C9"/>
    <w:rsid w:val="0035760D"/>
    <w:rsid w:val="00360346"/>
    <w:rsid w:val="00363ECC"/>
    <w:rsid w:val="00370BB5"/>
    <w:rsid w:val="00376D47"/>
    <w:rsid w:val="0038136F"/>
    <w:rsid w:val="0039020B"/>
    <w:rsid w:val="0039500F"/>
    <w:rsid w:val="00395263"/>
    <w:rsid w:val="003956E0"/>
    <w:rsid w:val="0039609A"/>
    <w:rsid w:val="00397500"/>
    <w:rsid w:val="003A4FCD"/>
    <w:rsid w:val="003B1CC5"/>
    <w:rsid w:val="003B2CE9"/>
    <w:rsid w:val="003B65CE"/>
    <w:rsid w:val="003D23BA"/>
    <w:rsid w:val="003D6721"/>
    <w:rsid w:val="003E039E"/>
    <w:rsid w:val="003E3DF7"/>
    <w:rsid w:val="003E5954"/>
    <w:rsid w:val="0040230E"/>
    <w:rsid w:val="0041662F"/>
    <w:rsid w:val="00422917"/>
    <w:rsid w:val="004306C5"/>
    <w:rsid w:val="004310FD"/>
    <w:rsid w:val="00431196"/>
    <w:rsid w:val="004315C9"/>
    <w:rsid w:val="00440687"/>
    <w:rsid w:val="0044131D"/>
    <w:rsid w:val="00441ADA"/>
    <w:rsid w:val="00446E23"/>
    <w:rsid w:val="00457E46"/>
    <w:rsid w:val="00464FFE"/>
    <w:rsid w:val="004922E4"/>
    <w:rsid w:val="00494E4B"/>
    <w:rsid w:val="00496AF8"/>
    <w:rsid w:val="004A575D"/>
    <w:rsid w:val="004B65C6"/>
    <w:rsid w:val="004C7D29"/>
    <w:rsid w:val="004D1DC7"/>
    <w:rsid w:val="004D75C5"/>
    <w:rsid w:val="004E7215"/>
    <w:rsid w:val="004F0A96"/>
    <w:rsid w:val="004F78F5"/>
    <w:rsid w:val="004F7D7E"/>
    <w:rsid w:val="00500B0C"/>
    <w:rsid w:val="005015B2"/>
    <w:rsid w:val="00505FAA"/>
    <w:rsid w:val="00514E3E"/>
    <w:rsid w:val="00516664"/>
    <w:rsid w:val="005206EC"/>
    <w:rsid w:val="005214F8"/>
    <w:rsid w:val="00533DC2"/>
    <w:rsid w:val="00537150"/>
    <w:rsid w:val="00540984"/>
    <w:rsid w:val="00541521"/>
    <w:rsid w:val="00543851"/>
    <w:rsid w:val="00545999"/>
    <w:rsid w:val="00545FB8"/>
    <w:rsid w:val="0055559D"/>
    <w:rsid w:val="005565BE"/>
    <w:rsid w:val="005569AE"/>
    <w:rsid w:val="00566B43"/>
    <w:rsid w:val="00582151"/>
    <w:rsid w:val="00582497"/>
    <w:rsid w:val="005857F8"/>
    <w:rsid w:val="005924B7"/>
    <w:rsid w:val="00593871"/>
    <w:rsid w:val="005A7032"/>
    <w:rsid w:val="005B0D18"/>
    <w:rsid w:val="005B12C3"/>
    <w:rsid w:val="005B409D"/>
    <w:rsid w:val="005C3BA5"/>
    <w:rsid w:val="005D0FDB"/>
    <w:rsid w:val="005D25E9"/>
    <w:rsid w:val="005D6D59"/>
    <w:rsid w:val="005E045F"/>
    <w:rsid w:val="005E0EC4"/>
    <w:rsid w:val="0061327A"/>
    <w:rsid w:val="00614161"/>
    <w:rsid w:val="00617390"/>
    <w:rsid w:val="00623420"/>
    <w:rsid w:val="00625D3E"/>
    <w:rsid w:val="00634768"/>
    <w:rsid w:val="0063596F"/>
    <w:rsid w:val="00640525"/>
    <w:rsid w:val="00653E27"/>
    <w:rsid w:val="00662A43"/>
    <w:rsid w:val="006709EB"/>
    <w:rsid w:val="00672824"/>
    <w:rsid w:val="00676BD4"/>
    <w:rsid w:val="00676E51"/>
    <w:rsid w:val="0068184A"/>
    <w:rsid w:val="006935F0"/>
    <w:rsid w:val="006A0249"/>
    <w:rsid w:val="006B5C51"/>
    <w:rsid w:val="006C7F30"/>
    <w:rsid w:val="006D03E2"/>
    <w:rsid w:val="006D05B9"/>
    <w:rsid w:val="006D43FF"/>
    <w:rsid w:val="006E6FDD"/>
    <w:rsid w:val="006F4B7F"/>
    <w:rsid w:val="006F6063"/>
    <w:rsid w:val="006F760B"/>
    <w:rsid w:val="00701CC3"/>
    <w:rsid w:val="00702A56"/>
    <w:rsid w:val="00724801"/>
    <w:rsid w:val="00734949"/>
    <w:rsid w:val="00736AEC"/>
    <w:rsid w:val="00736E0F"/>
    <w:rsid w:val="007434FA"/>
    <w:rsid w:val="007470AA"/>
    <w:rsid w:val="00750018"/>
    <w:rsid w:val="007573F0"/>
    <w:rsid w:val="00765156"/>
    <w:rsid w:val="00767669"/>
    <w:rsid w:val="00773485"/>
    <w:rsid w:val="00774F41"/>
    <w:rsid w:val="007768ED"/>
    <w:rsid w:val="00776E8F"/>
    <w:rsid w:val="00776F6D"/>
    <w:rsid w:val="00784901"/>
    <w:rsid w:val="00787E47"/>
    <w:rsid w:val="00794C68"/>
    <w:rsid w:val="007A5571"/>
    <w:rsid w:val="007A6ADF"/>
    <w:rsid w:val="007B29AE"/>
    <w:rsid w:val="007B2FD4"/>
    <w:rsid w:val="007B5B96"/>
    <w:rsid w:val="007B60AD"/>
    <w:rsid w:val="007C0297"/>
    <w:rsid w:val="007C1887"/>
    <w:rsid w:val="007D4775"/>
    <w:rsid w:val="007D56F2"/>
    <w:rsid w:val="007D5DC6"/>
    <w:rsid w:val="007E345F"/>
    <w:rsid w:val="007E37A5"/>
    <w:rsid w:val="007F49D8"/>
    <w:rsid w:val="00805940"/>
    <w:rsid w:val="0081599C"/>
    <w:rsid w:val="00834028"/>
    <w:rsid w:val="00837121"/>
    <w:rsid w:val="008471E5"/>
    <w:rsid w:val="00850C35"/>
    <w:rsid w:val="00851466"/>
    <w:rsid w:val="00860513"/>
    <w:rsid w:val="00863E43"/>
    <w:rsid w:val="008647C3"/>
    <w:rsid w:val="008659ED"/>
    <w:rsid w:val="008708DC"/>
    <w:rsid w:val="00870987"/>
    <w:rsid w:val="0087564A"/>
    <w:rsid w:val="00881160"/>
    <w:rsid w:val="0088371C"/>
    <w:rsid w:val="00885CAE"/>
    <w:rsid w:val="00887E6D"/>
    <w:rsid w:val="008A45F3"/>
    <w:rsid w:val="008A52AF"/>
    <w:rsid w:val="008B51D9"/>
    <w:rsid w:val="008B652E"/>
    <w:rsid w:val="008C2FDB"/>
    <w:rsid w:val="008C4E2F"/>
    <w:rsid w:val="008D05B7"/>
    <w:rsid w:val="008F1888"/>
    <w:rsid w:val="008F1DC6"/>
    <w:rsid w:val="008F6F51"/>
    <w:rsid w:val="009018A4"/>
    <w:rsid w:val="00905C5B"/>
    <w:rsid w:val="00913E63"/>
    <w:rsid w:val="00923295"/>
    <w:rsid w:val="00924C1E"/>
    <w:rsid w:val="00925F11"/>
    <w:rsid w:val="00935265"/>
    <w:rsid w:val="0094689F"/>
    <w:rsid w:val="009477D6"/>
    <w:rsid w:val="0095006D"/>
    <w:rsid w:val="00953ED3"/>
    <w:rsid w:val="0095432D"/>
    <w:rsid w:val="00961382"/>
    <w:rsid w:val="00965FF6"/>
    <w:rsid w:val="009846D6"/>
    <w:rsid w:val="00985795"/>
    <w:rsid w:val="0098657F"/>
    <w:rsid w:val="009A29C4"/>
    <w:rsid w:val="009A3236"/>
    <w:rsid w:val="009A6B4B"/>
    <w:rsid w:val="009B5A93"/>
    <w:rsid w:val="009B5BEA"/>
    <w:rsid w:val="009C22D2"/>
    <w:rsid w:val="009C291F"/>
    <w:rsid w:val="009D49F9"/>
    <w:rsid w:val="009E37BD"/>
    <w:rsid w:val="009E6B86"/>
    <w:rsid w:val="00A01168"/>
    <w:rsid w:val="00A03301"/>
    <w:rsid w:val="00A12762"/>
    <w:rsid w:val="00A13867"/>
    <w:rsid w:val="00A230D9"/>
    <w:rsid w:val="00A248BB"/>
    <w:rsid w:val="00A26FED"/>
    <w:rsid w:val="00A2728C"/>
    <w:rsid w:val="00A2772C"/>
    <w:rsid w:val="00A421D4"/>
    <w:rsid w:val="00A44FF0"/>
    <w:rsid w:val="00A50E55"/>
    <w:rsid w:val="00A65653"/>
    <w:rsid w:val="00A67EB1"/>
    <w:rsid w:val="00A76F63"/>
    <w:rsid w:val="00A9011D"/>
    <w:rsid w:val="00A91A47"/>
    <w:rsid w:val="00A9446B"/>
    <w:rsid w:val="00A955F7"/>
    <w:rsid w:val="00A95CA6"/>
    <w:rsid w:val="00A95D2B"/>
    <w:rsid w:val="00A975E4"/>
    <w:rsid w:val="00AA5587"/>
    <w:rsid w:val="00AB324B"/>
    <w:rsid w:val="00AB4ECE"/>
    <w:rsid w:val="00AB76F3"/>
    <w:rsid w:val="00AC1E53"/>
    <w:rsid w:val="00AD79C8"/>
    <w:rsid w:val="00AE6CE0"/>
    <w:rsid w:val="00B058A6"/>
    <w:rsid w:val="00B0762F"/>
    <w:rsid w:val="00B117D0"/>
    <w:rsid w:val="00B13998"/>
    <w:rsid w:val="00B1512E"/>
    <w:rsid w:val="00B17B75"/>
    <w:rsid w:val="00B23838"/>
    <w:rsid w:val="00B35C5F"/>
    <w:rsid w:val="00B439DD"/>
    <w:rsid w:val="00B52E0F"/>
    <w:rsid w:val="00B74629"/>
    <w:rsid w:val="00B83224"/>
    <w:rsid w:val="00B91F58"/>
    <w:rsid w:val="00B97218"/>
    <w:rsid w:val="00BA579E"/>
    <w:rsid w:val="00BB11EE"/>
    <w:rsid w:val="00BB2238"/>
    <w:rsid w:val="00BB7FAB"/>
    <w:rsid w:val="00BC4154"/>
    <w:rsid w:val="00BD5FDF"/>
    <w:rsid w:val="00BE2295"/>
    <w:rsid w:val="00BE6373"/>
    <w:rsid w:val="00BF31F6"/>
    <w:rsid w:val="00BF533A"/>
    <w:rsid w:val="00C02853"/>
    <w:rsid w:val="00C03C9F"/>
    <w:rsid w:val="00C10980"/>
    <w:rsid w:val="00C3046B"/>
    <w:rsid w:val="00C33984"/>
    <w:rsid w:val="00C36DAF"/>
    <w:rsid w:val="00C41794"/>
    <w:rsid w:val="00C46677"/>
    <w:rsid w:val="00C5180E"/>
    <w:rsid w:val="00C54E40"/>
    <w:rsid w:val="00C55F56"/>
    <w:rsid w:val="00C57BA4"/>
    <w:rsid w:val="00C613EB"/>
    <w:rsid w:val="00C62E8F"/>
    <w:rsid w:val="00C64988"/>
    <w:rsid w:val="00C71C1A"/>
    <w:rsid w:val="00C84623"/>
    <w:rsid w:val="00CA4009"/>
    <w:rsid w:val="00CB06C9"/>
    <w:rsid w:val="00CB13A9"/>
    <w:rsid w:val="00CB1E41"/>
    <w:rsid w:val="00CB271C"/>
    <w:rsid w:val="00CC0F87"/>
    <w:rsid w:val="00CC48B2"/>
    <w:rsid w:val="00CC65B9"/>
    <w:rsid w:val="00CD0212"/>
    <w:rsid w:val="00CD5D20"/>
    <w:rsid w:val="00CE1DD6"/>
    <w:rsid w:val="00CE4F96"/>
    <w:rsid w:val="00CF0AB1"/>
    <w:rsid w:val="00CF3BB6"/>
    <w:rsid w:val="00CF4B9B"/>
    <w:rsid w:val="00CF55E6"/>
    <w:rsid w:val="00CF66C0"/>
    <w:rsid w:val="00CF772F"/>
    <w:rsid w:val="00D034FB"/>
    <w:rsid w:val="00D048DB"/>
    <w:rsid w:val="00D12BD7"/>
    <w:rsid w:val="00D14F0B"/>
    <w:rsid w:val="00D16FD2"/>
    <w:rsid w:val="00D178CA"/>
    <w:rsid w:val="00D3311C"/>
    <w:rsid w:val="00D476FC"/>
    <w:rsid w:val="00D53405"/>
    <w:rsid w:val="00D5457B"/>
    <w:rsid w:val="00D72995"/>
    <w:rsid w:val="00D73342"/>
    <w:rsid w:val="00D73685"/>
    <w:rsid w:val="00D86E00"/>
    <w:rsid w:val="00DA7FA2"/>
    <w:rsid w:val="00DB704E"/>
    <w:rsid w:val="00DC2D8D"/>
    <w:rsid w:val="00DC7F67"/>
    <w:rsid w:val="00DE1F5D"/>
    <w:rsid w:val="00DE27C4"/>
    <w:rsid w:val="00DE50D8"/>
    <w:rsid w:val="00DF278A"/>
    <w:rsid w:val="00DF3048"/>
    <w:rsid w:val="00E03CB7"/>
    <w:rsid w:val="00E051D4"/>
    <w:rsid w:val="00E060C8"/>
    <w:rsid w:val="00E1664B"/>
    <w:rsid w:val="00E1692F"/>
    <w:rsid w:val="00E30D12"/>
    <w:rsid w:val="00E30DA3"/>
    <w:rsid w:val="00E3394E"/>
    <w:rsid w:val="00E35241"/>
    <w:rsid w:val="00E41417"/>
    <w:rsid w:val="00E42FAA"/>
    <w:rsid w:val="00E536D3"/>
    <w:rsid w:val="00E53F77"/>
    <w:rsid w:val="00E57BE2"/>
    <w:rsid w:val="00E62A95"/>
    <w:rsid w:val="00E746A2"/>
    <w:rsid w:val="00E90D06"/>
    <w:rsid w:val="00E97E59"/>
    <w:rsid w:val="00EA79C9"/>
    <w:rsid w:val="00EB66AC"/>
    <w:rsid w:val="00EC1225"/>
    <w:rsid w:val="00EC2247"/>
    <w:rsid w:val="00EE1F87"/>
    <w:rsid w:val="00EE2748"/>
    <w:rsid w:val="00EE3931"/>
    <w:rsid w:val="00EE5AF6"/>
    <w:rsid w:val="00EF102D"/>
    <w:rsid w:val="00EF18B5"/>
    <w:rsid w:val="00EF2CEF"/>
    <w:rsid w:val="00EF5B88"/>
    <w:rsid w:val="00F001D2"/>
    <w:rsid w:val="00F1092D"/>
    <w:rsid w:val="00F12745"/>
    <w:rsid w:val="00F17998"/>
    <w:rsid w:val="00F24426"/>
    <w:rsid w:val="00F31E84"/>
    <w:rsid w:val="00F32AAE"/>
    <w:rsid w:val="00F42C20"/>
    <w:rsid w:val="00F431D8"/>
    <w:rsid w:val="00F43AB7"/>
    <w:rsid w:val="00F4660E"/>
    <w:rsid w:val="00F47618"/>
    <w:rsid w:val="00F56350"/>
    <w:rsid w:val="00F63E8D"/>
    <w:rsid w:val="00F67706"/>
    <w:rsid w:val="00F759BF"/>
    <w:rsid w:val="00F76B0C"/>
    <w:rsid w:val="00F81FE3"/>
    <w:rsid w:val="00F90F82"/>
    <w:rsid w:val="00F92D75"/>
    <w:rsid w:val="00F96ACE"/>
    <w:rsid w:val="00F97327"/>
    <w:rsid w:val="00F977CB"/>
    <w:rsid w:val="00FA296F"/>
    <w:rsid w:val="00FA7323"/>
    <w:rsid w:val="00FB1299"/>
    <w:rsid w:val="00FC32D3"/>
    <w:rsid w:val="00FD4D82"/>
    <w:rsid w:val="00FD7E1F"/>
    <w:rsid w:val="00FE57AE"/>
    <w:rsid w:val="00FE680D"/>
    <w:rsid w:val="00FF0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BD5FD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EndNoteBibliographyTitle">
    <w:name w:val="EndNote Bibliography Title"/>
    <w:basedOn w:val="Normal"/>
    <w:link w:val="EndNoteBibliographyTitleChar"/>
    <w:rsid w:val="006F6063"/>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6F6063"/>
    <w:rPr>
      <w:rFonts w:ascii="Calibri" w:hAnsi="Calibri" w:cs="Calibri"/>
      <w:noProof/>
    </w:rPr>
  </w:style>
  <w:style w:type="paragraph" w:customStyle="1" w:styleId="EndNoteBibliography">
    <w:name w:val="EndNote Bibliography"/>
    <w:basedOn w:val="Normal"/>
    <w:link w:val="EndNoteBibliographyChar"/>
    <w:rsid w:val="006F6063"/>
    <w:rPr>
      <w:rFonts w:ascii="Calibri" w:hAnsi="Calibri" w:cs="Calibri"/>
      <w:noProof/>
    </w:rPr>
  </w:style>
  <w:style w:type="character" w:customStyle="1" w:styleId="EndNoteBibliographyChar">
    <w:name w:val="EndNote Bibliography Char"/>
    <w:basedOn w:val="DefaultParagraphFont"/>
    <w:link w:val="EndNoteBibliography"/>
    <w:rsid w:val="006F6063"/>
    <w:rPr>
      <w:rFonts w:ascii="Calibri" w:hAnsi="Calibri" w:cs="Calibri"/>
      <w:noProof/>
    </w:rPr>
  </w:style>
  <w:style w:type="paragraph" w:styleId="BodyText">
    <w:name w:val="Body Text"/>
    <w:basedOn w:val="Normal"/>
    <w:link w:val="BodyTextChar"/>
    <w:uiPriority w:val="99"/>
    <w:unhideWhenUsed/>
    <w:rsid w:val="004D75C5"/>
    <w:pPr>
      <w:spacing w:before="120" w:after="120"/>
      <w:ind w:left="540" w:firstLine="0"/>
    </w:pPr>
  </w:style>
  <w:style w:type="character" w:customStyle="1" w:styleId="BodyTextChar">
    <w:name w:val="Body Text Char"/>
    <w:basedOn w:val="DefaultParagraphFont"/>
    <w:link w:val="BodyText"/>
    <w:uiPriority w:val="99"/>
    <w:rsid w:val="004D75C5"/>
  </w:style>
  <w:style w:type="paragraph" w:customStyle="1" w:styleId="question">
    <w:name w:val="question"/>
    <w:basedOn w:val="Normal"/>
    <w:qFormat/>
    <w:rsid w:val="004D75C5"/>
    <w:pPr>
      <w:spacing w:before="240"/>
      <w:ind w:left="540" w:right="140" w:hanging="540"/>
    </w:pPr>
    <w:rPr>
      <w:iCs/>
    </w:rPr>
  </w:style>
  <w:style w:type="character" w:customStyle="1" w:styleId="Heading1Char">
    <w:name w:val="Heading 1 Char"/>
    <w:basedOn w:val="DefaultParagraphFont"/>
    <w:link w:val="Heading1"/>
    <w:uiPriority w:val="9"/>
    <w:rsid w:val="00BD5FDF"/>
    <w:rPr>
      <w:rFonts w:asciiTheme="majorHAnsi" w:eastAsiaTheme="majorEastAsia" w:hAnsiTheme="majorHAnsi" w:cstheme="majorBidi"/>
      <w:color w:val="365F91" w:themeColor="accent1" w:themeShade="BF"/>
      <w:sz w:val="32"/>
      <w:szCs w:val="32"/>
    </w:rPr>
  </w:style>
  <w:style w:type="paragraph" w:customStyle="1" w:styleId="Tabletext">
    <w:name w:val="Table text"/>
    <w:basedOn w:val="Normal"/>
    <w:qFormat/>
    <w:rsid w:val="00BD5FDF"/>
    <w:pPr>
      <w:framePr w:hSpace="187" w:wrap="around" w:vAnchor="text" w:hAnchor="margin" w:y="1"/>
      <w:spacing w:before="80" w:after="80"/>
      <w:ind w:left="0" w:firstLine="0"/>
    </w:pPr>
    <w:rPr>
      <w:rFonts w:ascii="Times New Roman" w:eastAsia="Times New Roman" w:hAnsi="Times New Roman" w:cs="Times New Roman"/>
      <w:sz w:val="20"/>
      <w:szCs w:val="20"/>
    </w:rPr>
  </w:style>
  <w:style w:type="paragraph" w:customStyle="1" w:styleId="TableHeader">
    <w:name w:val="Table Header"/>
    <w:basedOn w:val="Normal"/>
    <w:qFormat/>
    <w:rsid w:val="00BD5FDF"/>
    <w:pPr>
      <w:framePr w:hSpace="187" w:wrap="around" w:vAnchor="text" w:hAnchor="margin" w:y="1"/>
      <w:spacing w:before="80" w:after="80"/>
      <w:ind w:left="0" w:firstLine="0"/>
      <w:jc w:val="center"/>
    </w:pPr>
    <w:rPr>
      <w:rFonts w:ascii="Times New Roman" w:eastAsia="Times New Roman" w:hAnsi="Times New Roman" w:cs="Times New Roman"/>
      <w:b/>
      <w:sz w:val="20"/>
      <w:szCs w:val="20"/>
    </w:rPr>
  </w:style>
  <w:style w:type="character" w:styleId="FootnoteReference">
    <w:name w:val="footnote reference"/>
    <w:basedOn w:val="DefaultParagraphFont"/>
    <w:uiPriority w:val="99"/>
    <w:semiHidden/>
    <w:unhideWhenUsed/>
    <w:rsid w:val="007B29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5660">
      <w:bodyDiv w:val="1"/>
      <w:marLeft w:val="0"/>
      <w:marRight w:val="0"/>
      <w:marTop w:val="0"/>
      <w:marBottom w:val="0"/>
      <w:divBdr>
        <w:top w:val="none" w:sz="0" w:space="0" w:color="auto"/>
        <w:left w:val="none" w:sz="0" w:space="0" w:color="auto"/>
        <w:bottom w:val="none" w:sz="0" w:space="0" w:color="auto"/>
        <w:right w:val="none" w:sz="0" w:space="0" w:color="auto"/>
      </w:divBdr>
    </w:div>
    <w:div w:id="613755668">
      <w:bodyDiv w:val="1"/>
      <w:marLeft w:val="0"/>
      <w:marRight w:val="0"/>
      <w:marTop w:val="0"/>
      <w:marBottom w:val="0"/>
      <w:divBdr>
        <w:top w:val="none" w:sz="0" w:space="0" w:color="auto"/>
        <w:left w:val="none" w:sz="0" w:space="0" w:color="auto"/>
        <w:bottom w:val="none" w:sz="0" w:space="0" w:color="auto"/>
        <w:right w:val="none" w:sz="0" w:space="0" w:color="auto"/>
      </w:divBdr>
    </w:div>
    <w:div w:id="1021667073">
      <w:bodyDiv w:val="1"/>
      <w:marLeft w:val="0"/>
      <w:marRight w:val="0"/>
      <w:marTop w:val="0"/>
      <w:marBottom w:val="0"/>
      <w:divBdr>
        <w:top w:val="none" w:sz="0" w:space="0" w:color="auto"/>
        <w:left w:val="none" w:sz="0" w:space="0" w:color="auto"/>
        <w:bottom w:val="none" w:sz="0" w:space="0" w:color="auto"/>
        <w:right w:val="none" w:sz="0" w:space="0" w:color="auto"/>
      </w:divBdr>
    </w:div>
    <w:div w:id="1471557123">
      <w:bodyDiv w:val="1"/>
      <w:marLeft w:val="0"/>
      <w:marRight w:val="0"/>
      <w:marTop w:val="0"/>
      <w:marBottom w:val="0"/>
      <w:divBdr>
        <w:top w:val="none" w:sz="0" w:space="0" w:color="auto"/>
        <w:left w:val="none" w:sz="0" w:space="0" w:color="auto"/>
        <w:bottom w:val="none" w:sz="0" w:space="0" w:color="auto"/>
        <w:right w:val="none" w:sz="0" w:space="0" w:color="auto"/>
      </w:divBdr>
    </w:div>
    <w:div w:id="1494567281">
      <w:bodyDiv w:val="1"/>
      <w:marLeft w:val="0"/>
      <w:marRight w:val="0"/>
      <w:marTop w:val="0"/>
      <w:marBottom w:val="0"/>
      <w:divBdr>
        <w:top w:val="none" w:sz="0" w:space="0" w:color="auto"/>
        <w:left w:val="none" w:sz="0" w:space="0" w:color="auto"/>
        <w:bottom w:val="none" w:sz="0" w:space="0" w:color="auto"/>
        <w:right w:val="none" w:sz="0" w:space="0" w:color="auto"/>
      </w:divBdr>
    </w:div>
    <w:div w:id="1891455147">
      <w:bodyDiv w:val="1"/>
      <w:marLeft w:val="0"/>
      <w:marRight w:val="0"/>
      <w:marTop w:val="0"/>
      <w:marBottom w:val="0"/>
      <w:divBdr>
        <w:top w:val="none" w:sz="0" w:space="0" w:color="auto"/>
        <w:left w:val="none" w:sz="0" w:space="0" w:color="auto"/>
        <w:bottom w:val="none" w:sz="0" w:space="0" w:color="auto"/>
        <w:right w:val="none" w:sz="0" w:space="0" w:color="auto"/>
      </w:divBdr>
    </w:div>
    <w:div w:id="1951668493">
      <w:bodyDiv w:val="1"/>
      <w:marLeft w:val="0"/>
      <w:marRight w:val="0"/>
      <w:marTop w:val="0"/>
      <w:marBottom w:val="0"/>
      <w:divBdr>
        <w:top w:val="none" w:sz="0" w:space="0" w:color="auto"/>
        <w:left w:val="none" w:sz="0" w:space="0" w:color="auto"/>
        <w:bottom w:val="none" w:sz="0" w:space="0" w:color="auto"/>
        <w:right w:val="none" w:sz="0" w:space="0" w:color="auto"/>
      </w:divBdr>
    </w:div>
    <w:div w:id="2082366889">
      <w:bodyDiv w:val="1"/>
      <w:marLeft w:val="0"/>
      <w:marRight w:val="0"/>
      <w:marTop w:val="0"/>
      <w:marBottom w:val="0"/>
      <w:divBdr>
        <w:top w:val="none" w:sz="0" w:space="0" w:color="auto"/>
        <w:left w:val="none" w:sz="0" w:space="0" w:color="auto"/>
        <w:bottom w:val="none" w:sz="0" w:space="0" w:color="auto"/>
        <w:right w:val="none" w:sz="0" w:space="0" w:color="auto"/>
      </w:divBdr>
    </w:div>
    <w:div w:id="212580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diagramQuickStyle" Target="diagrams/quickStyl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n.gov/isdh/files/improve_care_tran.pdf" TargetMode="External"/><Relationship Id="rId20"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microsoft.com/office/2007/relationships/diagramDrawing" Target="diagrams/drawing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diagramData" Target="diagrams/data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diagramColors" Target="diagrams/colors1.xml"/><Relationship Id="rId27" Type="http://schemas.openxmlformats.org/officeDocument/2006/relationships/glossaryDocument" Target="glossary/document.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0421FA-9A62-4796-8841-09902ECBDB23}" type="doc">
      <dgm:prSet loTypeId="urn:microsoft.com/office/officeart/2005/8/layout/process1" loCatId="process" qsTypeId="urn:microsoft.com/office/officeart/2005/8/quickstyle/simple1" qsCatId="simple" csTypeId="urn:microsoft.com/office/officeart/2005/8/colors/accent1_2" csCatId="accent1" phldr="1"/>
      <dgm:spPr/>
    </dgm:pt>
    <dgm:pt modelId="{D4775106-FCA2-4E17-9A35-A0A1BBB5E36A}">
      <dgm:prSet phldrT="[Text]" custT="1"/>
      <dgm:spPr/>
      <dgm:t>
        <a:bodyPr/>
        <a:lstStyle/>
        <a:p>
          <a:r>
            <a:rPr lang="en-US" sz="1000" b="1">
              <a:solidFill>
                <a:schemeClr val="bg1"/>
              </a:solidFill>
            </a:rPr>
            <a:t>STRUCTURE</a:t>
          </a:r>
        </a:p>
      </dgm:t>
    </dgm:pt>
    <dgm:pt modelId="{2361F5A8-F4FA-4D1D-BBDA-551D3D98ECE7}" type="parTrans" cxnId="{F13C7C13-24DC-47C5-B2C0-B80C60BA7126}">
      <dgm:prSet/>
      <dgm:spPr/>
      <dgm:t>
        <a:bodyPr/>
        <a:lstStyle/>
        <a:p>
          <a:endParaRPr lang="en-US" sz="1000"/>
        </a:p>
      </dgm:t>
    </dgm:pt>
    <dgm:pt modelId="{BD8BF25D-0472-40B1-B09A-C4776BE8D643}" type="sibTrans" cxnId="{F13C7C13-24DC-47C5-B2C0-B80C60BA7126}">
      <dgm:prSet custT="1"/>
      <dgm:spPr/>
      <dgm:t>
        <a:bodyPr/>
        <a:lstStyle/>
        <a:p>
          <a:endParaRPr lang="en-US" sz="1000"/>
        </a:p>
      </dgm:t>
    </dgm:pt>
    <dgm:pt modelId="{080F9B2C-8797-44F5-A3DE-D495A91653FD}">
      <dgm:prSet phldrT="[Text]" custT="1"/>
      <dgm:spPr/>
      <dgm:t>
        <a:bodyPr/>
        <a:lstStyle/>
        <a:p>
          <a:r>
            <a:rPr lang="en-US" sz="1000" b="1">
              <a:solidFill>
                <a:schemeClr val="bg1"/>
              </a:solidFill>
            </a:rPr>
            <a:t>PROCESS</a:t>
          </a:r>
        </a:p>
      </dgm:t>
    </dgm:pt>
    <dgm:pt modelId="{9D879D23-3466-41AF-BE5F-3DA893E9599A}" type="parTrans" cxnId="{F97DDFCD-2487-4CC6-8229-6314E1934D9B}">
      <dgm:prSet/>
      <dgm:spPr/>
      <dgm:t>
        <a:bodyPr/>
        <a:lstStyle/>
        <a:p>
          <a:endParaRPr lang="en-US" sz="1000"/>
        </a:p>
      </dgm:t>
    </dgm:pt>
    <dgm:pt modelId="{F4332EFF-1337-4C7F-A16B-485A871E0CC1}" type="sibTrans" cxnId="{F97DDFCD-2487-4CC6-8229-6314E1934D9B}">
      <dgm:prSet custT="1"/>
      <dgm:spPr/>
      <dgm:t>
        <a:bodyPr/>
        <a:lstStyle/>
        <a:p>
          <a:endParaRPr lang="en-US" sz="1000"/>
        </a:p>
      </dgm:t>
    </dgm:pt>
    <dgm:pt modelId="{A23655FA-8439-4BF6-8E1E-E2D9A4EA204E}">
      <dgm:prSet phldrT="[Text]" custT="1"/>
      <dgm:spPr/>
      <dgm:t>
        <a:bodyPr/>
        <a:lstStyle/>
        <a:p>
          <a:r>
            <a:rPr lang="en-US" sz="1000" b="1"/>
            <a:t>OUTCOME</a:t>
          </a:r>
        </a:p>
      </dgm:t>
    </dgm:pt>
    <dgm:pt modelId="{BF003307-1B59-442D-A4F2-DB54632D73C2}" type="parTrans" cxnId="{B9F992B6-4F16-4013-AAF4-89556B79BF83}">
      <dgm:prSet/>
      <dgm:spPr/>
      <dgm:t>
        <a:bodyPr/>
        <a:lstStyle/>
        <a:p>
          <a:endParaRPr lang="en-US" sz="1000"/>
        </a:p>
      </dgm:t>
    </dgm:pt>
    <dgm:pt modelId="{DBB43B7A-D546-4894-83F7-5D7C06D8E604}" type="sibTrans" cxnId="{B9F992B6-4F16-4013-AAF4-89556B79BF83}">
      <dgm:prSet/>
      <dgm:spPr/>
      <dgm:t>
        <a:bodyPr/>
        <a:lstStyle/>
        <a:p>
          <a:endParaRPr lang="en-US" sz="1000"/>
        </a:p>
      </dgm:t>
    </dgm:pt>
    <dgm:pt modelId="{35BC3855-053B-464C-A51B-53593BAA9255}">
      <dgm:prSet phldrT="[Text]" custT="1"/>
      <dgm:spPr/>
      <dgm:t>
        <a:bodyPr/>
        <a:lstStyle/>
        <a:p>
          <a:endParaRPr lang="en-US" sz="1000"/>
        </a:p>
      </dgm:t>
    </dgm:pt>
    <dgm:pt modelId="{2D13A67C-5305-4926-8E00-04E0A0516E99}" type="parTrans" cxnId="{61FE29D9-D306-409C-8D12-06975449C596}">
      <dgm:prSet/>
      <dgm:spPr/>
      <dgm:t>
        <a:bodyPr/>
        <a:lstStyle/>
        <a:p>
          <a:endParaRPr lang="en-US" sz="1000"/>
        </a:p>
      </dgm:t>
    </dgm:pt>
    <dgm:pt modelId="{FE60997B-BC31-4686-8DC1-5DCECAEF2A5D}" type="sibTrans" cxnId="{61FE29D9-D306-409C-8D12-06975449C596}">
      <dgm:prSet/>
      <dgm:spPr/>
      <dgm:t>
        <a:bodyPr/>
        <a:lstStyle/>
        <a:p>
          <a:endParaRPr lang="en-US" sz="1000"/>
        </a:p>
      </dgm:t>
    </dgm:pt>
    <dgm:pt modelId="{AAA71AD1-548F-40B7-9704-ECE483F76B96}">
      <dgm:prSet phldrT="[Text]" custT="1"/>
      <dgm:spPr/>
      <dgm:t>
        <a:bodyPr/>
        <a:lstStyle/>
        <a:p>
          <a:r>
            <a:rPr lang="en-US" sz="1000"/>
            <a:t>Adequate staffing</a:t>
          </a:r>
        </a:p>
      </dgm:t>
    </dgm:pt>
    <dgm:pt modelId="{ADECEC10-5B2E-4E8A-A7F7-8E56159EC82A}" type="sibTrans" cxnId="{9BC49BE7-E99F-4411-8A28-CC2A19F0F162}">
      <dgm:prSet/>
      <dgm:spPr/>
      <dgm:t>
        <a:bodyPr/>
        <a:lstStyle/>
        <a:p>
          <a:endParaRPr lang="en-US" sz="1000"/>
        </a:p>
      </dgm:t>
    </dgm:pt>
    <dgm:pt modelId="{AC7C896F-F565-4F82-8F4F-8D607025D432}" type="parTrans" cxnId="{9BC49BE7-E99F-4411-8A28-CC2A19F0F162}">
      <dgm:prSet/>
      <dgm:spPr/>
      <dgm:t>
        <a:bodyPr/>
        <a:lstStyle/>
        <a:p>
          <a:endParaRPr lang="en-US" sz="1000"/>
        </a:p>
      </dgm:t>
    </dgm:pt>
    <dgm:pt modelId="{2FB513A8-0EBE-4F74-A0A9-A2A880594327}">
      <dgm:prSet phldrT="[Text]" custT="1"/>
      <dgm:spPr/>
      <dgm:t>
        <a:bodyPr/>
        <a:lstStyle/>
        <a:p>
          <a:r>
            <a:rPr lang="en-US" sz="1000"/>
            <a:t>Management models organizing coordinated care scheduling &amp; delivery, accomodating patient preferences</a:t>
          </a:r>
          <a:endParaRPr lang="en-US" sz="1000">
            <a:solidFill>
              <a:schemeClr val="bg1"/>
            </a:solidFill>
          </a:endParaRPr>
        </a:p>
      </dgm:t>
    </dgm:pt>
    <dgm:pt modelId="{5D3998C8-0789-4106-A023-294B6444EE5E}" type="parTrans" cxnId="{0CFF9269-4D65-42A1-B568-285C84D28718}">
      <dgm:prSet/>
      <dgm:spPr/>
      <dgm:t>
        <a:bodyPr/>
        <a:lstStyle/>
        <a:p>
          <a:endParaRPr lang="en-US" sz="1000"/>
        </a:p>
      </dgm:t>
    </dgm:pt>
    <dgm:pt modelId="{CF92DCF4-C11D-40D6-92FD-420AEF0C21A2}" type="sibTrans" cxnId="{0CFF9269-4D65-42A1-B568-285C84D28718}">
      <dgm:prSet/>
      <dgm:spPr/>
      <dgm:t>
        <a:bodyPr/>
        <a:lstStyle/>
        <a:p>
          <a:endParaRPr lang="en-US" sz="1000"/>
        </a:p>
      </dgm:t>
    </dgm:pt>
    <dgm:pt modelId="{500DC76B-8AA7-410F-9AF1-67C26B22F47F}">
      <dgm:prSet phldrT="[Text]" custT="1"/>
      <dgm:spPr/>
      <dgm:t>
        <a:bodyPr/>
        <a:lstStyle/>
        <a:p>
          <a:r>
            <a:rPr lang="en-US" sz="1000"/>
            <a:t>Comprehensive patient assessment on admission or as soon as feasible (e.g., medical and functional status, home environment, caregiver support, discharge destination planning, goals for discharge to community)</a:t>
          </a:r>
        </a:p>
      </dgm:t>
    </dgm:pt>
    <dgm:pt modelId="{A9D907BB-0B86-48D1-82E4-2E796EA82B0D}" type="parTrans" cxnId="{4403857A-2F2A-4511-9A62-921C370A5CE1}">
      <dgm:prSet/>
      <dgm:spPr/>
      <dgm:t>
        <a:bodyPr/>
        <a:lstStyle/>
        <a:p>
          <a:endParaRPr lang="en-US" sz="1000"/>
        </a:p>
      </dgm:t>
    </dgm:pt>
    <dgm:pt modelId="{3680E610-E6B2-45BE-9150-99F9F3479C65}" type="sibTrans" cxnId="{4403857A-2F2A-4511-9A62-921C370A5CE1}">
      <dgm:prSet/>
      <dgm:spPr/>
      <dgm:t>
        <a:bodyPr/>
        <a:lstStyle/>
        <a:p>
          <a:endParaRPr lang="en-US" sz="1000"/>
        </a:p>
      </dgm:t>
    </dgm:pt>
    <dgm:pt modelId="{7960BE83-90FC-4D1B-BBF3-477019410362}">
      <dgm:prSet phldrT="[Text]" custT="1"/>
      <dgm:spPr/>
      <dgm:t>
        <a:bodyPr/>
        <a:lstStyle/>
        <a:p>
          <a:r>
            <a:rPr lang="en-US" sz="1000"/>
            <a:t>Medical and rehabilitation strategies as relevant (e.g., improving medical &amp; functional status)</a:t>
          </a:r>
        </a:p>
      </dgm:t>
    </dgm:pt>
    <dgm:pt modelId="{BC50C0B2-304A-4BC2-8F3A-DA73C4EB65E6}" type="parTrans" cxnId="{05609F8D-6924-4BE5-AC17-6024A2D3B250}">
      <dgm:prSet/>
      <dgm:spPr/>
      <dgm:t>
        <a:bodyPr/>
        <a:lstStyle/>
        <a:p>
          <a:endParaRPr lang="en-US" sz="1000"/>
        </a:p>
      </dgm:t>
    </dgm:pt>
    <dgm:pt modelId="{2D1B23F1-0F90-478A-8420-02D308ED7A22}" type="sibTrans" cxnId="{05609F8D-6924-4BE5-AC17-6024A2D3B250}">
      <dgm:prSet/>
      <dgm:spPr/>
      <dgm:t>
        <a:bodyPr/>
        <a:lstStyle/>
        <a:p>
          <a:endParaRPr lang="en-US" sz="1000"/>
        </a:p>
      </dgm:t>
    </dgm:pt>
    <dgm:pt modelId="{95100ED2-6653-44FC-8585-F199F534AB3D}">
      <dgm:prSet phldrT="[Text]" custT="1"/>
      <dgm:spPr/>
      <dgm:t>
        <a:bodyPr/>
        <a:lstStyle/>
        <a:p>
          <a:r>
            <a:rPr lang="en-US" sz="1000"/>
            <a:t>Patient/family/caregiver education &amp; training (e.g., medication management, assisting with mobility, warning signs for seeking medical assistance once in community)</a:t>
          </a:r>
        </a:p>
      </dgm:t>
    </dgm:pt>
    <dgm:pt modelId="{DB983B53-90E8-42C0-9BD9-30DA35760CB3}" type="parTrans" cxnId="{E33C8A40-CE8F-4B52-A794-84D3A8B574B0}">
      <dgm:prSet/>
      <dgm:spPr/>
      <dgm:t>
        <a:bodyPr/>
        <a:lstStyle/>
        <a:p>
          <a:endParaRPr lang="en-US" sz="1000"/>
        </a:p>
      </dgm:t>
    </dgm:pt>
    <dgm:pt modelId="{84D33BDB-B4C2-4506-95D7-E4929B622663}" type="sibTrans" cxnId="{E33C8A40-CE8F-4B52-A794-84D3A8B574B0}">
      <dgm:prSet/>
      <dgm:spPr/>
      <dgm:t>
        <a:bodyPr/>
        <a:lstStyle/>
        <a:p>
          <a:endParaRPr lang="en-US" sz="1000"/>
        </a:p>
      </dgm:t>
    </dgm:pt>
    <dgm:pt modelId="{CC4563B2-E406-4FBA-819E-D30021585291}">
      <dgm:prSet phldrT="[Text]" custT="1"/>
      <dgm:spPr/>
      <dgm:t>
        <a:bodyPr/>
        <a:lstStyle/>
        <a:p>
          <a:r>
            <a:rPr lang="en-US" sz="1000"/>
            <a:t>Arrange necessary medical equipment or assistive devices needed for use at home after discharge to community</a:t>
          </a:r>
        </a:p>
      </dgm:t>
    </dgm:pt>
    <dgm:pt modelId="{BA3EC397-38F2-4BD0-87A1-F1CE28BF4A69}" type="parTrans" cxnId="{D998B99F-B020-4509-A796-B4A0B8B1DC97}">
      <dgm:prSet/>
      <dgm:spPr/>
      <dgm:t>
        <a:bodyPr/>
        <a:lstStyle/>
        <a:p>
          <a:endParaRPr lang="en-US" sz="1000"/>
        </a:p>
      </dgm:t>
    </dgm:pt>
    <dgm:pt modelId="{CF3CBEC9-AA56-4111-9136-2A0C67766D33}" type="sibTrans" cxnId="{D998B99F-B020-4509-A796-B4A0B8B1DC97}">
      <dgm:prSet/>
      <dgm:spPr/>
      <dgm:t>
        <a:bodyPr/>
        <a:lstStyle/>
        <a:p>
          <a:endParaRPr lang="en-US" sz="1000"/>
        </a:p>
      </dgm:t>
    </dgm:pt>
    <dgm:pt modelId="{6121A44E-1D1C-4AA1-BA5A-5A29825BF17E}">
      <dgm:prSet phldrT="[Text]" custT="1"/>
      <dgm:spPr/>
      <dgm:t>
        <a:bodyPr/>
        <a:lstStyle/>
        <a:p>
          <a:r>
            <a:rPr lang="en-US" sz="1000"/>
            <a:t>Establish goals and plan of care with patient/family, focusing on goals for discharge to community (if appropriate) and addressing discharge barriers</a:t>
          </a:r>
        </a:p>
      </dgm:t>
    </dgm:pt>
    <dgm:pt modelId="{1ACCCF74-6B48-457B-A3BC-DD88C8846FF7}" type="parTrans" cxnId="{D5350593-AB6C-40B4-8109-E8478B2E766A}">
      <dgm:prSet/>
      <dgm:spPr/>
      <dgm:t>
        <a:bodyPr/>
        <a:lstStyle/>
        <a:p>
          <a:endParaRPr lang="en-US" sz="1000"/>
        </a:p>
      </dgm:t>
    </dgm:pt>
    <dgm:pt modelId="{4380F717-5EBE-4A52-A504-094F4076C7DB}" type="sibTrans" cxnId="{D5350593-AB6C-40B4-8109-E8478B2E766A}">
      <dgm:prSet/>
      <dgm:spPr/>
      <dgm:t>
        <a:bodyPr/>
        <a:lstStyle/>
        <a:p>
          <a:endParaRPr lang="en-US" sz="1000"/>
        </a:p>
      </dgm:t>
    </dgm:pt>
    <dgm:pt modelId="{1018A675-D1AD-4831-8AFA-68E1063850AD}">
      <dgm:prSet phldrT="[Text]" custT="1"/>
      <dgm:spPr/>
      <dgm:t>
        <a:bodyPr/>
        <a:lstStyle/>
        <a:p>
          <a:r>
            <a:rPr lang="en-US" sz="1000">
              <a:solidFill>
                <a:schemeClr val="bg1"/>
              </a:solidFill>
            </a:rPr>
            <a:t>Interdisciplinary team (e.g., nurses; physical, occupational, speech &amp; respiratory therapists; case managers; social workers, home health aides) to provide holistic care</a:t>
          </a:r>
        </a:p>
      </dgm:t>
    </dgm:pt>
    <dgm:pt modelId="{47663FF2-7D31-4C5E-819C-36B438667A5D}" type="parTrans" cxnId="{24893B93-2166-46FF-9795-CDDAABF6D60C}">
      <dgm:prSet/>
      <dgm:spPr/>
      <dgm:t>
        <a:bodyPr/>
        <a:lstStyle/>
        <a:p>
          <a:endParaRPr lang="en-US"/>
        </a:p>
      </dgm:t>
    </dgm:pt>
    <dgm:pt modelId="{D2379C63-04FC-4FAB-A5DD-32B9D9DFBDD5}" type="sibTrans" cxnId="{24893B93-2166-46FF-9795-CDDAABF6D60C}">
      <dgm:prSet/>
      <dgm:spPr/>
      <dgm:t>
        <a:bodyPr/>
        <a:lstStyle/>
        <a:p>
          <a:endParaRPr lang="en-US"/>
        </a:p>
      </dgm:t>
    </dgm:pt>
    <dgm:pt modelId="{1CB10B8A-3DE6-42AB-B90D-2A7EA6041846}">
      <dgm:prSet phldrT="[Text]" custT="1"/>
      <dgm:spPr/>
      <dgm:t>
        <a:bodyPr/>
        <a:lstStyle/>
        <a:p>
          <a:r>
            <a:rPr lang="en-US" sz="1000"/>
            <a:t>HHA infrastructure, e.g:</a:t>
          </a:r>
        </a:p>
      </dgm:t>
    </dgm:pt>
    <dgm:pt modelId="{C22F0368-8B51-4A01-94D7-83FB607A9AF8}" type="parTrans" cxnId="{63F331D0-6E1C-4460-94BD-A45697EF9261}">
      <dgm:prSet/>
      <dgm:spPr/>
      <dgm:t>
        <a:bodyPr/>
        <a:lstStyle/>
        <a:p>
          <a:endParaRPr lang="en-US"/>
        </a:p>
      </dgm:t>
    </dgm:pt>
    <dgm:pt modelId="{F89F69C9-0089-45ED-AD67-C151AB26F1BF}" type="sibTrans" cxnId="{63F331D0-6E1C-4460-94BD-A45697EF9261}">
      <dgm:prSet/>
      <dgm:spPr/>
      <dgm:t>
        <a:bodyPr/>
        <a:lstStyle/>
        <a:p>
          <a:endParaRPr lang="en-US"/>
        </a:p>
      </dgm:t>
    </dgm:pt>
    <dgm:pt modelId="{68159D5D-8276-492A-B678-F61C7B03EC45}">
      <dgm:prSet phldrT="[Text]" custT="1"/>
      <dgm:spPr/>
      <dgm:t>
        <a:bodyPr/>
        <a:lstStyle/>
        <a:p>
          <a:endParaRPr lang="en-US" sz="1000">
            <a:solidFill>
              <a:schemeClr val="bg1"/>
            </a:solidFill>
          </a:endParaRPr>
        </a:p>
      </dgm:t>
    </dgm:pt>
    <dgm:pt modelId="{BE010A7E-DFCE-41A4-9DAA-FE9B723817B1}" type="parTrans" cxnId="{44A21D99-87B2-4513-9794-1CC9EA158345}">
      <dgm:prSet/>
      <dgm:spPr/>
      <dgm:t>
        <a:bodyPr/>
        <a:lstStyle/>
        <a:p>
          <a:endParaRPr lang="en-US"/>
        </a:p>
      </dgm:t>
    </dgm:pt>
    <dgm:pt modelId="{D9D7ED99-BABC-47A9-B03E-862B71259F28}" type="sibTrans" cxnId="{44A21D99-87B2-4513-9794-1CC9EA158345}">
      <dgm:prSet/>
      <dgm:spPr/>
      <dgm:t>
        <a:bodyPr/>
        <a:lstStyle/>
        <a:p>
          <a:endParaRPr lang="en-US"/>
        </a:p>
      </dgm:t>
    </dgm:pt>
    <dgm:pt modelId="{46E42A82-1229-4560-A63F-82C093AAF9C9}">
      <dgm:prSet phldrT="[Text]" custT="1"/>
      <dgm:spPr/>
      <dgm:t>
        <a:bodyPr/>
        <a:lstStyle/>
        <a:p>
          <a:endParaRPr lang="en-US" sz="1000"/>
        </a:p>
      </dgm:t>
    </dgm:pt>
    <dgm:pt modelId="{D4918DAA-956C-41C9-9ACF-F458ADB23ED8}" type="parTrans" cxnId="{25CB937A-5C9F-49A8-B655-5C48E466CC9F}">
      <dgm:prSet/>
      <dgm:spPr/>
      <dgm:t>
        <a:bodyPr/>
        <a:lstStyle/>
        <a:p>
          <a:endParaRPr lang="en-US"/>
        </a:p>
      </dgm:t>
    </dgm:pt>
    <dgm:pt modelId="{68D43E7D-FDF2-4935-80BA-7F899B02DAAE}" type="sibTrans" cxnId="{25CB937A-5C9F-49A8-B655-5C48E466CC9F}">
      <dgm:prSet/>
      <dgm:spPr/>
      <dgm:t>
        <a:bodyPr/>
        <a:lstStyle/>
        <a:p>
          <a:endParaRPr lang="en-US"/>
        </a:p>
      </dgm:t>
    </dgm:pt>
    <dgm:pt modelId="{09A5B4BE-6234-4185-875D-A5E331F5D861}">
      <dgm:prSet phldrT="[Text]" custT="1"/>
      <dgm:spPr/>
      <dgm:t>
        <a:bodyPr/>
        <a:lstStyle/>
        <a:p>
          <a:endParaRPr lang="en-US" sz="1000"/>
        </a:p>
      </dgm:t>
    </dgm:pt>
    <dgm:pt modelId="{F5C9B176-197F-4A50-B962-72D86E0544E8}" type="parTrans" cxnId="{8A6EF5BE-B386-49A3-889D-EFE1850A374A}">
      <dgm:prSet/>
      <dgm:spPr/>
      <dgm:t>
        <a:bodyPr/>
        <a:lstStyle/>
        <a:p>
          <a:endParaRPr lang="en-US"/>
        </a:p>
      </dgm:t>
    </dgm:pt>
    <dgm:pt modelId="{1161DC9A-9322-4CD5-93BE-4C3A09AFACBA}" type="sibTrans" cxnId="{8A6EF5BE-B386-49A3-889D-EFE1850A374A}">
      <dgm:prSet/>
      <dgm:spPr/>
      <dgm:t>
        <a:bodyPr/>
        <a:lstStyle/>
        <a:p>
          <a:endParaRPr lang="en-US"/>
        </a:p>
      </dgm:t>
    </dgm:pt>
    <dgm:pt modelId="{E75E1F47-8DD0-4253-847A-C7EF125F7675}">
      <dgm:prSet phldrT="[Text]" custT="1"/>
      <dgm:spPr/>
      <dgm:t>
        <a:bodyPr/>
        <a:lstStyle/>
        <a:p>
          <a:endParaRPr lang="en-US" sz="1000"/>
        </a:p>
      </dgm:t>
    </dgm:pt>
    <dgm:pt modelId="{B354D087-F7E1-4557-93E8-17B26655C508}" type="parTrans" cxnId="{8B30AC84-0628-4A67-994F-1D7D92012A34}">
      <dgm:prSet/>
      <dgm:spPr/>
      <dgm:t>
        <a:bodyPr/>
        <a:lstStyle/>
        <a:p>
          <a:endParaRPr lang="en-US"/>
        </a:p>
      </dgm:t>
    </dgm:pt>
    <dgm:pt modelId="{CE1F7517-DB3F-4B52-84C4-216F53FA4ADD}" type="sibTrans" cxnId="{8B30AC84-0628-4A67-994F-1D7D92012A34}">
      <dgm:prSet/>
      <dgm:spPr/>
      <dgm:t>
        <a:bodyPr/>
        <a:lstStyle/>
        <a:p>
          <a:endParaRPr lang="en-US"/>
        </a:p>
      </dgm:t>
    </dgm:pt>
    <dgm:pt modelId="{308EF316-69EF-4CB4-8DFE-79FE37E6D38E}">
      <dgm:prSet phldrT="[Text]" custT="1"/>
      <dgm:spPr/>
      <dgm:t>
        <a:bodyPr/>
        <a:lstStyle/>
        <a:p>
          <a:endParaRPr lang="en-US" sz="1000"/>
        </a:p>
      </dgm:t>
    </dgm:pt>
    <dgm:pt modelId="{22CA5F48-C3F8-4F4F-8A64-39D42D5D75CD}" type="parTrans" cxnId="{CB1A3702-7970-4271-B490-B9C56CBBB7B0}">
      <dgm:prSet/>
      <dgm:spPr/>
      <dgm:t>
        <a:bodyPr/>
        <a:lstStyle/>
        <a:p>
          <a:endParaRPr lang="en-US"/>
        </a:p>
      </dgm:t>
    </dgm:pt>
    <dgm:pt modelId="{E639E691-D6F4-4541-B857-000D9C6C5346}" type="sibTrans" cxnId="{CB1A3702-7970-4271-B490-B9C56CBBB7B0}">
      <dgm:prSet/>
      <dgm:spPr/>
      <dgm:t>
        <a:bodyPr/>
        <a:lstStyle/>
        <a:p>
          <a:endParaRPr lang="en-US"/>
        </a:p>
      </dgm:t>
    </dgm:pt>
    <dgm:pt modelId="{75B90BEA-A17D-4AD6-90F5-A1AD171C2DD7}">
      <dgm:prSet phldrT="[Text]" custT="1"/>
      <dgm:spPr/>
      <dgm:t>
        <a:bodyPr/>
        <a:lstStyle/>
        <a:p>
          <a:endParaRPr lang="en-US" sz="1000"/>
        </a:p>
      </dgm:t>
    </dgm:pt>
    <dgm:pt modelId="{DE0339D0-1DD3-4793-B396-732F4637EC07}" type="parTrans" cxnId="{FB6843A8-8D06-449A-BAF7-9D4B4E15FE91}">
      <dgm:prSet/>
      <dgm:spPr/>
      <dgm:t>
        <a:bodyPr/>
        <a:lstStyle/>
        <a:p>
          <a:endParaRPr lang="en-US"/>
        </a:p>
      </dgm:t>
    </dgm:pt>
    <dgm:pt modelId="{F4DB1D2A-1F2E-49BA-94FD-7F37B102CCE2}" type="sibTrans" cxnId="{FB6843A8-8D06-449A-BAF7-9D4B4E15FE91}">
      <dgm:prSet/>
      <dgm:spPr/>
      <dgm:t>
        <a:bodyPr/>
        <a:lstStyle/>
        <a:p>
          <a:endParaRPr lang="en-US"/>
        </a:p>
      </dgm:t>
    </dgm:pt>
    <dgm:pt modelId="{21883572-A93E-4FDB-9266-7D4FEF6C17D3}">
      <dgm:prSet phldrT="[Text]" custT="1"/>
      <dgm:spPr/>
      <dgm:t>
        <a:bodyPr/>
        <a:lstStyle/>
        <a:p>
          <a:endParaRPr lang="en-US" sz="1000"/>
        </a:p>
      </dgm:t>
    </dgm:pt>
    <dgm:pt modelId="{BE52D64D-FD28-4486-8820-833BF99888B5}" type="parTrans" cxnId="{CCD9F710-A892-43AA-B139-B5B185326B84}">
      <dgm:prSet/>
      <dgm:spPr/>
      <dgm:t>
        <a:bodyPr/>
        <a:lstStyle/>
        <a:p>
          <a:endParaRPr lang="en-US"/>
        </a:p>
      </dgm:t>
    </dgm:pt>
    <dgm:pt modelId="{C896AED6-D6DC-44A7-9E22-6C1D5E9E3B06}" type="sibTrans" cxnId="{CCD9F710-A892-43AA-B139-B5B185326B84}">
      <dgm:prSet/>
      <dgm:spPr/>
      <dgm:t>
        <a:bodyPr/>
        <a:lstStyle/>
        <a:p>
          <a:endParaRPr lang="en-US"/>
        </a:p>
      </dgm:t>
    </dgm:pt>
    <dgm:pt modelId="{A22A588A-398C-4C33-AC6A-59CAC2DD0D71}">
      <dgm:prSet phldrT="[Text]" custT="1"/>
      <dgm:spPr/>
      <dgm:t>
        <a:bodyPr/>
        <a:lstStyle/>
        <a:p>
          <a:r>
            <a:rPr lang="en-US" sz="1000"/>
            <a:t>Provide provider contact information to patient/caregiver for any questions or concerns once in the community; post-discharge provider follow-up (e.g., phone calls) to check patient status and answer questions as needed</a:t>
          </a:r>
        </a:p>
      </dgm:t>
    </dgm:pt>
    <dgm:pt modelId="{DEA12752-D4B6-47C3-AE3D-51250D6D72A2}" type="parTrans" cxnId="{1EAADE81-8141-452F-B783-927B6DC882BF}">
      <dgm:prSet/>
      <dgm:spPr/>
      <dgm:t>
        <a:bodyPr/>
        <a:lstStyle/>
        <a:p>
          <a:endParaRPr lang="en-US"/>
        </a:p>
      </dgm:t>
    </dgm:pt>
    <dgm:pt modelId="{F7F48F5C-E58C-441A-8AC1-914BC1586543}" type="sibTrans" cxnId="{1EAADE81-8141-452F-B783-927B6DC882BF}">
      <dgm:prSet/>
      <dgm:spPr/>
      <dgm:t>
        <a:bodyPr/>
        <a:lstStyle/>
        <a:p>
          <a:endParaRPr lang="en-US"/>
        </a:p>
      </dgm:t>
    </dgm:pt>
    <dgm:pt modelId="{15584555-4BEF-4094-8444-477BDB2C606A}">
      <dgm:prSet phldrT="[Text]" custT="1"/>
      <dgm:spPr/>
      <dgm:t>
        <a:bodyPr/>
        <a:lstStyle/>
        <a:p>
          <a:r>
            <a:rPr lang="en-US" sz="1000"/>
            <a:t>Provide information about patient or caregiver support groups, as relevant, to assist with community transition</a:t>
          </a:r>
        </a:p>
      </dgm:t>
    </dgm:pt>
    <dgm:pt modelId="{CAE9A5BB-C949-45D3-8AB5-3F640090FF4D}" type="parTrans" cxnId="{8CD65577-F878-4F54-A223-E269BEC43994}">
      <dgm:prSet/>
      <dgm:spPr/>
      <dgm:t>
        <a:bodyPr/>
        <a:lstStyle/>
        <a:p>
          <a:endParaRPr lang="en-US"/>
        </a:p>
      </dgm:t>
    </dgm:pt>
    <dgm:pt modelId="{2FF33FE7-638F-4985-85BB-A97152E3DA85}" type="sibTrans" cxnId="{8CD65577-F878-4F54-A223-E269BEC43994}">
      <dgm:prSet/>
      <dgm:spPr/>
      <dgm:t>
        <a:bodyPr/>
        <a:lstStyle/>
        <a:p>
          <a:endParaRPr lang="en-US"/>
        </a:p>
      </dgm:t>
    </dgm:pt>
    <dgm:pt modelId="{8C5D277A-CBCA-47AE-94C7-9E4E6388C3EF}">
      <dgm:prSet phldrT="[Text]" custT="1"/>
      <dgm:spPr/>
      <dgm:t>
        <a:bodyPr/>
        <a:lstStyle/>
        <a:p>
          <a:endParaRPr lang="en-US" sz="1000"/>
        </a:p>
      </dgm:t>
    </dgm:pt>
    <dgm:pt modelId="{EC510C95-D424-4AA2-95F7-C15EDAFD6B22}" type="parTrans" cxnId="{3F68126E-3940-481E-BA19-7B6A308BE835}">
      <dgm:prSet/>
      <dgm:spPr/>
      <dgm:t>
        <a:bodyPr/>
        <a:lstStyle/>
        <a:p>
          <a:endParaRPr lang="en-US"/>
        </a:p>
      </dgm:t>
    </dgm:pt>
    <dgm:pt modelId="{A0C0B741-C7BC-4703-9126-BC9A41554A59}" type="sibTrans" cxnId="{3F68126E-3940-481E-BA19-7B6A308BE835}">
      <dgm:prSet/>
      <dgm:spPr/>
      <dgm:t>
        <a:bodyPr/>
        <a:lstStyle/>
        <a:p>
          <a:endParaRPr lang="en-US"/>
        </a:p>
      </dgm:t>
    </dgm:pt>
    <dgm:pt modelId="{EF9F74A6-4018-45C6-868B-9C8E6E3E74F2}">
      <dgm:prSet phldrT="[Text]" custT="1"/>
      <dgm:spPr/>
      <dgm:t>
        <a:bodyPr/>
        <a:lstStyle/>
        <a:p>
          <a:r>
            <a:rPr lang="en-US" sz="1000"/>
            <a:t>Patient successfully discharged to community</a:t>
          </a:r>
        </a:p>
      </dgm:t>
    </dgm:pt>
    <dgm:pt modelId="{370BFB9A-43A8-4748-964E-CE5AB0D75A8B}" type="parTrans" cxnId="{F160DEC4-3623-4A46-8323-429BD2A8CD7E}">
      <dgm:prSet/>
      <dgm:spPr/>
      <dgm:t>
        <a:bodyPr/>
        <a:lstStyle/>
        <a:p>
          <a:endParaRPr lang="en-US"/>
        </a:p>
      </dgm:t>
    </dgm:pt>
    <dgm:pt modelId="{030F1945-E05A-4106-9908-ABC5B7D3D3B5}" type="sibTrans" cxnId="{F160DEC4-3623-4A46-8323-429BD2A8CD7E}">
      <dgm:prSet/>
      <dgm:spPr/>
      <dgm:t>
        <a:bodyPr/>
        <a:lstStyle/>
        <a:p>
          <a:endParaRPr lang="en-US"/>
        </a:p>
      </dgm:t>
    </dgm:pt>
    <dgm:pt modelId="{B28912E5-9DF1-4F49-AB3F-739FFB2C2B11}">
      <dgm:prSet phldrT="[Text]" custT="1"/>
      <dgm:spPr/>
      <dgm:t>
        <a:bodyPr/>
        <a:lstStyle/>
        <a:p>
          <a:endParaRPr lang="en-US" sz="1000"/>
        </a:p>
      </dgm:t>
    </dgm:pt>
    <dgm:pt modelId="{995898A7-0F09-4829-8CF9-9C0F27DFBEB2}" type="parTrans" cxnId="{1CF57444-26FB-4486-97CD-6CCB370D9345}">
      <dgm:prSet/>
      <dgm:spPr/>
      <dgm:t>
        <a:bodyPr/>
        <a:lstStyle/>
        <a:p>
          <a:endParaRPr lang="en-US"/>
        </a:p>
      </dgm:t>
    </dgm:pt>
    <dgm:pt modelId="{999277AE-44E3-4C5C-888E-E53F03E61E07}" type="sibTrans" cxnId="{1CF57444-26FB-4486-97CD-6CCB370D9345}">
      <dgm:prSet/>
      <dgm:spPr/>
      <dgm:t>
        <a:bodyPr/>
        <a:lstStyle/>
        <a:p>
          <a:endParaRPr lang="en-US"/>
        </a:p>
      </dgm:t>
    </dgm:pt>
    <dgm:pt modelId="{9701B095-7E2F-498F-8596-74A593BD84D9}">
      <dgm:prSet phldrT="[Text]" custT="1"/>
      <dgm:spPr/>
      <dgm:t>
        <a:bodyPr/>
        <a:lstStyle/>
        <a:p>
          <a:endParaRPr lang="en-US" sz="1000"/>
        </a:p>
      </dgm:t>
    </dgm:pt>
    <dgm:pt modelId="{536C3F19-7D1A-407A-AE61-574BEB562158}" type="parTrans" cxnId="{6B367C65-4EF1-4D11-80E5-94005711CB36}">
      <dgm:prSet/>
      <dgm:spPr/>
      <dgm:t>
        <a:bodyPr/>
        <a:lstStyle/>
        <a:p>
          <a:endParaRPr lang="en-US"/>
        </a:p>
      </dgm:t>
    </dgm:pt>
    <dgm:pt modelId="{400A9F26-73ED-4B2B-B59B-283F62B0FF50}" type="sibTrans" cxnId="{6B367C65-4EF1-4D11-80E5-94005711CB36}">
      <dgm:prSet/>
      <dgm:spPr/>
      <dgm:t>
        <a:bodyPr/>
        <a:lstStyle/>
        <a:p>
          <a:endParaRPr lang="en-US"/>
        </a:p>
      </dgm:t>
    </dgm:pt>
    <dgm:pt modelId="{82FB7669-AA85-491A-9AE2-49B03B065108}">
      <dgm:prSet phldrT="[Text]" custT="1"/>
      <dgm:spPr/>
      <dgm:t>
        <a:bodyPr/>
        <a:lstStyle/>
        <a:p>
          <a:r>
            <a:rPr lang="en-US" sz="1000"/>
            <a:t>Electronic health records to facilitate communication and coordination within and across teams</a:t>
          </a:r>
        </a:p>
      </dgm:t>
    </dgm:pt>
    <dgm:pt modelId="{F33ED68D-82DE-4F35-A5D3-D4B3AA1318CC}" type="parTrans" cxnId="{A6DC8350-B5E0-4FE3-B74F-112E4C6DDD5A}">
      <dgm:prSet/>
      <dgm:spPr/>
      <dgm:t>
        <a:bodyPr/>
        <a:lstStyle/>
        <a:p>
          <a:endParaRPr lang="en-US"/>
        </a:p>
      </dgm:t>
    </dgm:pt>
    <dgm:pt modelId="{E1378372-CBED-4BFD-AC39-14A7FE02E5FF}" type="sibTrans" cxnId="{A6DC8350-B5E0-4FE3-B74F-112E4C6DDD5A}">
      <dgm:prSet/>
      <dgm:spPr/>
      <dgm:t>
        <a:bodyPr/>
        <a:lstStyle/>
        <a:p>
          <a:endParaRPr lang="en-US"/>
        </a:p>
      </dgm:t>
    </dgm:pt>
    <dgm:pt modelId="{4629C2EB-B596-42C3-A255-B54109AB202E}" type="pres">
      <dgm:prSet presAssocID="{870421FA-9A62-4796-8841-09902ECBDB23}" presName="Name0" presStyleCnt="0">
        <dgm:presLayoutVars>
          <dgm:dir/>
          <dgm:resizeHandles val="exact"/>
        </dgm:presLayoutVars>
      </dgm:prSet>
      <dgm:spPr/>
    </dgm:pt>
    <dgm:pt modelId="{930B6428-7E47-4368-A8F0-77A45B3E8D90}" type="pres">
      <dgm:prSet presAssocID="{D4775106-FCA2-4E17-9A35-A0A1BBB5E36A}" presName="node" presStyleLbl="node1" presStyleIdx="0" presStyleCnt="3" custScaleX="289423" custScaleY="104492">
        <dgm:presLayoutVars>
          <dgm:bulletEnabled val="1"/>
        </dgm:presLayoutVars>
      </dgm:prSet>
      <dgm:spPr/>
      <dgm:t>
        <a:bodyPr/>
        <a:lstStyle/>
        <a:p>
          <a:endParaRPr lang="en-US"/>
        </a:p>
      </dgm:t>
    </dgm:pt>
    <dgm:pt modelId="{FA68A559-3A25-4271-BC0F-3873E26C4099}" type="pres">
      <dgm:prSet presAssocID="{BD8BF25D-0472-40B1-B09A-C4776BE8D643}" presName="sibTrans" presStyleLbl="sibTrans2D1" presStyleIdx="0" presStyleCnt="2" custLinFactNeighborX="15290" custLinFactNeighborY="4357"/>
      <dgm:spPr/>
      <dgm:t>
        <a:bodyPr/>
        <a:lstStyle/>
        <a:p>
          <a:endParaRPr lang="en-US"/>
        </a:p>
      </dgm:t>
    </dgm:pt>
    <dgm:pt modelId="{1CE29280-13AB-47B4-A80C-478B808F29C5}" type="pres">
      <dgm:prSet presAssocID="{BD8BF25D-0472-40B1-B09A-C4776BE8D643}" presName="connectorText" presStyleLbl="sibTrans2D1" presStyleIdx="0" presStyleCnt="2"/>
      <dgm:spPr/>
      <dgm:t>
        <a:bodyPr/>
        <a:lstStyle/>
        <a:p>
          <a:endParaRPr lang="en-US"/>
        </a:p>
      </dgm:t>
    </dgm:pt>
    <dgm:pt modelId="{CEF0097D-DCA7-4420-A35D-30512A5DAC5C}" type="pres">
      <dgm:prSet presAssocID="{080F9B2C-8797-44F5-A3DE-D495A91653FD}" presName="node" presStyleLbl="node1" presStyleIdx="1" presStyleCnt="3" custScaleX="595552" custScaleY="105201">
        <dgm:presLayoutVars>
          <dgm:bulletEnabled val="1"/>
        </dgm:presLayoutVars>
      </dgm:prSet>
      <dgm:spPr/>
      <dgm:t>
        <a:bodyPr/>
        <a:lstStyle/>
        <a:p>
          <a:endParaRPr lang="en-US"/>
        </a:p>
      </dgm:t>
    </dgm:pt>
    <dgm:pt modelId="{B10AA580-6638-44EC-B55C-39F1D2A1859C}" type="pres">
      <dgm:prSet presAssocID="{F4332EFF-1337-4C7F-A16B-485A871E0CC1}" presName="sibTrans" presStyleLbl="sibTrans2D1" presStyleIdx="1" presStyleCnt="2"/>
      <dgm:spPr/>
      <dgm:t>
        <a:bodyPr/>
        <a:lstStyle/>
        <a:p>
          <a:endParaRPr lang="en-US"/>
        </a:p>
      </dgm:t>
    </dgm:pt>
    <dgm:pt modelId="{CEC08842-99AF-42FE-9C1C-DDEA3055ECE4}" type="pres">
      <dgm:prSet presAssocID="{F4332EFF-1337-4C7F-A16B-485A871E0CC1}" presName="connectorText" presStyleLbl="sibTrans2D1" presStyleIdx="1" presStyleCnt="2"/>
      <dgm:spPr/>
      <dgm:t>
        <a:bodyPr/>
        <a:lstStyle/>
        <a:p>
          <a:endParaRPr lang="en-US"/>
        </a:p>
      </dgm:t>
    </dgm:pt>
    <dgm:pt modelId="{4E995E4B-F55A-4F38-B875-D7C4BC2CB2A3}" type="pres">
      <dgm:prSet presAssocID="{A23655FA-8439-4BF6-8E1E-E2D9A4EA204E}" presName="node" presStyleLbl="node1" presStyleIdx="2" presStyleCnt="3" custScaleX="152166" custScaleY="104492" custLinFactNeighborX="-9794" custLinFactNeighborY="102">
        <dgm:presLayoutVars>
          <dgm:bulletEnabled val="1"/>
        </dgm:presLayoutVars>
      </dgm:prSet>
      <dgm:spPr/>
      <dgm:t>
        <a:bodyPr/>
        <a:lstStyle/>
        <a:p>
          <a:endParaRPr lang="en-US"/>
        </a:p>
      </dgm:t>
    </dgm:pt>
  </dgm:ptLst>
  <dgm:cxnLst>
    <dgm:cxn modelId="{065D5AD8-A23B-44E4-826A-6F005A33B2A9}" type="presOf" srcId="{09A5B4BE-6234-4185-875D-A5E331F5D861}" destId="{930B6428-7E47-4368-A8F0-77A45B3E8D90}" srcOrd="0" destOrd="4" presId="urn:microsoft.com/office/officeart/2005/8/layout/process1"/>
    <dgm:cxn modelId="{8CD65577-F878-4F54-A223-E269BEC43994}" srcId="{080F9B2C-8797-44F5-A3DE-D495A91653FD}" destId="{15584555-4BEF-4094-8444-477BDB2C606A}" srcOrd="10" destOrd="0" parTransId="{CAE9A5BB-C949-45D3-8AB5-3F640090FF4D}" sibTransId="{2FF33FE7-638F-4985-85BB-A97152E3DA85}"/>
    <dgm:cxn modelId="{B9F992B6-4F16-4013-AAF4-89556B79BF83}" srcId="{870421FA-9A62-4796-8841-09902ECBDB23}" destId="{A23655FA-8439-4BF6-8E1E-E2D9A4EA204E}" srcOrd="2" destOrd="0" parTransId="{BF003307-1B59-442D-A4F2-DB54632D73C2}" sibTransId="{DBB43B7A-D546-4894-83F7-5D7C06D8E604}"/>
    <dgm:cxn modelId="{FF55596C-CD3F-4D7F-BB81-CF95FDECD563}" type="presOf" srcId="{308EF316-69EF-4CB4-8DFE-79FE37E6D38E}" destId="{CEF0097D-DCA7-4420-A35D-30512A5DAC5C}" srcOrd="0" destOrd="4" presId="urn:microsoft.com/office/officeart/2005/8/layout/process1"/>
    <dgm:cxn modelId="{F13C7C13-24DC-47C5-B2C0-B80C60BA7126}" srcId="{870421FA-9A62-4796-8841-09902ECBDB23}" destId="{D4775106-FCA2-4E17-9A35-A0A1BBB5E36A}" srcOrd="0" destOrd="0" parTransId="{2361F5A8-F4FA-4D1D-BBDA-551D3D98ECE7}" sibTransId="{BD8BF25D-0472-40B1-B09A-C4776BE8D643}"/>
    <dgm:cxn modelId="{9C440CEF-246C-4510-AB6E-0C5B95699750}" type="presOf" srcId="{6121A44E-1D1C-4AA1-BA5A-5A29825BF17E}" destId="{CEF0097D-DCA7-4420-A35D-30512A5DAC5C}" srcOrd="0" destOrd="3" presId="urn:microsoft.com/office/officeart/2005/8/layout/process1"/>
    <dgm:cxn modelId="{568DE73F-91CB-49FF-BF2D-9F5CF0840DBB}" type="presOf" srcId="{BD8BF25D-0472-40B1-B09A-C4776BE8D643}" destId="{1CE29280-13AB-47B4-A80C-478B808F29C5}" srcOrd="1" destOrd="0" presId="urn:microsoft.com/office/officeart/2005/8/layout/process1"/>
    <dgm:cxn modelId="{4CE7E550-3A2B-45D1-8B29-1CA2AAC0F118}" type="presOf" srcId="{9701B095-7E2F-498F-8596-74A593BD84D9}" destId="{CEF0097D-DCA7-4420-A35D-30512A5DAC5C}" srcOrd="0" destOrd="12" presId="urn:microsoft.com/office/officeart/2005/8/layout/process1"/>
    <dgm:cxn modelId="{0CFF9269-4D65-42A1-B568-285C84D28718}" srcId="{D4775106-FCA2-4E17-9A35-A0A1BBB5E36A}" destId="{2FB513A8-0EBE-4F74-A0A9-A2A880594327}" srcOrd="0" destOrd="0" parTransId="{5D3998C8-0789-4106-A023-294B6444EE5E}" sibTransId="{CF92DCF4-C11D-40D6-92FD-420AEF0C21A2}"/>
    <dgm:cxn modelId="{8A6EF5BE-B386-49A3-889D-EFE1850A374A}" srcId="{D4775106-FCA2-4E17-9A35-A0A1BBB5E36A}" destId="{09A5B4BE-6234-4185-875D-A5E331F5D861}" srcOrd="3" destOrd="0" parTransId="{F5C9B176-197F-4A50-B962-72D86E0544E8}" sibTransId="{1161DC9A-9322-4CD5-93BE-4C3A09AFACBA}"/>
    <dgm:cxn modelId="{D998B99F-B020-4509-A796-B4A0B8B1DC97}" srcId="{080F9B2C-8797-44F5-A3DE-D495A91653FD}" destId="{CC4563B2-E406-4FBA-819E-D30021585291}" srcOrd="8" destOrd="0" parTransId="{BA3EC397-38F2-4BD0-87A1-F1CE28BF4A69}" sibTransId="{CF3CBEC9-AA56-4111-9136-2A0C67766D33}"/>
    <dgm:cxn modelId="{EBAFF08E-D726-4049-9EAF-975240398013}" type="presOf" srcId="{080F9B2C-8797-44F5-A3DE-D495A91653FD}" destId="{CEF0097D-DCA7-4420-A35D-30512A5DAC5C}" srcOrd="0" destOrd="0" presId="urn:microsoft.com/office/officeart/2005/8/layout/process1"/>
    <dgm:cxn modelId="{8B30AC84-0628-4A67-994F-1D7D92012A34}" srcId="{080F9B2C-8797-44F5-A3DE-D495A91653FD}" destId="{E75E1F47-8DD0-4253-847A-C7EF125F7675}" srcOrd="1" destOrd="0" parTransId="{B354D087-F7E1-4557-93E8-17B26655C508}" sibTransId="{CE1F7517-DB3F-4B52-84C4-216F53FA4ADD}"/>
    <dgm:cxn modelId="{79AA349C-9C0B-42BE-B261-307AB742DC56}" type="presOf" srcId="{B28912E5-9DF1-4F49-AB3F-739FFB2C2B11}" destId="{CEF0097D-DCA7-4420-A35D-30512A5DAC5C}" srcOrd="0" destOrd="10" presId="urn:microsoft.com/office/officeart/2005/8/layout/process1"/>
    <dgm:cxn modelId="{4E2A81E4-903E-48DA-8EC4-D4ED7884F8F6}" type="presOf" srcId="{1018A675-D1AD-4831-8AFA-68E1063850AD}" destId="{930B6428-7E47-4368-A8F0-77A45B3E8D90}" srcOrd="0" destOrd="3" presId="urn:microsoft.com/office/officeart/2005/8/layout/process1"/>
    <dgm:cxn modelId="{5FC2F2CE-C8F9-401E-9FEA-E003A04E0697}" type="presOf" srcId="{68159D5D-8276-492A-B678-F61C7B03EC45}" destId="{930B6428-7E47-4368-A8F0-77A45B3E8D90}" srcOrd="0" destOrd="2" presId="urn:microsoft.com/office/officeart/2005/8/layout/process1"/>
    <dgm:cxn modelId="{E33C8A40-CE8F-4B52-A794-84D3A8B574B0}" srcId="{080F9B2C-8797-44F5-A3DE-D495A91653FD}" destId="{95100ED2-6653-44FC-8585-F199F534AB3D}" srcOrd="6" destOrd="0" parTransId="{DB983B53-90E8-42C0-9BD9-30DA35760CB3}" sibTransId="{84D33BDB-B4C2-4506-95D7-E4929B622663}"/>
    <dgm:cxn modelId="{839BAB66-642F-45FE-97B0-2B38DC26FC07}" type="presOf" srcId="{870421FA-9A62-4796-8841-09902ECBDB23}" destId="{4629C2EB-B596-42C3-A255-B54109AB202E}" srcOrd="0" destOrd="0" presId="urn:microsoft.com/office/officeart/2005/8/layout/process1"/>
    <dgm:cxn modelId="{1EAADE81-8141-452F-B783-927B6DC882BF}" srcId="{080F9B2C-8797-44F5-A3DE-D495A91653FD}" destId="{A22A588A-398C-4C33-AC6A-59CAC2DD0D71}" srcOrd="12" destOrd="0" parTransId="{DEA12752-D4B6-47C3-AE3D-51250D6D72A2}" sibTransId="{F7F48F5C-E58C-441A-8AC1-914BC1586543}"/>
    <dgm:cxn modelId="{A6DC8350-B5E0-4FE3-B74F-112E4C6DDD5A}" srcId="{1CB10B8A-3DE6-42AB-B90D-2A7EA6041846}" destId="{82FB7669-AA85-491A-9AE2-49B03B065108}" srcOrd="0" destOrd="0" parTransId="{F33ED68D-82DE-4F35-A5D3-D4B3AA1318CC}" sibTransId="{E1378372-CBED-4BFD-AC39-14A7FE02E5FF}"/>
    <dgm:cxn modelId="{8D322A42-63DF-4698-89DC-523F29A33511}" type="presOf" srcId="{E75E1F47-8DD0-4253-847A-C7EF125F7675}" destId="{CEF0097D-DCA7-4420-A35D-30512A5DAC5C}" srcOrd="0" destOrd="2" presId="urn:microsoft.com/office/officeart/2005/8/layout/process1"/>
    <dgm:cxn modelId="{3706182F-2650-4DAC-8584-D5DDC883DF9F}" type="presOf" srcId="{A23655FA-8439-4BF6-8E1E-E2D9A4EA204E}" destId="{4E995E4B-F55A-4F38-B875-D7C4BC2CB2A3}" srcOrd="0" destOrd="0" presId="urn:microsoft.com/office/officeart/2005/8/layout/process1"/>
    <dgm:cxn modelId="{02B610C9-1408-4213-9367-A9AA9771C6C3}" type="presOf" srcId="{EF9F74A6-4018-45C6-868B-9C8E6E3E74F2}" destId="{4E995E4B-F55A-4F38-B875-D7C4BC2CB2A3}" srcOrd="0" destOrd="2" presId="urn:microsoft.com/office/officeart/2005/8/layout/process1"/>
    <dgm:cxn modelId="{05609F8D-6924-4BE5-AC17-6024A2D3B250}" srcId="{080F9B2C-8797-44F5-A3DE-D495A91653FD}" destId="{7960BE83-90FC-4D1B-BBF3-477019410362}" srcOrd="4" destOrd="0" parTransId="{BC50C0B2-304A-4BC2-8F3A-DA73C4EB65E6}" sibTransId="{2D1B23F1-0F90-478A-8420-02D308ED7A22}"/>
    <dgm:cxn modelId="{E95D9425-5DC2-49AE-ACF0-91C236CF6AFF}" type="presOf" srcId="{75B90BEA-A17D-4AD6-90F5-A1AD171C2DD7}" destId="{CEF0097D-DCA7-4420-A35D-30512A5DAC5C}" srcOrd="0" destOrd="6" presId="urn:microsoft.com/office/officeart/2005/8/layout/process1"/>
    <dgm:cxn modelId="{61FE29D9-D306-409C-8D12-06975449C596}" srcId="{A23655FA-8439-4BF6-8E1E-E2D9A4EA204E}" destId="{35BC3855-053B-464C-A51B-53593BAA9255}" srcOrd="2" destOrd="0" parTransId="{2D13A67C-5305-4926-8E00-04E0A0516E99}" sibTransId="{FE60997B-BC31-4686-8DC1-5DCECAEF2A5D}"/>
    <dgm:cxn modelId="{CCD9F710-A892-43AA-B139-B5B185326B84}" srcId="{080F9B2C-8797-44F5-A3DE-D495A91653FD}" destId="{21883572-A93E-4FDB-9266-7D4FEF6C17D3}" srcOrd="7" destOrd="0" parTransId="{BE52D64D-FD28-4486-8820-833BF99888B5}" sibTransId="{C896AED6-D6DC-44A7-9E22-6C1D5E9E3B06}"/>
    <dgm:cxn modelId="{2470E5FC-3BCE-4C80-B19D-4A5B1F51522F}" type="presOf" srcId="{F4332EFF-1337-4C7F-A16B-485A871E0CC1}" destId="{CEC08842-99AF-42FE-9C1C-DDEA3055ECE4}" srcOrd="1" destOrd="0" presId="urn:microsoft.com/office/officeart/2005/8/layout/process1"/>
    <dgm:cxn modelId="{35BA9F5E-1B05-4330-AC8B-8F6FFEB529A5}" type="presOf" srcId="{A22A588A-398C-4C33-AC6A-59CAC2DD0D71}" destId="{CEF0097D-DCA7-4420-A35D-30512A5DAC5C}" srcOrd="0" destOrd="13" presId="urn:microsoft.com/office/officeart/2005/8/layout/process1"/>
    <dgm:cxn modelId="{44A21D99-87B2-4513-9794-1CC9EA158345}" srcId="{D4775106-FCA2-4E17-9A35-A0A1BBB5E36A}" destId="{68159D5D-8276-492A-B678-F61C7B03EC45}" srcOrd="1" destOrd="0" parTransId="{BE010A7E-DFCE-41A4-9DAA-FE9B723817B1}" sibTransId="{D9D7ED99-BABC-47A9-B03E-862B71259F28}"/>
    <dgm:cxn modelId="{D776824E-98AF-4DC3-A76E-7D974A28DC76}" type="presOf" srcId="{95100ED2-6653-44FC-8585-F199F534AB3D}" destId="{CEF0097D-DCA7-4420-A35D-30512A5DAC5C}" srcOrd="0" destOrd="7" presId="urn:microsoft.com/office/officeart/2005/8/layout/process1"/>
    <dgm:cxn modelId="{3F68126E-3940-481E-BA19-7B6A308BE835}" srcId="{A23655FA-8439-4BF6-8E1E-E2D9A4EA204E}" destId="{8C5D277A-CBCA-47AE-94C7-9E4E6388C3EF}" srcOrd="0" destOrd="0" parTransId="{EC510C95-D424-4AA2-95F7-C15EDAFD6B22}" sibTransId="{A0C0B741-C7BC-4703-9126-BC9A41554A59}"/>
    <dgm:cxn modelId="{F446F000-9A90-4DEA-B13C-9CAE91612F9E}" type="presOf" srcId="{BD8BF25D-0472-40B1-B09A-C4776BE8D643}" destId="{FA68A559-3A25-4271-BC0F-3873E26C4099}" srcOrd="0" destOrd="0" presId="urn:microsoft.com/office/officeart/2005/8/layout/process1"/>
    <dgm:cxn modelId="{F97DDFCD-2487-4CC6-8229-6314E1934D9B}" srcId="{870421FA-9A62-4796-8841-09902ECBDB23}" destId="{080F9B2C-8797-44F5-A3DE-D495A91653FD}" srcOrd="1" destOrd="0" parTransId="{9D879D23-3466-41AF-BE5F-3DA893E9599A}" sibTransId="{F4332EFF-1337-4C7F-A16B-485A871E0CC1}"/>
    <dgm:cxn modelId="{1AAEF367-9E0F-4CCA-B45E-A810A3220364}" type="presOf" srcId="{AAA71AD1-548F-40B7-9704-ECE483F76B96}" destId="{930B6428-7E47-4368-A8F0-77A45B3E8D90}" srcOrd="0" destOrd="5" presId="urn:microsoft.com/office/officeart/2005/8/layout/process1"/>
    <dgm:cxn modelId="{8628FF69-6843-4CF8-8FCE-7457A8A4AA7A}" type="presOf" srcId="{F4332EFF-1337-4C7F-A16B-485A871E0CC1}" destId="{B10AA580-6638-44EC-B55C-39F1D2A1859C}" srcOrd="0" destOrd="0" presId="urn:microsoft.com/office/officeart/2005/8/layout/process1"/>
    <dgm:cxn modelId="{FB6843A8-8D06-449A-BAF7-9D4B4E15FE91}" srcId="{080F9B2C-8797-44F5-A3DE-D495A91653FD}" destId="{75B90BEA-A17D-4AD6-90F5-A1AD171C2DD7}" srcOrd="5" destOrd="0" parTransId="{DE0339D0-1DD3-4793-B396-732F4637EC07}" sibTransId="{F4DB1D2A-1F2E-49BA-94FD-7F37B102CCE2}"/>
    <dgm:cxn modelId="{D5350593-AB6C-40B4-8109-E8478B2E766A}" srcId="{080F9B2C-8797-44F5-A3DE-D495A91653FD}" destId="{6121A44E-1D1C-4AA1-BA5A-5A29825BF17E}" srcOrd="2" destOrd="0" parTransId="{1ACCCF74-6B48-457B-A3BC-DD88C8846FF7}" sibTransId="{4380F717-5EBE-4A52-A504-094F4076C7DB}"/>
    <dgm:cxn modelId="{25CB937A-5C9F-49A8-B655-5C48E466CC9F}" srcId="{D4775106-FCA2-4E17-9A35-A0A1BBB5E36A}" destId="{46E42A82-1229-4560-A63F-82C093AAF9C9}" srcOrd="5" destOrd="0" parTransId="{D4918DAA-956C-41C9-9ACF-F458ADB23ED8}" sibTransId="{68D43E7D-FDF2-4935-80BA-7F899B02DAAE}"/>
    <dgm:cxn modelId="{CB1A3702-7970-4271-B490-B9C56CBBB7B0}" srcId="{080F9B2C-8797-44F5-A3DE-D495A91653FD}" destId="{308EF316-69EF-4CB4-8DFE-79FE37E6D38E}" srcOrd="3" destOrd="0" parTransId="{22CA5F48-C3F8-4F4F-8A64-39D42D5D75CD}" sibTransId="{E639E691-D6F4-4541-B857-000D9C6C5346}"/>
    <dgm:cxn modelId="{F160DEC4-3623-4A46-8323-429BD2A8CD7E}" srcId="{A23655FA-8439-4BF6-8E1E-E2D9A4EA204E}" destId="{EF9F74A6-4018-45C6-868B-9C8E6E3E74F2}" srcOrd="1" destOrd="0" parTransId="{370BFB9A-43A8-4748-964E-CE5AB0D75A8B}" sibTransId="{030F1945-E05A-4106-9908-ABC5B7D3D3B5}"/>
    <dgm:cxn modelId="{D8EA0DDF-FB0F-4AAE-8033-79B9B4D5C001}" type="presOf" srcId="{15584555-4BEF-4094-8444-477BDB2C606A}" destId="{CEF0097D-DCA7-4420-A35D-30512A5DAC5C}" srcOrd="0" destOrd="11" presId="urn:microsoft.com/office/officeart/2005/8/layout/process1"/>
    <dgm:cxn modelId="{F15D1581-D92B-4A04-89FB-E7F7D01D1167}" type="presOf" srcId="{46E42A82-1229-4560-A63F-82C093AAF9C9}" destId="{930B6428-7E47-4368-A8F0-77A45B3E8D90}" srcOrd="0" destOrd="6" presId="urn:microsoft.com/office/officeart/2005/8/layout/process1"/>
    <dgm:cxn modelId="{1CF57444-26FB-4486-97CD-6CCB370D9345}" srcId="{080F9B2C-8797-44F5-A3DE-D495A91653FD}" destId="{B28912E5-9DF1-4F49-AB3F-739FFB2C2B11}" srcOrd="9" destOrd="0" parTransId="{995898A7-0F09-4829-8CF9-9C0F27DFBEB2}" sibTransId="{999277AE-44E3-4C5C-888E-E53F03E61E07}"/>
    <dgm:cxn modelId="{E984F5AE-AB2E-47B5-8C3A-96595F03010E}" type="presOf" srcId="{2FB513A8-0EBE-4F74-A0A9-A2A880594327}" destId="{930B6428-7E47-4368-A8F0-77A45B3E8D90}" srcOrd="0" destOrd="1" presId="urn:microsoft.com/office/officeart/2005/8/layout/process1"/>
    <dgm:cxn modelId="{139AD963-9614-4B68-B6CC-AF130E0F547A}" type="presOf" srcId="{82FB7669-AA85-491A-9AE2-49B03B065108}" destId="{930B6428-7E47-4368-A8F0-77A45B3E8D90}" srcOrd="0" destOrd="8" presId="urn:microsoft.com/office/officeart/2005/8/layout/process1"/>
    <dgm:cxn modelId="{4403857A-2F2A-4511-9A62-921C370A5CE1}" srcId="{080F9B2C-8797-44F5-A3DE-D495A91653FD}" destId="{500DC76B-8AA7-410F-9AF1-67C26B22F47F}" srcOrd="0" destOrd="0" parTransId="{A9D907BB-0B86-48D1-82E4-2E796EA82B0D}" sibTransId="{3680E610-E6B2-45BE-9150-99F9F3479C65}"/>
    <dgm:cxn modelId="{245FCC4E-6893-4AF3-9436-DD683A67A355}" type="presOf" srcId="{35BC3855-053B-464C-A51B-53593BAA9255}" destId="{4E995E4B-F55A-4F38-B875-D7C4BC2CB2A3}" srcOrd="0" destOrd="3" presId="urn:microsoft.com/office/officeart/2005/8/layout/process1"/>
    <dgm:cxn modelId="{F7B21E63-110C-41E2-99DB-E20827D029FA}" type="presOf" srcId="{D4775106-FCA2-4E17-9A35-A0A1BBB5E36A}" destId="{930B6428-7E47-4368-A8F0-77A45B3E8D90}" srcOrd="0" destOrd="0" presId="urn:microsoft.com/office/officeart/2005/8/layout/process1"/>
    <dgm:cxn modelId="{4F00262A-65B1-4F7B-BD1C-ED2F8CDED4C9}" type="presOf" srcId="{8C5D277A-CBCA-47AE-94C7-9E4E6388C3EF}" destId="{4E995E4B-F55A-4F38-B875-D7C4BC2CB2A3}" srcOrd="0" destOrd="1" presId="urn:microsoft.com/office/officeart/2005/8/layout/process1"/>
    <dgm:cxn modelId="{79D60A11-D948-4878-B392-85E4AAC78089}" type="presOf" srcId="{CC4563B2-E406-4FBA-819E-D30021585291}" destId="{CEF0097D-DCA7-4420-A35D-30512A5DAC5C}" srcOrd="0" destOrd="9" presId="urn:microsoft.com/office/officeart/2005/8/layout/process1"/>
    <dgm:cxn modelId="{4443A391-6C00-4E04-B507-3A87256CC900}" type="presOf" srcId="{500DC76B-8AA7-410F-9AF1-67C26B22F47F}" destId="{CEF0097D-DCA7-4420-A35D-30512A5DAC5C}" srcOrd="0" destOrd="1" presId="urn:microsoft.com/office/officeart/2005/8/layout/process1"/>
    <dgm:cxn modelId="{6B367C65-4EF1-4D11-80E5-94005711CB36}" srcId="{080F9B2C-8797-44F5-A3DE-D495A91653FD}" destId="{9701B095-7E2F-498F-8596-74A593BD84D9}" srcOrd="11" destOrd="0" parTransId="{536C3F19-7D1A-407A-AE61-574BEB562158}" sibTransId="{400A9F26-73ED-4B2B-B59B-283F62B0FF50}"/>
    <dgm:cxn modelId="{57B89583-7768-473A-8D0C-F1CD08B932E0}" type="presOf" srcId="{7960BE83-90FC-4D1B-BBF3-477019410362}" destId="{CEF0097D-DCA7-4420-A35D-30512A5DAC5C}" srcOrd="0" destOrd="5" presId="urn:microsoft.com/office/officeart/2005/8/layout/process1"/>
    <dgm:cxn modelId="{24893B93-2166-46FF-9795-CDDAABF6D60C}" srcId="{D4775106-FCA2-4E17-9A35-A0A1BBB5E36A}" destId="{1018A675-D1AD-4831-8AFA-68E1063850AD}" srcOrd="2" destOrd="0" parTransId="{47663FF2-7D31-4C5E-819C-36B438667A5D}" sibTransId="{D2379C63-04FC-4FAB-A5DD-32B9D9DFBDD5}"/>
    <dgm:cxn modelId="{3CE50930-0617-4CBE-8F8F-50CA5893263E}" type="presOf" srcId="{21883572-A93E-4FDB-9266-7D4FEF6C17D3}" destId="{CEF0097D-DCA7-4420-A35D-30512A5DAC5C}" srcOrd="0" destOrd="8" presId="urn:microsoft.com/office/officeart/2005/8/layout/process1"/>
    <dgm:cxn modelId="{E3E6AA0E-39C2-4B25-882E-D81E986821A4}" type="presOf" srcId="{1CB10B8A-3DE6-42AB-B90D-2A7EA6041846}" destId="{930B6428-7E47-4368-A8F0-77A45B3E8D90}" srcOrd="0" destOrd="7" presId="urn:microsoft.com/office/officeart/2005/8/layout/process1"/>
    <dgm:cxn modelId="{63F331D0-6E1C-4460-94BD-A45697EF9261}" srcId="{D4775106-FCA2-4E17-9A35-A0A1BBB5E36A}" destId="{1CB10B8A-3DE6-42AB-B90D-2A7EA6041846}" srcOrd="6" destOrd="0" parTransId="{C22F0368-8B51-4A01-94D7-83FB607A9AF8}" sibTransId="{F89F69C9-0089-45ED-AD67-C151AB26F1BF}"/>
    <dgm:cxn modelId="{9BC49BE7-E99F-4411-8A28-CC2A19F0F162}" srcId="{D4775106-FCA2-4E17-9A35-A0A1BBB5E36A}" destId="{AAA71AD1-548F-40B7-9704-ECE483F76B96}" srcOrd="4" destOrd="0" parTransId="{AC7C896F-F565-4F82-8F4F-8D607025D432}" sibTransId="{ADECEC10-5B2E-4E8A-A7F7-8E56159EC82A}"/>
    <dgm:cxn modelId="{93DD6724-4C8D-4C11-A156-7E1CA4C931BD}" type="presParOf" srcId="{4629C2EB-B596-42C3-A255-B54109AB202E}" destId="{930B6428-7E47-4368-A8F0-77A45B3E8D90}" srcOrd="0" destOrd="0" presId="urn:microsoft.com/office/officeart/2005/8/layout/process1"/>
    <dgm:cxn modelId="{A71C3581-9B0F-4EB7-8198-F76B153BB74E}" type="presParOf" srcId="{4629C2EB-B596-42C3-A255-B54109AB202E}" destId="{FA68A559-3A25-4271-BC0F-3873E26C4099}" srcOrd="1" destOrd="0" presId="urn:microsoft.com/office/officeart/2005/8/layout/process1"/>
    <dgm:cxn modelId="{60099987-C710-48E3-91CB-5ED4C3A91C75}" type="presParOf" srcId="{FA68A559-3A25-4271-BC0F-3873E26C4099}" destId="{1CE29280-13AB-47B4-A80C-478B808F29C5}" srcOrd="0" destOrd="0" presId="urn:microsoft.com/office/officeart/2005/8/layout/process1"/>
    <dgm:cxn modelId="{16E8FA17-F831-4548-8A77-75EA72C58EB6}" type="presParOf" srcId="{4629C2EB-B596-42C3-A255-B54109AB202E}" destId="{CEF0097D-DCA7-4420-A35D-30512A5DAC5C}" srcOrd="2" destOrd="0" presId="urn:microsoft.com/office/officeart/2005/8/layout/process1"/>
    <dgm:cxn modelId="{CA1A1164-3886-4EC7-AE5B-9AB253585E44}" type="presParOf" srcId="{4629C2EB-B596-42C3-A255-B54109AB202E}" destId="{B10AA580-6638-44EC-B55C-39F1D2A1859C}" srcOrd="3" destOrd="0" presId="urn:microsoft.com/office/officeart/2005/8/layout/process1"/>
    <dgm:cxn modelId="{091B7997-049B-4CA3-907B-0EBE0BCA105A}" type="presParOf" srcId="{B10AA580-6638-44EC-B55C-39F1D2A1859C}" destId="{CEC08842-99AF-42FE-9C1C-DDEA3055ECE4}" srcOrd="0" destOrd="0" presId="urn:microsoft.com/office/officeart/2005/8/layout/process1"/>
    <dgm:cxn modelId="{B78A3A06-BDD1-476A-82FC-0C0F8CA98D3A}" type="presParOf" srcId="{4629C2EB-B596-42C3-A255-B54109AB202E}" destId="{4E995E4B-F55A-4F38-B875-D7C4BC2CB2A3}" srcOrd="4" destOrd="0" presId="urn:microsoft.com/office/officeart/2005/8/layout/process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0B6428-7E47-4368-A8F0-77A45B3E8D90}">
      <dsp:nvSpPr>
        <dsp:cNvPr id="0" name=""/>
        <dsp:cNvSpPr/>
      </dsp:nvSpPr>
      <dsp:spPr>
        <a:xfrm>
          <a:off x="5654" y="423199"/>
          <a:ext cx="2111219" cy="42026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lvl="0" algn="l" defTabSz="444500">
            <a:lnSpc>
              <a:spcPct val="90000"/>
            </a:lnSpc>
            <a:spcBef>
              <a:spcPct val="0"/>
            </a:spcBef>
            <a:spcAft>
              <a:spcPct val="35000"/>
            </a:spcAft>
          </a:pPr>
          <a:r>
            <a:rPr lang="en-US" sz="1000" b="1" kern="1200">
              <a:solidFill>
                <a:schemeClr val="bg1"/>
              </a:solidFill>
            </a:rPr>
            <a:t>STRUCTURE</a:t>
          </a:r>
        </a:p>
        <a:p>
          <a:pPr marL="57150" lvl="1" indent="-57150" algn="l" defTabSz="444500">
            <a:lnSpc>
              <a:spcPct val="90000"/>
            </a:lnSpc>
            <a:spcBef>
              <a:spcPct val="0"/>
            </a:spcBef>
            <a:spcAft>
              <a:spcPct val="15000"/>
            </a:spcAft>
            <a:buChar char="••"/>
          </a:pPr>
          <a:r>
            <a:rPr lang="en-US" sz="1000" kern="1200"/>
            <a:t>Management models organizing coordinated care scheduling &amp; delivery, accomodating patient preferences</a:t>
          </a:r>
          <a:endParaRPr lang="en-US" sz="1000" kern="1200">
            <a:solidFill>
              <a:schemeClr val="bg1"/>
            </a:solidFill>
          </a:endParaRPr>
        </a:p>
        <a:p>
          <a:pPr marL="57150" lvl="1" indent="-57150" algn="l" defTabSz="444500">
            <a:lnSpc>
              <a:spcPct val="90000"/>
            </a:lnSpc>
            <a:spcBef>
              <a:spcPct val="0"/>
            </a:spcBef>
            <a:spcAft>
              <a:spcPct val="15000"/>
            </a:spcAft>
            <a:buChar char="••"/>
          </a:pPr>
          <a:endParaRPr lang="en-US" sz="1000" kern="1200">
            <a:solidFill>
              <a:schemeClr val="bg1"/>
            </a:solidFill>
          </a:endParaRPr>
        </a:p>
        <a:p>
          <a:pPr marL="57150" lvl="1" indent="-57150" algn="l" defTabSz="444500">
            <a:lnSpc>
              <a:spcPct val="90000"/>
            </a:lnSpc>
            <a:spcBef>
              <a:spcPct val="0"/>
            </a:spcBef>
            <a:spcAft>
              <a:spcPct val="15000"/>
            </a:spcAft>
            <a:buChar char="••"/>
          </a:pPr>
          <a:r>
            <a:rPr lang="en-US" sz="1000" kern="1200">
              <a:solidFill>
                <a:schemeClr val="bg1"/>
              </a:solidFill>
            </a:rPr>
            <a:t>Interdisciplinary team (e.g., nurses; physical, occupational, speech &amp; respiratory therapists; case managers; social workers, home health aides) to provide holistic care</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Adequate staffing</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HHA infrastructure, e.g:</a:t>
          </a:r>
        </a:p>
        <a:p>
          <a:pPr marL="114300" lvl="2" indent="-57150" algn="l" defTabSz="444500">
            <a:lnSpc>
              <a:spcPct val="90000"/>
            </a:lnSpc>
            <a:spcBef>
              <a:spcPct val="0"/>
            </a:spcBef>
            <a:spcAft>
              <a:spcPct val="15000"/>
            </a:spcAft>
            <a:buChar char="••"/>
          </a:pPr>
          <a:r>
            <a:rPr lang="en-US" sz="1000" kern="1200"/>
            <a:t>Electronic health records to facilitate communication and coordination within and across teams</a:t>
          </a:r>
        </a:p>
      </dsp:txBody>
      <dsp:txXfrm>
        <a:off x="67489" y="485034"/>
        <a:ext cx="1987549" cy="4079009"/>
      </dsp:txXfrm>
    </dsp:sp>
    <dsp:sp modelId="{FA68A559-3A25-4271-BC0F-3873E26C4099}">
      <dsp:nvSpPr>
        <dsp:cNvPr id="0" name=""/>
        <dsp:cNvSpPr/>
      </dsp:nvSpPr>
      <dsp:spPr>
        <a:xfrm>
          <a:off x="2213465" y="2441968"/>
          <a:ext cx="154645" cy="18090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a:off x="2213465" y="2478149"/>
        <a:ext cx="108252" cy="108543"/>
      </dsp:txXfrm>
    </dsp:sp>
    <dsp:sp modelId="{CEF0097D-DCA7-4420-A35D-30512A5DAC5C}">
      <dsp:nvSpPr>
        <dsp:cNvPr id="0" name=""/>
        <dsp:cNvSpPr/>
      </dsp:nvSpPr>
      <dsp:spPr>
        <a:xfrm>
          <a:off x="2408657" y="408941"/>
          <a:ext cx="4344302" cy="423119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lvl="0" algn="l" defTabSz="444500">
            <a:lnSpc>
              <a:spcPct val="90000"/>
            </a:lnSpc>
            <a:spcBef>
              <a:spcPct val="0"/>
            </a:spcBef>
            <a:spcAft>
              <a:spcPct val="35000"/>
            </a:spcAft>
          </a:pPr>
          <a:r>
            <a:rPr lang="en-US" sz="1000" b="1" kern="1200">
              <a:solidFill>
                <a:schemeClr val="bg1"/>
              </a:solidFill>
            </a:rPr>
            <a:t>PROCESS</a:t>
          </a:r>
        </a:p>
        <a:p>
          <a:pPr marL="57150" lvl="1" indent="-57150" algn="l" defTabSz="444500">
            <a:lnSpc>
              <a:spcPct val="90000"/>
            </a:lnSpc>
            <a:spcBef>
              <a:spcPct val="0"/>
            </a:spcBef>
            <a:spcAft>
              <a:spcPct val="15000"/>
            </a:spcAft>
            <a:buChar char="••"/>
          </a:pPr>
          <a:r>
            <a:rPr lang="en-US" sz="1000" kern="1200"/>
            <a:t>Comprehensive patient assessment on admission or as soon as feasible (e.g., medical and functional status, home environment, caregiver support, discharge destination planning, goals for discharge to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Establish goals and plan of care with patient/family, focusing on goals for discharge to community (if appropriate) and addressing discharge barriers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Medical and rehabilitation strategies as relevant (e.g., improving medical &amp; functional status)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Patient/family/caregiver education &amp; training (e.g., medication management, assisting with mobility, warning signs for seeking medical assistance once in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Arrange necessary medical equipment or assistive devices needed for use at home after discharge to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Provide information about patient or caregiver support groups, as relevant, to assist with community transition</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Provide provider contact information to patient/caregiver for any questions or concerns once in the community; post-discharge provider follow-up (e.g., phone calls) to check patient status and answer questions as needed</a:t>
          </a:r>
        </a:p>
      </dsp:txBody>
      <dsp:txXfrm>
        <a:off x="2532584" y="532868"/>
        <a:ext cx="4096448" cy="3983341"/>
      </dsp:txXfrm>
    </dsp:sp>
    <dsp:sp modelId="{B10AA580-6638-44EC-B55C-39F1D2A1859C}">
      <dsp:nvSpPr>
        <dsp:cNvPr id="0" name=""/>
        <dsp:cNvSpPr/>
      </dsp:nvSpPr>
      <dsp:spPr>
        <a:xfrm rot="4716">
          <a:off x="6818761" y="2437252"/>
          <a:ext cx="139499" cy="18090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p>
      </dsp:txBody>
      <dsp:txXfrm>
        <a:off x="6818761" y="2473404"/>
        <a:ext cx="97649" cy="108543"/>
      </dsp:txXfrm>
    </dsp:sp>
    <dsp:sp modelId="{4E995E4B-F55A-4F38-B875-D7C4BC2CB2A3}">
      <dsp:nvSpPr>
        <dsp:cNvPr id="0" name=""/>
        <dsp:cNvSpPr/>
      </dsp:nvSpPr>
      <dsp:spPr>
        <a:xfrm>
          <a:off x="7016165" y="427301"/>
          <a:ext cx="1109987" cy="42026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lvl="0" algn="l" defTabSz="444500">
            <a:lnSpc>
              <a:spcPct val="90000"/>
            </a:lnSpc>
            <a:spcBef>
              <a:spcPct val="0"/>
            </a:spcBef>
            <a:spcAft>
              <a:spcPct val="35000"/>
            </a:spcAft>
          </a:pPr>
          <a:r>
            <a:rPr lang="en-US" sz="1000" b="1" kern="1200"/>
            <a:t>OUTCOME</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Patient successfully discharged to community</a:t>
          </a:r>
        </a:p>
        <a:p>
          <a:pPr marL="57150" lvl="1" indent="-57150" algn="l" defTabSz="444500">
            <a:lnSpc>
              <a:spcPct val="90000"/>
            </a:lnSpc>
            <a:spcBef>
              <a:spcPct val="0"/>
            </a:spcBef>
            <a:spcAft>
              <a:spcPct val="15000"/>
            </a:spcAft>
            <a:buChar char="••"/>
          </a:pPr>
          <a:endParaRPr lang="en-US" sz="1000" kern="1200"/>
        </a:p>
      </dsp:txBody>
      <dsp:txXfrm>
        <a:off x="7048675" y="459811"/>
        <a:ext cx="1044967" cy="413765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0968C57AC2B345BAB2CCD9D164585ED3"/>
        <w:category>
          <w:name w:val="General"/>
          <w:gallery w:val="placeholder"/>
        </w:category>
        <w:types>
          <w:type w:val="bbPlcHdr"/>
        </w:types>
        <w:behaviors>
          <w:behavior w:val="content"/>
        </w:behaviors>
        <w:guid w:val="{17FE0B3C-F207-4ECC-93B6-8FF31640E55E}"/>
      </w:docPartPr>
      <w:docPartBody>
        <w:p w:rsidR="00B04149" w:rsidRDefault="00625637" w:rsidP="00625637">
          <w:pPr>
            <w:pStyle w:val="0968C57AC2B345BAB2CCD9D164585ED3"/>
          </w:pPr>
          <w:r>
            <w:rPr>
              <w:rStyle w:val="PlaceholderText"/>
              <w:rFonts w:cstheme="minorHAnsi"/>
              <w:color w:val="A6A6A6" w:themeColor="background1" w:themeShade="A6"/>
            </w:rPr>
            <w:t>Click here to enter measure title</w:t>
          </w:r>
        </w:p>
      </w:docPartBody>
    </w:docPart>
    <w:docPart>
      <w:docPartPr>
        <w:name w:val="04F13D514D06475684A2ADC5E3B40D9D"/>
        <w:category>
          <w:name w:val="General"/>
          <w:gallery w:val="placeholder"/>
        </w:category>
        <w:types>
          <w:type w:val="bbPlcHdr"/>
        </w:types>
        <w:behaviors>
          <w:behavior w:val="content"/>
        </w:behaviors>
        <w:guid w:val="{EA0008C7-81B9-4277-B224-77F14BCD69AF}"/>
      </w:docPartPr>
      <w:docPartBody>
        <w:p w:rsidR="00B04149" w:rsidRDefault="00625637" w:rsidP="00625637">
          <w:pPr>
            <w:pStyle w:val="04F13D514D06475684A2ADC5E3B40D9D"/>
          </w:pPr>
          <w:r>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625637"/>
    <w:rsid w:val="008F6A9B"/>
    <w:rsid w:val="00A77B15"/>
    <w:rsid w:val="00B04149"/>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5637"/>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0968C57AC2B345BAB2CCD9D164585ED3">
    <w:name w:val="0968C57AC2B345BAB2CCD9D164585ED3"/>
    <w:rsid w:val="00625637"/>
    <w:pPr>
      <w:spacing w:after="160" w:line="259" w:lineRule="auto"/>
    </w:pPr>
  </w:style>
  <w:style w:type="paragraph" w:customStyle="1" w:styleId="04F13D514D06475684A2ADC5E3B40D9D">
    <w:name w:val="04F13D514D06475684A2ADC5E3B40D9D"/>
    <w:rsid w:val="0062563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purl.org/dc/elements/1.1/"/>
    <ds:schemaRef ds:uri="http://www.w3.org/XML/1998/namespace"/>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36b82f1-340d-495e-85b5-201c5296619a"/>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3D005-3856-4884-947E-21F03FBDB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3923</Words>
  <Characters>22363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Alrick Edwards</cp:lastModifiedBy>
  <cp:revision>3</cp:revision>
  <dcterms:created xsi:type="dcterms:W3CDTF">2018-12-18T21:28:00Z</dcterms:created>
  <dcterms:modified xsi:type="dcterms:W3CDTF">2018-12-18T21:41:00Z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