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C95D6" w14:textId="22D66F41" w:rsidR="00982C74" w:rsidRDefault="00982C74" w:rsidP="00982C74">
      <w:pPr>
        <w:spacing w:after="160" w:line="259" w:lineRule="auto"/>
        <w:jc w:val="center"/>
        <w:rPr>
          <w:rFonts w:cstheme="minorHAnsi"/>
          <w:b/>
        </w:rPr>
      </w:pPr>
      <w:r w:rsidRPr="00853124">
        <w:rPr>
          <w:rFonts w:cstheme="minorHAnsi"/>
          <w:b/>
        </w:rPr>
        <w:t xml:space="preserve">Discharge to Community-Post Acute Care Measure for </w:t>
      </w:r>
      <w:r>
        <w:rPr>
          <w:rFonts w:cstheme="minorHAnsi"/>
          <w:b/>
        </w:rPr>
        <w:t>Inpatient Rehabilitation Facilities</w:t>
      </w:r>
      <w:r w:rsidR="00BD07FC">
        <w:rPr>
          <w:rFonts w:cstheme="minorHAnsi"/>
          <w:b/>
        </w:rPr>
        <w:t xml:space="preserve"> (IRF)</w:t>
      </w:r>
    </w:p>
    <w:p w14:paraId="2CAD1C2B" w14:textId="77777777" w:rsidR="00982C74" w:rsidRDefault="00982C74" w:rsidP="00982C74">
      <w:pPr>
        <w:spacing w:after="160" w:line="259" w:lineRule="auto"/>
        <w:jc w:val="center"/>
        <w:rPr>
          <w:rFonts w:eastAsia="Calibri" w:cstheme="minorHAnsi"/>
          <w:b/>
          <w:bCs/>
        </w:rPr>
      </w:pPr>
    </w:p>
    <w:p w14:paraId="081E66E8" w14:textId="77777777" w:rsidR="00982C74" w:rsidRDefault="00982C74" w:rsidP="00982C74">
      <w:pPr>
        <w:spacing w:after="160" w:line="259" w:lineRule="auto"/>
        <w:jc w:val="center"/>
        <w:rPr>
          <w:rFonts w:eastAsia="Calibri" w:cstheme="minorHAnsi"/>
          <w:b/>
          <w:bCs/>
        </w:rPr>
      </w:pPr>
      <w:r w:rsidRPr="00C90EDA">
        <w:rPr>
          <w:rFonts w:eastAsia="Calibri" w:cstheme="minorHAnsi"/>
          <w:b/>
          <w:bCs/>
        </w:rPr>
        <w:t>APPENDIX</w:t>
      </w:r>
    </w:p>
    <w:p w14:paraId="115E7820" w14:textId="77777777" w:rsidR="00982C74" w:rsidRDefault="00982C74" w:rsidP="00982C74">
      <w:pPr>
        <w:spacing w:after="160" w:line="259" w:lineRule="auto"/>
        <w:rPr>
          <w:rFonts w:eastAsia="Calibri" w:cstheme="minorHAnsi"/>
          <w:b/>
          <w:bCs/>
        </w:rPr>
      </w:pPr>
    </w:p>
    <w:p w14:paraId="70330CAF" w14:textId="77777777" w:rsidR="00982C74" w:rsidRDefault="00982C74" w:rsidP="00982C74">
      <w:pPr>
        <w:spacing w:after="160" w:line="259" w:lineRule="auto"/>
        <w:rPr>
          <w:rFonts w:eastAsia="Calibri" w:cstheme="minorHAnsi"/>
          <w:b/>
          <w:bCs/>
        </w:rPr>
      </w:pPr>
      <w:r>
        <w:rPr>
          <w:rFonts w:eastAsia="Calibri" w:cstheme="minorHAnsi"/>
          <w:b/>
          <w:bCs/>
        </w:rPr>
        <w:t>Table of Contents</w:t>
      </w:r>
    </w:p>
    <w:p w14:paraId="717A8417" w14:textId="77777777" w:rsidR="00982C74" w:rsidRDefault="00982C74" w:rsidP="00982C74">
      <w:pPr>
        <w:spacing w:after="160" w:line="259" w:lineRule="auto"/>
        <w:rPr>
          <w:rFonts w:eastAsia="Calibri" w:cstheme="minorHAnsi"/>
          <w:b/>
          <w:bCs/>
        </w:rPr>
      </w:pPr>
    </w:p>
    <w:p w14:paraId="042A6391" w14:textId="77777777" w:rsidR="00982C74" w:rsidRPr="00776B23" w:rsidRDefault="00982C74" w:rsidP="00982C74">
      <w:pPr>
        <w:pStyle w:val="ListParagraph"/>
        <w:numPr>
          <w:ilvl w:val="0"/>
          <w:numId w:val="7"/>
        </w:numPr>
        <w:spacing w:after="160" w:line="259" w:lineRule="auto"/>
        <w:jc w:val="both"/>
        <w:rPr>
          <w:rFonts w:eastAsia="Calibri" w:cstheme="minorHAnsi"/>
          <w:bCs/>
        </w:rPr>
      </w:pPr>
      <w:r w:rsidRPr="00776B23">
        <w:rPr>
          <w:rFonts w:eastAsia="Calibri" w:cstheme="minorHAnsi"/>
          <w:bCs/>
        </w:rPr>
        <w:t>Appendix A. Updated Validity Testing for Measure Testing Form……………………………………………1</w:t>
      </w:r>
    </w:p>
    <w:p w14:paraId="693A52DE" w14:textId="77777777" w:rsidR="00982C74" w:rsidRPr="00776B23" w:rsidRDefault="00982C74" w:rsidP="00982C74">
      <w:pPr>
        <w:pStyle w:val="ListParagraph"/>
        <w:spacing w:after="160" w:line="259" w:lineRule="auto"/>
        <w:jc w:val="both"/>
        <w:rPr>
          <w:rFonts w:eastAsia="Calibri" w:cstheme="minorHAnsi"/>
          <w:bCs/>
        </w:rPr>
      </w:pPr>
      <w:r w:rsidRPr="00776B23">
        <w:rPr>
          <w:rFonts w:eastAsia="Calibri" w:cstheme="minorHAnsi"/>
          <w:bCs/>
        </w:rPr>
        <w:t xml:space="preserve"> </w:t>
      </w:r>
    </w:p>
    <w:p w14:paraId="7D89FA64" w14:textId="77777777" w:rsidR="00982C74" w:rsidRPr="00776B23" w:rsidRDefault="00982C74" w:rsidP="00982C74">
      <w:pPr>
        <w:pStyle w:val="ListParagraph"/>
        <w:numPr>
          <w:ilvl w:val="0"/>
          <w:numId w:val="7"/>
        </w:numPr>
        <w:spacing w:after="160" w:line="259" w:lineRule="auto"/>
        <w:rPr>
          <w:rFonts w:eastAsia="Calibri" w:cstheme="minorHAnsi"/>
          <w:bCs/>
        </w:rPr>
      </w:pPr>
      <w:r w:rsidRPr="00776B23">
        <w:rPr>
          <w:rFonts w:eastAsia="Calibri" w:cstheme="minorHAnsi"/>
          <w:bCs/>
        </w:rPr>
        <w:t>Appendix B. Additional Social Risk Factor Testing for Measure Testing Form………………………….4</w:t>
      </w:r>
    </w:p>
    <w:p w14:paraId="3157D62D" w14:textId="77777777" w:rsidR="00982C74" w:rsidRPr="00776B23" w:rsidRDefault="00982C74" w:rsidP="00982C74">
      <w:pPr>
        <w:pStyle w:val="ListParagraph"/>
        <w:spacing w:after="160" w:line="259" w:lineRule="auto"/>
        <w:rPr>
          <w:rFonts w:eastAsia="Calibri" w:cstheme="minorHAnsi"/>
          <w:bCs/>
        </w:rPr>
      </w:pPr>
    </w:p>
    <w:p w14:paraId="11C03BF7" w14:textId="77777777" w:rsidR="00982C74" w:rsidRPr="00776B23" w:rsidRDefault="00982C74" w:rsidP="00982C74">
      <w:pPr>
        <w:pStyle w:val="ListParagraph"/>
        <w:numPr>
          <w:ilvl w:val="0"/>
          <w:numId w:val="7"/>
        </w:numPr>
        <w:spacing w:after="160" w:line="259" w:lineRule="auto"/>
        <w:rPr>
          <w:rFonts w:eastAsia="Calibri" w:cstheme="minorHAnsi"/>
          <w:bCs/>
        </w:rPr>
      </w:pPr>
      <w:r w:rsidRPr="00776B23">
        <w:rPr>
          <w:rFonts w:eastAsia="Calibri" w:cstheme="minorHAnsi"/>
          <w:bCs/>
        </w:rPr>
        <w:t>Appendix C. Intent to Submit Form…………………………………………………………………………………………8</w:t>
      </w:r>
    </w:p>
    <w:p w14:paraId="00A3C3CF" w14:textId="4F2188BC" w:rsidR="001930E6" w:rsidRDefault="00982C74">
      <w:pPr>
        <w:spacing w:after="160" w:line="259" w:lineRule="auto"/>
        <w:rPr>
          <w:rFonts w:eastAsia="Calibri" w:cstheme="minorHAnsi"/>
          <w:b/>
          <w:bCs/>
        </w:rPr>
      </w:pPr>
      <w:r>
        <w:rPr>
          <w:rFonts w:eastAsia="Calibri" w:cstheme="minorHAnsi"/>
          <w:b/>
          <w:bCs/>
        </w:rPr>
        <w:t xml:space="preserve"> </w:t>
      </w:r>
    </w:p>
    <w:p w14:paraId="6E33BCDF" w14:textId="77777777" w:rsidR="00982C74" w:rsidRDefault="00982C74">
      <w:pPr>
        <w:spacing w:after="160" w:line="259" w:lineRule="auto"/>
        <w:rPr>
          <w:rFonts w:eastAsia="Calibri" w:cstheme="minorHAnsi"/>
          <w:b/>
          <w:bCs/>
        </w:rPr>
      </w:pPr>
      <w:r>
        <w:rPr>
          <w:rFonts w:eastAsia="Calibri" w:cstheme="minorHAnsi"/>
          <w:b/>
          <w:bCs/>
        </w:rPr>
        <w:br w:type="page"/>
      </w:r>
    </w:p>
    <w:p w14:paraId="20B5E10E" w14:textId="496783E9" w:rsidR="00236FCC" w:rsidRPr="00C90EDA" w:rsidRDefault="00236FCC" w:rsidP="00051B47">
      <w:pPr>
        <w:spacing w:after="0" w:line="240" w:lineRule="auto"/>
        <w:jc w:val="center"/>
        <w:rPr>
          <w:rFonts w:eastAsia="Calibri" w:cstheme="minorHAnsi"/>
          <w:b/>
          <w:bCs/>
        </w:rPr>
      </w:pPr>
      <w:r w:rsidRPr="00C90EDA">
        <w:rPr>
          <w:rFonts w:eastAsia="Calibri" w:cstheme="minorHAnsi"/>
          <w:b/>
          <w:bCs/>
        </w:rPr>
        <w:lastRenderedPageBreak/>
        <w:t xml:space="preserve">Appendix A. </w:t>
      </w:r>
      <w:r>
        <w:rPr>
          <w:rFonts w:eastAsia="Calibri" w:cstheme="minorHAnsi"/>
          <w:b/>
          <w:bCs/>
        </w:rPr>
        <w:t xml:space="preserve">Updated </w:t>
      </w:r>
      <w:r w:rsidRPr="00C90EDA">
        <w:rPr>
          <w:rFonts w:eastAsia="Calibri" w:cstheme="minorHAnsi"/>
          <w:b/>
          <w:bCs/>
        </w:rPr>
        <w:t>Validity Testing</w:t>
      </w:r>
      <w:r w:rsidR="00EC664B">
        <w:rPr>
          <w:rFonts w:eastAsia="Calibri" w:cstheme="minorHAnsi"/>
          <w:b/>
          <w:bCs/>
        </w:rPr>
        <w:t xml:space="preserve"> for Measure Testing Form</w:t>
      </w:r>
    </w:p>
    <w:p w14:paraId="1354365A" w14:textId="77777777" w:rsidR="00236FCC" w:rsidRDefault="00236FCC" w:rsidP="00653F47">
      <w:pPr>
        <w:spacing w:after="0" w:line="240" w:lineRule="auto"/>
        <w:jc w:val="center"/>
        <w:rPr>
          <w:rFonts w:cstheme="minorHAnsi"/>
          <w:b/>
          <w:bCs/>
        </w:rPr>
      </w:pPr>
    </w:p>
    <w:p w14:paraId="59D34E49" w14:textId="4E531D08" w:rsidR="00E04E2B" w:rsidRPr="00C90EDA" w:rsidRDefault="0018095A" w:rsidP="00653F47">
      <w:pPr>
        <w:spacing w:after="0" w:line="240" w:lineRule="auto"/>
        <w:jc w:val="center"/>
        <w:rPr>
          <w:rFonts w:cstheme="minorHAnsi"/>
          <w:b/>
          <w:bCs/>
        </w:rPr>
      </w:pPr>
      <w:r>
        <w:rPr>
          <w:rFonts w:cstheme="minorHAnsi"/>
          <w:b/>
          <w:bCs/>
        </w:rPr>
        <w:t xml:space="preserve"> </w:t>
      </w:r>
    </w:p>
    <w:p w14:paraId="43B62CF4" w14:textId="12FCBF9E" w:rsidR="00CD1A9F" w:rsidRPr="00C90EDA" w:rsidRDefault="00CD1A9F" w:rsidP="00653F47">
      <w:pPr>
        <w:pStyle w:val="ListParagraph"/>
        <w:numPr>
          <w:ilvl w:val="0"/>
          <w:numId w:val="3"/>
        </w:numPr>
        <w:autoSpaceDE w:val="0"/>
        <w:autoSpaceDN w:val="0"/>
        <w:adjustRightInd w:val="0"/>
        <w:spacing w:after="0" w:line="240" w:lineRule="auto"/>
        <w:rPr>
          <w:rFonts w:cstheme="minorHAnsi"/>
          <w:b/>
        </w:rPr>
      </w:pPr>
      <w:r w:rsidRPr="00C90EDA">
        <w:rPr>
          <w:rFonts w:cstheme="minorHAnsi"/>
          <w:b/>
        </w:rPr>
        <w:t xml:space="preserve">Known-groups validity testing for </w:t>
      </w:r>
      <w:r w:rsidR="00485ED3">
        <w:rPr>
          <w:rFonts w:cstheme="minorHAnsi"/>
          <w:b/>
        </w:rPr>
        <w:t>patients</w:t>
      </w:r>
      <w:r w:rsidRPr="00C90EDA">
        <w:rPr>
          <w:rFonts w:cstheme="minorHAnsi"/>
          <w:b/>
        </w:rPr>
        <w:t xml:space="preserve"> with varying self-care and mobility </w:t>
      </w:r>
      <w:r w:rsidR="00FD2359">
        <w:rPr>
          <w:rFonts w:cstheme="minorHAnsi"/>
          <w:b/>
        </w:rPr>
        <w:t>abilities</w:t>
      </w:r>
      <w:r w:rsidR="00FD2359" w:rsidRPr="00C90EDA">
        <w:rPr>
          <w:rFonts w:cstheme="minorHAnsi"/>
          <w:b/>
        </w:rPr>
        <w:t xml:space="preserve"> </w:t>
      </w:r>
      <w:r w:rsidR="00191392">
        <w:rPr>
          <w:rFonts w:cstheme="minorHAnsi"/>
          <w:b/>
        </w:rPr>
        <w:t xml:space="preserve">at </w:t>
      </w:r>
      <w:r w:rsidRPr="00C90EDA">
        <w:rPr>
          <w:rFonts w:cstheme="minorHAnsi"/>
          <w:b/>
        </w:rPr>
        <w:t>discharge</w:t>
      </w:r>
    </w:p>
    <w:p w14:paraId="3EE75B9E" w14:textId="77777777" w:rsidR="00CD1A9F" w:rsidRPr="00C90EDA" w:rsidRDefault="00CD1A9F" w:rsidP="00653F47">
      <w:pPr>
        <w:autoSpaceDE w:val="0"/>
        <w:autoSpaceDN w:val="0"/>
        <w:adjustRightInd w:val="0"/>
        <w:spacing w:after="0" w:line="240" w:lineRule="auto"/>
        <w:rPr>
          <w:rFonts w:cstheme="minorHAnsi"/>
          <w:b/>
        </w:rPr>
      </w:pPr>
    </w:p>
    <w:p w14:paraId="1B0AE7DE" w14:textId="7A13699F" w:rsidR="00CD1A9F" w:rsidRDefault="00CD1A9F" w:rsidP="00653F47">
      <w:pPr>
        <w:spacing w:after="0" w:line="240" w:lineRule="auto"/>
        <w:rPr>
          <w:rFonts w:cstheme="minorHAnsi"/>
          <w:bCs/>
        </w:rPr>
      </w:pPr>
      <w:r w:rsidRPr="00C90EDA">
        <w:rPr>
          <w:rFonts w:eastAsia="Calibri" w:cstheme="minorHAnsi"/>
          <w:bCs/>
        </w:rPr>
        <w:t>In our Measure Testing Form</w:t>
      </w:r>
      <w:r w:rsidR="00360502">
        <w:rPr>
          <w:rFonts w:eastAsia="Calibri" w:cstheme="minorHAnsi"/>
          <w:bCs/>
        </w:rPr>
        <w:t xml:space="preserve"> (Section </w:t>
      </w:r>
      <w:r w:rsidR="00360502" w:rsidRPr="00E323A6">
        <w:rPr>
          <w:rFonts w:eastAsia="Calibri" w:cstheme="minorHAnsi"/>
          <w:b/>
          <w:bCs/>
        </w:rPr>
        <w:t>2b1</w:t>
      </w:r>
      <w:r w:rsidR="00360502">
        <w:rPr>
          <w:rFonts w:eastAsia="Calibri" w:cstheme="minorHAnsi"/>
          <w:bCs/>
        </w:rPr>
        <w:t>)</w:t>
      </w:r>
      <w:r w:rsidR="00360502" w:rsidRPr="00C90EDA">
        <w:rPr>
          <w:rFonts w:eastAsia="Calibri" w:cstheme="minorHAnsi"/>
          <w:bCs/>
        </w:rPr>
        <w:t>,</w:t>
      </w:r>
      <w:r w:rsidRPr="00C90EDA">
        <w:t xml:space="preserve"> </w:t>
      </w:r>
      <w:r w:rsidRPr="00C90EDA">
        <w:rPr>
          <w:rFonts w:eastAsia="Calibri" w:cstheme="minorHAnsi"/>
          <w:bCs/>
        </w:rPr>
        <w:t>we examined the relationship between functional abilities for seven self-care (GG0130 A-C, GG0130E-H) and 15 mobility (GG0170 A-G, GG0170I-O) activities at discharge</w:t>
      </w:r>
      <w:r w:rsidR="00360502">
        <w:rPr>
          <w:rFonts w:eastAsia="Calibri" w:cstheme="minorHAnsi"/>
          <w:bCs/>
        </w:rPr>
        <w:t xml:space="preserve"> and </w:t>
      </w:r>
      <w:r w:rsidR="00360502" w:rsidRPr="00C90EDA">
        <w:rPr>
          <w:rFonts w:eastAsia="Calibri" w:cstheme="minorHAnsi"/>
          <w:bCs/>
        </w:rPr>
        <w:t>discharge to community</w:t>
      </w:r>
      <w:r w:rsidR="00E323A6">
        <w:rPr>
          <w:rFonts w:eastAsia="Calibri" w:cstheme="minorHAnsi"/>
          <w:bCs/>
        </w:rPr>
        <w:t xml:space="preserve"> outcomes</w:t>
      </w:r>
      <w:r w:rsidRPr="00C90EDA">
        <w:rPr>
          <w:rFonts w:eastAsia="Calibri" w:cstheme="minorHAnsi"/>
          <w:bCs/>
        </w:rPr>
        <w:t xml:space="preserve">. </w:t>
      </w:r>
      <w:r w:rsidRPr="00C90EDA">
        <w:rPr>
          <w:rFonts w:cstheme="minorHAnsi"/>
        </w:rPr>
        <w:t>We used data submitted using the IRF-PAI v1.4 Section GG.</w:t>
      </w:r>
    </w:p>
    <w:p w14:paraId="7F84BEB4" w14:textId="77777777" w:rsidR="00360502" w:rsidRPr="00C90EDA" w:rsidRDefault="00360502" w:rsidP="00653F47">
      <w:pPr>
        <w:spacing w:after="0" w:line="240" w:lineRule="auto"/>
        <w:rPr>
          <w:rFonts w:cstheme="minorHAnsi"/>
          <w:bCs/>
        </w:rPr>
      </w:pPr>
    </w:p>
    <w:p w14:paraId="7A66B284" w14:textId="677DEB39" w:rsidR="005D4986" w:rsidRDefault="00CD1A9F" w:rsidP="00653F47">
      <w:pPr>
        <w:spacing w:after="0" w:line="240" w:lineRule="auto"/>
        <w:rPr>
          <w:rFonts w:cstheme="minorHAnsi"/>
          <w:bCs/>
        </w:rPr>
      </w:pPr>
      <w:r w:rsidRPr="00C90EDA">
        <w:rPr>
          <w:rFonts w:eastAsia="Calibri" w:cstheme="minorHAnsi"/>
          <w:bCs/>
        </w:rPr>
        <w:t xml:space="preserve">In this supplemental analysis, we </w:t>
      </w:r>
      <w:r w:rsidR="00A7644B">
        <w:rPr>
          <w:rFonts w:eastAsia="Calibri" w:cstheme="minorHAnsi"/>
          <w:bCs/>
        </w:rPr>
        <w:t xml:space="preserve">updated </w:t>
      </w:r>
      <w:r w:rsidR="00360502">
        <w:rPr>
          <w:rFonts w:eastAsia="Calibri" w:cstheme="minorHAnsi"/>
          <w:bCs/>
        </w:rPr>
        <w:t xml:space="preserve">the analyses presented in testing form Section </w:t>
      </w:r>
      <w:r w:rsidR="00360502" w:rsidRPr="005D4986">
        <w:rPr>
          <w:rFonts w:eastAsia="Calibri" w:cstheme="minorHAnsi"/>
          <w:b/>
          <w:bCs/>
        </w:rPr>
        <w:t>2b1.4</w:t>
      </w:r>
      <w:r w:rsidR="00360502">
        <w:rPr>
          <w:rFonts w:eastAsia="Calibri" w:cstheme="minorHAnsi"/>
          <w:bCs/>
        </w:rPr>
        <w:t>, applying t</w:t>
      </w:r>
      <w:r w:rsidRPr="00C90EDA">
        <w:rPr>
          <w:rFonts w:eastAsia="Calibri" w:cstheme="minorHAnsi"/>
          <w:bCs/>
        </w:rPr>
        <w:t xml:space="preserve">he </w:t>
      </w:r>
      <w:r w:rsidRPr="00C90EDA">
        <w:rPr>
          <w:rFonts w:cstheme="minorHAnsi"/>
          <w:bCs/>
        </w:rPr>
        <w:t>“incomplete stay” exclusion criteri</w:t>
      </w:r>
      <w:r w:rsidR="00F92E34">
        <w:rPr>
          <w:rFonts w:cstheme="minorHAnsi"/>
          <w:bCs/>
        </w:rPr>
        <w:t>on</w:t>
      </w:r>
      <w:r w:rsidRPr="00C90EDA">
        <w:rPr>
          <w:rFonts w:cstheme="minorHAnsi"/>
          <w:bCs/>
        </w:rPr>
        <w:t xml:space="preserve"> </w:t>
      </w:r>
      <w:r w:rsidR="00360502">
        <w:rPr>
          <w:rFonts w:cstheme="minorHAnsi"/>
          <w:bCs/>
        </w:rPr>
        <w:t>as defined in the IRF QRP function</w:t>
      </w:r>
      <w:r w:rsidR="00F92E34">
        <w:rPr>
          <w:rFonts w:cstheme="minorHAnsi"/>
          <w:bCs/>
        </w:rPr>
        <w:t>al status</w:t>
      </w:r>
      <w:r w:rsidR="00360502">
        <w:rPr>
          <w:rFonts w:cstheme="minorHAnsi"/>
          <w:bCs/>
        </w:rPr>
        <w:t xml:space="preserve"> quality measures. </w:t>
      </w:r>
      <w:r w:rsidR="00B52EAF">
        <w:rPr>
          <w:rFonts w:cstheme="minorHAnsi"/>
          <w:bCs/>
        </w:rPr>
        <w:t>An i</w:t>
      </w:r>
      <w:r w:rsidR="00360502">
        <w:rPr>
          <w:rFonts w:cstheme="minorHAnsi"/>
          <w:bCs/>
        </w:rPr>
        <w:t xml:space="preserve">ncomplete stay </w:t>
      </w:r>
      <w:r w:rsidR="00B52EAF">
        <w:rPr>
          <w:rFonts w:cstheme="minorHAnsi"/>
          <w:bCs/>
        </w:rPr>
        <w:t>refers to a stay that ends</w:t>
      </w:r>
      <w:r w:rsidR="00B52EAF" w:rsidRPr="00C90EDA">
        <w:rPr>
          <w:rFonts w:cstheme="minorHAnsi"/>
          <w:bCs/>
        </w:rPr>
        <w:t xml:space="preserve"> </w:t>
      </w:r>
      <w:r w:rsidR="00B52EAF">
        <w:rPr>
          <w:rFonts w:cstheme="minorHAnsi"/>
          <w:bCs/>
        </w:rPr>
        <w:t>due to a discharge to an acute care hospital (e.</w:t>
      </w:r>
      <w:r w:rsidR="0068742B">
        <w:rPr>
          <w:rFonts w:cstheme="minorHAnsi"/>
          <w:bCs/>
        </w:rPr>
        <w:t>g</w:t>
      </w:r>
      <w:r w:rsidR="00B52EAF">
        <w:rPr>
          <w:rFonts w:cstheme="minorHAnsi"/>
          <w:bCs/>
        </w:rPr>
        <w:t xml:space="preserve">., due to a </w:t>
      </w:r>
      <w:r w:rsidRPr="00C90EDA">
        <w:rPr>
          <w:rFonts w:cstheme="minorHAnsi"/>
          <w:bCs/>
        </w:rPr>
        <w:t>medical emergency</w:t>
      </w:r>
      <w:r w:rsidR="00B52EAF">
        <w:rPr>
          <w:rFonts w:cstheme="minorHAnsi"/>
          <w:bCs/>
        </w:rPr>
        <w:t>)</w:t>
      </w:r>
      <w:r w:rsidRPr="00C90EDA">
        <w:rPr>
          <w:rFonts w:cstheme="minorHAnsi"/>
          <w:bCs/>
        </w:rPr>
        <w:t xml:space="preserve">, </w:t>
      </w:r>
      <w:r w:rsidR="00B52EAF">
        <w:rPr>
          <w:rFonts w:cstheme="minorHAnsi"/>
          <w:bCs/>
        </w:rPr>
        <w:t xml:space="preserve">a </w:t>
      </w:r>
      <w:r w:rsidRPr="00C90EDA">
        <w:rPr>
          <w:rFonts w:cstheme="minorHAnsi"/>
          <w:bCs/>
        </w:rPr>
        <w:t>discharge directly to another IRF,</w:t>
      </w:r>
      <w:r w:rsidR="00B52EAF">
        <w:rPr>
          <w:rFonts w:cstheme="minorHAnsi"/>
          <w:bCs/>
        </w:rPr>
        <w:t xml:space="preserve"> a </w:t>
      </w:r>
      <w:r w:rsidRPr="00C90EDA">
        <w:rPr>
          <w:rFonts w:cstheme="minorHAnsi"/>
          <w:bCs/>
        </w:rPr>
        <w:t xml:space="preserve">discharge against medical advice, </w:t>
      </w:r>
      <w:r w:rsidR="00B52EAF">
        <w:rPr>
          <w:rFonts w:cstheme="minorHAnsi"/>
          <w:bCs/>
        </w:rPr>
        <w:t xml:space="preserve">a death </w:t>
      </w:r>
      <w:r w:rsidRPr="00C90EDA">
        <w:rPr>
          <w:rFonts w:cstheme="minorHAnsi"/>
          <w:bCs/>
        </w:rPr>
        <w:t xml:space="preserve">while in IRF, </w:t>
      </w:r>
      <w:r w:rsidR="00B52EAF">
        <w:rPr>
          <w:rFonts w:cstheme="minorHAnsi"/>
          <w:bCs/>
        </w:rPr>
        <w:t>or</w:t>
      </w:r>
      <w:r w:rsidRPr="00C90EDA">
        <w:rPr>
          <w:rFonts w:cstheme="minorHAnsi"/>
          <w:bCs/>
        </w:rPr>
        <w:t xml:space="preserve"> length of stay less than 3 days.</w:t>
      </w:r>
      <w:r w:rsidR="004C0FA6">
        <w:rPr>
          <w:rStyle w:val="FootnoteReference"/>
          <w:bCs/>
        </w:rPr>
        <w:footnoteReference w:id="1"/>
      </w:r>
      <w:r w:rsidRPr="00C90EDA">
        <w:rPr>
          <w:rFonts w:cstheme="minorHAnsi"/>
          <w:bCs/>
        </w:rPr>
        <w:t xml:space="preserve"> </w:t>
      </w:r>
      <w:r w:rsidR="005D4986">
        <w:rPr>
          <w:rFonts w:cstheme="minorHAnsi"/>
          <w:bCs/>
        </w:rPr>
        <w:t xml:space="preserve">For these stays, </w:t>
      </w:r>
      <w:r w:rsidR="0068742B">
        <w:rPr>
          <w:rFonts w:cstheme="minorHAnsi"/>
          <w:bCs/>
        </w:rPr>
        <w:t xml:space="preserve">assessment of a patient’s discharge </w:t>
      </w:r>
      <w:r w:rsidR="005D4986">
        <w:rPr>
          <w:rFonts w:cstheme="minorHAnsi"/>
          <w:bCs/>
        </w:rPr>
        <w:t xml:space="preserve">functional status </w:t>
      </w:r>
      <w:r w:rsidR="0068742B">
        <w:rPr>
          <w:rFonts w:cstheme="minorHAnsi"/>
          <w:bCs/>
        </w:rPr>
        <w:t>may not be feasible; reported codes may reflect the patient’s status prior to the event that led to the incomplete stay</w:t>
      </w:r>
      <w:r w:rsidR="005D4986">
        <w:rPr>
          <w:rFonts w:cstheme="minorHAnsi"/>
          <w:bCs/>
        </w:rPr>
        <w:t xml:space="preserve">. Thus, we </w:t>
      </w:r>
      <w:r w:rsidR="00C747ED">
        <w:rPr>
          <w:rFonts w:cstheme="minorHAnsi"/>
          <w:bCs/>
        </w:rPr>
        <w:t xml:space="preserve">updated </w:t>
      </w:r>
      <w:r w:rsidR="005D4986">
        <w:rPr>
          <w:rFonts w:cstheme="minorHAnsi"/>
          <w:bCs/>
        </w:rPr>
        <w:t xml:space="preserve">the analyses presented in testing form Section </w:t>
      </w:r>
      <w:r w:rsidR="005D4986" w:rsidRPr="00181D5E">
        <w:rPr>
          <w:rFonts w:eastAsia="Calibri" w:cstheme="minorHAnsi"/>
          <w:b/>
          <w:bCs/>
        </w:rPr>
        <w:t>2b1.4</w:t>
      </w:r>
      <w:r w:rsidR="005D4986">
        <w:rPr>
          <w:rFonts w:cstheme="minorHAnsi"/>
          <w:bCs/>
        </w:rPr>
        <w:t xml:space="preserve">, after excluding incomplete stays (Tables </w:t>
      </w:r>
      <w:r w:rsidR="005D4986" w:rsidRPr="00D91FE1">
        <w:rPr>
          <w:rFonts w:cstheme="minorHAnsi"/>
          <w:b/>
          <w:bCs/>
        </w:rPr>
        <w:t>A-1</w:t>
      </w:r>
      <w:r w:rsidR="005D4986">
        <w:rPr>
          <w:rFonts w:cstheme="minorHAnsi"/>
          <w:bCs/>
        </w:rPr>
        <w:t xml:space="preserve"> and </w:t>
      </w:r>
      <w:r w:rsidR="005D4986" w:rsidRPr="00D91FE1">
        <w:rPr>
          <w:rFonts w:cstheme="minorHAnsi"/>
          <w:b/>
          <w:bCs/>
        </w:rPr>
        <w:t>A-2</w:t>
      </w:r>
      <w:r w:rsidR="005D4986">
        <w:rPr>
          <w:rFonts w:cstheme="minorHAnsi"/>
          <w:bCs/>
        </w:rPr>
        <w:t xml:space="preserve">). After applying this exclusion, the eligible sample for this analysis reduced from </w:t>
      </w:r>
      <w:r w:rsidR="005D4986" w:rsidRPr="005D4986">
        <w:rPr>
          <w:rFonts w:cstheme="minorHAnsi"/>
          <w:bCs/>
        </w:rPr>
        <w:t>290,399</w:t>
      </w:r>
      <w:r w:rsidR="005D4986">
        <w:rPr>
          <w:rFonts w:cstheme="minorHAnsi"/>
          <w:bCs/>
        </w:rPr>
        <w:t xml:space="preserve"> to </w:t>
      </w:r>
      <w:r w:rsidR="005D4986" w:rsidRPr="00360502">
        <w:rPr>
          <w:rFonts w:cstheme="minorHAnsi"/>
          <w:bCs/>
        </w:rPr>
        <w:t>262,644</w:t>
      </w:r>
      <w:r w:rsidR="00D929B3">
        <w:rPr>
          <w:rFonts w:cstheme="minorHAnsi"/>
          <w:bCs/>
        </w:rPr>
        <w:t xml:space="preserve"> stays</w:t>
      </w:r>
      <w:r w:rsidR="005D4986">
        <w:rPr>
          <w:rFonts w:cstheme="minorHAnsi"/>
          <w:bCs/>
        </w:rPr>
        <w:t xml:space="preserve">. The number of patient stays varies across individual functional activity analyses due to variation in the number of stays with 01 to 06 ratings for each activity. </w:t>
      </w:r>
    </w:p>
    <w:p w14:paraId="76384F89" w14:textId="1E786ADD" w:rsidR="00360502" w:rsidRDefault="00360502" w:rsidP="00653F47">
      <w:pPr>
        <w:spacing w:after="0" w:line="240" w:lineRule="auto"/>
        <w:rPr>
          <w:rFonts w:cstheme="minorHAnsi"/>
          <w:bCs/>
        </w:rPr>
      </w:pPr>
    </w:p>
    <w:p w14:paraId="754AB0B6" w14:textId="43B5EFA4" w:rsidR="005D4986" w:rsidRPr="00C90EDA" w:rsidRDefault="005D4986" w:rsidP="005D4986">
      <w:pPr>
        <w:spacing w:after="0" w:line="240" w:lineRule="auto"/>
        <w:rPr>
          <w:rFonts w:cstheme="minorHAnsi"/>
          <w:bCs/>
        </w:rPr>
      </w:pPr>
      <w:r>
        <w:rPr>
          <w:rFonts w:cstheme="minorHAnsi"/>
          <w:bCs/>
        </w:rPr>
        <w:t>T</w:t>
      </w:r>
      <w:r w:rsidRPr="00C90EDA">
        <w:rPr>
          <w:rFonts w:cstheme="minorHAnsi"/>
          <w:bCs/>
        </w:rPr>
        <w:t xml:space="preserve">he </w:t>
      </w:r>
      <w:r>
        <w:rPr>
          <w:rFonts w:cstheme="minorHAnsi"/>
          <w:bCs/>
        </w:rPr>
        <w:t xml:space="preserve">overall relationship between discharge functional status and discharge to community reported in the </w:t>
      </w:r>
      <w:r w:rsidRPr="00C90EDA">
        <w:rPr>
          <w:rFonts w:cstheme="minorHAnsi"/>
          <w:bCs/>
        </w:rPr>
        <w:t>Measure Testing form</w:t>
      </w:r>
      <w:r>
        <w:rPr>
          <w:rFonts w:cstheme="minorHAnsi"/>
          <w:bCs/>
        </w:rPr>
        <w:t xml:space="preserve"> was unchanged after applying the incomplete stay exclusion;</w:t>
      </w:r>
      <w:r w:rsidRPr="00C90EDA">
        <w:rPr>
          <w:rFonts w:cstheme="minorHAnsi"/>
          <w:bCs/>
        </w:rPr>
        <w:t xml:space="preserve"> </w:t>
      </w:r>
      <w:r>
        <w:rPr>
          <w:rFonts w:cstheme="minorHAnsi"/>
          <w:bCs/>
        </w:rPr>
        <w:t>patients</w:t>
      </w:r>
      <w:r w:rsidRPr="00C90EDA">
        <w:rPr>
          <w:rFonts w:cstheme="minorHAnsi"/>
          <w:bCs/>
        </w:rPr>
        <w:t xml:space="preserve"> with progressively higher functional independence in self-care and mobility activities ha</w:t>
      </w:r>
      <w:r>
        <w:rPr>
          <w:rFonts w:cstheme="minorHAnsi"/>
          <w:bCs/>
        </w:rPr>
        <w:t>d</w:t>
      </w:r>
      <w:r w:rsidRPr="00C90EDA">
        <w:rPr>
          <w:rFonts w:cstheme="minorHAnsi"/>
          <w:bCs/>
        </w:rPr>
        <w:t xml:space="preserve"> progressively higher DTC rates.</w:t>
      </w:r>
      <w:r>
        <w:rPr>
          <w:rFonts w:cstheme="minorHAnsi"/>
          <w:bCs/>
        </w:rPr>
        <w:t xml:space="preserve"> </w:t>
      </w:r>
      <w:r w:rsidR="00CA1089">
        <w:rPr>
          <w:rFonts w:cstheme="minorHAnsi"/>
          <w:bCs/>
        </w:rPr>
        <w:t xml:space="preserve"> </w:t>
      </w:r>
    </w:p>
    <w:p w14:paraId="46662F08" w14:textId="77777777" w:rsidR="00360502" w:rsidRDefault="00360502" w:rsidP="00653F47">
      <w:pPr>
        <w:spacing w:after="0" w:line="240" w:lineRule="auto"/>
        <w:rPr>
          <w:rFonts w:cstheme="minorHAnsi"/>
          <w:bCs/>
        </w:rPr>
      </w:pPr>
    </w:p>
    <w:p w14:paraId="115A0A5C" w14:textId="7950079D" w:rsidR="00CD1A9F" w:rsidRPr="00C90EDA" w:rsidRDefault="00066F81" w:rsidP="00653F47">
      <w:pPr>
        <w:autoSpaceDE w:val="0"/>
        <w:autoSpaceDN w:val="0"/>
        <w:adjustRightInd w:val="0"/>
        <w:spacing w:after="0" w:line="240" w:lineRule="auto"/>
        <w:rPr>
          <w:rFonts w:cstheme="minorHAnsi"/>
          <w:bCs/>
        </w:rPr>
      </w:pPr>
      <w:r w:rsidRPr="00C90EDA">
        <w:rPr>
          <w:rFonts w:cstheme="minorHAnsi"/>
          <w:b/>
          <w:bCs/>
        </w:rPr>
        <w:t xml:space="preserve">Table </w:t>
      </w:r>
      <w:r w:rsidR="00CD1A9F" w:rsidRPr="00C90EDA">
        <w:rPr>
          <w:rFonts w:cstheme="minorHAnsi"/>
          <w:b/>
          <w:bCs/>
        </w:rPr>
        <w:t>A-1</w:t>
      </w:r>
      <w:r w:rsidR="00CD1A9F" w:rsidRPr="00C90EDA">
        <w:rPr>
          <w:rFonts w:cstheme="minorHAnsi"/>
          <w:bCs/>
        </w:rPr>
        <w:t xml:space="preserve"> shows the percentage of patient</w:t>
      </w:r>
      <w:r w:rsidR="00670133">
        <w:rPr>
          <w:rFonts w:cstheme="minorHAnsi"/>
          <w:bCs/>
        </w:rPr>
        <w:t xml:space="preserve"> stay</w:t>
      </w:r>
      <w:r w:rsidR="00CD1A9F" w:rsidRPr="00C90EDA">
        <w:rPr>
          <w:rFonts w:cstheme="minorHAnsi"/>
          <w:bCs/>
        </w:rPr>
        <w:t>s successfully discharged</w:t>
      </w:r>
      <w:r w:rsidR="00CD1A9F" w:rsidRPr="00C90EDA" w:rsidDel="002610DD">
        <w:rPr>
          <w:rFonts w:cstheme="minorHAnsi"/>
          <w:bCs/>
        </w:rPr>
        <w:t xml:space="preserve"> </w:t>
      </w:r>
      <w:r w:rsidR="00CD1A9F" w:rsidRPr="00C90EDA">
        <w:rPr>
          <w:rFonts w:cstheme="minorHAnsi"/>
          <w:bCs/>
        </w:rPr>
        <w:t xml:space="preserve">to community for each functional independence level, from 01 (Dependent) to 06 (Independent), for each self-care activity at discharge. </w:t>
      </w:r>
      <w:r w:rsidR="006B524C">
        <w:rPr>
          <w:rFonts w:cstheme="minorHAnsi"/>
          <w:bCs/>
        </w:rPr>
        <w:t>Overall, a</w:t>
      </w:r>
      <w:r w:rsidR="00D936B7" w:rsidRPr="00C90EDA">
        <w:rPr>
          <w:rFonts w:cstheme="minorHAnsi"/>
          <w:bCs/>
        </w:rPr>
        <w:t xml:space="preserve"> </w:t>
      </w:r>
      <w:r w:rsidR="00CD1A9F" w:rsidRPr="00C90EDA">
        <w:rPr>
          <w:rFonts w:cstheme="minorHAnsi"/>
          <w:bCs/>
        </w:rPr>
        <w:t>positive monotonic relationship was noted between functional independence level and DTC rates</w:t>
      </w:r>
      <w:r w:rsidR="005D4986">
        <w:rPr>
          <w:rFonts w:cstheme="minorHAnsi"/>
          <w:bCs/>
        </w:rPr>
        <w:t>, with DTC r</w:t>
      </w:r>
      <w:r w:rsidR="00CD1A9F" w:rsidRPr="00C90EDA">
        <w:rPr>
          <w:rFonts w:cstheme="minorHAnsi"/>
          <w:bCs/>
        </w:rPr>
        <w:t>ates progressively increas</w:t>
      </w:r>
      <w:r w:rsidR="005D4986">
        <w:rPr>
          <w:rFonts w:cstheme="minorHAnsi"/>
          <w:bCs/>
        </w:rPr>
        <w:t>ing</w:t>
      </w:r>
      <w:r w:rsidR="00CD1A9F" w:rsidRPr="00C90EDA">
        <w:rPr>
          <w:rFonts w:cstheme="minorHAnsi"/>
          <w:bCs/>
        </w:rPr>
        <w:t xml:space="preserve"> with increasing functional independence level.</w:t>
      </w:r>
      <w:r w:rsidR="00234EC6" w:rsidRPr="00234EC6">
        <w:rPr>
          <w:rFonts w:cstheme="minorHAnsi"/>
          <w:bCs/>
        </w:rPr>
        <w:t xml:space="preserve"> </w:t>
      </w:r>
      <w:r w:rsidR="00234EC6" w:rsidRPr="00653F47">
        <w:rPr>
          <w:rFonts w:cstheme="minorHAnsi"/>
          <w:bCs/>
        </w:rPr>
        <w:t xml:space="preserve">There </w:t>
      </w:r>
      <w:r w:rsidR="00234EC6">
        <w:rPr>
          <w:rFonts w:cstheme="minorHAnsi"/>
          <w:bCs/>
        </w:rPr>
        <w:t>was one</w:t>
      </w:r>
      <w:r w:rsidR="00234EC6" w:rsidRPr="00653F47">
        <w:rPr>
          <w:rFonts w:cstheme="minorHAnsi"/>
          <w:bCs/>
        </w:rPr>
        <w:t xml:space="preserve"> minor exception</w:t>
      </w:r>
      <w:r w:rsidR="00234EC6">
        <w:rPr>
          <w:rFonts w:cstheme="minorHAnsi"/>
          <w:bCs/>
        </w:rPr>
        <w:t xml:space="preserve"> for eating, where the percent discharge</w:t>
      </w:r>
      <w:r w:rsidR="00E23FF9">
        <w:rPr>
          <w:rFonts w:cstheme="minorHAnsi"/>
          <w:bCs/>
        </w:rPr>
        <w:t>d</w:t>
      </w:r>
      <w:r w:rsidR="00234EC6">
        <w:rPr>
          <w:rFonts w:cstheme="minorHAnsi"/>
          <w:bCs/>
        </w:rPr>
        <w:t xml:space="preserve"> to community was slightly higher for patients who were dependent compared with those who needed substantial/maximal assistance.</w:t>
      </w:r>
      <w:r w:rsidR="00CD1A9F" w:rsidRPr="00C90EDA">
        <w:rPr>
          <w:rFonts w:cstheme="minorHAnsi"/>
          <w:bCs/>
        </w:rPr>
        <w:t xml:space="preserve"> The DTC rate varied greatly by discharge functional status; e.g., only </w:t>
      </w:r>
      <w:r w:rsidR="005C33A7">
        <w:rPr>
          <w:rFonts w:cstheme="minorHAnsi"/>
          <w:bCs/>
        </w:rPr>
        <w:t>28.7</w:t>
      </w:r>
      <w:r w:rsidR="00CD1A9F" w:rsidRPr="00C90EDA">
        <w:rPr>
          <w:rFonts w:cstheme="minorHAnsi"/>
          <w:bCs/>
        </w:rPr>
        <w:t xml:space="preserve">% of </w:t>
      </w:r>
      <w:r w:rsidR="00DA7EC1">
        <w:rPr>
          <w:rFonts w:cstheme="minorHAnsi"/>
          <w:bCs/>
        </w:rPr>
        <w:t xml:space="preserve">those </w:t>
      </w:r>
      <w:r w:rsidR="00CD1A9F" w:rsidRPr="00C90EDA">
        <w:rPr>
          <w:rFonts w:cstheme="minorHAnsi"/>
          <w:bCs/>
        </w:rPr>
        <w:t xml:space="preserve">who were dependent in </w:t>
      </w:r>
      <w:r w:rsidR="005C33A7">
        <w:rPr>
          <w:rFonts w:cstheme="minorHAnsi"/>
          <w:bCs/>
        </w:rPr>
        <w:t xml:space="preserve">oral hygiene </w:t>
      </w:r>
      <w:r w:rsidR="00CD1A9F" w:rsidRPr="00C90EDA">
        <w:rPr>
          <w:rFonts w:cstheme="minorHAnsi"/>
          <w:bCs/>
        </w:rPr>
        <w:t xml:space="preserve">at discharge were successfully discharged </w:t>
      </w:r>
      <w:r w:rsidR="001875B2">
        <w:rPr>
          <w:rFonts w:cstheme="minorHAnsi"/>
          <w:bCs/>
        </w:rPr>
        <w:t>to community</w:t>
      </w:r>
      <w:r w:rsidR="00CD1A9F" w:rsidRPr="00C90EDA">
        <w:rPr>
          <w:rFonts w:cstheme="minorHAnsi"/>
          <w:bCs/>
        </w:rPr>
        <w:t xml:space="preserve">, whereas </w:t>
      </w:r>
      <w:r w:rsidR="005C33A7">
        <w:rPr>
          <w:rFonts w:cstheme="minorHAnsi"/>
          <w:bCs/>
        </w:rPr>
        <w:t>80.5</w:t>
      </w:r>
      <w:r w:rsidR="00CD1A9F" w:rsidRPr="00C90EDA">
        <w:rPr>
          <w:rFonts w:cstheme="minorHAnsi"/>
          <w:bCs/>
        </w:rPr>
        <w:t xml:space="preserve">% of </w:t>
      </w:r>
      <w:r w:rsidR="00DA7EC1">
        <w:rPr>
          <w:rFonts w:cstheme="minorHAnsi"/>
          <w:bCs/>
        </w:rPr>
        <w:t xml:space="preserve">those </w:t>
      </w:r>
      <w:r w:rsidR="00CD1A9F" w:rsidRPr="00C90EDA">
        <w:rPr>
          <w:rFonts w:cstheme="minorHAnsi"/>
          <w:bCs/>
        </w:rPr>
        <w:t>who were independent in</w:t>
      </w:r>
      <w:r w:rsidR="003918C6">
        <w:rPr>
          <w:rFonts w:cstheme="minorHAnsi"/>
          <w:bCs/>
        </w:rPr>
        <w:t xml:space="preserve"> oral hygiene</w:t>
      </w:r>
      <w:r w:rsidR="00CD1A9F" w:rsidRPr="00C90EDA">
        <w:rPr>
          <w:rFonts w:cstheme="minorHAnsi"/>
          <w:bCs/>
        </w:rPr>
        <w:t xml:space="preserve"> were successfully discharged </w:t>
      </w:r>
      <w:r w:rsidR="001875B2">
        <w:rPr>
          <w:rFonts w:cstheme="minorHAnsi"/>
          <w:bCs/>
        </w:rPr>
        <w:t>to community</w:t>
      </w:r>
      <w:r w:rsidR="00CD1A9F" w:rsidRPr="00C90EDA">
        <w:rPr>
          <w:rFonts w:cstheme="minorHAnsi"/>
          <w:bCs/>
        </w:rPr>
        <w:t>.</w:t>
      </w:r>
    </w:p>
    <w:p w14:paraId="464C1515" w14:textId="77777777" w:rsidR="00CD1A9F" w:rsidRPr="00C90EDA" w:rsidRDefault="00CD1A9F" w:rsidP="00653F47">
      <w:pPr>
        <w:pStyle w:val="ListParagraph"/>
        <w:autoSpaceDE w:val="0"/>
        <w:autoSpaceDN w:val="0"/>
        <w:adjustRightInd w:val="0"/>
        <w:spacing w:after="0" w:line="240" w:lineRule="auto"/>
        <w:ind w:left="1440"/>
        <w:rPr>
          <w:rFonts w:cstheme="minorHAnsi"/>
          <w:b/>
          <w:bCs/>
          <w:highlight w:val="yellow"/>
        </w:rPr>
      </w:pPr>
    </w:p>
    <w:p w14:paraId="6FD1A02A" w14:textId="46EB6673" w:rsidR="00CD1A9F" w:rsidRPr="00C90EDA" w:rsidRDefault="00CD1A9F" w:rsidP="00653F47">
      <w:pPr>
        <w:autoSpaceDE w:val="0"/>
        <w:autoSpaceDN w:val="0"/>
        <w:adjustRightInd w:val="0"/>
        <w:spacing w:after="0" w:line="240" w:lineRule="auto"/>
        <w:rPr>
          <w:rFonts w:cstheme="minorHAnsi"/>
          <w:bCs/>
        </w:rPr>
      </w:pPr>
      <w:r w:rsidRPr="00C90EDA">
        <w:rPr>
          <w:rFonts w:cstheme="minorHAnsi"/>
          <w:b/>
          <w:bCs/>
        </w:rPr>
        <w:t>Tables A-2a and A-2b</w:t>
      </w:r>
      <w:r w:rsidRPr="00C90EDA">
        <w:rPr>
          <w:rFonts w:cstheme="minorHAnsi"/>
          <w:bCs/>
        </w:rPr>
        <w:t xml:space="preserve"> show the percentage of patient</w:t>
      </w:r>
      <w:r w:rsidR="00DA7EC1">
        <w:rPr>
          <w:rFonts w:cstheme="minorHAnsi"/>
          <w:bCs/>
        </w:rPr>
        <w:t xml:space="preserve"> stay</w:t>
      </w:r>
      <w:r w:rsidRPr="00C90EDA">
        <w:rPr>
          <w:rFonts w:cstheme="minorHAnsi"/>
          <w:bCs/>
        </w:rPr>
        <w:t xml:space="preserve">s successfully discharged to community for each functional independence level for mobility activities at discharge. </w:t>
      </w:r>
      <w:r w:rsidR="00D936B7">
        <w:rPr>
          <w:rFonts w:cstheme="minorHAnsi"/>
          <w:bCs/>
        </w:rPr>
        <w:t xml:space="preserve">A </w:t>
      </w:r>
      <w:r w:rsidRPr="00C90EDA">
        <w:rPr>
          <w:rFonts w:cstheme="minorHAnsi"/>
          <w:bCs/>
        </w:rPr>
        <w:t xml:space="preserve">positive monotonic relationship was noted between functional independence level for mobility activities and successful DTC rates. </w:t>
      </w:r>
      <w:r w:rsidR="003918C6">
        <w:rPr>
          <w:rFonts w:cstheme="minorHAnsi"/>
          <w:bCs/>
        </w:rPr>
        <w:t>T</w:t>
      </w:r>
      <w:r w:rsidR="00234EC6" w:rsidRPr="00653F47">
        <w:rPr>
          <w:rFonts w:cstheme="minorHAnsi"/>
          <w:bCs/>
        </w:rPr>
        <w:t>here were minor exceptions for</w:t>
      </w:r>
      <w:r w:rsidR="00234EC6">
        <w:rPr>
          <w:rFonts w:cstheme="minorHAnsi"/>
          <w:bCs/>
        </w:rPr>
        <w:t xml:space="preserve"> w</w:t>
      </w:r>
      <w:r w:rsidR="00234EC6" w:rsidRPr="00234EC6">
        <w:rPr>
          <w:rFonts w:cstheme="minorHAnsi"/>
          <w:bCs/>
        </w:rPr>
        <w:t xml:space="preserve">alk 10 </w:t>
      </w:r>
      <w:r w:rsidR="00234EC6">
        <w:rPr>
          <w:rFonts w:cstheme="minorHAnsi"/>
          <w:bCs/>
        </w:rPr>
        <w:t>feet</w:t>
      </w:r>
      <w:r w:rsidR="00234EC6" w:rsidRPr="00234EC6">
        <w:rPr>
          <w:rFonts w:cstheme="minorHAnsi"/>
          <w:bCs/>
        </w:rPr>
        <w:t xml:space="preserve"> </w:t>
      </w:r>
      <w:r w:rsidR="00234EC6">
        <w:rPr>
          <w:rFonts w:cstheme="minorHAnsi"/>
          <w:bCs/>
        </w:rPr>
        <w:t>u</w:t>
      </w:r>
      <w:r w:rsidR="00234EC6" w:rsidRPr="00234EC6">
        <w:rPr>
          <w:rFonts w:cstheme="minorHAnsi"/>
          <w:bCs/>
        </w:rPr>
        <w:t xml:space="preserve">neven </w:t>
      </w:r>
      <w:r w:rsidR="00234EC6">
        <w:rPr>
          <w:rFonts w:cstheme="minorHAnsi"/>
          <w:bCs/>
        </w:rPr>
        <w:t>s</w:t>
      </w:r>
      <w:r w:rsidR="00234EC6" w:rsidRPr="00234EC6">
        <w:rPr>
          <w:rFonts w:cstheme="minorHAnsi"/>
          <w:bCs/>
        </w:rPr>
        <w:t>urfaces</w:t>
      </w:r>
      <w:r w:rsidR="00234EC6">
        <w:rPr>
          <w:rFonts w:cstheme="minorHAnsi"/>
          <w:bCs/>
        </w:rPr>
        <w:t xml:space="preserve"> and pick up object where</w:t>
      </w:r>
      <w:r w:rsidR="00234EC6" w:rsidRPr="00234EC6">
        <w:rPr>
          <w:rFonts w:cstheme="minorHAnsi"/>
          <w:bCs/>
        </w:rPr>
        <w:t xml:space="preserve"> </w:t>
      </w:r>
      <w:r w:rsidR="00234EC6">
        <w:rPr>
          <w:rFonts w:cstheme="minorHAnsi"/>
          <w:bCs/>
        </w:rPr>
        <w:t>the percent discharge</w:t>
      </w:r>
      <w:r w:rsidR="00996D8F">
        <w:rPr>
          <w:rFonts w:cstheme="minorHAnsi"/>
          <w:bCs/>
        </w:rPr>
        <w:t>d</w:t>
      </w:r>
      <w:r w:rsidR="00234EC6">
        <w:rPr>
          <w:rFonts w:cstheme="minorHAnsi"/>
          <w:bCs/>
        </w:rPr>
        <w:t xml:space="preserve"> to community was slightly higher for patients who were dependent compared with those </w:t>
      </w:r>
      <w:r w:rsidR="00234EC6">
        <w:rPr>
          <w:rFonts w:cstheme="minorHAnsi"/>
          <w:bCs/>
        </w:rPr>
        <w:lastRenderedPageBreak/>
        <w:t xml:space="preserve">who needed substantial/maximal assistance. </w:t>
      </w:r>
      <w:r w:rsidRPr="00C90EDA">
        <w:rPr>
          <w:rFonts w:cstheme="minorHAnsi"/>
          <w:bCs/>
        </w:rPr>
        <w:t xml:space="preserve">A large variation in DTC rates by mobility functional independence level was noted. For example, only 23.7% of </w:t>
      </w:r>
      <w:r w:rsidR="00E052F9">
        <w:rPr>
          <w:rFonts w:cstheme="minorHAnsi"/>
          <w:bCs/>
        </w:rPr>
        <w:t>those</w:t>
      </w:r>
      <w:r w:rsidRPr="00C90EDA">
        <w:rPr>
          <w:rFonts w:cstheme="minorHAnsi"/>
          <w:bCs/>
        </w:rPr>
        <w:t xml:space="preserve"> who were dependent in rolling left right at discharge were successfully discharged </w:t>
      </w:r>
      <w:r w:rsidR="001875B2">
        <w:rPr>
          <w:rFonts w:cstheme="minorHAnsi"/>
          <w:bCs/>
        </w:rPr>
        <w:t>to community</w:t>
      </w:r>
      <w:r w:rsidRPr="00C90EDA">
        <w:rPr>
          <w:rFonts w:cstheme="minorHAnsi"/>
          <w:bCs/>
        </w:rPr>
        <w:t xml:space="preserve">, whereas 80.9% of </w:t>
      </w:r>
      <w:r w:rsidR="00E052F9">
        <w:rPr>
          <w:rFonts w:cstheme="minorHAnsi"/>
          <w:bCs/>
        </w:rPr>
        <w:t xml:space="preserve">those </w:t>
      </w:r>
      <w:r w:rsidRPr="00C90EDA">
        <w:rPr>
          <w:rFonts w:cstheme="minorHAnsi"/>
          <w:bCs/>
        </w:rPr>
        <w:t xml:space="preserve">who were independent were successfully discharged </w:t>
      </w:r>
      <w:r w:rsidR="001875B2">
        <w:rPr>
          <w:rFonts w:cstheme="minorHAnsi"/>
          <w:bCs/>
        </w:rPr>
        <w:t>to community</w:t>
      </w:r>
      <w:r w:rsidRPr="00C90EDA">
        <w:rPr>
          <w:rFonts w:cstheme="minorHAnsi"/>
          <w:bCs/>
        </w:rPr>
        <w:t xml:space="preserve">. </w:t>
      </w:r>
    </w:p>
    <w:p w14:paraId="57FA6DC8" w14:textId="77777777" w:rsidR="00CD1A9F" w:rsidRPr="00C90EDA" w:rsidRDefault="00CD1A9F" w:rsidP="00653F47">
      <w:pPr>
        <w:pStyle w:val="ListParagraph"/>
        <w:autoSpaceDE w:val="0"/>
        <w:autoSpaceDN w:val="0"/>
        <w:adjustRightInd w:val="0"/>
        <w:spacing w:after="0" w:line="240" w:lineRule="auto"/>
        <w:ind w:left="1440"/>
        <w:rPr>
          <w:rFonts w:cstheme="minorHAnsi"/>
          <w:bCs/>
        </w:rPr>
      </w:pPr>
    </w:p>
    <w:p w14:paraId="0F120EFA" w14:textId="1B2D5F7F" w:rsidR="00CD1A9F" w:rsidRPr="00C90EDA" w:rsidRDefault="00CD1A9F" w:rsidP="00653F47">
      <w:pPr>
        <w:autoSpaceDE w:val="0"/>
        <w:autoSpaceDN w:val="0"/>
        <w:adjustRightInd w:val="0"/>
        <w:spacing w:after="0" w:line="240" w:lineRule="auto"/>
        <w:rPr>
          <w:rFonts w:cstheme="minorHAnsi"/>
          <w:b/>
        </w:rPr>
      </w:pPr>
      <w:r w:rsidRPr="00C90EDA">
        <w:rPr>
          <w:rFonts w:cstheme="minorHAnsi"/>
          <w:b/>
        </w:rPr>
        <w:t xml:space="preserve">Table A-1. </w:t>
      </w:r>
      <w:r w:rsidR="008F3A11" w:rsidRPr="00C90EDA">
        <w:rPr>
          <w:rFonts w:cstheme="minorHAnsi"/>
          <w:b/>
        </w:rPr>
        <w:t xml:space="preserve">Percentage of </w:t>
      </w:r>
      <w:r w:rsidR="008F3A11">
        <w:rPr>
          <w:rFonts w:cstheme="minorHAnsi"/>
          <w:b/>
          <w:bCs/>
        </w:rPr>
        <w:t>Patient</w:t>
      </w:r>
      <w:r w:rsidR="00670133">
        <w:rPr>
          <w:rFonts w:cstheme="minorHAnsi"/>
          <w:b/>
          <w:bCs/>
        </w:rPr>
        <w:t xml:space="preserve"> Stay</w:t>
      </w:r>
      <w:r w:rsidR="008F3A11">
        <w:rPr>
          <w:rFonts w:cstheme="minorHAnsi"/>
          <w:b/>
          <w:bCs/>
        </w:rPr>
        <w:t>s</w:t>
      </w:r>
      <w:r w:rsidR="008F3A11" w:rsidRPr="00C90EDA">
        <w:rPr>
          <w:rFonts w:cstheme="minorHAnsi"/>
          <w:b/>
          <w:bCs/>
        </w:rPr>
        <w:t xml:space="preserve"> </w:t>
      </w:r>
      <w:r w:rsidR="008F3A11" w:rsidRPr="00C90EDA">
        <w:rPr>
          <w:rFonts w:cstheme="minorHAnsi"/>
          <w:b/>
        </w:rPr>
        <w:t xml:space="preserve">Successfully Discharged to Community by Self-Care Functional Ability at Discharge </w:t>
      </w:r>
      <w:r w:rsidR="008F3A11" w:rsidRPr="00C90EDA">
        <w:rPr>
          <w:rFonts w:eastAsia="Times New Roman" w:cstheme="minorHAnsi"/>
          <w:b/>
        </w:rPr>
        <w:t> </w:t>
      </w:r>
    </w:p>
    <w:p w14:paraId="21C3DE79" w14:textId="77777777" w:rsidR="00CD1A9F" w:rsidRPr="00C90EDA" w:rsidRDefault="00CD1A9F" w:rsidP="00653F47">
      <w:pPr>
        <w:autoSpaceDE w:val="0"/>
        <w:autoSpaceDN w:val="0"/>
        <w:adjustRightInd w:val="0"/>
        <w:spacing w:after="0" w:line="240" w:lineRule="auto"/>
        <w:rPr>
          <w:rFonts w:cstheme="minorHAnsi"/>
        </w:rPr>
      </w:pPr>
    </w:p>
    <w:tbl>
      <w:tblPr>
        <w:tblW w:w="5000" w:type="pct"/>
        <w:tblLayout w:type="fixed"/>
        <w:tblLook w:val="04A0" w:firstRow="1" w:lastRow="0" w:firstColumn="1" w:lastColumn="0" w:noHBand="0" w:noVBand="1"/>
      </w:tblPr>
      <w:tblGrid>
        <w:gridCol w:w="2506"/>
        <w:gridCol w:w="835"/>
        <w:gridCol w:w="1018"/>
        <w:gridCol w:w="1020"/>
        <w:gridCol w:w="1018"/>
        <w:gridCol w:w="1112"/>
        <w:gridCol w:w="1112"/>
        <w:gridCol w:w="739"/>
      </w:tblGrid>
      <w:tr w:rsidR="00C90EDA" w:rsidRPr="00C90EDA" w14:paraId="06B3D904" w14:textId="77777777" w:rsidTr="00FC45AA">
        <w:trPr>
          <w:trHeight w:val="285"/>
        </w:trPr>
        <w:tc>
          <w:tcPr>
            <w:tcW w:w="1338" w:type="pct"/>
            <w:vMerge w:val="restart"/>
            <w:tcBorders>
              <w:top w:val="single" w:sz="12" w:space="0" w:color="auto"/>
            </w:tcBorders>
            <w:shd w:val="clear" w:color="auto" w:fill="D9D9D9" w:themeFill="background1" w:themeFillShade="D9"/>
            <w:vAlign w:val="center"/>
            <w:hideMark/>
          </w:tcPr>
          <w:p w14:paraId="42D538E1" w14:textId="77777777" w:rsidR="00CD1A9F" w:rsidRPr="00C90EDA" w:rsidRDefault="00CD1A9F" w:rsidP="00653F47">
            <w:pPr>
              <w:spacing w:after="0" w:line="240" w:lineRule="auto"/>
              <w:rPr>
                <w:rFonts w:eastAsia="Times New Roman" w:cstheme="minorHAnsi"/>
                <w:b/>
                <w:bCs/>
              </w:rPr>
            </w:pPr>
            <w:r w:rsidRPr="00C90EDA">
              <w:rPr>
                <w:rFonts w:eastAsia="Times New Roman" w:cstheme="minorHAnsi"/>
                <w:b/>
                <w:bCs/>
              </w:rPr>
              <w:t>Discharge Rating for IRF-PAI</w:t>
            </w:r>
            <w:r w:rsidRPr="00C90EDA">
              <w:rPr>
                <w:rFonts w:cstheme="minorHAnsi"/>
              </w:rPr>
              <w:t xml:space="preserve"> </w:t>
            </w:r>
            <w:r w:rsidRPr="00C90EDA">
              <w:rPr>
                <w:rFonts w:eastAsia="Times New Roman" w:cstheme="minorHAnsi"/>
                <w:b/>
                <w:bCs/>
              </w:rPr>
              <w:t>Section GG</w:t>
            </w:r>
          </w:p>
          <w:p w14:paraId="08F3E217" w14:textId="77777777" w:rsidR="00CD1A9F" w:rsidRPr="00C90EDA" w:rsidRDefault="00CD1A9F" w:rsidP="00653F47">
            <w:pPr>
              <w:spacing w:after="0" w:line="240" w:lineRule="auto"/>
              <w:rPr>
                <w:rFonts w:eastAsia="Times New Roman" w:cstheme="minorHAnsi"/>
                <w:b/>
                <w:bCs/>
              </w:rPr>
            </w:pPr>
            <w:r w:rsidRPr="00C90EDA">
              <w:rPr>
                <w:rFonts w:eastAsia="Times New Roman" w:cstheme="minorHAnsi"/>
                <w:b/>
                <w:bCs/>
              </w:rPr>
              <w:t>Self-Care Activities</w:t>
            </w:r>
          </w:p>
        </w:tc>
        <w:tc>
          <w:tcPr>
            <w:tcW w:w="3662" w:type="pct"/>
            <w:gridSpan w:val="7"/>
            <w:tcBorders>
              <w:top w:val="single" w:sz="12" w:space="0" w:color="auto"/>
              <w:bottom w:val="single" w:sz="4" w:space="0" w:color="auto"/>
            </w:tcBorders>
            <w:shd w:val="clear" w:color="auto" w:fill="D9D9D9" w:themeFill="background1" w:themeFillShade="D9"/>
            <w:vAlign w:val="center"/>
            <w:hideMark/>
          </w:tcPr>
          <w:p w14:paraId="0F353160" w14:textId="77777777" w:rsidR="00CD1A9F" w:rsidRPr="00C90EDA" w:rsidRDefault="00CD1A9F" w:rsidP="00653F47">
            <w:pPr>
              <w:spacing w:after="0" w:line="240" w:lineRule="auto"/>
              <w:jc w:val="center"/>
              <w:rPr>
                <w:rFonts w:eastAsia="Times New Roman" w:cstheme="minorHAnsi"/>
                <w:b/>
                <w:bCs/>
              </w:rPr>
            </w:pPr>
            <w:r w:rsidRPr="00C90EDA">
              <w:rPr>
                <w:rFonts w:eastAsia="Times New Roman" w:cstheme="minorHAnsi"/>
                <w:b/>
                <w:bCs/>
              </w:rPr>
              <w:t>Percent Successfully Discharged to Community</w:t>
            </w:r>
          </w:p>
        </w:tc>
      </w:tr>
      <w:tr w:rsidR="00C90EDA" w:rsidRPr="00C90EDA" w14:paraId="40D94DC2" w14:textId="77777777" w:rsidTr="00FC45AA">
        <w:trPr>
          <w:trHeight w:val="457"/>
        </w:trPr>
        <w:tc>
          <w:tcPr>
            <w:tcW w:w="1338" w:type="pct"/>
            <w:vMerge/>
            <w:tcBorders>
              <w:bottom w:val="single" w:sz="4" w:space="0" w:color="auto"/>
            </w:tcBorders>
            <w:shd w:val="clear" w:color="auto" w:fill="D9D9D9" w:themeFill="background1" w:themeFillShade="D9"/>
            <w:vAlign w:val="center"/>
            <w:hideMark/>
          </w:tcPr>
          <w:p w14:paraId="3C991737" w14:textId="77777777" w:rsidR="00CD1A9F" w:rsidRPr="00C90EDA" w:rsidRDefault="00CD1A9F" w:rsidP="00653F47">
            <w:pPr>
              <w:spacing w:after="0" w:line="240" w:lineRule="auto"/>
              <w:rPr>
                <w:rFonts w:eastAsia="Times New Roman" w:cstheme="minorHAnsi"/>
                <w:b/>
                <w:bCs/>
              </w:rPr>
            </w:pPr>
          </w:p>
        </w:tc>
        <w:tc>
          <w:tcPr>
            <w:tcW w:w="446" w:type="pct"/>
            <w:tcBorders>
              <w:top w:val="single" w:sz="4" w:space="0" w:color="auto"/>
              <w:bottom w:val="single" w:sz="4" w:space="0" w:color="auto"/>
            </w:tcBorders>
            <w:shd w:val="clear" w:color="auto" w:fill="D9D9D9" w:themeFill="background1" w:themeFillShade="D9"/>
            <w:vAlign w:val="center"/>
            <w:hideMark/>
          </w:tcPr>
          <w:p w14:paraId="581C6BA0" w14:textId="77777777" w:rsidR="00CD1A9F" w:rsidRPr="00C90EDA" w:rsidRDefault="00CD1A9F" w:rsidP="00653F47">
            <w:pPr>
              <w:spacing w:after="0" w:line="240" w:lineRule="auto"/>
              <w:jc w:val="center"/>
              <w:rPr>
                <w:rFonts w:eastAsia="Times New Roman" w:cstheme="minorHAnsi"/>
                <w:b/>
                <w:bCs/>
              </w:rPr>
            </w:pPr>
            <w:r w:rsidRPr="00C90EDA">
              <w:rPr>
                <w:rFonts w:eastAsia="Times New Roman" w:cstheme="minorHAnsi"/>
                <w:b/>
                <w:bCs/>
              </w:rPr>
              <w:t>Eating</w:t>
            </w:r>
          </w:p>
        </w:tc>
        <w:tc>
          <w:tcPr>
            <w:tcW w:w="544" w:type="pct"/>
            <w:tcBorders>
              <w:top w:val="single" w:sz="4" w:space="0" w:color="auto"/>
              <w:bottom w:val="single" w:sz="4" w:space="0" w:color="auto"/>
            </w:tcBorders>
            <w:shd w:val="clear" w:color="auto" w:fill="D9D9D9" w:themeFill="background1" w:themeFillShade="D9"/>
            <w:vAlign w:val="center"/>
            <w:hideMark/>
          </w:tcPr>
          <w:p w14:paraId="5559C060" w14:textId="77777777" w:rsidR="00CD1A9F" w:rsidRPr="00C90EDA" w:rsidRDefault="00CD1A9F" w:rsidP="00653F47">
            <w:pPr>
              <w:spacing w:after="0" w:line="240" w:lineRule="auto"/>
              <w:jc w:val="center"/>
              <w:rPr>
                <w:rFonts w:eastAsia="Times New Roman" w:cstheme="minorHAnsi"/>
                <w:b/>
                <w:bCs/>
              </w:rPr>
            </w:pPr>
            <w:r w:rsidRPr="00C90EDA">
              <w:rPr>
                <w:rFonts w:eastAsia="Times New Roman" w:cstheme="minorHAnsi"/>
                <w:b/>
                <w:bCs/>
              </w:rPr>
              <w:t>Oral Hygiene</w:t>
            </w:r>
          </w:p>
        </w:tc>
        <w:tc>
          <w:tcPr>
            <w:tcW w:w="545" w:type="pct"/>
            <w:tcBorders>
              <w:top w:val="single" w:sz="4" w:space="0" w:color="auto"/>
              <w:bottom w:val="single" w:sz="4" w:space="0" w:color="auto"/>
            </w:tcBorders>
            <w:shd w:val="clear" w:color="auto" w:fill="D9D9D9" w:themeFill="background1" w:themeFillShade="D9"/>
            <w:vAlign w:val="center"/>
            <w:hideMark/>
          </w:tcPr>
          <w:p w14:paraId="6F360840" w14:textId="77777777" w:rsidR="00CD1A9F" w:rsidRPr="00C90EDA" w:rsidRDefault="00CD1A9F" w:rsidP="00653F47">
            <w:pPr>
              <w:spacing w:after="0" w:line="240" w:lineRule="auto"/>
              <w:jc w:val="center"/>
              <w:rPr>
                <w:rFonts w:eastAsia="Times New Roman" w:cstheme="minorHAnsi"/>
                <w:b/>
                <w:bCs/>
              </w:rPr>
            </w:pPr>
            <w:r w:rsidRPr="00C90EDA">
              <w:rPr>
                <w:rFonts w:eastAsia="Times New Roman" w:cstheme="minorHAnsi"/>
                <w:b/>
                <w:bCs/>
              </w:rPr>
              <w:t>Toilet Hygiene</w:t>
            </w:r>
          </w:p>
        </w:tc>
        <w:tc>
          <w:tcPr>
            <w:tcW w:w="544" w:type="pct"/>
            <w:tcBorders>
              <w:top w:val="single" w:sz="4" w:space="0" w:color="auto"/>
              <w:bottom w:val="single" w:sz="4" w:space="0" w:color="auto"/>
            </w:tcBorders>
            <w:shd w:val="clear" w:color="auto" w:fill="D9D9D9" w:themeFill="background1" w:themeFillShade="D9"/>
            <w:vAlign w:val="center"/>
            <w:hideMark/>
          </w:tcPr>
          <w:p w14:paraId="06E7763D" w14:textId="77777777" w:rsidR="00CD1A9F" w:rsidRPr="00C90EDA" w:rsidRDefault="00CD1A9F" w:rsidP="00653F47">
            <w:pPr>
              <w:spacing w:after="0" w:line="240" w:lineRule="auto"/>
              <w:jc w:val="center"/>
              <w:rPr>
                <w:rFonts w:eastAsia="Times New Roman" w:cstheme="minorHAnsi"/>
                <w:b/>
                <w:bCs/>
              </w:rPr>
            </w:pPr>
            <w:r w:rsidRPr="00C90EDA">
              <w:rPr>
                <w:rFonts w:eastAsia="Times New Roman" w:cstheme="minorHAnsi"/>
                <w:b/>
                <w:bCs/>
              </w:rPr>
              <w:t>Shower</w:t>
            </w:r>
          </w:p>
        </w:tc>
        <w:tc>
          <w:tcPr>
            <w:tcW w:w="594" w:type="pct"/>
            <w:tcBorders>
              <w:top w:val="single" w:sz="4" w:space="0" w:color="auto"/>
              <w:bottom w:val="single" w:sz="4" w:space="0" w:color="auto"/>
            </w:tcBorders>
            <w:shd w:val="clear" w:color="auto" w:fill="D9D9D9" w:themeFill="background1" w:themeFillShade="D9"/>
            <w:vAlign w:val="center"/>
            <w:hideMark/>
          </w:tcPr>
          <w:p w14:paraId="78AFC6B7" w14:textId="77777777" w:rsidR="00CD1A9F" w:rsidRPr="00C90EDA" w:rsidRDefault="00CD1A9F" w:rsidP="00653F47">
            <w:pPr>
              <w:spacing w:after="0" w:line="240" w:lineRule="auto"/>
              <w:jc w:val="center"/>
              <w:rPr>
                <w:rFonts w:eastAsia="Times New Roman" w:cstheme="minorHAnsi"/>
                <w:b/>
                <w:bCs/>
              </w:rPr>
            </w:pPr>
            <w:r w:rsidRPr="00C90EDA">
              <w:rPr>
                <w:rFonts w:eastAsia="Times New Roman" w:cstheme="minorHAnsi"/>
                <w:b/>
                <w:bCs/>
              </w:rPr>
              <w:t>Upper Dressing</w:t>
            </w:r>
          </w:p>
        </w:tc>
        <w:tc>
          <w:tcPr>
            <w:tcW w:w="594" w:type="pct"/>
            <w:tcBorders>
              <w:top w:val="single" w:sz="4" w:space="0" w:color="auto"/>
              <w:bottom w:val="single" w:sz="4" w:space="0" w:color="auto"/>
            </w:tcBorders>
            <w:shd w:val="clear" w:color="auto" w:fill="D9D9D9" w:themeFill="background1" w:themeFillShade="D9"/>
            <w:vAlign w:val="center"/>
            <w:hideMark/>
          </w:tcPr>
          <w:p w14:paraId="0A676267" w14:textId="77777777" w:rsidR="00CD1A9F" w:rsidRPr="00C90EDA" w:rsidRDefault="00CD1A9F" w:rsidP="00653F47">
            <w:pPr>
              <w:spacing w:after="0" w:line="240" w:lineRule="auto"/>
              <w:jc w:val="center"/>
              <w:rPr>
                <w:rFonts w:eastAsia="Times New Roman" w:cstheme="minorHAnsi"/>
                <w:b/>
                <w:bCs/>
              </w:rPr>
            </w:pPr>
            <w:r w:rsidRPr="00C90EDA">
              <w:rPr>
                <w:rFonts w:eastAsia="Times New Roman" w:cstheme="minorHAnsi"/>
                <w:b/>
                <w:bCs/>
              </w:rPr>
              <w:t>Lower Dressing</w:t>
            </w:r>
          </w:p>
        </w:tc>
        <w:tc>
          <w:tcPr>
            <w:tcW w:w="396" w:type="pct"/>
            <w:tcBorders>
              <w:top w:val="single" w:sz="4" w:space="0" w:color="auto"/>
              <w:bottom w:val="single" w:sz="4" w:space="0" w:color="auto"/>
            </w:tcBorders>
            <w:shd w:val="clear" w:color="auto" w:fill="D9D9D9" w:themeFill="background1" w:themeFillShade="D9"/>
            <w:vAlign w:val="center"/>
            <w:hideMark/>
          </w:tcPr>
          <w:p w14:paraId="3B36D013" w14:textId="77777777" w:rsidR="00CD1A9F" w:rsidRPr="00C90EDA" w:rsidRDefault="00CD1A9F" w:rsidP="00653F47">
            <w:pPr>
              <w:spacing w:after="0" w:line="240" w:lineRule="auto"/>
              <w:jc w:val="center"/>
              <w:rPr>
                <w:rFonts w:eastAsia="Times New Roman" w:cstheme="minorHAnsi"/>
                <w:b/>
                <w:bCs/>
              </w:rPr>
            </w:pPr>
            <w:r w:rsidRPr="00C90EDA">
              <w:rPr>
                <w:rFonts w:eastAsia="Times New Roman" w:cstheme="minorHAnsi"/>
                <w:b/>
                <w:bCs/>
              </w:rPr>
              <w:t>Footwear</w:t>
            </w:r>
          </w:p>
        </w:tc>
      </w:tr>
      <w:tr w:rsidR="00C90EDA" w:rsidRPr="00C90EDA" w14:paraId="721B683D" w14:textId="77777777" w:rsidTr="00FC45AA">
        <w:trPr>
          <w:trHeight w:val="285"/>
        </w:trPr>
        <w:tc>
          <w:tcPr>
            <w:tcW w:w="1338" w:type="pct"/>
            <w:tcBorders>
              <w:top w:val="single" w:sz="4" w:space="0" w:color="auto"/>
            </w:tcBorders>
            <w:shd w:val="clear" w:color="auto" w:fill="auto"/>
            <w:noWrap/>
            <w:hideMark/>
          </w:tcPr>
          <w:p w14:paraId="6B88D1AF" w14:textId="77777777" w:rsidR="00CD1A9F" w:rsidRPr="00C90EDA" w:rsidRDefault="00CD1A9F" w:rsidP="00653F47">
            <w:pPr>
              <w:spacing w:after="0" w:line="240" w:lineRule="auto"/>
              <w:rPr>
                <w:rFonts w:eastAsia="Times New Roman" w:cstheme="minorHAnsi"/>
                <w:bCs/>
              </w:rPr>
            </w:pPr>
            <w:r w:rsidRPr="00C90EDA">
              <w:rPr>
                <w:rFonts w:eastAsia="Times New Roman" w:cstheme="minorHAnsi"/>
                <w:bCs/>
              </w:rPr>
              <w:t>01.Dependent</w:t>
            </w:r>
          </w:p>
        </w:tc>
        <w:tc>
          <w:tcPr>
            <w:tcW w:w="446" w:type="pct"/>
            <w:tcBorders>
              <w:top w:val="single" w:sz="4" w:space="0" w:color="auto"/>
            </w:tcBorders>
            <w:shd w:val="clear" w:color="auto" w:fill="auto"/>
            <w:noWrap/>
            <w:vAlign w:val="bottom"/>
          </w:tcPr>
          <w:p w14:paraId="7AE107FA"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34.8</w:t>
            </w:r>
          </w:p>
        </w:tc>
        <w:tc>
          <w:tcPr>
            <w:tcW w:w="544" w:type="pct"/>
            <w:tcBorders>
              <w:top w:val="single" w:sz="4" w:space="0" w:color="auto"/>
            </w:tcBorders>
            <w:shd w:val="clear" w:color="auto" w:fill="auto"/>
            <w:noWrap/>
            <w:vAlign w:val="bottom"/>
          </w:tcPr>
          <w:p w14:paraId="25FC071F"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28.7</w:t>
            </w:r>
          </w:p>
        </w:tc>
        <w:tc>
          <w:tcPr>
            <w:tcW w:w="545" w:type="pct"/>
            <w:tcBorders>
              <w:top w:val="single" w:sz="4" w:space="0" w:color="auto"/>
            </w:tcBorders>
            <w:shd w:val="clear" w:color="auto" w:fill="auto"/>
            <w:noWrap/>
            <w:vAlign w:val="bottom"/>
          </w:tcPr>
          <w:p w14:paraId="50A9E922"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23.4</w:t>
            </w:r>
          </w:p>
        </w:tc>
        <w:tc>
          <w:tcPr>
            <w:tcW w:w="544" w:type="pct"/>
            <w:tcBorders>
              <w:top w:val="single" w:sz="4" w:space="0" w:color="auto"/>
            </w:tcBorders>
            <w:shd w:val="clear" w:color="auto" w:fill="auto"/>
            <w:noWrap/>
            <w:vAlign w:val="bottom"/>
          </w:tcPr>
          <w:p w14:paraId="21619206"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26.8</w:t>
            </w:r>
          </w:p>
        </w:tc>
        <w:tc>
          <w:tcPr>
            <w:tcW w:w="594" w:type="pct"/>
            <w:tcBorders>
              <w:top w:val="single" w:sz="4" w:space="0" w:color="auto"/>
            </w:tcBorders>
            <w:shd w:val="clear" w:color="auto" w:fill="auto"/>
            <w:noWrap/>
            <w:vAlign w:val="bottom"/>
          </w:tcPr>
          <w:p w14:paraId="372BAD66"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27.0</w:t>
            </w:r>
          </w:p>
        </w:tc>
        <w:tc>
          <w:tcPr>
            <w:tcW w:w="594" w:type="pct"/>
            <w:tcBorders>
              <w:top w:val="single" w:sz="4" w:space="0" w:color="auto"/>
            </w:tcBorders>
            <w:shd w:val="clear" w:color="auto" w:fill="auto"/>
            <w:noWrap/>
            <w:vAlign w:val="bottom"/>
          </w:tcPr>
          <w:p w14:paraId="21A7E4E5"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28.9</w:t>
            </w:r>
          </w:p>
        </w:tc>
        <w:tc>
          <w:tcPr>
            <w:tcW w:w="396" w:type="pct"/>
            <w:tcBorders>
              <w:top w:val="single" w:sz="4" w:space="0" w:color="auto"/>
            </w:tcBorders>
            <w:shd w:val="clear" w:color="auto" w:fill="auto"/>
            <w:noWrap/>
            <w:vAlign w:val="bottom"/>
          </w:tcPr>
          <w:p w14:paraId="4104D991"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36.8</w:t>
            </w:r>
          </w:p>
        </w:tc>
      </w:tr>
      <w:tr w:rsidR="00C90EDA" w:rsidRPr="00C90EDA" w14:paraId="2BEE0A36" w14:textId="77777777" w:rsidTr="00FC45AA">
        <w:trPr>
          <w:trHeight w:val="285"/>
        </w:trPr>
        <w:tc>
          <w:tcPr>
            <w:tcW w:w="1338" w:type="pct"/>
            <w:shd w:val="clear" w:color="auto" w:fill="auto"/>
            <w:hideMark/>
          </w:tcPr>
          <w:p w14:paraId="207AE0D3" w14:textId="77777777" w:rsidR="00CD1A9F" w:rsidRPr="00C90EDA" w:rsidRDefault="00CD1A9F" w:rsidP="00653F47">
            <w:pPr>
              <w:spacing w:after="0" w:line="240" w:lineRule="auto"/>
              <w:rPr>
                <w:rFonts w:eastAsia="Times New Roman" w:cstheme="minorHAnsi"/>
                <w:bCs/>
              </w:rPr>
            </w:pPr>
            <w:r w:rsidRPr="00C90EDA">
              <w:rPr>
                <w:rFonts w:eastAsia="Times New Roman" w:cstheme="minorHAnsi"/>
                <w:bCs/>
              </w:rPr>
              <w:t>02. Substantial/maximal assistance</w:t>
            </w:r>
          </w:p>
        </w:tc>
        <w:tc>
          <w:tcPr>
            <w:tcW w:w="446" w:type="pct"/>
            <w:shd w:val="clear" w:color="auto" w:fill="auto"/>
            <w:noWrap/>
            <w:vAlign w:val="bottom"/>
          </w:tcPr>
          <w:p w14:paraId="250FD173"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33.7</w:t>
            </w:r>
          </w:p>
        </w:tc>
        <w:tc>
          <w:tcPr>
            <w:tcW w:w="544" w:type="pct"/>
            <w:shd w:val="clear" w:color="auto" w:fill="auto"/>
            <w:noWrap/>
            <w:vAlign w:val="bottom"/>
          </w:tcPr>
          <w:p w14:paraId="6AE2F79A"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29.9</w:t>
            </w:r>
          </w:p>
        </w:tc>
        <w:tc>
          <w:tcPr>
            <w:tcW w:w="545" w:type="pct"/>
            <w:shd w:val="clear" w:color="auto" w:fill="auto"/>
            <w:noWrap/>
            <w:vAlign w:val="bottom"/>
          </w:tcPr>
          <w:p w14:paraId="2041AC15"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40.9</w:t>
            </w:r>
          </w:p>
        </w:tc>
        <w:tc>
          <w:tcPr>
            <w:tcW w:w="544" w:type="pct"/>
            <w:shd w:val="clear" w:color="auto" w:fill="auto"/>
            <w:noWrap/>
            <w:vAlign w:val="bottom"/>
          </w:tcPr>
          <w:p w14:paraId="12737314"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36.7</w:t>
            </w:r>
          </w:p>
        </w:tc>
        <w:tc>
          <w:tcPr>
            <w:tcW w:w="594" w:type="pct"/>
            <w:shd w:val="clear" w:color="auto" w:fill="auto"/>
            <w:noWrap/>
            <w:vAlign w:val="bottom"/>
          </w:tcPr>
          <w:p w14:paraId="72128ABF"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33.9</w:t>
            </w:r>
          </w:p>
        </w:tc>
        <w:tc>
          <w:tcPr>
            <w:tcW w:w="594" w:type="pct"/>
            <w:shd w:val="clear" w:color="auto" w:fill="auto"/>
            <w:noWrap/>
            <w:vAlign w:val="bottom"/>
          </w:tcPr>
          <w:p w14:paraId="4C61C256"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40.4</w:t>
            </w:r>
          </w:p>
        </w:tc>
        <w:tc>
          <w:tcPr>
            <w:tcW w:w="396" w:type="pct"/>
            <w:shd w:val="clear" w:color="auto" w:fill="auto"/>
            <w:noWrap/>
            <w:vAlign w:val="bottom"/>
          </w:tcPr>
          <w:p w14:paraId="5D694E4F"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45.3</w:t>
            </w:r>
          </w:p>
        </w:tc>
      </w:tr>
      <w:tr w:rsidR="00C90EDA" w:rsidRPr="00C90EDA" w14:paraId="3BB9995B" w14:textId="77777777" w:rsidTr="00FC45AA">
        <w:trPr>
          <w:trHeight w:val="285"/>
        </w:trPr>
        <w:tc>
          <w:tcPr>
            <w:tcW w:w="1338" w:type="pct"/>
            <w:shd w:val="clear" w:color="auto" w:fill="auto"/>
            <w:hideMark/>
          </w:tcPr>
          <w:p w14:paraId="660A8777" w14:textId="77777777" w:rsidR="00CD1A9F" w:rsidRPr="00C90EDA" w:rsidRDefault="00CD1A9F" w:rsidP="00653F47">
            <w:pPr>
              <w:spacing w:after="0" w:line="240" w:lineRule="auto"/>
              <w:rPr>
                <w:rFonts w:eastAsia="Times New Roman" w:cstheme="minorHAnsi"/>
                <w:bCs/>
              </w:rPr>
            </w:pPr>
            <w:r w:rsidRPr="00C90EDA">
              <w:rPr>
                <w:rFonts w:eastAsia="Times New Roman" w:cstheme="minorHAnsi"/>
                <w:bCs/>
              </w:rPr>
              <w:t xml:space="preserve">03. Partial/moderate assistance </w:t>
            </w:r>
          </w:p>
        </w:tc>
        <w:tc>
          <w:tcPr>
            <w:tcW w:w="446" w:type="pct"/>
            <w:shd w:val="clear" w:color="auto" w:fill="auto"/>
            <w:noWrap/>
            <w:vAlign w:val="bottom"/>
          </w:tcPr>
          <w:p w14:paraId="3CFBD5DE"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36.1</w:t>
            </w:r>
          </w:p>
        </w:tc>
        <w:tc>
          <w:tcPr>
            <w:tcW w:w="544" w:type="pct"/>
            <w:shd w:val="clear" w:color="auto" w:fill="auto"/>
            <w:noWrap/>
            <w:vAlign w:val="bottom"/>
          </w:tcPr>
          <w:p w14:paraId="2448863C"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37.9</w:t>
            </w:r>
          </w:p>
        </w:tc>
        <w:tc>
          <w:tcPr>
            <w:tcW w:w="545" w:type="pct"/>
            <w:shd w:val="clear" w:color="auto" w:fill="auto"/>
            <w:noWrap/>
            <w:vAlign w:val="bottom"/>
          </w:tcPr>
          <w:p w14:paraId="0D526472"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53.9</w:t>
            </w:r>
          </w:p>
        </w:tc>
        <w:tc>
          <w:tcPr>
            <w:tcW w:w="544" w:type="pct"/>
            <w:shd w:val="clear" w:color="auto" w:fill="auto"/>
            <w:noWrap/>
            <w:vAlign w:val="bottom"/>
          </w:tcPr>
          <w:p w14:paraId="2CE4292E"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51.5</w:t>
            </w:r>
          </w:p>
        </w:tc>
        <w:tc>
          <w:tcPr>
            <w:tcW w:w="594" w:type="pct"/>
            <w:shd w:val="clear" w:color="auto" w:fill="auto"/>
            <w:noWrap/>
            <w:vAlign w:val="bottom"/>
          </w:tcPr>
          <w:p w14:paraId="480C934A"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48.4</w:t>
            </w:r>
          </w:p>
        </w:tc>
        <w:tc>
          <w:tcPr>
            <w:tcW w:w="594" w:type="pct"/>
            <w:shd w:val="clear" w:color="auto" w:fill="auto"/>
            <w:noWrap/>
            <w:vAlign w:val="bottom"/>
          </w:tcPr>
          <w:p w14:paraId="257B65F6"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56.3</w:t>
            </w:r>
          </w:p>
        </w:tc>
        <w:tc>
          <w:tcPr>
            <w:tcW w:w="396" w:type="pct"/>
            <w:shd w:val="clear" w:color="auto" w:fill="auto"/>
            <w:noWrap/>
            <w:vAlign w:val="bottom"/>
          </w:tcPr>
          <w:p w14:paraId="0A034D50"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60.4</w:t>
            </w:r>
          </w:p>
        </w:tc>
      </w:tr>
      <w:tr w:rsidR="00C90EDA" w:rsidRPr="00C90EDA" w14:paraId="040A5DBE" w14:textId="77777777" w:rsidTr="00FC45AA">
        <w:trPr>
          <w:trHeight w:val="285"/>
        </w:trPr>
        <w:tc>
          <w:tcPr>
            <w:tcW w:w="1338" w:type="pct"/>
            <w:shd w:val="clear" w:color="auto" w:fill="auto"/>
            <w:hideMark/>
          </w:tcPr>
          <w:p w14:paraId="5A3D00BD" w14:textId="77777777" w:rsidR="00CD1A9F" w:rsidRPr="00C90EDA" w:rsidRDefault="00CD1A9F" w:rsidP="00653F47">
            <w:pPr>
              <w:spacing w:after="0" w:line="240" w:lineRule="auto"/>
              <w:rPr>
                <w:rFonts w:eastAsia="Times New Roman" w:cstheme="minorHAnsi"/>
                <w:bCs/>
              </w:rPr>
            </w:pPr>
            <w:r w:rsidRPr="00C90EDA">
              <w:rPr>
                <w:rFonts w:eastAsia="Times New Roman" w:cstheme="minorHAnsi"/>
                <w:bCs/>
              </w:rPr>
              <w:t>04. Supervision or touching assistance</w:t>
            </w:r>
          </w:p>
        </w:tc>
        <w:tc>
          <w:tcPr>
            <w:tcW w:w="446" w:type="pct"/>
            <w:shd w:val="clear" w:color="auto" w:fill="auto"/>
            <w:noWrap/>
            <w:vAlign w:val="bottom"/>
          </w:tcPr>
          <w:p w14:paraId="715233D7"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50.3</w:t>
            </w:r>
          </w:p>
        </w:tc>
        <w:tc>
          <w:tcPr>
            <w:tcW w:w="544" w:type="pct"/>
            <w:shd w:val="clear" w:color="auto" w:fill="auto"/>
            <w:noWrap/>
            <w:vAlign w:val="bottom"/>
          </w:tcPr>
          <w:p w14:paraId="799BAF7F"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54.8</w:t>
            </w:r>
          </w:p>
        </w:tc>
        <w:tc>
          <w:tcPr>
            <w:tcW w:w="545" w:type="pct"/>
            <w:shd w:val="clear" w:color="auto" w:fill="auto"/>
            <w:noWrap/>
            <w:vAlign w:val="bottom"/>
          </w:tcPr>
          <w:p w14:paraId="64A886A8"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67.3</w:t>
            </w:r>
          </w:p>
        </w:tc>
        <w:tc>
          <w:tcPr>
            <w:tcW w:w="544" w:type="pct"/>
            <w:shd w:val="clear" w:color="auto" w:fill="auto"/>
            <w:noWrap/>
            <w:vAlign w:val="bottom"/>
          </w:tcPr>
          <w:p w14:paraId="3042CE0C"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70.3</w:t>
            </w:r>
          </w:p>
        </w:tc>
        <w:tc>
          <w:tcPr>
            <w:tcW w:w="594" w:type="pct"/>
            <w:shd w:val="clear" w:color="auto" w:fill="auto"/>
            <w:noWrap/>
            <w:vAlign w:val="bottom"/>
          </w:tcPr>
          <w:p w14:paraId="0DE7753C"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61.4</w:t>
            </w:r>
          </w:p>
        </w:tc>
        <w:tc>
          <w:tcPr>
            <w:tcW w:w="594" w:type="pct"/>
            <w:shd w:val="clear" w:color="auto" w:fill="auto"/>
            <w:noWrap/>
            <w:vAlign w:val="bottom"/>
          </w:tcPr>
          <w:p w14:paraId="03892E3B"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68.8</w:t>
            </w:r>
          </w:p>
        </w:tc>
        <w:tc>
          <w:tcPr>
            <w:tcW w:w="396" w:type="pct"/>
            <w:shd w:val="clear" w:color="auto" w:fill="auto"/>
            <w:noWrap/>
            <w:vAlign w:val="bottom"/>
          </w:tcPr>
          <w:p w14:paraId="40BF4016"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68.9</w:t>
            </w:r>
          </w:p>
        </w:tc>
      </w:tr>
      <w:tr w:rsidR="00C90EDA" w:rsidRPr="00C90EDA" w14:paraId="54B44CA1" w14:textId="77777777" w:rsidTr="00FC45AA">
        <w:trPr>
          <w:trHeight w:val="285"/>
        </w:trPr>
        <w:tc>
          <w:tcPr>
            <w:tcW w:w="1338" w:type="pct"/>
            <w:shd w:val="clear" w:color="auto" w:fill="auto"/>
            <w:hideMark/>
          </w:tcPr>
          <w:p w14:paraId="1CBAFC05" w14:textId="77777777" w:rsidR="00CD1A9F" w:rsidRPr="00C90EDA" w:rsidRDefault="00CD1A9F" w:rsidP="00653F47">
            <w:pPr>
              <w:spacing w:after="0" w:line="240" w:lineRule="auto"/>
              <w:rPr>
                <w:rFonts w:eastAsia="Times New Roman" w:cstheme="minorHAnsi"/>
                <w:bCs/>
              </w:rPr>
            </w:pPr>
            <w:r w:rsidRPr="00C90EDA">
              <w:rPr>
                <w:rFonts w:eastAsia="Times New Roman" w:cstheme="minorHAnsi"/>
                <w:bCs/>
              </w:rPr>
              <w:t xml:space="preserve">05. Setup or clean-up assistance </w:t>
            </w:r>
          </w:p>
        </w:tc>
        <w:tc>
          <w:tcPr>
            <w:tcW w:w="446" w:type="pct"/>
            <w:shd w:val="clear" w:color="auto" w:fill="auto"/>
            <w:noWrap/>
            <w:vAlign w:val="bottom"/>
          </w:tcPr>
          <w:p w14:paraId="4C6315EC"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57.0</w:t>
            </w:r>
          </w:p>
        </w:tc>
        <w:tc>
          <w:tcPr>
            <w:tcW w:w="544" w:type="pct"/>
            <w:shd w:val="clear" w:color="auto" w:fill="auto"/>
            <w:noWrap/>
            <w:vAlign w:val="bottom"/>
          </w:tcPr>
          <w:p w14:paraId="104CCADD"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56.8</w:t>
            </w:r>
          </w:p>
        </w:tc>
        <w:tc>
          <w:tcPr>
            <w:tcW w:w="545" w:type="pct"/>
            <w:shd w:val="clear" w:color="auto" w:fill="auto"/>
            <w:noWrap/>
            <w:vAlign w:val="bottom"/>
          </w:tcPr>
          <w:p w14:paraId="6D0F48BD"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71.4</w:t>
            </w:r>
          </w:p>
        </w:tc>
        <w:tc>
          <w:tcPr>
            <w:tcW w:w="544" w:type="pct"/>
            <w:shd w:val="clear" w:color="auto" w:fill="auto"/>
            <w:noWrap/>
            <w:vAlign w:val="bottom"/>
          </w:tcPr>
          <w:p w14:paraId="7E666D4C"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76.1</w:t>
            </w:r>
          </w:p>
        </w:tc>
        <w:tc>
          <w:tcPr>
            <w:tcW w:w="594" w:type="pct"/>
            <w:shd w:val="clear" w:color="auto" w:fill="auto"/>
            <w:noWrap/>
            <w:vAlign w:val="bottom"/>
          </w:tcPr>
          <w:p w14:paraId="3A7BF984"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63.7</w:t>
            </w:r>
          </w:p>
        </w:tc>
        <w:tc>
          <w:tcPr>
            <w:tcW w:w="594" w:type="pct"/>
            <w:shd w:val="clear" w:color="auto" w:fill="auto"/>
            <w:noWrap/>
            <w:vAlign w:val="bottom"/>
          </w:tcPr>
          <w:p w14:paraId="41200F00"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74.9</w:t>
            </w:r>
          </w:p>
        </w:tc>
        <w:tc>
          <w:tcPr>
            <w:tcW w:w="396" w:type="pct"/>
            <w:shd w:val="clear" w:color="auto" w:fill="auto"/>
            <w:noWrap/>
            <w:vAlign w:val="bottom"/>
          </w:tcPr>
          <w:p w14:paraId="05EC48DF"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72.0</w:t>
            </w:r>
          </w:p>
        </w:tc>
      </w:tr>
      <w:tr w:rsidR="00C90EDA" w:rsidRPr="00C90EDA" w14:paraId="4DF7EEFE" w14:textId="77777777" w:rsidTr="00FC45AA">
        <w:trPr>
          <w:trHeight w:val="285"/>
        </w:trPr>
        <w:tc>
          <w:tcPr>
            <w:tcW w:w="1338" w:type="pct"/>
            <w:tcBorders>
              <w:bottom w:val="single" w:sz="4" w:space="0" w:color="auto"/>
            </w:tcBorders>
            <w:shd w:val="clear" w:color="auto" w:fill="auto"/>
            <w:hideMark/>
          </w:tcPr>
          <w:p w14:paraId="23ECB07B" w14:textId="77777777" w:rsidR="00CD1A9F" w:rsidRPr="00C90EDA" w:rsidRDefault="00CD1A9F" w:rsidP="00653F47">
            <w:pPr>
              <w:spacing w:after="0" w:line="240" w:lineRule="auto"/>
              <w:rPr>
                <w:rFonts w:eastAsia="Times New Roman" w:cstheme="minorHAnsi"/>
                <w:bCs/>
              </w:rPr>
            </w:pPr>
            <w:r w:rsidRPr="00C90EDA">
              <w:rPr>
                <w:rFonts w:eastAsia="Times New Roman" w:cstheme="minorHAnsi"/>
                <w:bCs/>
              </w:rPr>
              <w:t xml:space="preserve">06. Independent </w:t>
            </w:r>
          </w:p>
        </w:tc>
        <w:tc>
          <w:tcPr>
            <w:tcW w:w="446" w:type="pct"/>
            <w:tcBorders>
              <w:bottom w:val="single" w:sz="4" w:space="0" w:color="auto"/>
            </w:tcBorders>
            <w:shd w:val="clear" w:color="auto" w:fill="auto"/>
            <w:noWrap/>
            <w:vAlign w:val="bottom"/>
          </w:tcPr>
          <w:p w14:paraId="4A3B190D"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78.1</w:t>
            </w:r>
          </w:p>
        </w:tc>
        <w:tc>
          <w:tcPr>
            <w:tcW w:w="544" w:type="pct"/>
            <w:tcBorders>
              <w:bottom w:val="single" w:sz="4" w:space="0" w:color="auto"/>
            </w:tcBorders>
            <w:shd w:val="clear" w:color="auto" w:fill="auto"/>
            <w:noWrap/>
            <w:vAlign w:val="bottom"/>
          </w:tcPr>
          <w:p w14:paraId="583CF4AB"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80.5</w:t>
            </w:r>
          </w:p>
        </w:tc>
        <w:tc>
          <w:tcPr>
            <w:tcW w:w="545" w:type="pct"/>
            <w:tcBorders>
              <w:bottom w:val="single" w:sz="4" w:space="0" w:color="auto"/>
            </w:tcBorders>
            <w:shd w:val="clear" w:color="auto" w:fill="auto"/>
            <w:noWrap/>
            <w:vAlign w:val="bottom"/>
          </w:tcPr>
          <w:p w14:paraId="35832202"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85.2</w:t>
            </w:r>
          </w:p>
        </w:tc>
        <w:tc>
          <w:tcPr>
            <w:tcW w:w="544" w:type="pct"/>
            <w:tcBorders>
              <w:bottom w:val="single" w:sz="4" w:space="0" w:color="auto"/>
            </w:tcBorders>
            <w:shd w:val="clear" w:color="auto" w:fill="auto"/>
            <w:noWrap/>
            <w:vAlign w:val="bottom"/>
          </w:tcPr>
          <w:p w14:paraId="02BC710F"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86.4</w:t>
            </w:r>
          </w:p>
        </w:tc>
        <w:tc>
          <w:tcPr>
            <w:tcW w:w="594" w:type="pct"/>
            <w:tcBorders>
              <w:bottom w:val="single" w:sz="4" w:space="0" w:color="auto"/>
            </w:tcBorders>
            <w:shd w:val="clear" w:color="auto" w:fill="auto"/>
            <w:noWrap/>
            <w:vAlign w:val="bottom"/>
          </w:tcPr>
          <w:p w14:paraId="124A071F"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88.7</w:t>
            </w:r>
          </w:p>
        </w:tc>
        <w:tc>
          <w:tcPr>
            <w:tcW w:w="594" w:type="pct"/>
            <w:tcBorders>
              <w:bottom w:val="single" w:sz="4" w:space="0" w:color="auto"/>
            </w:tcBorders>
            <w:shd w:val="clear" w:color="auto" w:fill="auto"/>
            <w:noWrap/>
            <w:vAlign w:val="bottom"/>
          </w:tcPr>
          <w:p w14:paraId="3CFFEC5B"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86.2</w:t>
            </w:r>
          </w:p>
        </w:tc>
        <w:tc>
          <w:tcPr>
            <w:tcW w:w="396" w:type="pct"/>
            <w:tcBorders>
              <w:bottom w:val="single" w:sz="4" w:space="0" w:color="auto"/>
            </w:tcBorders>
            <w:shd w:val="clear" w:color="auto" w:fill="auto"/>
            <w:noWrap/>
            <w:vAlign w:val="bottom"/>
          </w:tcPr>
          <w:p w14:paraId="411B4376"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85.5</w:t>
            </w:r>
          </w:p>
        </w:tc>
      </w:tr>
    </w:tbl>
    <w:p w14:paraId="3B985A0B" w14:textId="77777777" w:rsidR="00CD1A9F" w:rsidRPr="00C90EDA" w:rsidRDefault="00CD1A9F" w:rsidP="00653F47">
      <w:pPr>
        <w:spacing w:after="0" w:line="240" w:lineRule="auto"/>
        <w:rPr>
          <w:rFonts w:cstheme="minorHAnsi"/>
          <w:bCs/>
        </w:rPr>
      </w:pPr>
      <w:r w:rsidRPr="00C90EDA">
        <w:rPr>
          <w:rFonts w:cstheme="minorHAnsi"/>
          <w:bCs/>
          <w:sz w:val="18"/>
        </w:rPr>
        <w:t>RTI Analysis of Medicare Claims File for IRF FY 2017 (reference: MM210).</w:t>
      </w:r>
    </w:p>
    <w:p w14:paraId="5EC334AE" w14:textId="08796050" w:rsidR="00CD1A9F" w:rsidRDefault="00CD1A9F" w:rsidP="00653F47">
      <w:pPr>
        <w:autoSpaceDE w:val="0"/>
        <w:autoSpaceDN w:val="0"/>
        <w:adjustRightInd w:val="0"/>
        <w:spacing w:after="0" w:line="240" w:lineRule="auto"/>
        <w:rPr>
          <w:rFonts w:cstheme="minorHAnsi"/>
          <w:b/>
          <w:bCs/>
        </w:rPr>
      </w:pPr>
    </w:p>
    <w:p w14:paraId="0A4E7CD8" w14:textId="00FF0EC5" w:rsidR="008F3A11" w:rsidRPr="00C90EDA" w:rsidRDefault="00CD1A9F" w:rsidP="008F3A11">
      <w:pPr>
        <w:autoSpaceDE w:val="0"/>
        <w:autoSpaceDN w:val="0"/>
        <w:adjustRightInd w:val="0"/>
        <w:spacing w:after="0" w:line="240" w:lineRule="auto"/>
        <w:rPr>
          <w:rFonts w:eastAsia="Times New Roman" w:cstheme="minorHAnsi"/>
        </w:rPr>
      </w:pPr>
      <w:r w:rsidRPr="00C90EDA">
        <w:rPr>
          <w:rFonts w:cstheme="minorHAnsi"/>
          <w:b/>
          <w:bCs/>
        </w:rPr>
        <w:t xml:space="preserve">Table A-2a. </w:t>
      </w:r>
      <w:r w:rsidR="008F3A11" w:rsidRPr="00C90EDA">
        <w:rPr>
          <w:rFonts w:cstheme="minorHAnsi"/>
          <w:b/>
          <w:bCs/>
        </w:rPr>
        <w:t xml:space="preserve">Percentage of </w:t>
      </w:r>
      <w:r w:rsidR="008F3A11">
        <w:rPr>
          <w:rFonts w:cstheme="minorHAnsi"/>
          <w:b/>
          <w:bCs/>
        </w:rPr>
        <w:t>Patient</w:t>
      </w:r>
      <w:r w:rsidR="00670133">
        <w:rPr>
          <w:rFonts w:cstheme="minorHAnsi"/>
          <w:b/>
          <w:bCs/>
        </w:rPr>
        <w:t xml:space="preserve"> Stay</w:t>
      </w:r>
      <w:r w:rsidR="008F3A11">
        <w:rPr>
          <w:rFonts w:cstheme="minorHAnsi"/>
          <w:b/>
          <w:bCs/>
        </w:rPr>
        <w:t>s</w:t>
      </w:r>
      <w:r w:rsidR="008F3A11" w:rsidRPr="00C90EDA">
        <w:rPr>
          <w:rFonts w:cstheme="minorHAnsi"/>
          <w:b/>
          <w:bCs/>
        </w:rPr>
        <w:t xml:space="preserve"> Successfully Discharged to Community by Mobility Functional Ability at Discharge</w:t>
      </w:r>
      <w:r w:rsidR="008F3A11" w:rsidRPr="00C90EDA">
        <w:rPr>
          <w:rFonts w:eastAsia="Times New Roman" w:cstheme="minorHAnsi"/>
        </w:rPr>
        <w:t> </w:t>
      </w:r>
    </w:p>
    <w:p w14:paraId="13FF63BF" w14:textId="77777777" w:rsidR="00CD1A9F" w:rsidRPr="00C90EDA" w:rsidRDefault="00CD1A9F" w:rsidP="00653F47">
      <w:pPr>
        <w:autoSpaceDE w:val="0"/>
        <w:autoSpaceDN w:val="0"/>
        <w:adjustRightInd w:val="0"/>
        <w:spacing w:after="0" w:line="240" w:lineRule="auto"/>
        <w:rPr>
          <w:rFonts w:cstheme="minorHAnsi"/>
          <w:bCs/>
        </w:rPr>
      </w:pPr>
    </w:p>
    <w:tbl>
      <w:tblPr>
        <w:tblW w:w="5000" w:type="pct"/>
        <w:tblBorders>
          <w:top w:val="single" w:sz="4" w:space="0" w:color="auto"/>
          <w:bottom w:val="single" w:sz="4" w:space="0" w:color="auto"/>
        </w:tblBorders>
        <w:tblLook w:val="04A0" w:firstRow="1" w:lastRow="0" w:firstColumn="1" w:lastColumn="0" w:noHBand="0" w:noVBand="1"/>
      </w:tblPr>
      <w:tblGrid>
        <w:gridCol w:w="2401"/>
        <w:gridCol w:w="1084"/>
        <w:gridCol w:w="910"/>
        <w:gridCol w:w="910"/>
        <w:gridCol w:w="912"/>
        <w:gridCol w:w="1035"/>
        <w:gridCol w:w="1035"/>
        <w:gridCol w:w="1073"/>
      </w:tblGrid>
      <w:tr w:rsidR="00C90EDA" w:rsidRPr="00C90EDA" w14:paraId="75144872" w14:textId="77777777" w:rsidTr="00FC45AA">
        <w:trPr>
          <w:trHeight w:val="285"/>
        </w:trPr>
        <w:tc>
          <w:tcPr>
            <w:tcW w:w="1283" w:type="pct"/>
            <w:vMerge w:val="restart"/>
            <w:tcBorders>
              <w:top w:val="single" w:sz="12" w:space="0" w:color="auto"/>
            </w:tcBorders>
            <w:shd w:val="clear" w:color="auto" w:fill="D9D9D9" w:themeFill="background1" w:themeFillShade="D9"/>
            <w:vAlign w:val="center"/>
            <w:hideMark/>
          </w:tcPr>
          <w:p w14:paraId="47A24C7D" w14:textId="77777777" w:rsidR="00CD1A9F" w:rsidRPr="00C90EDA" w:rsidRDefault="00CD1A9F" w:rsidP="00653F47">
            <w:pPr>
              <w:spacing w:after="0" w:line="240" w:lineRule="auto"/>
              <w:rPr>
                <w:rFonts w:cstheme="minorHAnsi"/>
                <w:b/>
              </w:rPr>
            </w:pPr>
            <w:r w:rsidRPr="00C90EDA">
              <w:rPr>
                <w:rFonts w:cstheme="minorHAnsi"/>
                <w:b/>
              </w:rPr>
              <w:t>Discharge Rating for IRF-PAI</w:t>
            </w:r>
            <w:r w:rsidRPr="00C90EDA" w:rsidDel="00431F87">
              <w:rPr>
                <w:rFonts w:cstheme="minorHAnsi"/>
                <w:b/>
              </w:rPr>
              <w:t xml:space="preserve"> </w:t>
            </w:r>
            <w:r w:rsidRPr="00C90EDA">
              <w:rPr>
                <w:rFonts w:cstheme="minorHAnsi"/>
                <w:b/>
                <w:bCs/>
              </w:rPr>
              <w:t>Section</w:t>
            </w:r>
            <w:r w:rsidRPr="00C90EDA">
              <w:rPr>
                <w:rFonts w:cstheme="minorHAnsi"/>
                <w:b/>
              </w:rPr>
              <w:t xml:space="preserve"> GG</w:t>
            </w:r>
          </w:p>
          <w:p w14:paraId="385D276F" w14:textId="77777777" w:rsidR="00CD1A9F" w:rsidRPr="00C90EDA" w:rsidRDefault="00CD1A9F" w:rsidP="00653F47">
            <w:pPr>
              <w:spacing w:after="0" w:line="240" w:lineRule="auto"/>
              <w:rPr>
                <w:rFonts w:eastAsia="Times New Roman" w:cstheme="minorHAnsi"/>
                <w:b/>
                <w:bCs/>
              </w:rPr>
            </w:pPr>
            <w:r w:rsidRPr="00C90EDA">
              <w:rPr>
                <w:rFonts w:eastAsia="Times New Roman" w:cstheme="minorHAnsi"/>
                <w:b/>
                <w:bCs/>
              </w:rPr>
              <w:t>Mobility Activities</w:t>
            </w:r>
          </w:p>
        </w:tc>
        <w:tc>
          <w:tcPr>
            <w:tcW w:w="3717" w:type="pct"/>
            <w:gridSpan w:val="7"/>
            <w:tcBorders>
              <w:top w:val="single" w:sz="12" w:space="0" w:color="auto"/>
              <w:bottom w:val="single" w:sz="4" w:space="0" w:color="auto"/>
            </w:tcBorders>
            <w:shd w:val="clear" w:color="auto" w:fill="D9D9D9" w:themeFill="background1" w:themeFillShade="D9"/>
            <w:vAlign w:val="center"/>
            <w:hideMark/>
          </w:tcPr>
          <w:p w14:paraId="68BEA6DD" w14:textId="77777777" w:rsidR="00CD1A9F" w:rsidRPr="00C90EDA" w:rsidRDefault="00CD1A9F" w:rsidP="00653F47">
            <w:pPr>
              <w:spacing w:after="0" w:line="240" w:lineRule="auto"/>
              <w:jc w:val="center"/>
              <w:rPr>
                <w:rFonts w:eastAsia="Times New Roman" w:cstheme="minorHAnsi"/>
                <w:b/>
                <w:bCs/>
              </w:rPr>
            </w:pPr>
            <w:r w:rsidRPr="00C90EDA">
              <w:rPr>
                <w:rFonts w:eastAsia="Times New Roman" w:cstheme="minorHAnsi"/>
                <w:b/>
                <w:bCs/>
              </w:rPr>
              <w:t>Percent Successfully Discharged to Community</w:t>
            </w:r>
          </w:p>
        </w:tc>
      </w:tr>
      <w:tr w:rsidR="00C90EDA" w:rsidRPr="00C90EDA" w14:paraId="4753621C" w14:textId="77777777" w:rsidTr="00FC45AA">
        <w:trPr>
          <w:trHeight w:val="457"/>
        </w:trPr>
        <w:tc>
          <w:tcPr>
            <w:tcW w:w="1283" w:type="pct"/>
            <w:vMerge/>
            <w:tcBorders>
              <w:bottom w:val="single" w:sz="4" w:space="0" w:color="auto"/>
            </w:tcBorders>
            <w:shd w:val="clear" w:color="auto" w:fill="D9D9D9" w:themeFill="background1" w:themeFillShade="D9"/>
            <w:vAlign w:val="center"/>
            <w:hideMark/>
          </w:tcPr>
          <w:p w14:paraId="262C274A" w14:textId="77777777" w:rsidR="00CD1A9F" w:rsidRPr="00C90EDA" w:rsidRDefault="00CD1A9F" w:rsidP="00653F47">
            <w:pPr>
              <w:spacing w:after="0" w:line="240" w:lineRule="auto"/>
              <w:rPr>
                <w:rFonts w:eastAsia="Times New Roman" w:cstheme="minorHAnsi"/>
                <w:b/>
                <w:bCs/>
              </w:rPr>
            </w:pPr>
          </w:p>
        </w:tc>
        <w:tc>
          <w:tcPr>
            <w:tcW w:w="579" w:type="pct"/>
            <w:tcBorders>
              <w:top w:val="single" w:sz="4" w:space="0" w:color="auto"/>
              <w:bottom w:val="single" w:sz="4" w:space="0" w:color="auto"/>
            </w:tcBorders>
            <w:shd w:val="clear" w:color="auto" w:fill="D9D9D9" w:themeFill="background1" w:themeFillShade="D9"/>
            <w:vAlign w:val="center"/>
          </w:tcPr>
          <w:p w14:paraId="06EC0EB0" w14:textId="77777777" w:rsidR="00CD1A9F" w:rsidRPr="00C90EDA" w:rsidRDefault="00CD1A9F" w:rsidP="00653F47">
            <w:pPr>
              <w:spacing w:after="0" w:line="240" w:lineRule="auto"/>
              <w:jc w:val="center"/>
              <w:rPr>
                <w:rFonts w:eastAsia="Times New Roman" w:cstheme="minorHAnsi"/>
                <w:b/>
                <w:bCs/>
              </w:rPr>
            </w:pPr>
            <w:r w:rsidRPr="00C90EDA">
              <w:rPr>
                <w:rFonts w:eastAsia="Times New Roman" w:cstheme="minorHAnsi"/>
                <w:b/>
                <w:bCs/>
              </w:rPr>
              <w:t>Roll Left Right</w:t>
            </w:r>
          </w:p>
        </w:tc>
        <w:tc>
          <w:tcPr>
            <w:tcW w:w="486" w:type="pct"/>
            <w:tcBorders>
              <w:top w:val="single" w:sz="4" w:space="0" w:color="auto"/>
              <w:bottom w:val="single" w:sz="4" w:space="0" w:color="auto"/>
            </w:tcBorders>
            <w:shd w:val="clear" w:color="auto" w:fill="D9D9D9" w:themeFill="background1" w:themeFillShade="D9"/>
            <w:vAlign w:val="center"/>
          </w:tcPr>
          <w:p w14:paraId="28FC3062" w14:textId="77777777" w:rsidR="00CD1A9F" w:rsidRPr="00C90EDA" w:rsidRDefault="00CD1A9F" w:rsidP="00653F47">
            <w:pPr>
              <w:spacing w:after="0" w:line="240" w:lineRule="auto"/>
              <w:jc w:val="center"/>
              <w:rPr>
                <w:rFonts w:eastAsia="Times New Roman" w:cstheme="minorHAnsi"/>
                <w:b/>
                <w:bCs/>
              </w:rPr>
            </w:pPr>
            <w:r w:rsidRPr="00C90EDA">
              <w:rPr>
                <w:rFonts w:eastAsia="Times New Roman" w:cstheme="minorHAnsi"/>
                <w:b/>
                <w:bCs/>
              </w:rPr>
              <w:t>Sit to Lying</w:t>
            </w:r>
          </w:p>
        </w:tc>
        <w:tc>
          <w:tcPr>
            <w:tcW w:w="486" w:type="pct"/>
            <w:tcBorders>
              <w:top w:val="single" w:sz="4" w:space="0" w:color="auto"/>
              <w:bottom w:val="single" w:sz="4" w:space="0" w:color="auto"/>
            </w:tcBorders>
            <w:shd w:val="clear" w:color="auto" w:fill="D9D9D9" w:themeFill="background1" w:themeFillShade="D9"/>
            <w:vAlign w:val="center"/>
          </w:tcPr>
          <w:p w14:paraId="6DD8ED26" w14:textId="77777777" w:rsidR="00CD1A9F" w:rsidRPr="00C90EDA" w:rsidRDefault="00CD1A9F" w:rsidP="00653F47">
            <w:pPr>
              <w:spacing w:after="0" w:line="240" w:lineRule="auto"/>
              <w:jc w:val="center"/>
              <w:rPr>
                <w:rFonts w:eastAsia="Times New Roman" w:cstheme="minorHAnsi"/>
                <w:b/>
                <w:bCs/>
              </w:rPr>
            </w:pPr>
            <w:r w:rsidRPr="00C90EDA">
              <w:rPr>
                <w:rFonts w:eastAsia="Times New Roman" w:cstheme="minorHAnsi"/>
                <w:b/>
                <w:bCs/>
              </w:rPr>
              <w:t>Lying to Sit</w:t>
            </w:r>
          </w:p>
        </w:tc>
        <w:tc>
          <w:tcPr>
            <w:tcW w:w="487" w:type="pct"/>
            <w:tcBorders>
              <w:top w:val="single" w:sz="4" w:space="0" w:color="auto"/>
              <w:bottom w:val="single" w:sz="4" w:space="0" w:color="auto"/>
            </w:tcBorders>
            <w:shd w:val="clear" w:color="auto" w:fill="D9D9D9" w:themeFill="background1" w:themeFillShade="D9"/>
            <w:vAlign w:val="center"/>
          </w:tcPr>
          <w:p w14:paraId="360ECAEF" w14:textId="77777777" w:rsidR="00CD1A9F" w:rsidRPr="00C90EDA" w:rsidRDefault="00CD1A9F" w:rsidP="00653F47">
            <w:pPr>
              <w:spacing w:after="0" w:line="240" w:lineRule="auto"/>
              <w:jc w:val="center"/>
              <w:rPr>
                <w:rFonts w:eastAsia="Times New Roman" w:cstheme="minorHAnsi"/>
                <w:b/>
                <w:bCs/>
              </w:rPr>
            </w:pPr>
            <w:r w:rsidRPr="00C90EDA">
              <w:rPr>
                <w:rFonts w:eastAsia="Times New Roman" w:cstheme="minorHAnsi"/>
                <w:b/>
                <w:bCs/>
              </w:rPr>
              <w:t>Sit to Stand</w:t>
            </w:r>
          </w:p>
        </w:tc>
        <w:tc>
          <w:tcPr>
            <w:tcW w:w="553" w:type="pct"/>
            <w:tcBorders>
              <w:top w:val="single" w:sz="4" w:space="0" w:color="auto"/>
              <w:bottom w:val="single" w:sz="4" w:space="0" w:color="auto"/>
            </w:tcBorders>
            <w:shd w:val="clear" w:color="auto" w:fill="D9D9D9" w:themeFill="background1" w:themeFillShade="D9"/>
            <w:vAlign w:val="center"/>
          </w:tcPr>
          <w:p w14:paraId="708BFDAD" w14:textId="77777777" w:rsidR="00CD1A9F" w:rsidRPr="00C90EDA" w:rsidRDefault="00CD1A9F" w:rsidP="00653F47">
            <w:pPr>
              <w:spacing w:after="0" w:line="240" w:lineRule="auto"/>
              <w:jc w:val="center"/>
              <w:rPr>
                <w:rFonts w:eastAsia="Times New Roman" w:cstheme="minorHAnsi"/>
                <w:b/>
                <w:bCs/>
              </w:rPr>
            </w:pPr>
            <w:r w:rsidRPr="00C90EDA">
              <w:rPr>
                <w:rFonts w:eastAsia="Times New Roman" w:cstheme="minorHAnsi"/>
                <w:b/>
                <w:bCs/>
              </w:rPr>
              <w:t>Bed to Chair</w:t>
            </w:r>
          </w:p>
        </w:tc>
        <w:tc>
          <w:tcPr>
            <w:tcW w:w="553" w:type="pct"/>
            <w:tcBorders>
              <w:top w:val="single" w:sz="4" w:space="0" w:color="auto"/>
              <w:bottom w:val="single" w:sz="4" w:space="0" w:color="auto"/>
            </w:tcBorders>
            <w:shd w:val="clear" w:color="auto" w:fill="D9D9D9" w:themeFill="background1" w:themeFillShade="D9"/>
            <w:vAlign w:val="center"/>
          </w:tcPr>
          <w:p w14:paraId="458FC14B" w14:textId="77777777" w:rsidR="00CD1A9F" w:rsidRPr="00C90EDA" w:rsidRDefault="00CD1A9F" w:rsidP="00653F47">
            <w:pPr>
              <w:spacing w:after="0" w:line="240" w:lineRule="auto"/>
              <w:jc w:val="center"/>
              <w:rPr>
                <w:rFonts w:eastAsia="Times New Roman" w:cstheme="minorHAnsi"/>
                <w:b/>
                <w:bCs/>
              </w:rPr>
            </w:pPr>
            <w:r w:rsidRPr="00C90EDA">
              <w:rPr>
                <w:rFonts w:eastAsia="Times New Roman" w:cstheme="minorHAnsi"/>
                <w:b/>
                <w:bCs/>
              </w:rPr>
              <w:t>Toilet Transfer</w:t>
            </w:r>
          </w:p>
        </w:tc>
        <w:tc>
          <w:tcPr>
            <w:tcW w:w="573" w:type="pct"/>
            <w:tcBorders>
              <w:top w:val="single" w:sz="4" w:space="0" w:color="auto"/>
              <w:bottom w:val="single" w:sz="4" w:space="0" w:color="auto"/>
            </w:tcBorders>
            <w:shd w:val="clear" w:color="auto" w:fill="D9D9D9" w:themeFill="background1" w:themeFillShade="D9"/>
            <w:vAlign w:val="center"/>
          </w:tcPr>
          <w:p w14:paraId="36F7465E" w14:textId="77777777" w:rsidR="00CD1A9F" w:rsidRPr="00C90EDA" w:rsidRDefault="00CD1A9F" w:rsidP="00653F47">
            <w:pPr>
              <w:spacing w:after="0" w:line="240" w:lineRule="auto"/>
              <w:jc w:val="center"/>
              <w:rPr>
                <w:rFonts w:eastAsia="Times New Roman" w:cstheme="minorHAnsi"/>
                <w:b/>
                <w:bCs/>
              </w:rPr>
            </w:pPr>
            <w:r w:rsidRPr="00C90EDA">
              <w:rPr>
                <w:rFonts w:eastAsia="Times New Roman" w:cstheme="minorHAnsi"/>
                <w:b/>
                <w:bCs/>
              </w:rPr>
              <w:t>Car Transfer</w:t>
            </w:r>
          </w:p>
        </w:tc>
      </w:tr>
      <w:tr w:rsidR="00C90EDA" w:rsidRPr="00C90EDA" w14:paraId="12795F5D" w14:textId="77777777" w:rsidTr="00FC45AA">
        <w:trPr>
          <w:trHeight w:val="285"/>
        </w:trPr>
        <w:tc>
          <w:tcPr>
            <w:tcW w:w="1283" w:type="pct"/>
            <w:tcBorders>
              <w:top w:val="single" w:sz="4" w:space="0" w:color="auto"/>
              <w:bottom w:val="nil"/>
            </w:tcBorders>
            <w:shd w:val="clear" w:color="auto" w:fill="auto"/>
            <w:noWrap/>
            <w:hideMark/>
          </w:tcPr>
          <w:p w14:paraId="64E79D78" w14:textId="77777777" w:rsidR="00CD1A9F" w:rsidRPr="00C90EDA" w:rsidRDefault="00CD1A9F" w:rsidP="00653F47">
            <w:pPr>
              <w:spacing w:after="0" w:line="240" w:lineRule="auto"/>
              <w:rPr>
                <w:rFonts w:eastAsia="Times New Roman" w:cstheme="minorHAnsi"/>
                <w:bCs/>
              </w:rPr>
            </w:pPr>
            <w:r w:rsidRPr="00C90EDA">
              <w:rPr>
                <w:rFonts w:eastAsia="Times New Roman" w:cstheme="minorHAnsi"/>
                <w:bCs/>
              </w:rPr>
              <w:t>01. Dependent</w:t>
            </w:r>
          </w:p>
        </w:tc>
        <w:tc>
          <w:tcPr>
            <w:tcW w:w="579" w:type="pct"/>
            <w:tcBorders>
              <w:top w:val="single" w:sz="4" w:space="0" w:color="auto"/>
              <w:bottom w:val="nil"/>
            </w:tcBorders>
            <w:shd w:val="clear" w:color="auto" w:fill="auto"/>
            <w:noWrap/>
            <w:vAlign w:val="bottom"/>
          </w:tcPr>
          <w:p w14:paraId="2490E182"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23.7</w:t>
            </w:r>
          </w:p>
        </w:tc>
        <w:tc>
          <w:tcPr>
            <w:tcW w:w="486" w:type="pct"/>
            <w:tcBorders>
              <w:top w:val="single" w:sz="4" w:space="0" w:color="auto"/>
              <w:bottom w:val="nil"/>
            </w:tcBorders>
            <w:shd w:val="clear" w:color="auto" w:fill="auto"/>
            <w:noWrap/>
            <w:vAlign w:val="bottom"/>
          </w:tcPr>
          <w:p w14:paraId="6527F4B1"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20.2</w:t>
            </w:r>
          </w:p>
        </w:tc>
        <w:tc>
          <w:tcPr>
            <w:tcW w:w="486" w:type="pct"/>
            <w:tcBorders>
              <w:top w:val="single" w:sz="4" w:space="0" w:color="auto"/>
              <w:bottom w:val="nil"/>
            </w:tcBorders>
            <w:shd w:val="clear" w:color="auto" w:fill="auto"/>
            <w:noWrap/>
            <w:vAlign w:val="bottom"/>
          </w:tcPr>
          <w:p w14:paraId="48E31A8B"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20.5</w:t>
            </w:r>
          </w:p>
        </w:tc>
        <w:tc>
          <w:tcPr>
            <w:tcW w:w="487" w:type="pct"/>
            <w:tcBorders>
              <w:top w:val="single" w:sz="4" w:space="0" w:color="auto"/>
              <w:bottom w:val="nil"/>
            </w:tcBorders>
            <w:shd w:val="clear" w:color="auto" w:fill="auto"/>
            <w:noWrap/>
            <w:vAlign w:val="bottom"/>
          </w:tcPr>
          <w:p w14:paraId="4B7E2415"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22.7</w:t>
            </w:r>
          </w:p>
        </w:tc>
        <w:tc>
          <w:tcPr>
            <w:tcW w:w="553" w:type="pct"/>
            <w:tcBorders>
              <w:top w:val="single" w:sz="4" w:space="0" w:color="auto"/>
              <w:bottom w:val="nil"/>
            </w:tcBorders>
            <w:shd w:val="clear" w:color="auto" w:fill="auto"/>
            <w:noWrap/>
            <w:vAlign w:val="bottom"/>
          </w:tcPr>
          <w:p w14:paraId="413B0E73"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20.1</w:t>
            </w:r>
          </w:p>
        </w:tc>
        <w:tc>
          <w:tcPr>
            <w:tcW w:w="553" w:type="pct"/>
            <w:tcBorders>
              <w:top w:val="single" w:sz="4" w:space="0" w:color="auto"/>
              <w:bottom w:val="nil"/>
            </w:tcBorders>
            <w:shd w:val="clear" w:color="auto" w:fill="auto"/>
            <w:noWrap/>
            <w:vAlign w:val="bottom"/>
          </w:tcPr>
          <w:p w14:paraId="11A61CEF"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25.6</w:t>
            </w:r>
          </w:p>
        </w:tc>
        <w:tc>
          <w:tcPr>
            <w:tcW w:w="573" w:type="pct"/>
            <w:tcBorders>
              <w:top w:val="single" w:sz="4" w:space="0" w:color="auto"/>
              <w:bottom w:val="nil"/>
            </w:tcBorders>
            <w:shd w:val="clear" w:color="auto" w:fill="auto"/>
            <w:noWrap/>
            <w:vAlign w:val="bottom"/>
          </w:tcPr>
          <w:p w14:paraId="2CB0B76B"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38.4</w:t>
            </w:r>
          </w:p>
        </w:tc>
      </w:tr>
      <w:tr w:rsidR="00C90EDA" w:rsidRPr="00C90EDA" w14:paraId="2D3AB901" w14:textId="77777777" w:rsidTr="00FC45AA">
        <w:trPr>
          <w:trHeight w:val="285"/>
        </w:trPr>
        <w:tc>
          <w:tcPr>
            <w:tcW w:w="1283" w:type="pct"/>
            <w:tcBorders>
              <w:top w:val="nil"/>
            </w:tcBorders>
            <w:shd w:val="clear" w:color="auto" w:fill="auto"/>
            <w:hideMark/>
          </w:tcPr>
          <w:p w14:paraId="554C1DF1" w14:textId="77777777" w:rsidR="00CD1A9F" w:rsidRPr="00C90EDA" w:rsidRDefault="00CD1A9F" w:rsidP="00653F47">
            <w:pPr>
              <w:spacing w:after="0" w:line="240" w:lineRule="auto"/>
              <w:rPr>
                <w:rFonts w:eastAsia="Times New Roman" w:cstheme="minorHAnsi"/>
                <w:bCs/>
              </w:rPr>
            </w:pPr>
            <w:r w:rsidRPr="00C90EDA">
              <w:rPr>
                <w:rFonts w:eastAsia="Times New Roman" w:cstheme="minorHAnsi"/>
                <w:bCs/>
              </w:rPr>
              <w:t>02. Substantial/maximal assistance</w:t>
            </w:r>
          </w:p>
        </w:tc>
        <w:tc>
          <w:tcPr>
            <w:tcW w:w="579" w:type="pct"/>
            <w:tcBorders>
              <w:top w:val="nil"/>
            </w:tcBorders>
            <w:shd w:val="clear" w:color="auto" w:fill="auto"/>
            <w:noWrap/>
            <w:vAlign w:val="bottom"/>
          </w:tcPr>
          <w:p w14:paraId="6425985D"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25.6</w:t>
            </w:r>
          </w:p>
        </w:tc>
        <w:tc>
          <w:tcPr>
            <w:tcW w:w="486" w:type="pct"/>
            <w:tcBorders>
              <w:top w:val="nil"/>
            </w:tcBorders>
            <w:shd w:val="clear" w:color="auto" w:fill="auto"/>
            <w:noWrap/>
            <w:vAlign w:val="bottom"/>
          </w:tcPr>
          <w:p w14:paraId="1153249E"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25.5</w:t>
            </w:r>
          </w:p>
        </w:tc>
        <w:tc>
          <w:tcPr>
            <w:tcW w:w="486" w:type="pct"/>
            <w:tcBorders>
              <w:top w:val="nil"/>
            </w:tcBorders>
            <w:shd w:val="clear" w:color="auto" w:fill="auto"/>
            <w:noWrap/>
            <w:vAlign w:val="bottom"/>
          </w:tcPr>
          <w:p w14:paraId="3DB08C67"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26.0</w:t>
            </w:r>
          </w:p>
        </w:tc>
        <w:tc>
          <w:tcPr>
            <w:tcW w:w="487" w:type="pct"/>
            <w:tcBorders>
              <w:top w:val="nil"/>
            </w:tcBorders>
            <w:shd w:val="clear" w:color="auto" w:fill="auto"/>
            <w:noWrap/>
            <w:vAlign w:val="bottom"/>
          </w:tcPr>
          <w:p w14:paraId="39071E70"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28.4</w:t>
            </w:r>
          </w:p>
        </w:tc>
        <w:tc>
          <w:tcPr>
            <w:tcW w:w="553" w:type="pct"/>
            <w:tcBorders>
              <w:top w:val="nil"/>
            </w:tcBorders>
            <w:shd w:val="clear" w:color="auto" w:fill="auto"/>
            <w:noWrap/>
            <w:vAlign w:val="bottom"/>
          </w:tcPr>
          <w:p w14:paraId="6127926A"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27.0</w:t>
            </w:r>
          </w:p>
        </w:tc>
        <w:tc>
          <w:tcPr>
            <w:tcW w:w="553" w:type="pct"/>
            <w:tcBorders>
              <w:top w:val="nil"/>
            </w:tcBorders>
            <w:shd w:val="clear" w:color="auto" w:fill="auto"/>
            <w:noWrap/>
            <w:vAlign w:val="bottom"/>
          </w:tcPr>
          <w:p w14:paraId="4628E3A5"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29.8</w:t>
            </w:r>
          </w:p>
        </w:tc>
        <w:tc>
          <w:tcPr>
            <w:tcW w:w="573" w:type="pct"/>
            <w:tcBorders>
              <w:top w:val="nil"/>
            </w:tcBorders>
            <w:shd w:val="clear" w:color="auto" w:fill="auto"/>
            <w:noWrap/>
            <w:vAlign w:val="bottom"/>
          </w:tcPr>
          <w:p w14:paraId="29B20370"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45.5</w:t>
            </w:r>
          </w:p>
        </w:tc>
      </w:tr>
      <w:tr w:rsidR="00C90EDA" w:rsidRPr="00C90EDA" w14:paraId="53FD7C44" w14:textId="77777777" w:rsidTr="00FC45AA">
        <w:trPr>
          <w:trHeight w:val="285"/>
        </w:trPr>
        <w:tc>
          <w:tcPr>
            <w:tcW w:w="1283" w:type="pct"/>
            <w:shd w:val="clear" w:color="auto" w:fill="auto"/>
            <w:hideMark/>
          </w:tcPr>
          <w:p w14:paraId="40D8229F" w14:textId="77777777" w:rsidR="00CD1A9F" w:rsidRPr="00C90EDA" w:rsidRDefault="00CD1A9F" w:rsidP="00653F47">
            <w:pPr>
              <w:spacing w:after="0" w:line="240" w:lineRule="auto"/>
              <w:rPr>
                <w:rFonts w:eastAsia="Times New Roman" w:cstheme="minorHAnsi"/>
                <w:bCs/>
              </w:rPr>
            </w:pPr>
            <w:r w:rsidRPr="00C90EDA">
              <w:rPr>
                <w:rFonts w:eastAsia="Times New Roman" w:cstheme="minorHAnsi"/>
                <w:bCs/>
              </w:rPr>
              <w:t xml:space="preserve">03. Partial/moderate assistance </w:t>
            </w:r>
          </w:p>
        </w:tc>
        <w:tc>
          <w:tcPr>
            <w:tcW w:w="579" w:type="pct"/>
            <w:shd w:val="clear" w:color="auto" w:fill="auto"/>
            <w:noWrap/>
            <w:vAlign w:val="bottom"/>
          </w:tcPr>
          <w:p w14:paraId="3EB4FDA3"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41.5</w:t>
            </w:r>
          </w:p>
        </w:tc>
        <w:tc>
          <w:tcPr>
            <w:tcW w:w="486" w:type="pct"/>
            <w:shd w:val="clear" w:color="auto" w:fill="auto"/>
            <w:noWrap/>
            <w:vAlign w:val="bottom"/>
          </w:tcPr>
          <w:p w14:paraId="407321D1"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44.3</w:t>
            </w:r>
          </w:p>
        </w:tc>
        <w:tc>
          <w:tcPr>
            <w:tcW w:w="486" w:type="pct"/>
            <w:shd w:val="clear" w:color="auto" w:fill="auto"/>
            <w:noWrap/>
            <w:vAlign w:val="bottom"/>
          </w:tcPr>
          <w:p w14:paraId="1BE53355"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43.9</w:t>
            </w:r>
          </w:p>
        </w:tc>
        <w:tc>
          <w:tcPr>
            <w:tcW w:w="487" w:type="pct"/>
            <w:shd w:val="clear" w:color="auto" w:fill="auto"/>
            <w:noWrap/>
            <w:vAlign w:val="bottom"/>
          </w:tcPr>
          <w:p w14:paraId="42EF06A4"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43.4</w:t>
            </w:r>
          </w:p>
        </w:tc>
        <w:tc>
          <w:tcPr>
            <w:tcW w:w="553" w:type="pct"/>
            <w:shd w:val="clear" w:color="auto" w:fill="auto"/>
            <w:noWrap/>
            <w:vAlign w:val="bottom"/>
          </w:tcPr>
          <w:p w14:paraId="66DE9559"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45.4</w:t>
            </w:r>
          </w:p>
        </w:tc>
        <w:tc>
          <w:tcPr>
            <w:tcW w:w="553" w:type="pct"/>
            <w:shd w:val="clear" w:color="auto" w:fill="auto"/>
            <w:noWrap/>
            <w:vAlign w:val="bottom"/>
          </w:tcPr>
          <w:p w14:paraId="04145406"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47.3</w:t>
            </w:r>
          </w:p>
        </w:tc>
        <w:tc>
          <w:tcPr>
            <w:tcW w:w="573" w:type="pct"/>
            <w:shd w:val="clear" w:color="auto" w:fill="auto"/>
            <w:noWrap/>
            <w:vAlign w:val="bottom"/>
          </w:tcPr>
          <w:p w14:paraId="1AE811BF"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60.4</w:t>
            </w:r>
          </w:p>
        </w:tc>
      </w:tr>
      <w:tr w:rsidR="00C90EDA" w:rsidRPr="00C90EDA" w14:paraId="14D9A4C5" w14:textId="77777777" w:rsidTr="00FC45AA">
        <w:trPr>
          <w:trHeight w:val="285"/>
        </w:trPr>
        <w:tc>
          <w:tcPr>
            <w:tcW w:w="1283" w:type="pct"/>
            <w:shd w:val="clear" w:color="auto" w:fill="auto"/>
            <w:hideMark/>
          </w:tcPr>
          <w:p w14:paraId="3E95192A" w14:textId="77777777" w:rsidR="00CD1A9F" w:rsidRPr="00C90EDA" w:rsidRDefault="00CD1A9F" w:rsidP="00653F47">
            <w:pPr>
              <w:spacing w:after="0" w:line="240" w:lineRule="auto"/>
              <w:rPr>
                <w:rFonts w:eastAsia="Times New Roman" w:cstheme="minorHAnsi"/>
                <w:bCs/>
              </w:rPr>
            </w:pPr>
            <w:r w:rsidRPr="00C90EDA">
              <w:rPr>
                <w:rFonts w:eastAsia="Times New Roman" w:cstheme="minorHAnsi"/>
                <w:bCs/>
              </w:rPr>
              <w:t>04. Supervision or touching assistance</w:t>
            </w:r>
          </w:p>
        </w:tc>
        <w:tc>
          <w:tcPr>
            <w:tcW w:w="579" w:type="pct"/>
            <w:shd w:val="clear" w:color="auto" w:fill="auto"/>
            <w:noWrap/>
            <w:vAlign w:val="bottom"/>
          </w:tcPr>
          <w:p w14:paraId="78F33FA3"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58.0</w:t>
            </w:r>
          </w:p>
        </w:tc>
        <w:tc>
          <w:tcPr>
            <w:tcW w:w="486" w:type="pct"/>
            <w:shd w:val="clear" w:color="auto" w:fill="auto"/>
            <w:noWrap/>
            <w:vAlign w:val="bottom"/>
          </w:tcPr>
          <w:p w14:paraId="26DD5930"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60.3</w:t>
            </w:r>
          </w:p>
        </w:tc>
        <w:tc>
          <w:tcPr>
            <w:tcW w:w="486" w:type="pct"/>
            <w:shd w:val="clear" w:color="auto" w:fill="auto"/>
            <w:noWrap/>
            <w:vAlign w:val="bottom"/>
          </w:tcPr>
          <w:p w14:paraId="14B33B6A"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60.5</w:t>
            </w:r>
          </w:p>
        </w:tc>
        <w:tc>
          <w:tcPr>
            <w:tcW w:w="487" w:type="pct"/>
            <w:shd w:val="clear" w:color="auto" w:fill="auto"/>
            <w:noWrap/>
            <w:vAlign w:val="bottom"/>
          </w:tcPr>
          <w:p w14:paraId="3AFB1518"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64.8</w:t>
            </w:r>
          </w:p>
        </w:tc>
        <w:tc>
          <w:tcPr>
            <w:tcW w:w="553" w:type="pct"/>
            <w:shd w:val="clear" w:color="auto" w:fill="auto"/>
            <w:noWrap/>
            <w:vAlign w:val="bottom"/>
          </w:tcPr>
          <w:p w14:paraId="4D650D6A"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65.7</w:t>
            </w:r>
          </w:p>
        </w:tc>
        <w:tc>
          <w:tcPr>
            <w:tcW w:w="553" w:type="pct"/>
            <w:shd w:val="clear" w:color="auto" w:fill="auto"/>
            <w:noWrap/>
            <w:vAlign w:val="bottom"/>
          </w:tcPr>
          <w:p w14:paraId="38C0713A"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66.7</w:t>
            </w:r>
          </w:p>
        </w:tc>
        <w:tc>
          <w:tcPr>
            <w:tcW w:w="573" w:type="pct"/>
            <w:shd w:val="clear" w:color="auto" w:fill="auto"/>
            <w:noWrap/>
            <w:vAlign w:val="bottom"/>
          </w:tcPr>
          <w:p w14:paraId="49C4901E"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76.2</w:t>
            </w:r>
          </w:p>
        </w:tc>
      </w:tr>
      <w:tr w:rsidR="00C90EDA" w:rsidRPr="00C90EDA" w14:paraId="0EF39BC4" w14:textId="77777777" w:rsidTr="00FC45AA">
        <w:trPr>
          <w:trHeight w:val="285"/>
        </w:trPr>
        <w:tc>
          <w:tcPr>
            <w:tcW w:w="1283" w:type="pct"/>
            <w:shd w:val="clear" w:color="auto" w:fill="auto"/>
            <w:hideMark/>
          </w:tcPr>
          <w:p w14:paraId="7C92D32F" w14:textId="77777777" w:rsidR="00CD1A9F" w:rsidRPr="00C90EDA" w:rsidRDefault="00CD1A9F" w:rsidP="00653F47">
            <w:pPr>
              <w:spacing w:after="0" w:line="240" w:lineRule="auto"/>
              <w:rPr>
                <w:rFonts w:eastAsia="Times New Roman" w:cstheme="minorHAnsi"/>
                <w:bCs/>
              </w:rPr>
            </w:pPr>
            <w:r w:rsidRPr="00C90EDA">
              <w:rPr>
                <w:rFonts w:eastAsia="Times New Roman" w:cstheme="minorHAnsi"/>
                <w:bCs/>
              </w:rPr>
              <w:t xml:space="preserve">05. Setup or clean-up assistance </w:t>
            </w:r>
          </w:p>
        </w:tc>
        <w:tc>
          <w:tcPr>
            <w:tcW w:w="579" w:type="pct"/>
            <w:shd w:val="clear" w:color="auto" w:fill="auto"/>
            <w:noWrap/>
            <w:vAlign w:val="bottom"/>
          </w:tcPr>
          <w:p w14:paraId="27BCA611"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63.2</w:t>
            </w:r>
          </w:p>
        </w:tc>
        <w:tc>
          <w:tcPr>
            <w:tcW w:w="486" w:type="pct"/>
            <w:shd w:val="clear" w:color="auto" w:fill="auto"/>
            <w:noWrap/>
            <w:vAlign w:val="bottom"/>
          </w:tcPr>
          <w:p w14:paraId="0B3B948C"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64.4</w:t>
            </w:r>
          </w:p>
        </w:tc>
        <w:tc>
          <w:tcPr>
            <w:tcW w:w="486" w:type="pct"/>
            <w:shd w:val="clear" w:color="auto" w:fill="auto"/>
            <w:noWrap/>
            <w:vAlign w:val="bottom"/>
          </w:tcPr>
          <w:p w14:paraId="07BE8572"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65.0</w:t>
            </w:r>
          </w:p>
        </w:tc>
        <w:tc>
          <w:tcPr>
            <w:tcW w:w="487" w:type="pct"/>
            <w:shd w:val="clear" w:color="auto" w:fill="auto"/>
            <w:noWrap/>
            <w:vAlign w:val="bottom"/>
          </w:tcPr>
          <w:p w14:paraId="33121DF0"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70.4</w:t>
            </w:r>
          </w:p>
        </w:tc>
        <w:tc>
          <w:tcPr>
            <w:tcW w:w="553" w:type="pct"/>
            <w:shd w:val="clear" w:color="auto" w:fill="auto"/>
            <w:noWrap/>
            <w:vAlign w:val="bottom"/>
          </w:tcPr>
          <w:p w14:paraId="59134A84"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70.8</w:t>
            </w:r>
          </w:p>
        </w:tc>
        <w:tc>
          <w:tcPr>
            <w:tcW w:w="553" w:type="pct"/>
            <w:shd w:val="clear" w:color="auto" w:fill="auto"/>
            <w:noWrap/>
            <w:vAlign w:val="bottom"/>
          </w:tcPr>
          <w:p w14:paraId="541E8AFC"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72.4</w:t>
            </w:r>
          </w:p>
        </w:tc>
        <w:tc>
          <w:tcPr>
            <w:tcW w:w="573" w:type="pct"/>
            <w:shd w:val="clear" w:color="auto" w:fill="auto"/>
            <w:noWrap/>
            <w:vAlign w:val="bottom"/>
          </w:tcPr>
          <w:p w14:paraId="32C6C801"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80.9</w:t>
            </w:r>
          </w:p>
        </w:tc>
      </w:tr>
      <w:tr w:rsidR="00C90EDA" w:rsidRPr="00C90EDA" w14:paraId="731BFC46" w14:textId="77777777" w:rsidTr="00FC45AA">
        <w:trPr>
          <w:trHeight w:val="285"/>
        </w:trPr>
        <w:tc>
          <w:tcPr>
            <w:tcW w:w="1283" w:type="pct"/>
            <w:shd w:val="clear" w:color="auto" w:fill="auto"/>
            <w:hideMark/>
          </w:tcPr>
          <w:p w14:paraId="32AB7A08" w14:textId="77777777" w:rsidR="00CD1A9F" w:rsidRPr="00C90EDA" w:rsidRDefault="00CD1A9F" w:rsidP="00653F47">
            <w:pPr>
              <w:spacing w:after="0" w:line="240" w:lineRule="auto"/>
              <w:rPr>
                <w:rFonts w:eastAsia="Times New Roman" w:cstheme="minorHAnsi"/>
                <w:bCs/>
              </w:rPr>
            </w:pPr>
            <w:r w:rsidRPr="00C90EDA">
              <w:rPr>
                <w:rFonts w:eastAsia="Times New Roman" w:cstheme="minorHAnsi"/>
                <w:bCs/>
              </w:rPr>
              <w:t xml:space="preserve">06. Independent </w:t>
            </w:r>
          </w:p>
        </w:tc>
        <w:tc>
          <w:tcPr>
            <w:tcW w:w="579" w:type="pct"/>
            <w:shd w:val="clear" w:color="auto" w:fill="auto"/>
            <w:noWrap/>
            <w:vAlign w:val="bottom"/>
          </w:tcPr>
          <w:p w14:paraId="777557D9"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80.9</w:t>
            </w:r>
          </w:p>
        </w:tc>
        <w:tc>
          <w:tcPr>
            <w:tcW w:w="486" w:type="pct"/>
            <w:shd w:val="clear" w:color="auto" w:fill="auto"/>
            <w:noWrap/>
            <w:vAlign w:val="bottom"/>
          </w:tcPr>
          <w:p w14:paraId="6BB822F4"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82.2</w:t>
            </w:r>
          </w:p>
        </w:tc>
        <w:tc>
          <w:tcPr>
            <w:tcW w:w="486" w:type="pct"/>
            <w:shd w:val="clear" w:color="auto" w:fill="auto"/>
            <w:noWrap/>
            <w:vAlign w:val="bottom"/>
          </w:tcPr>
          <w:p w14:paraId="1221E60D"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82.3</w:t>
            </w:r>
          </w:p>
        </w:tc>
        <w:tc>
          <w:tcPr>
            <w:tcW w:w="487" w:type="pct"/>
            <w:shd w:val="clear" w:color="auto" w:fill="auto"/>
            <w:noWrap/>
            <w:vAlign w:val="bottom"/>
          </w:tcPr>
          <w:p w14:paraId="39833A7E"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85.3</w:t>
            </w:r>
          </w:p>
        </w:tc>
        <w:tc>
          <w:tcPr>
            <w:tcW w:w="553" w:type="pct"/>
            <w:shd w:val="clear" w:color="auto" w:fill="auto"/>
            <w:noWrap/>
            <w:vAlign w:val="bottom"/>
          </w:tcPr>
          <w:p w14:paraId="7A67CF55"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85.8</w:t>
            </w:r>
          </w:p>
        </w:tc>
        <w:tc>
          <w:tcPr>
            <w:tcW w:w="553" w:type="pct"/>
            <w:shd w:val="clear" w:color="auto" w:fill="auto"/>
            <w:noWrap/>
            <w:vAlign w:val="bottom"/>
          </w:tcPr>
          <w:p w14:paraId="7B89EEBB"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86.1</w:t>
            </w:r>
          </w:p>
        </w:tc>
        <w:tc>
          <w:tcPr>
            <w:tcW w:w="573" w:type="pct"/>
            <w:shd w:val="clear" w:color="auto" w:fill="auto"/>
            <w:noWrap/>
            <w:vAlign w:val="bottom"/>
          </w:tcPr>
          <w:p w14:paraId="759869B3"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87.0</w:t>
            </w:r>
          </w:p>
        </w:tc>
      </w:tr>
    </w:tbl>
    <w:p w14:paraId="13A9FA33" w14:textId="77777777" w:rsidR="00CD1A9F" w:rsidRPr="00C90EDA" w:rsidRDefault="00CD1A9F" w:rsidP="00653F47">
      <w:pPr>
        <w:spacing w:after="0" w:line="240" w:lineRule="auto"/>
        <w:rPr>
          <w:rFonts w:cstheme="minorHAnsi"/>
          <w:bCs/>
          <w:sz w:val="18"/>
        </w:rPr>
      </w:pPr>
      <w:r w:rsidRPr="00C90EDA">
        <w:rPr>
          <w:rFonts w:cstheme="minorHAnsi"/>
          <w:bCs/>
          <w:sz w:val="18"/>
        </w:rPr>
        <w:t>RTI Analysis of Medicare Claims File for IRF FY 2017 (reference: MM210).</w:t>
      </w:r>
    </w:p>
    <w:p w14:paraId="7AF0383C" w14:textId="77777777" w:rsidR="00CD1A9F" w:rsidRPr="00C90EDA" w:rsidRDefault="00CD1A9F" w:rsidP="00653F47">
      <w:pPr>
        <w:spacing w:after="0" w:line="240" w:lineRule="auto"/>
        <w:rPr>
          <w:rFonts w:cstheme="minorHAnsi"/>
          <w:bCs/>
          <w:sz w:val="18"/>
        </w:rPr>
      </w:pPr>
    </w:p>
    <w:p w14:paraId="2D0168FC" w14:textId="77777777" w:rsidR="00721AA0" w:rsidRDefault="00721AA0" w:rsidP="008F3A11">
      <w:pPr>
        <w:autoSpaceDE w:val="0"/>
        <w:autoSpaceDN w:val="0"/>
        <w:adjustRightInd w:val="0"/>
        <w:spacing w:after="0" w:line="240" w:lineRule="auto"/>
        <w:rPr>
          <w:rFonts w:cstheme="minorHAnsi"/>
          <w:b/>
          <w:bCs/>
        </w:rPr>
      </w:pPr>
    </w:p>
    <w:p w14:paraId="74765DC0" w14:textId="77777777" w:rsidR="00721AA0" w:rsidRDefault="00721AA0" w:rsidP="008F3A11">
      <w:pPr>
        <w:autoSpaceDE w:val="0"/>
        <w:autoSpaceDN w:val="0"/>
        <w:adjustRightInd w:val="0"/>
        <w:spacing w:after="0" w:line="240" w:lineRule="auto"/>
        <w:rPr>
          <w:rFonts w:cstheme="minorHAnsi"/>
          <w:b/>
          <w:bCs/>
        </w:rPr>
      </w:pPr>
    </w:p>
    <w:p w14:paraId="6228A47D" w14:textId="77777777" w:rsidR="00721AA0" w:rsidRDefault="00721AA0" w:rsidP="008F3A11">
      <w:pPr>
        <w:autoSpaceDE w:val="0"/>
        <w:autoSpaceDN w:val="0"/>
        <w:adjustRightInd w:val="0"/>
        <w:spacing w:after="0" w:line="240" w:lineRule="auto"/>
        <w:rPr>
          <w:rFonts w:cstheme="minorHAnsi"/>
          <w:b/>
          <w:bCs/>
        </w:rPr>
      </w:pPr>
    </w:p>
    <w:p w14:paraId="16A4372A" w14:textId="77777777" w:rsidR="00721AA0" w:rsidRDefault="00721AA0" w:rsidP="008F3A11">
      <w:pPr>
        <w:autoSpaceDE w:val="0"/>
        <w:autoSpaceDN w:val="0"/>
        <w:adjustRightInd w:val="0"/>
        <w:spacing w:after="0" w:line="240" w:lineRule="auto"/>
        <w:rPr>
          <w:rFonts w:cstheme="minorHAnsi"/>
          <w:b/>
          <w:bCs/>
        </w:rPr>
      </w:pPr>
    </w:p>
    <w:p w14:paraId="4FC62D89" w14:textId="77777777" w:rsidR="00721AA0" w:rsidRDefault="00721AA0" w:rsidP="008F3A11">
      <w:pPr>
        <w:autoSpaceDE w:val="0"/>
        <w:autoSpaceDN w:val="0"/>
        <w:adjustRightInd w:val="0"/>
        <w:spacing w:after="0" w:line="240" w:lineRule="auto"/>
        <w:rPr>
          <w:rFonts w:cstheme="minorHAnsi"/>
          <w:b/>
          <w:bCs/>
        </w:rPr>
      </w:pPr>
    </w:p>
    <w:p w14:paraId="59F97AE4" w14:textId="77777777" w:rsidR="001875B2" w:rsidRDefault="001875B2" w:rsidP="008F3A11">
      <w:pPr>
        <w:autoSpaceDE w:val="0"/>
        <w:autoSpaceDN w:val="0"/>
        <w:adjustRightInd w:val="0"/>
        <w:spacing w:after="0" w:line="240" w:lineRule="auto"/>
        <w:rPr>
          <w:rFonts w:cstheme="minorHAnsi"/>
          <w:b/>
          <w:bCs/>
        </w:rPr>
      </w:pPr>
    </w:p>
    <w:p w14:paraId="7B367A92" w14:textId="161A4F64" w:rsidR="008F3A11" w:rsidRDefault="00CD1A9F" w:rsidP="008F3A11">
      <w:pPr>
        <w:autoSpaceDE w:val="0"/>
        <w:autoSpaceDN w:val="0"/>
        <w:adjustRightInd w:val="0"/>
        <w:spacing w:after="0" w:line="240" w:lineRule="auto"/>
        <w:rPr>
          <w:rFonts w:eastAsia="Times New Roman" w:cstheme="minorHAnsi"/>
        </w:rPr>
      </w:pPr>
      <w:r w:rsidRPr="00C90EDA">
        <w:rPr>
          <w:rFonts w:cstheme="minorHAnsi"/>
          <w:b/>
          <w:bCs/>
        </w:rPr>
        <w:lastRenderedPageBreak/>
        <w:t xml:space="preserve">Table A-2b. </w:t>
      </w:r>
      <w:r w:rsidR="008F3A11" w:rsidRPr="00C90EDA">
        <w:rPr>
          <w:rFonts w:cstheme="minorHAnsi"/>
          <w:b/>
          <w:bCs/>
        </w:rPr>
        <w:t xml:space="preserve">Percentage of </w:t>
      </w:r>
      <w:r w:rsidR="008F3A11">
        <w:rPr>
          <w:rFonts w:cstheme="minorHAnsi"/>
          <w:b/>
          <w:bCs/>
        </w:rPr>
        <w:t>Patient</w:t>
      </w:r>
      <w:r w:rsidR="00670133">
        <w:rPr>
          <w:rFonts w:cstheme="minorHAnsi"/>
          <w:b/>
          <w:bCs/>
        </w:rPr>
        <w:t xml:space="preserve"> Stay</w:t>
      </w:r>
      <w:r w:rsidR="008F3A11">
        <w:rPr>
          <w:rFonts w:cstheme="minorHAnsi"/>
          <w:b/>
          <w:bCs/>
        </w:rPr>
        <w:t>s</w:t>
      </w:r>
      <w:r w:rsidR="008F3A11" w:rsidRPr="00C90EDA">
        <w:rPr>
          <w:rFonts w:cstheme="minorHAnsi"/>
          <w:b/>
          <w:bCs/>
        </w:rPr>
        <w:t xml:space="preserve"> Successfully Discharged to Community by Mobility Functional Ability at Discharge</w:t>
      </w:r>
      <w:r w:rsidR="008F3A11" w:rsidRPr="00C90EDA">
        <w:rPr>
          <w:rFonts w:eastAsia="Times New Roman" w:cstheme="minorHAnsi"/>
        </w:rPr>
        <w:t> </w:t>
      </w:r>
    </w:p>
    <w:p w14:paraId="5F69DBE2" w14:textId="77777777" w:rsidR="00CD1A9F" w:rsidRPr="00C90EDA" w:rsidRDefault="00CD1A9F" w:rsidP="00653F47">
      <w:pPr>
        <w:autoSpaceDE w:val="0"/>
        <w:autoSpaceDN w:val="0"/>
        <w:adjustRightInd w:val="0"/>
        <w:spacing w:after="0" w:line="240" w:lineRule="auto"/>
        <w:rPr>
          <w:rFonts w:cstheme="minorHAnsi"/>
          <w:bCs/>
        </w:rPr>
      </w:pPr>
    </w:p>
    <w:tbl>
      <w:tblPr>
        <w:tblW w:w="5000" w:type="pct"/>
        <w:tblBorders>
          <w:top w:val="single" w:sz="4" w:space="0" w:color="auto"/>
          <w:bottom w:val="single" w:sz="4" w:space="0" w:color="auto"/>
        </w:tblBorders>
        <w:tblLook w:val="04A0" w:firstRow="1" w:lastRow="0" w:firstColumn="1" w:lastColumn="0" w:noHBand="0" w:noVBand="1"/>
      </w:tblPr>
      <w:tblGrid>
        <w:gridCol w:w="2243"/>
        <w:gridCol w:w="889"/>
        <w:gridCol w:w="889"/>
        <w:gridCol w:w="889"/>
        <w:gridCol w:w="1123"/>
        <w:gridCol w:w="719"/>
        <w:gridCol w:w="826"/>
        <w:gridCol w:w="889"/>
        <w:gridCol w:w="893"/>
      </w:tblGrid>
      <w:tr w:rsidR="00E323A6" w:rsidRPr="00C90EDA" w14:paraId="21C4F14A" w14:textId="77777777" w:rsidTr="00E323A6">
        <w:trPr>
          <w:trHeight w:val="285"/>
        </w:trPr>
        <w:tc>
          <w:tcPr>
            <w:tcW w:w="1198" w:type="pct"/>
            <w:vMerge w:val="restart"/>
            <w:tcBorders>
              <w:top w:val="single" w:sz="12" w:space="0" w:color="auto"/>
            </w:tcBorders>
            <w:shd w:val="clear" w:color="auto" w:fill="D9D9D9" w:themeFill="background1" w:themeFillShade="D9"/>
            <w:vAlign w:val="center"/>
            <w:hideMark/>
          </w:tcPr>
          <w:p w14:paraId="4929C60F" w14:textId="77777777" w:rsidR="00E323A6" w:rsidRPr="00C90EDA" w:rsidRDefault="00E323A6" w:rsidP="00D17370">
            <w:pPr>
              <w:spacing w:after="0" w:line="240" w:lineRule="auto"/>
              <w:rPr>
                <w:rFonts w:cstheme="minorHAnsi"/>
                <w:b/>
              </w:rPr>
            </w:pPr>
            <w:r w:rsidRPr="00C90EDA">
              <w:rPr>
                <w:rFonts w:cstheme="minorHAnsi"/>
                <w:b/>
              </w:rPr>
              <w:t>Discharge Rating for IRF-PAI</w:t>
            </w:r>
            <w:r w:rsidRPr="00C90EDA" w:rsidDel="00431F87">
              <w:rPr>
                <w:rFonts w:cstheme="minorHAnsi"/>
                <w:b/>
              </w:rPr>
              <w:t xml:space="preserve"> </w:t>
            </w:r>
            <w:r w:rsidRPr="00C90EDA">
              <w:rPr>
                <w:rFonts w:cstheme="minorHAnsi"/>
                <w:b/>
                <w:bCs/>
              </w:rPr>
              <w:t>Section</w:t>
            </w:r>
            <w:r w:rsidRPr="00C90EDA">
              <w:rPr>
                <w:rFonts w:cstheme="minorHAnsi"/>
                <w:b/>
              </w:rPr>
              <w:t xml:space="preserve"> GG</w:t>
            </w:r>
          </w:p>
          <w:p w14:paraId="62A00663" w14:textId="77777777" w:rsidR="00E323A6" w:rsidRPr="00C90EDA" w:rsidRDefault="00E323A6" w:rsidP="00D17370">
            <w:pPr>
              <w:spacing w:after="0" w:line="240" w:lineRule="auto"/>
              <w:rPr>
                <w:rFonts w:eastAsia="Times New Roman" w:cstheme="minorHAnsi"/>
                <w:b/>
                <w:bCs/>
              </w:rPr>
            </w:pPr>
            <w:r w:rsidRPr="00C90EDA">
              <w:rPr>
                <w:rFonts w:eastAsia="Times New Roman" w:cstheme="minorHAnsi"/>
                <w:b/>
                <w:bCs/>
              </w:rPr>
              <w:t>Mobility Activities</w:t>
            </w:r>
          </w:p>
        </w:tc>
        <w:tc>
          <w:tcPr>
            <w:tcW w:w="3802" w:type="pct"/>
            <w:gridSpan w:val="8"/>
            <w:tcBorders>
              <w:top w:val="single" w:sz="12" w:space="0" w:color="auto"/>
              <w:bottom w:val="single" w:sz="4" w:space="0" w:color="auto"/>
            </w:tcBorders>
            <w:shd w:val="clear" w:color="auto" w:fill="D9D9D9" w:themeFill="background1" w:themeFillShade="D9"/>
            <w:vAlign w:val="center"/>
            <w:hideMark/>
          </w:tcPr>
          <w:p w14:paraId="3021F51C" w14:textId="77777777" w:rsidR="00E323A6" w:rsidRPr="00C90EDA" w:rsidRDefault="00E323A6" w:rsidP="00D17370">
            <w:pPr>
              <w:spacing w:after="0" w:line="240" w:lineRule="auto"/>
              <w:jc w:val="center"/>
              <w:rPr>
                <w:rFonts w:eastAsia="Times New Roman" w:cstheme="minorHAnsi"/>
                <w:b/>
                <w:bCs/>
              </w:rPr>
            </w:pPr>
            <w:r w:rsidRPr="00C90EDA">
              <w:rPr>
                <w:rFonts w:eastAsia="Times New Roman" w:cstheme="minorHAnsi"/>
                <w:b/>
                <w:bCs/>
              </w:rPr>
              <w:t>Percent Successfully Discharged to Community</w:t>
            </w:r>
          </w:p>
        </w:tc>
      </w:tr>
      <w:tr w:rsidR="00E323A6" w:rsidRPr="00C90EDA" w14:paraId="3E683108" w14:textId="77777777" w:rsidTr="00D17370">
        <w:tblPrEx>
          <w:tblBorders>
            <w:top w:val="none" w:sz="0" w:space="0" w:color="auto"/>
            <w:bottom w:val="none" w:sz="0" w:space="0" w:color="auto"/>
          </w:tblBorders>
          <w:tblCellMar>
            <w:left w:w="58" w:type="dxa"/>
            <w:right w:w="58" w:type="dxa"/>
          </w:tblCellMar>
        </w:tblPrEx>
        <w:tc>
          <w:tcPr>
            <w:tcW w:w="1198" w:type="pct"/>
            <w:vMerge/>
            <w:tcBorders>
              <w:bottom w:val="single" w:sz="4" w:space="0" w:color="auto"/>
            </w:tcBorders>
            <w:shd w:val="clear" w:color="auto" w:fill="D9D9D9" w:themeFill="background1" w:themeFillShade="D9"/>
            <w:vAlign w:val="center"/>
            <w:hideMark/>
          </w:tcPr>
          <w:p w14:paraId="4AA59FA2" w14:textId="77777777" w:rsidR="00E323A6" w:rsidRPr="00C90EDA" w:rsidRDefault="00E323A6" w:rsidP="00653F47">
            <w:pPr>
              <w:spacing w:after="0" w:line="240" w:lineRule="auto"/>
              <w:rPr>
                <w:rFonts w:eastAsia="Times New Roman" w:cstheme="minorHAnsi"/>
                <w:b/>
                <w:bCs/>
              </w:rPr>
            </w:pPr>
          </w:p>
        </w:tc>
        <w:tc>
          <w:tcPr>
            <w:tcW w:w="475" w:type="pct"/>
            <w:tcBorders>
              <w:top w:val="single" w:sz="4" w:space="0" w:color="auto"/>
              <w:bottom w:val="single" w:sz="4" w:space="0" w:color="auto"/>
            </w:tcBorders>
            <w:shd w:val="clear" w:color="auto" w:fill="D9D9D9" w:themeFill="background1" w:themeFillShade="D9"/>
            <w:vAlign w:val="center"/>
          </w:tcPr>
          <w:p w14:paraId="4EE9F107" w14:textId="77777777" w:rsidR="00E323A6" w:rsidRPr="00C90EDA" w:rsidRDefault="00E323A6" w:rsidP="00653F47">
            <w:pPr>
              <w:spacing w:after="0" w:line="240" w:lineRule="auto"/>
              <w:jc w:val="center"/>
              <w:rPr>
                <w:rFonts w:eastAsia="Times New Roman" w:cstheme="minorHAnsi"/>
                <w:b/>
                <w:bCs/>
              </w:rPr>
            </w:pPr>
            <w:r w:rsidRPr="00C90EDA">
              <w:rPr>
                <w:rFonts w:eastAsia="Times New Roman" w:cstheme="minorHAnsi"/>
                <w:b/>
                <w:bCs/>
              </w:rPr>
              <w:t>Walk 10 Feet</w:t>
            </w:r>
          </w:p>
        </w:tc>
        <w:tc>
          <w:tcPr>
            <w:tcW w:w="475" w:type="pct"/>
            <w:tcBorders>
              <w:top w:val="single" w:sz="4" w:space="0" w:color="auto"/>
              <w:bottom w:val="single" w:sz="4" w:space="0" w:color="auto"/>
            </w:tcBorders>
            <w:shd w:val="clear" w:color="auto" w:fill="D9D9D9" w:themeFill="background1" w:themeFillShade="D9"/>
            <w:vAlign w:val="center"/>
          </w:tcPr>
          <w:p w14:paraId="7FD077F3" w14:textId="77777777" w:rsidR="00E323A6" w:rsidRPr="00C90EDA" w:rsidRDefault="00E323A6" w:rsidP="00653F47">
            <w:pPr>
              <w:spacing w:after="0" w:line="240" w:lineRule="auto"/>
              <w:jc w:val="center"/>
              <w:rPr>
                <w:rFonts w:eastAsia="Times New Roman" w:cstheme="minorHAnsi"/>
                <w:b/>
                <w:bCs/>
              </w:rPr>
            </w:pPr>
            <w:r w:rsidRPr="00C90EDA">
              <w:rPr>
                <w:rFonts w:eastAsia="Times New Roman" w:cstheme="minorHAnsi"/>
                <w:b/>
                <w:bCs/>
              </w:rPr>
              <w:t>Walk 50 Feet</w:t>
            </w:r>
          </w:p>
        </w:tc>
        <w:tc>
          <w:tcPr>
            <w:tcW w:w="475" w:type="pct"/>
            <w:tcBorders>
              <w:top w:val="single" w:sz="4" w:space="0" w:color="auto"/>
              <w:bottom w:val="single" w:sz="4" w:space="0" w:color="auto"/>
            </w:tcBorders>
            <w:shd w:val="clear" w:color="auto" w:fill="D9D9D9" w:themeFill="background1" w:themeFillShade="D9"/>
            <w:vAlign w:val="center"/>
          </w:tcPr>
          <w:p w14:paraId="7B96A062" w14:textId="77777777" w:rsidR="00E323A6" w:rsidRPr="00C90EDA" w:rsidRDefault="00E323A6" w:rsidP="00653F47">
            <w:pPr>
              <w:spacing w:after="0" w:line="240" w:lineRule="auto"/>
              <w:jc w:val="center"/>
              <w:rPr>
                <w:rFonts w:eastAsia="Times New Roman" w:cstheme="minorHAnsi"/>
                <w:b/>
                <w:bCs/>
              </w:rPr>
            </w:pPr>
            <w:r w:rsidRPr="00C90EDA">
              <w:rPr>
                <w:rFonts w:eastAsia="Times New Roman" w:cstheme="minorHAnsi"/>
                <w:b/>
                <w:bCs/>
              </w:rPr>
              <w:t>Walk 150 Feet</w:t>
            </w:r>
          </w:p>
        </w:tc>
        <w:tc>
          <w:tcPr>
            <w:tcW w:w="600" w:type="pct"/>
            <w:tcBorders>
              <w:top w:val="single" w:sz="4" w:space="0" w:color="auto"/>
              <w:bottom w:val="single" w:sz="4" w:space="0" w:color="auto"/>
            </w:tcBorders>
            <w:shd w:val="clear" w:color="auto" w:fill="D9D9D9" w:themeFill="background1" w:themeFillShade="D9"/>
            <w:vAlign w:val="center"/>
          </w:tcPr>
          <w:p w14:paraId="5C93BA39" w14:textId="77777777" w:rsidR="00E323A6" w:rsidRPr="00C90EDA" w:rsidRDefault="00E323A6" w:rsidP="00653F47">
            <w:pPr>
              <w:spacing w:after="0" w:line="240" w:lineRule="auto"/>
              <w:jc w:val="center"/>
              <w:rPr>
                <w:rFonts w:eastAsia="Times New Roman" w:cstheme="minorHAnsi"/>
                <w:b/>
                <w:bCs/>
              </w:rPr>
            </w:pPr>
            <w:r w:rsidRPr="00C90EDA">
              <w:rPr>
                <w:rFonts w:eastAsia="Times New Roman" w:cstheme="minorHAnsi"/>
                <w:b/>
                <w:bCs/>
              </w:rPr>
              <w:t>Walk 10 Ft Uneven Surfaces</w:t>
            </w:r>
          </w:p>
        </w:tc>
        <w:tc>
          <w:tcPr>
            <w:tcW w:w="384" w:type="pct"/>
            <w:tcBorders>
              <w:top w:val="single" w:sz="4" w:space="0" w:color="auto"/>
              <w:bottom w:val="single" w:sz="4" w:space="0" w:color="auto"/>
            </w:tcBorders>
            <w:shd w:val="clear" w:color="auto" w:fill="D9D9D9" w:themeFill="background1" w:themeFillShade="D9"/>
            <w:vAlign w:val="center"/>
          </w:tcPr>
          <w:p w14:paraId="2A5C08D5" w14:textId="77777777" w:rsidR="00E323A6" w:rsidRPr="00C90EDA" w:rsidRDefault="00E323A6" w:rsidP="00653F47">
            <w:pPr>
              <w:spacing w:after="0" w:line="240" w:lineRule="auto"/>
              <w:jc w:val="center"/>
              <w:rPr>
                <w:rFonts w:eastAsia="Times New Roman" w:cstheme="minorHAnsi"/>
                <w:b/>
                <w:bCs/>
              </w:rPr>
            </w:pPr>
            <w:r w:rsidRPr="00C90EDA">
              <w:rPr>
                <w:rFonts w:eastAsia="Times New Roman" w:cstheme="minorHAnsi"/>
                <w:b/>
                <w:bCs/>
              </w:rPr>
              <w:t>1 Step</w:t>
            </w:r>
          </w:p>
        </w:tc>
        <w:tc>
          <w:tcPr>
            <w:tcW w:w="441" w:type="pct"/>
            <w:tcBorders>
              <w:top w:val="single" w:sz="4" w:space="0" w:color="auto"/>
              <w:bottom w:val="single" w:sz="4" w:space="0" w:color="auto"/>
            </w:tcBorders>
            <w:shd w:val="clear" w:color="auto" w:fill="D9D9D9" w:themeFill="background1" w:themeFillShade="D9"/>
            <w:vAlign w:val="center"/>
          </w:tcPr>
          <w:p w14:paraId="27CB8AFA" w14:textId="77777777" w:rsidR="00E323A6" w:rsidRPr="00C90EDA" w:rsidRDefault="00E323A6" w:rsidP="00653F47">
            <w:pPr>
              <w:spacing w:after="0" w:line="240" w:lineRule="auto"/>
              <w:jc w:val="center"/>
              <w:rPr>
                <w:rFonts w:eastAsia="Times New Roman" w:cstheme="minorHAnsi"/>
                <w:b/>
                <w:bCs/>
              </w:rPr>
            </w:pPr>
            <w:r w:rsidRPr="00C90EDA">
              <w:rPr>
                <w:rFonts w:eastAsia="Times New Roman" w:cstheme="minorHAnsi"/>
                <w:b/>
                <w:bCs/>
              </w:rPr>
              <w:t>4 Steps</w:t>
            </w:r>
          </w:p>
        </w:tc>
        <w:tc>
          <w:tcPr>
            <w:tcW w:w="475" w:type="pct"/>
            <w:tcBorders>
              <w:top w:val="single" w:sz="4" w:space="0" w:color="auto"/>
              <w:bottom w:val="single" w:sz="4" w:space="0" w:color="auto"/>
            </w:tcBorders>
            <w:shd w:val="clear" w:color="auto" w:fill="D9D9D9" w:themeFill="background1" w:themeFillShade="D9"/>
            <w:vAlign w:val="center"/>
          </w:tcPr>
          <w:p w14:paraId="469F6A1E" w14:textId="77777777" w:rsidR="00E323A6" w:rsidRPr="00C90EDA" w:rsidRDefault="00E323A6" w:rsidP="00653F47">
            <w:pPr>
              <w:spacing w:after="0" w:line="240" w:lineRule="auto"/>
              <w:jc w:val="center"/>
              <w:rPr>
                <w:rFonts w:eastAsia="Times New Roman" w:cstheme="minorHAnsi"/>
                <w:b/>
                <w:bCs/>
              </w:rPr>
            </w:pPr>
            <w:r w:rsidRPr="00C90EDA">
              <w:rPr>
                <w:rFonts w:eastAsia="Times New Roman" w:cstheme="minorHAnsi"/>
                <w:b/>
                <w:bCs/>
              </w:rPr>
              <w:t>12 Steps</w:t>
            </w:r>
          </w:p>
        </w:tc>
        <w:tc>
          <w:tcPr>
            <w:tcW w:w="477" w:type="pct"/>
            <w:tcBorders>
              <w:top w:val="single" w:sz="4" w:space="0" w:color="auto"/>
              <w:bottom w:val="single" w:sz="4" w:space="0" w:color="auto"/>
            </w:tcBorders>
            <w:shd w:val="clear" w:color="auto" w:fill="D9D9D9" w:themeFill="background1" w:themeFillShade="D9"/>
            <w:vAlign w:val="center"/>
          </w:tcPr>
          <w:p w14:paraId="6CB6DDCF" w14:textId="77777777" w:rsidR="00E323A6" w:rsidRPr="00C90EDA" w:rsidRDefault="00E323A6" w:rsidP="00653F47">
            <w:pPr>
              <w:spacing w:after="0" w:line="240" w:lineRule="auto"/>
              <w:jc w:val="center"/>
              <w:rPr>
                <w:rFonts w:eastAsia="Times New Roman" w:cstheme="minorHAnsi"/>
                <w:b/>
                <w:bCs/>
              </w:rPr>
            </w:pPr>
            <w:r w:rsidRPr="00C90EDA">
              <w:rPr>
                <w:rFonts w:eastAsia="Times New Roman" w:cstheme="minorHAnsi"/>
                <w:b/>
                <w:bCs/>
              </w:rPr>
              <w:t>Pick Up Object</w:t>
            </w:r>
          </w:p>
        </w:tc>
      </w:tr>
      <w:tr w:rsidR="00C90EDA" w:rsidRPr="00C90EDA" w14:paraId="3E4F7A4E" w14:textId="77777777" w:rsidTr="00FC45AA">
        <w:tblPrEx>
          <w:tblBorders>
            <w:top w:val="none" w:sz="0" w:space="0" w:color="auto"/>
            <w:bottom w:val="none" w:sz="0" w:space="0" w:color="auto"/>
          </w:tblBorders>
          <w:tblCellMar>
            <w:left w:w="58" w:type="dxa"/>
            <w:right w:w="58" w:type="dxa"/>
          </w:tblCellMar>
        </w:tblPrEx>
        <w:tc>
          <w:tcPr>
            <w:tcW w:w="1198" w:type="pct"/>
            <w:tcBorders>
              <w:top w:val="single" w:sz="4" w:space="0" w:color="auto"/>
            </w:tcBorders>
            <w:shd w:val="clear" w:color="auto" w:fill="auto"/>
            <w:noWrap/>
            <w:hideMark/>
          </w:tcPr>
          <w:p w14:paraId="3E2DC9DC" w14:textId="77777777" w:rsidR="00CD1A9F" w:rsidRPr="00C90EDA" w:rsidRDefault="00CD1A9F" w:rsidP="00653F47">
            <w:pPr>
              <w:spacing w:after="0" w:line="240" w:lineRule="auto"/>
              <w:rPr>
                <w:rFonts w:eastAsia="Times New Roman" w:cstheme="minorHAnsi"/>
                <w:bCs/>
              </w:rPr>
            </w:pPr>
            <w:r w:rsidRPr="00C90EDA">
              <w:rPr>
                <w:rFonts w:eastAsia="Times New Roman" w:cstheme="minorHAnsi"/>
                <w:bCs/>
              </w:rPr>
              <w:t>01. Dependent</w:t>
            </w:r>
          </w:p>
        </w:tc>
        <w:tc>
          <w:tcPr>
            <w:tcW w:w="475" w:type="pct"/>
            <w:tcBorders>
              <w:top w:val="single" w:sz="4" w:space="0" w:color="auto"/>
            </w:tcBorders>
            <w:shd w:val="clear" w:color="auto" w:fill="auto"/>
            <w:noWrap/>
            <w:vAlign w:val="bottom"/>
          </w:tcPr>
          <w:p w14:paraId="7DA5E179"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29.7</w:t>
            </w:r>
          </w:p>
        </w:tc>
        <w:tc>
          <w:tcPr>
            <w:tcW w:w="475" w:type="pct"/>
            <w:tcBorders>
              <w:top w:val="single" w:sz="4" w:space="0" w:color="auto"/>
            </w:tcBorders>
            <w:shd w:val="clear" w:color="auto" w:fill="auto"/>
            <w:noWrap/>
            <w:vAlign w:val="bottom"/>
          </w:tcPr>
          <w:p w14:paraId="5FC7D604"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35.2</w:t>
            </w:r>
          </w:p>
        </w:tc>
        <w:tc>
          <w:tcPr>
            <w:tcW w:w="475" w:type="pct"/>
            <w:tcBorders>
              <w:top w:val="single" w:sz="4" w:space="0" w:color="auto"/>
            </w:tcBorders>
            <w:shd w:val="clear" w:color="auto" w:fill="auto"/>
            <w:noWrap/>
            <w:vAlign w:val="bottom"/>
          </w:tcPr>
          <w:p w14:paraId="106A496C"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47.9</w:t>
            </w:r>
          </w:p>
        </w:tc>
        <w:tc>
          <w:tcPr>
            <w:tcW w:w="600" w:type="pct"/>
            <w:tcBorders>
              <w:top w:val="single" w:sz="4" w:space="0" w:color="auto"/>
            </w:tcBorders>
            <w:shd w:val="clear" w:color="auto" w:fill="auto"/>
            <w:noWrap/>
            <w:vAlign w:val="bottom"/>
          </w:tcPr>
          <w:p w14:paraId="588F7246"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49.9</w:t>
            </w:r>
          </w:p>
        </w:tc>
        <w:tc>
          <w:tcPr>
            <w:tcW w:w="384" w:type="pct"/>
            <w:tcBorders>
              <w:top w:val="single" w:sz="4" w:space="0" w:color="auto"/>
            </w:tcBorders>
            <w:shd w:val="clear" w:color="auto" w:fill="auto"/>
            <w:noWrap/>
            <w:vAlign w:val="bottom"/>
          </w:tcPr>
          <w:p w14:paraId="121FD08F"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48.3</w:t>
            </w:r>
          </w:p>
        </w:tc>
        <w:tc>
          <w:tcPr>
            <w:tcW w:w="441" w:type="pct"/>
            <w:tcBorders>
              <w:top w:val="single" w:sz="4" w:space="0" w:color="auto"/>
            </w:tcBorders>
            <w:vAlign w:val="bottom"/>
          </w:tcPr>
          <w:p w14:paraId="6990AB5B"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51.2</w:t>
            </w:r>
          </w:p>
        </w:tc>
        <w:tc>
          <w:tcPr>
            <w:tcW w:w="475" w:type="pct"/>
            <w:tcBorders>
              <w:top w:val="single" w:sz="4" w:space="0" w:color="auto"/>
            </w:tcBorders>
            <w:shd w:val="clear" w:color="auto" w:fill="auto"/>
            <w:noWrap/>
            <w:vAlign w:val="bottom"/>
          </w:tcPr>
          <w:p w14:paraId="6E0A9EBE"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60.9</w:t>
            </w:r>
          </w:p>
        </w:tc>
        <w:tc>
          <w:tcPr>
            <w:tcW w:w="477" w:type="pct"/>
            <w:tcBorders>
              <w:top w:val="single" w:sz="4" w:space="0" w:color="auto"/>
            </w:tcBorders>
            <w:shd w:val="clear" w:color="auto" w:fill="auto"/>
            <w:noWrap/>
            <w:vAlign w:val="bottom"/>
          </w:tcPr>
          <w:p w14:paraId="2878D350"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60.0</w:t>
            </w:r>
          </w:p>
        </w:tc>
      </w:tr>
      <w:tr w:rsidR="00C90EDA" w:rsidRPr="00C90EDA" w14:paraId="68478349" w14:textId="77777777" w:rsidTr="00FC45AA">
        <w:tblPrEx>
          <w:tblBorders>
            <w:top w:val="none" w:sz="0" w:space="0" w:color="auto"/>
            <w:bottom w:val="none" w:sz="0" w:space="0" w:color="auto"/>
          </w:tblBorders>
          <w:tblCellMar>
            <w:left w:w="58" w:type="dxa"/>
            <w:right w:w="58" w:type="dxa"/>
          </w:tblCellMar>
        </w:tblPrEx>
        <w:tc>
          <w:tcPr>
            <w:tcW w:w="1198" w:type="pct"/>
            <w:shd w:val="clear" w:color="auto" w:fill="auto"/>
            <w:hideMark/>
          </w:tcPr>
          <w:p w14:paraId="0A13DECD" w14:textId="77777777" w:rsidR="00CD1A9F" w:rsidRPr="00C90EDA" w:rsidRDefault="00CD1A9F" w:rsidP="00653F47">
            <w:pPr>
              <w:spacing w:after="0" w:line="240" w:lineRule="auto"/>
              <w:rPr>
                <w:rFonts w:eastAsia="Times New Roman" w:cstheme="minorHAnsi"/>
                <w:bCs/>
              </w:rPr>
            </w:pPr>
            <w:r w:rsidRPr="00C90EDA">
              <w:rPr>
                <w:rFonts w:eastAsia="Times New Roman" w:cstheme="minorHAnsi"/>
                <w:bCs/>
              </w:rPr>
              <w:t>02. Substantial/</w:t>
            </w:r>
            <w:r w:rsidRPr="00C90EDA">
              <w:rPr>
                <w:rFonts w:eastAsia="Times New Roman" w:cstheme="minorHAnsi"/>
                <w:bCs/>
              </w:rPr>
              <w:br/>
              <w:t>maximal assistance</w:t>
            </w:r>
          </w:p>
        </w:tc>
        <w:tc>
          <w:tcPr>
            <w:tcW w:w="475" w:type="pct"/>
            <w:shd w:val="clear" w:color="auto" w:fill="auto"/>
            <w:noWrap/>
            <w:vAlign w:val="bottom"/>
          </w:tcPr>
          <w:p w14:paraId="3757177E"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34.7</w:t>
            </w:r>
          </w:p>
        </w:tc>
        <w:tc>
          <w:tcPr>
            <w:tcW w:w="475" w:type="pct"/>
            <w:shd w:val="clear" w:color="auto" w:fill="auto"/>
            <w:noWrap/>
            <w:vAlign w:val="bottom"/>
          </w:tcPr>
          <w:p w14:paraId="232D1F62"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42.6</w:t>
            </w:r>
          </w:p>
        </w:tc>
        <w:tc>
          <w:tcPr>
            <w:tcW w:w="475" w:type="pct"/>
            <w:shd w:val="clear" w:color="auto" w:fill="auto"/>
            <w:noWrap/>
            <w:vAlign w:val="bottom"/>
          </w:tcPr>
          <w:p w14:paraId="1519A794"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50.4</w:t>
            </w:r>
          </w:p>
        </w:tc>
        <w:tc>
          <w:tcPr>
            <w:tcW w:w="600" w:type="pct"/>
            <w:shd w:val="clear" w:color="auto" w:fill="auto"/>
            <w:noWrap/>
            <w:vAlign w:val="bottom"/>
          </w:tcPr>
          <w:p w14:paraId="143E9C5B"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49.5</w:t>
            </w:r>
          </w:p>
        </w:tc>
        <w:tc>
          <w:tcPr>
            <w:tcW w:w="384" w:type="pct"/>
            <w:shd w:val="clear" w:color="auto" w:fill="auto"/>
            <w:noWrap/>
            <w:vAlign w:val="bottom"/>
          </w:tcPr>
          <w:p w14:paraId="4100FC64"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55.1</w:t>
            </w:r>
          </w:p>
        </w:tc>
        <w:tc>
          <w:tcPr>
            <w:tcW w:w="441" w:type="pct"/>
            <w:vAlign w:val="bottom"/>
          </w:tcPr>
          <w:p w14:paraId="5DDF5E0B"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55.4</w:t>
            </w:r>
          </w:p>
        </w:tc>
        <w:tc>
          <w:tcPr>
            <w:tcW w:w="475" w:type="pct"/>
            <w:shd w:val="clear" w:color="auto" w:fill="auto"/>
            <w:noWrap/>
            <w:vAlign w:val="bottom"/>
          </w:tcPr>
          <w:p w14:paraId="5D27C468"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65.8</w:t>
            </w:r>
          </w:p>
        </w:tc>
        <w:tc>
          <w:tcPr>
            <w:tcW w:w="477" w:type="pct"/>
            <w:shd w:val="clear" w:color="auto" w:fill="auto"/>
            <w:noWrap/>
            <w:vAlign w:val="bottom"/>
          </w:tcPr>
          <w:p w14:paraId="59A69FA6"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56.2</w:t>
            </w:r>
          </w:p>
        </w:tc>
      </w:tr>
      <w:tr w:rsidR="00C90EDA" w:rsidRPr="00C90EDA" w14:paraId="4D2A5785" w14:textId="77777777" w:rsidTr="00FC45AA">
        <w:tblPrEx>
          <w:tblBorders>
            <w:top w:val="none" w:sz="0" w:space="0" w:color="auto"/>
            <w:bottom w:val="none" w:sz="0" w:space="0" w:color="auto"/>
          </w:tblBorders>
          <w:tblCellMar>
            <w:left w:w="58" w:type="dxa"/>
            <w:right w:w="58" w:type="dxa"/>
          </w:tblCellMar>
        </w:tblPrEx>
        <w:tc>
          <w:tcPr>
            <w:tcW w:w="1198" w:type="pct"/>
            <w:shd w:val="clear" w:color="auto" w:fill="auto"/>
            <w:hideMark/>
          </w:tcPr>
          <w:p w14:paraId="1A847B83" w14:textId="77777777" w:rsidR="00CD1A9F" w:rsidRPr="00C90EDA" w:rsidRDefault="00CD1A9F" w:rsidP="00653F47">
            <w:pPr>
              <w:spacing w:after="0" w:line="240" w:lineRule="auto"/>
              <w:rPr>
                <w:rFonts w:eastAsia="Times New Roman" w:cstheme="minorHAnsi"/>
                <w:bCs/>
              </w:rPr>
            </w:pPr>
            <w:r w:rsidRPr="00C90EDA">
              <w:rPr>
                <w:rFonts w:eastAsia="Times New Roman" w:cstheme="minorHAnsi"/>
                <w:bCs/>
              </w:rPr>
              <w:t xml:space="preserve">03. Partial/moderate assistance </w:t>
            </w:r>
          </w:p>
        </w:tc>
        <w:tc>
          <w:tcPr>
            <w:tcW w:w="475" w:type="pct"/>
            <w:shd w:val="clear" w:color="auto" w:fill="auto"/>
            <w:noWrap/>
            <w:vAlign w:val="bottom"/>
          </w:tcPr>
          <w:p w14:paraId="67830AF5"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48.3</w:t>
            </w:r>
          </w:p>
        </w:tc>
        <w:tc>
          <w:tcPr>
            <w:tcW w:w="475" w:type="pct"/>
            <w:shd w:val="clear" w:color="auto" w:fill="auto"/>
            <w:noWrap/>
            <w:vAlign w:val="bottom"/>
          </w:tcPr>
          <w:p w14:paraId="294845F4"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51.2</w:t>
            </w:r>
          </w:p>
        </w:tc>
        <w:tc>
          <w:tcPr>
            <w:tcW w:w="475" w:type="pct"/>
            <w:shd w:val="clear" w:color="auto" w:fill="auto"/>
            <w:noWrap/>
            <w:vAlign w:val="bottom"/>
          </w:tcPr>
          <w:p w14:paraId="54B05929"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56.0</w:t>
            </w:r>
          </w:p>
        </w:tc>
        <w:tc>
          <w:tcPr>
            <w:tcW w:w="600" w:type="pct"/>
            <w:shd w:val="clear" w:color="auto" w:fill="auto"/>
            <w:noWrap/>
            <w:vAlign w:val="bottom"/>
          </w:tcPr>
          <w:p w14:paraId="0C596A97"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61.9</w:t>
            </w:r>
          </w:p>
        </w:tc>
        <w:tc>
          <w:tcPr>
            <w:tcW w:w="384" w:type="pct"/>
            <w:shd w:val="clear" w:color="auto" w:fill="auto"/>
            <w:noWrap/>
            <w:vAlign w:val="bottom"/>
          </w:tcPr>
          <w:p w14:paraId="5D5ADD86"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64.2</w:t>
            </w:r>
          </w:p>
        </w:tc>
        <w:tc>
          <w:tcPr>
            <w:tcW w:w="441" w:type="pct"/>
            <w:vAlign w:val="bottom"/>
          </w:tcPr>
          <w:p w14:paraId="01F14024"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63.1</w:t>
            </w:r>
          </w:p>
        </w:tc>
        <w:tc>
          <w:tcPr>
            <w:tcW w:w="475" w:type="pct"/>
            <w:shd w:val="clear" w:color="auto" w:fill="auto"/>
            <w:noWrap/>
            <w:vAlign w:val="bottom"/>
          </w:tcPr>
          <w:p w14:paraId="1F364C1E"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68.5</w:t>
            </w:r>
          </w:p>
        </w:tc>
        <w:tc>
          <w:tcPr>
            <w:tcW w:w="477" w:type="pct"/>
            <w:shd w:val="clear" w:color="auto" w:fill="auto"/>
            <w:noWrap/>
            <w:vAlign w:val="bottom"/>
          </w:tcPr>
          <w:p w14:paraId="0112E6BB"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64.4</w:t>
            </w:r>
          </w:p>
        </w:tc>
      </w:tr>
      <w:tr w:rsidR="00C90EDA" w:rsidRPr="00C90EDA" w14:paraId="60D0044A" w14:textId="77777777" w:rsidTr="00FC45AA">
        <w:tblPrEx>
          <w:tblBorders>
            <w:top w:val="none" w:sz="0" w:space="0" w:color="auto"/>
            <w:bottom w:val="none" w:sz="0" w:space="0" w:color="auto"/>
          </w:tblBorders>
          <w:tblCellMar>
            <w:left w:w="58" w:type="dxa"/>
            <w:right w:w="58" w:type="dxa"/>
          </w:tblCellMar>
        </w:tblPrEx>
        <w:tc>
          <w:tcPr>
            <w:tcW w:w="1198" w:type="pct"/>
            <w:shd w:val="clear" w:color="auto" w:fill="auto"/>
            <w:hideMark/>
          </w:tcPr>
          <w:p w14:paraId="6C6C5D03" w14:textId="77777777" w:rsidR="00CD1A9F" w:rsidRPr="00C90EDA" w:rsidRDefault="00CD1A9F" w:rsidP="00653F47">
            <w:pPr>
              <w:spacing w:after="0" w:line="240" w:lineRule="auto"/>
              <w:rPr>
                <w:rFonts w:eastAsia="Times New Roman" w:cstheme="minorHAnsi"/>
                <w:bCs/>
              </w:rPr>
            </w:pPr>
            <w:r w:rsidRPr="00C90EDA">
              <w:rPr>
                <w:rFonts w:eastAsia="Times New Roman" w:cstheme="minorHAnsi"/>
                <w:bCs/>
              </w:rPr>
              <w:t>04. Supervision or touching assistance</w:t>
            </w:r>
          </w:p>
        </w:tc>
        <w:tc>
          <w:tcPr>
            <w:tcW w:w="475" w:type="pct"/>
            <w:shd w:val="clear" w:color="auto" w:fill="auto"/>
            <w:noWrap/>
            <w:vAlign w:val="bottom"/>
          </w:tcPr>
          <w:p w14:paraId="14391D46"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67.5</w:t>
            </w:r>
          </w:p>
        </w:tc>
        <w:tc>
          <w:tcPr>
            <w:tcW w:w="475" w:type="pct"/>
            <w:shd w:val="clear" w:color="auto" w:fill="auto"/>
            <w:noWrap/>
            <w:vAlign w:val="bottom"/>
          </w:tcPr>
          <w:p w14:paraId="6E24D088"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69.1</w:t>
            </w:r>
          </w:p>
        </w:tc>
        <w:tc>
          <w:tcPr>
            <w:tcW w:w="475" w:type="pct"/>
            <w:shd w:val="clear" w:color="auto" w:fill="auto"/>
            <w:noWrap/>
            <w:vAlign w:val="bottom"/>
          </w:tcPr>
          <w:p w14:paraId="1560E3E6"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72.5</w:t>
            </w:r>
          </w:p>
        </w:tc>
        <w:tc>
          <w:tcPr>
            <w:tcW w:w="600" w:type="pct"/>
            <w:shd w:val="clear" w:color="auto" w:fill="auto"/>
            <w:noWrap/>
            <w:vAlign w:val="bottom"/>
          </w:tcPr>
          <w:p w14:paraId="4113B703"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76.5</w:t>
            </w:r>
          </w:p>
        </w:tc>
        <w:tc>
          <w:tcPr>
            <w:tcW w:w="384" w:type="pct"/>
            <w:shd w:val="clear" w:color="auto" w:fill="auto"/>
            <w:noWrap/>
            <w:vAlign w:val="bottom"/>
          </w:tcPr>
          <w:p w14:paraId="2C60BA5E"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77.2</w:t>
            </w:r>
          </w:p>
        </w:tc>
        <w:tc>
          <w:tcPr>
            <w:tcW w:w="441" w:type="pct"/>
            <w:vAlign w:val="bottom"/>
          </w:tcPr>
          <w:p w14:paraId="15DA7E8B"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76.7</w:t>
            </w:r>
          </w:p>
        </w:tc>
        <w:tc>
          <w:tcPr>
            <w:tcW w:w="475" w:type="pct"/>
            <w:shd w:val="clear" w:color="auto" w:fill="auto"/>
            <w:noWrap/>
            <w:vAlign w:val="bottom"/>
          </w:tcPr>
          <w:p w14:paraId="7A355E87"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79.6</w:t>
            </w:r>
          </w:p>
        </w:tc>
        <w:tc>
          <w:tcPr>
            <w:tcW w:w="477" w:type="pct"/>
            <w:shd w:val="clear" w:color="auto" w:fill="auto"/>
            <w:noWrap/>
            <w:vAlign w:val="bottom"/>
          </w:tcPr>
          <w:p w14:paraId="6C785E8C"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76.0</w:t>
            </w:r>
          </w:p>
        </w:tc>
      </w:tr>
      <w:tr w:rsidR="00C90EDA" w:rsidRPr="00C90EDA" w14:paraId="09B96005" w14:textId="77777777" w:rsidTr="00FC45AA">
        <w:tblPrEx>
          <w:tblBorders>
            <w:top w:val="none" w:sz="0" w:space="0" w:color="auto"/>
            <w:bottom w:val="none" w:sz="0" w:space="0" w:color="auto"/>
          </w:tblBorders>
          <w:tblCellMar>
            <w:left w:w="58" w:type="dxa"/>
            <w:right w:w="58" w:type="dxa"/>
          </w:tblCellMar>
        </w:tblPrEx>
        <w:tc>
          <w:tcPr>
            <w:tcW w:w="1198" w:type="pct"/>
            <w:shd w:val="clear" w:color="auto" w:fill="auto"/>
            <w:hideMark/>
          </w:tcPr>
          <w:p w14:paraId="27416639" w14:textId="77777777" w:rsidR="00CD1A9F" w:rsidRPr="00C90EDA" w:rsidRDefault="00CD1A9F" w:rsidP="00653F47">
            <w:pPr>
              <w:spacing w:after="0" w:line="240" w:lineRule="auto"/>
              <w:rPr>
                <w:rFonts w:eastAsia="Times New Roman" w:cstheme="minorHAnsi"/>
                <w:bCs/>
              </w:rPr>
            </w:pPr>
            <w:r w:rsidRPr="00C90EDA">
              <w:rPr>
                <w:rFonts w:eastAsia="Times New Roman" w:cstheme="minorHAnsi"/>
                <w:bCs/>
              </w:rPr>
              <w:t xml:space="preserve">05. Setup or clean-up assistance </w:t>
            </w:r>
          </w:p>
        </w:tc>
        <w:tc>
          <w:tcPr>
            <w:tcW w:w="475" w:type="pct"/>
            <w:shd w:val="clear" w:color="auto" w:fill="auto"/>
            <w:noWrap/>
            <w:vAlign w:val="bottom"/>
          </w:tcPr>
          <w:p w14:paraId="12FB5C4C"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73.2</w:t>
            </w:r>
          </w:p>
        </w:tc>
        <w:tc>
          <w:tcPr>
            <w:tcW w:w="475" w:type="pct"/>
            <w:shd w:val="clear" w:color="auto" w:fill="auto"/>
            <w:noWrap/>
            <w:vAlign w:val="bottom"/>
          </w:tcPr>
          <w:p w14:paraId="50107CF1"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74.1</w:t>
            </w:r>
          </w:p>
        </w:tc>
        <w:tc>
          <w:tcPr>
            <w:tcW w:w="475" w:type="pct"/>
            <w:shd w:val="clear" w:color="auto" w:fill="auto"/>
            <w:noWrap/>
            <w:vAlign w:val="bottom"/>
          </w:tcPr>
          <w:p w14:paraId="2395FF45"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76.2</w:t>
            </w:r>
          </w:p>
        </w:tc>
        <w:tc>
          <w:tcPr>
            <w:tcW w:w="600" w:type="pct"/>
            <w:shd w:val="clear" w:color="auto" w:fill="auto"/>
            <w:noWrap/>
            <w:vAlign w:val="bottom"/>
          </w:tcPr>
          <w:p w14:paraId="4C6ECC1D"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79.8</w:t>
            </w:r>
          </w:p>
        </w:tc>
        <w:tc>
          <w:tcPr>
            <w:tcW w:w="384" w:type="pct"/>
            <w:shd w:val="clear" w:color="auto" w:fill="auto"/>
            <w:noWrap/>
            <w:vAlign w:val="bottom"/>
          </w:tcPr>
          <w:p w14:paraId="51994A67"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80.9</w:t>
            </w:r>
          </w:p>
        </w:tc>
        <w:tc>
          <w:tcPr>
            <w:tcW w:w="441" w:type="pct"/>
            <w:vAlign w:val="bottom"/>
          </w:tcPr>
          <w:p w14:paraId="00C83168"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80.4</w:t>
            </w:r>
          </w:p>
        </w:tc>
        <w:tc>
          <w:tcPr>
            <w:tcW w:w="475" w:type="pct"/>
            <w:shd w:val="clear" w:color="auto" w:fill="auto"/>
            <w:noWrap/>
            <w:vAlign w:val="bottom"/>
          </w:tcPr>
          <w:p w14:paraId="1B1C0A0C"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81.5</w:t>
            </w:r>
          </w:p>
        </w:tc>
        <w:tc>
          <w:tcPr>
            <w:tcW w:w="477" w:type="pct"/>
            <w:shd w:val="clear" w:color="auto" w:fill="auto"/>
            <w:noWrap/>
            <w:vAlign w:val="bottom"/>
          </w:tcPr>
          <w:p w14:paraId="1DBA28BB" w14:textId="77777777" w:rsidR="00CD1A9F" w:rsidRPr="00C90EDA" w:rsidRDefault="00CD1A9F" w:rsidP="00653F47">
            <w:pPr>
              <w:spacing w:after="0" w:line="240" w:lineRule="auto"/>
              <w:jc w:val="center"/>
              <w:rPr>
                <w:rFonts w:eastAsia="Times New Roman" w:cstheme="minorHAnsi"/>
                <w:bCs/>
              </w:rPr>
            </w:pPr>
            <w:r w:rsidRPr="00C90EDA">
              <w:rPr>
                <w:rFonts w:eastAsia="Times New Roman" w:cstheme="minorHAnsi"/>
                <w:bCs/>
              </w:rPr>
              <w:t>76.2</w:t>
            </w:r>
          </w:p>
        </w:tc>
      </w:tr>
      <w:tr w:rsidR="00C90EDA" w:rsidRPr="00C90EDA" w14:paraId="28CDBC99" w14:textId="77777777" w:rsidTr="00A1574B">
        <w:tblPrEx>
          <w:tblBorders>
            <w:top w:val="none" w:sz="0" w:space="0" w:color="auto"/>
            <w:bottom w:val="none" w:sz="0" w:space="0" w:color="auto"/>
          </w:tblBorders>
          <w:tblCellMar>
            <w:left w:w="58" w:type="dxa"/>
            <w:right w:w="58" w:type="dxa"/>
          </w:tblCellMar>
        </w:tblPrEx>
        <w:tc>
          <w:tcPr>
            <w:tcW w:w="1198" w:type="pct"/>
            <w:tcBorders>
              <w:bottom w:val="single" w:sz="4" w:space="0" w:color="auto"/>
            </w:tcBorders>
            <w:shd w:val="clear" w:color="auto" w:fill="auto"/>
            <w:vAlign w:val="center"/>
            <w:hideMark/>
          </w:tcPr>
          <w:p w14:paraId="27A565FD" w14:textId="39796A93" w:rsidR="00CD1A9F" w:rsidRPr="00C90EDA" w:rsidRDefault="00CD1A9F" w:rsidP="00A1574B">
            <w:pPr>
              <w:spacing w:after="0" w:line="240" w:lineRule="auto"/>
              <w:rPr>
                <w:rFonts w:eastAsia="Times New Roman" w:cstheme="minorHAnsi"/>
                <w:bCs/>
              </w:rPr>
            </w:pPr>
            <w:r w:rsidRPr="00C90EDA">
              <w:rPr>
                <w:rFonts w:eastAsia="Times New Roman" w:cstheme="minorHAnsi"/>
                <w:bCs/>
              </w:rPr>
              <w:t>06.Independent</w:t>
            </w:r>
          </w:p>
        </w:tc>
        <w:tc>
          <w:tcPr>
            <w:tcW w:w="475" w:type="pct"/>
            <w:tcBorders>
              <w:bottom w:val="single" w:sz="4" w:space="0" w:color="auto"/>
            </w:tcBorders>
            <w:shd w:val="clear" w:color="auto" w:fill="auto"/>
            <w:noWrap/>
            <w:vAlign w:val="center"/>
          </w:tcPr>
          <w:p w14:paraId="0F4665A8" w14:textId="77777777" w:rsidR="00CD1A9F" w:rsidRPr="00C90EDA" w:rsidRDefault="00CD1A9F" w:rsidP="00A1574B">
            <w:pPr>
              <w:spacing w:after="0" w:line="240" w:lineRule="auto"/>
              <w:jc w:val="center"/>
              <w:rPr>
                <w:rFonts w:eastAsia="Times New Roman" w:cstheme="minorHAnsi"/>
                <w:bCs/>
              </w:rPr>
            </w:pPr>
            <w:r w:rsidRPr="00C90EDA">
              <w:rPr>
                <w:rFonts w:eastAsia="Times New Roman" w:cstheme="minorHAnsi"/>
                <w:bCs/>
              </w:rPr>
              <w:t>86.5</w:t>
            </w:r>
          </w:p>
        </w:tc>
        <w:tc>
          <w:tcPr>
            <w:tcW w:w="475" w:type="pct"/>
            <w:tcBorders>
              <w:bottom w:val="single" w:sz="4" w:space="0" w:color="auto"/>
            </w:tcBorders>
            <w:shd w:val="clear" w:color="auto" w:fill="auto"/>
            <w:noWrap/>
            <w:vAlign w:val="center"/>
          </w:tcPr>
          <w:p w14:paraId="1AB6857C" w14:textId="77777777" w:rsidR="00CD1A9F" w:rsidRPr="00C90EDA" w:rsidRDefault="00CD1A9F" w:rsidP="00A1574B">
            <w:pPr>
              <w:spacing w:after="0" w:line="240" w:lineRule="auto"/>
              <w:jc w:val="center"/>
              <w:rPr>
                <w:rFonts w:eastAsia="Times New Roman" w:cstheme="minorHAnsi"/>
                <w:bCs/>
              </w:rPr>
            </w:pPr>
            <w:r w:rsidRPr="00C90EDA">
              <w:rPr>
                <w:rFonts w:eastAsia="Times New Roman" w:cstheme="minorHAnsi"/>
                <w:bCs/>
              </w:rPr>
              <w:t>86.7</w:t>
            </w:r>
          </w:p>
        </w:tc>
        <w:tc>
          <w:tcPr>
            <w:tcW w:w="475" w:type="pct"/>
            <w:tcBorders>
              <w:bottom w:val="single" w:sz="4" w:space="0" w:color="auto"/>
            </w:tcBorders>
            <w:shd w:val="clear" w:color="auto" w:fill="auto"/>
            <w:noWrap/>
            <w:vAlign w:val="center"/>
          </w:tcPr>
          <w:p w14:paraId="672B9EA7" w14:textId="77777777" w:rsidR="00CD1A9F" w:rsidRPr="00C90EDA" w:rsidRDefault="00CD1A9F" w:rsidP="00A1574B">
            <w:pPr>
              <w:spacing w:after="0" w:line="240" w:lineRule="auto"/>
              <w:jc w:val="center"/>
              <w:rPr>
                <w:rFonts w:eastAsia="Times New Roman" w:cstheme="minorHAnsi"/>
                <w:bCs/>
              </w:rPr>
            </w:pPr>
            <w:r w:rsidRPr="00C90EDA">
              <w:rPr>
                <w:rFonts w:eastAsia="Times New Roman" w:cstheme="minorHAnsi"/>
                <w:bCs/>
              </w:rPr>
              <w:t>87.4</w:t>
            </w:r>
          </w:p>
        </w:tc>
        <w:tc>
          <w:tcPr>
            <w:tcW w:w="600" w:type="pct"/>
            <w:tcBorders>
              <w:bottom w:val="single" w:sz="4" w:space="0" w:color="auto"/>
            </w:tcBorders>
            <w:shd w:val="clear" w:color="auto" w:fill="auto"/>
            <w:noWrap/>
            <w:vAlign w:val="center"/>
          </w:tcPr>
          <w:p w14:paraId="0F72627F" w14:textId="77777777" w:rsidR="00CD1A9F" w:rsidRPr="00C90EDA" w:rsidRDefault="00CD1A9F" w:rsidP="00A1574B">
            <w:pPr>
              <w:spacing w:after="0" w:line="240" w:lineRule="auto"/>
              <w:jc w:val="center"/>
              <w:rPr>
                <w:rFonts w:eastAsia="Times New Roman" w:cstheme="minorHAnsi"/>
                <w:bCs/>
              </w:rPr>
            </w:pPr>
            <w:r w:rsidRPr="00C90EDA">
              <w:rPr>
                <w:rFonts w:eastAsia="Times New Roman" w:cstheme="minorHAnsi"/>
                <w:bCs/>
              </w:rPr>
              <w:t>87.6</w:t>
            </w:r>
          </w:p>
        </w:tc>
        <w:tc>
          <w:tcPr>
            <w:tcW w:w="384" w:type="pct"/>
            <w:tcBorders>
              <w:bottom w:val="single" w:sz="4" w:space="0" w:color="auto"/>
            </w:tcBorders>
            <w:shd w:val="clear" w:color="auto" w:fill="auto"/>
            <w:noWrap/>
            <w:vAlign w:val="center"/>
          </w:tcPr>
          <w:p w14:paraId="32395AA2" w14:textId="77777777" w:rsidR="00CD1A9F" w:rsidRPr="00C90EDA" w:rsidRDefault="00CD1A9F" w:rsidP="00A1574B">
            <w:pPr>
              <w:spacing w:after="0" w:line="240" w:lineRule="auto"/>
              <w:jc w:val="center"/>
              <w:rPr>
                <w:rFonts w:eastAsia="Times New Roman" w:cstheme="minorHAnsi"/>
                <w:bCs/>
              </w:rPr>
            </w:pPr>
            <w:r w:rsidRPr="00C90EDA">
              <w:rPr>
                <w:rFonts w:eastAsia="Times New Roman" w:cstheme="minorHAnsi"/>
                <w:bCs/>
              </w:rPr>
              <w:t>87.8</w:t>
            </w:r>
          </w:p>
        </w:tc>
        <w:tc>
          <w:tcPr>
            <w:tcW w:w="441" w:type="pct"/>
            <w:tcBorders>
              <w:bottom w:val="single" w:sz="4" w:space="0" w:color="auto"/>
            </w:tcBorders>
            <w:vAlign w:val="center"/>
          </w:tcPr>
          <w:p w14:paraId="5D56D10A" w14:textId="77777777" w:rsidR="00CD1A9F" w:rsidRPr="00C90EDA" w:rsidRDefault="00CD1A9F" w:rsidP="00A1574B">
            <w:pPr>
              <w:spacing w:after="0" w:line="240" w:lineRule="auto"/>
              <w:jc w:val="center"/>
              <w:rPr>
                <w:rFonts w:eastAsia="Times New Roman" w:cstheme="minorHAnsi"/>
                <w:bCs/>
              </w:rPr>
            </w:pPr>
            <w:r w:rsidRPr="00C90EDA">
              <w:rPr>
                <w:rFonts w:eastAsia="Times New Roman" w:cstheme="minorHAnsi"/>
                <w:bCs/>
              </w:rPr>
              <w:t>87.7</w:t>
            </w:r>
          </w:p>
        </w:tc>
        <w:tc>
          <w:tcPr>
            <w:tcW w:w="475" w:type="pct"/>
            <w:tcBorders>
              <w:bottom w:val="single" w:sz="4" w:space="0" w:color="auto"/>
            </w:tcBorders>
            <w:shd w:val="clear" w:color="auto" w:fill="auto"/>
            <w:noWrap/>
            <w:vAlign w:val="center"/>
          </w:tcPr>
          <w:p w14:paraId="669E64D1" w14:textId="77777777" w:rsidR="00CD1A9F" w:rsidRPr="00C90EDA" w:rsidRDefault="00CD1A9F" w:rsidP="00A1574B">
            <w:pPr>
              <w:spacing w:after="0" w:line="240" w:lineRule="auto"/>
              <w:jc w:val="center"/>
              <w:rPr>
                <w:rFonts w:eastAsia="Times New Roman" w:cstheme="minorHAnsi"/>
                <w:bCs/>
              </w:rPr>
            </w:pPr>
            <w:r w:rsidRPr="00C90EDA">
              <w:rPr>
                <w:rFonts w:eastAsia="Times New Roman" w:cstheme="minorHAnsi"/>
                <w:bCs/>
              </w:rPr>
              <w:t>88.4</w:t>
            </w:r>
          </w:p>
        </w:tc>
        <w:tc>
          <w:tcPr>
            <w:tcW w:w="477" w:type="pct"/>
            <w:tcBorders>
              <w:bottom w:val="single" w:sz="4" w:space="0" w:color="auto"/>
            </w:tcBorders>
            <w:shd w:val="clear" w:color="auto" w:fill="auto"/>
            <w:noWrap/>
            <w:vAlign w:val="center"/>
          </w:tcPr>
          <w:p w14:paraId="658E8D40" w14:textId="77777777" w:rsidR="00CD1A9F" w:rsidRPr="00C90EDA" w:rsidRDefault="00CD1A9F" w:rsidP="00A1574B">
            <w:pPr>
              <w:spacing w:after="0" w:line="240" w:lineRule="auto"/>
              <w:jc w:val="center"/>
              <w:rPr>
                <w:rFonts w:eastAsia="Times New Roman" w:cstheme="minorHAnsi"/>
                <w:bCs/>
              </w:rPr>
            </w:pPr>
            <w:r w:rsidRPr="00C90EDA">
              <w:rPr>
                <w:rFonts w:eastAsia="Times New Roman" w:cstheme="minorHAnsi"/>
                <w:bCs/>
              </w:rPr>
              <w:t>86.0</w:t>
            </w:r>
          </w:p>
        </w:tc>
      </w:tr>
    </w:tbl>
    <w:p w14:paraId="77C90615" w14:textId="77777777" w:rsidR="00CD1A9F" w:rsidRPr="00C90EDA" w:rsidRDefault="00CD1A9F" w:rsidP="00653F47">
      <w:pPr>
        <w:spacing w:after="0" w:line="240" w:lineRule="auto"/>
        <w:rPr>
          <w:rFonts w:cstheme="minorHAnsi"/>
          <w:bCs/>
          <w:sz w:val="18"/>
        </w:rPr>
      </w:pPr>
      <w:r w:rsidRPr="00C90EDA">
        <w:rPr>
          <w:rFonts w:cstheme="minorHAnsi"/>
          <w:bCs/>
          <w:sz w:val="18"/>
        </w:rPr>
        <w:t>RTI Analysis of Medicare Claims File for IRF FY 2017 (reference: MM210).</w:t>
      </w:r>
    </w:p>
    <w:p w14:paraId="09CF6733" w14:textId="77777777" w:rsidR="00CD1A9F" w:rsidRPr="00C90EDA" w:rsidRDefault="00CD1A9F" w:rsidP="00653F47">
      <w:pPr>
        <w:spacing w:after="0" w:line="240" w:lineRule="auto"/>
        <w:rPr>
          <w:rFonts w:cstheme="minorHAnsi"/>
          <w:bCs/>
        </w:rPr>
      </w:pPr>
    </w:p>
    <w:p w14:paraId="74F7918B" w14:textId="47C814B9" w:rsidR="00D31CF1" w:rsidRPr="00D31CF1" w:rsidRDefault="00D31CF1" w:rsidP="00D31CF1">
      <w:pPr>
        <w:pStyle w:val="ListParagraph"/>
        <w:numPr>
          <w:ilvl w:val="0"/>
          <w:numId w:val="3"/>
        </w:numPr>
        <w:rPr>
          <w:rFonts w:cstheme="minorHAnsi"/>
          <w:b/>
        </w:rPr>
      </w:pPr>
      <w:bookmarkStart w:id="0" w:name="_Hlk526927969"/>
      <w:r w:rsidRPr="00D31CF1">
        <w:rPr>
          <w:rFonts w:cstheme="minorHAnsi"/>
          <w:b/>
        </w:rPr>
        <w:t xml:space="preserve">Known-groups validity testing for </w:t>
      </w:r>
      <w:r w:rsidR="00485ED3">
        <w:rPr>
          <w:rFonts w:cstheme="minorHAnsi"/>
          <w:b/>
        </w:rPr>
        <w:t>patients</w:t>
      </w:r>
      <w:r w:rsidRPr="00D31CF1">
        <w:rPr>
          <w:rFonts w:cstheme="minorHAnsi"/>
          <w:b/>
        </w:rPr>
        <w:t xml:space="preserve"> with pressure ulcers at discharge vs. those without pressure ulcers</w:t>
      </w:r>
    </w:p>
    <w:p w14:paraId="57147543" w14:textId="77777777" w:rsidR="00C90EDA" w:rsidRPr="00C90EDA" w:rsidRDefault="00C90EDA" w:rsidP="00653F47">
      <w:pPr>
        <w:pStyle w:val="ListParagraph"/>
        <w:autoSpaceDE w:val="0"/>
        <w:autoSpaceDN w:val="0"/>
        <w:adjustRightInd w:val="0"/>
        <w:spacing w:after="0" w:line="240" w:lineRule="auto"/>
        <w:ind w:left="1800"/>
        <w:rPr>
          <w:rFonts w:cstheme="minorHAnsi"/>
          <w:b/>
        </w:rPr>
      </w:pPr>
    </w:p>
    <w:p w14:paraId="46E36C26" w14:textId="7DA20977" w:rsidR="00C90EDA" w:rsidRPr="00C90EDA" w:rsidRDefault="00C90EDA" w:rsidP="00653F47">
      <w:pPr>
        <w:autoSpaceDE w:val="0"/>
        <w:autoSpaceDN w:val="0"/>
        <w:adjustRightInd w:val="0"/>
        <w:spacing w:after="0" w:line="240" w:lineRule="auto"/>
      </w:pPr>
      <w:r w:rsidRPr="00C90EDA">
        <w:rPr>
          <w:rFonts w:cstheme="minorHAnsi"/>
        </w:rPr>
        <w:t>We</w:t>
      </w:r>
      <w:r w:rsidRPr="00C90EDA" w:rsidDel="003C3293">
        <w:rPr>
          <w:rFonts w:cstheme="minorHAnsi"/>
        </w:rPr>
        <w:t xml:space="preserve"> </w:t>
      </w:r>
      <w:r w:rsidRPr="00C90EDA">
        <w:rPr>
          <w:rFonts w:cstheme="minorHAnsi"/>
        </w:rPr>
        <w:t>examined the relationship</w:t>
      </w:r>
      <w:r w:rsidR="002E3CAF">
        <w:rPr>
          <w:rFonts w:cstheme="minorHAnsi"/>
        </w:rPr>
        <w:t xml:space="preserve"> between</w:t>
      </w:r>
      <w:r w:rsidRPr="00C90EDA">
        <w:rPr>
          <w:rFonts w:cstheme="minorHAnsi"/>
        </w:rPr>
        <w:t xml:space="preserve"> presence of </w:t>
      </w:r>
      <w:r w:rsidR="00891B35">
        <w:rPr>
          <w:rFonts w:cstheme="minorHAnsi"/>
        </w:rPr>
        <w:t xml:space="preserve">any </w:t>
      </w:r>
      <w:r w:rsidR="00D31CF1">
        <w:rPr>
          <w:rFonts w:cstheme="minorHAnsi"/>
        </w:rPr>
        <w:t>s</w:t>
      </w:r>
      <w:r w:rsidRPr="00C90EDA">
        <w:rPr>
          <w:rFonts w:cstheme="minorHAnsi"/>
        </w:rPr>
        <w:t xml:space="preserve">tage 2, 3, 4, </w:t>
      </w:r>
      <w:r w:rsidR="00D31CF1">
        <w:rPr>
          <w:rFonts w:cstheme="minorHAnsi"/>
        </w:rPr>
        <w:t>or</w:t>
      </w:r>
      <w:r w:rsidRPr="00C90EDA">
        <w:rPr>
          <w:rFonts w:cstheme="minorHAnsi"/>
        </w:rPr>
        <w:t xml:space="preserve"> </w:t>
      </w:r>
      <w:r w:rsidR="00D31CF1">
        <w:rPr>
          <w:rFonts w:cstheme="minorHAnsi"/>
        </w:rPr>
        <w:t>u</w:t>
      </w:r>
      <w:r w:rsidRPr="00C90EDA">
        <w:rPr>
          <w:rFonts w:cstheme="minorHAnsi"/>
        </w:rPr>
        <w:t xml:space="preserve">nstageable </w:t>
      </w:r>
      <w:r w:rsidR="00D31CF1">
        <w:rPr>
          <w:rFonts w:cstheme="minorHAnsi"/>
        </w:rPr>
        <w:t>p</w:t>
      </w:r>
      <w:r w:rsidRPr="00C90EDA">
        <w:rPr>
          <w:rFonts w:cstheme="minorHAnsi"/>
        </w:rPr>
        <w:t xml:space="preserve">ressure </w:t>
      </w:r>
      <w:r w:rsidR="00D31CF1">
        <w:rPr>
          <w:rFonts w:cstheme="minorHAnsi"/>
        </w:rPr>
        <w:t>u</w:t>
      </w:r>
      <w:r w:rsidRPr="00C90EDA">
        <w:rPr>
          <w:rFonts w:cstheme="minorHAnsi"/>
        </w:rPr>
        <w:t>lcers at discharge</w:t>
      </w:r>
      <w:r w:rsidR="00D31CF1">
        <w:rPr>
          <w:rFonts w:cstheme="minorHAnsi"/>
        </w:rPr>
        <w:t xml:space="preserve"> and </w:t>
      </w:r>
      <w:r w:rsidR="00D31CF1" w:rsidRPr="00C90EDA">
        <w:rPr>
          <w:rFonts w:cstheme="minorHAnsi"/>
        </w:rPr>
        <w:t>discharge to community</w:t>
      </w:r>
      <w:r w:rsidR="00D31CF1">
        <w:rPr>
          <w:rFonts w:cstheme="minorHAnsi"/>
        </w:rPr>
        <w:t xml:space="preserve"> outcomes</w:t>
      </w:r>
      <w:r w:rsidRPr="00C90EDA">
        <w:rPr>
          <w:rFonts w:cstheme="minorHAnsi"/>
        </w:rPr>
        <w:t>.</w:t>
      </w:r>
      <w:r w:rsidRPr="00C90EDA" w:rsidDel="00480257">
        <w:rPr>
          <w:rFonts w:cstheme="minorHAnsi"/>
        </w:rPr>
        <w:t xml:space="preserve"> </w:t>
      </w:r>
      <w:r w:rsidRPr="00C90EDA">
        <w:rPr>
          <w:rFonts w:cstheme="minorHAnsi"/>
        </w:rPr>
        <w:t>We used data submitted using the IRF-PAI v1.4 Section M, items M0300</w:t>
      </w:r>
      <w:r w:rsidR="00616A7D">
        <w:rPr>
          <w:rFonts w:cstheme="minorHAnsi"/>
        </w:rPr>
        <w:t>B</w:t>
      </w:r>
      <w:r w:rsidRPr="00C90EDA">
        <w:rPr>
          <w:rFonts w:cstheme="minorHAnsi"/>
        </w:rPr>
        <w:t xml:space="preserve">-G. </w:t>
      </w:r>
      <w:r w:rsidRPr="00C90EDA">
        <w:rPr>
          <w:rFonts w:cstheme="minorHAnsi"/>
          <w:bCs/>
        </w:rPr>
        <w:t xml:space="preserve">We </w:t>
      </w:r>
      <w:r w:rsidRPr="00C90EDA">
        <w:rPr>
          <w:rFonts w:cstheme="minorHAnsi"/>
        </w:rPr>
        <w:t xml:space="preserve">hypothesized that patients without any </w:t>
      </w:r>
      <w:r w:rsidR="00D31CF1">
        <w:rPr>
          <w:rFonts w:cstheme="minorHAnsi"/>
        </w:rPr>
        <w:t>s</w:t>
      </w:r>
      <w:r w:rsidRPr="00C90EDA">
        <w:rPr>
          <w:rFonts w:cstheme="minorHAnsi"/>
        </w:rPr>
        <w:t xml:space="preserve">tage 2, 3, 4, </w:t>
      </w:r>
      <w:r w:rsidR="00D31CF1">
        <w:rPr>
          <w:rFonts w:cstheme="minorHAnsi"/>
        </w:rPr>
        <w:t>or</w:t>
      </w:r>
      <w:r w:rsidRPr="00C90EDA">
        <w:rPr>
          <w:rFonts w:cstheme="minorHAnsi"/>
        </w:rPr>
        <w:t xml:space="preserve"> </w:t>
      </w:r>
      <w:r w:rsidR="00D31CF1">
        <w:rPr>
          <w:rFonts w:cstheme="minorHAnsi"/>
        </w:rPr>
        <w:t>u</w:t>
      </w:r>
      <w:r w:rsidRPr="00C90EDA">
        <w:rPr>
          <w:rFonts w:cstheme="minorHAnsi"/>
        </w:rPr>
        <w:t xml:space="preserve">nstageable </w:t>
      </w:r>
      <w:r w:rsidR="00D31CF1">
        <w:rPr>
          <w:rFonts w:cstheme="minorHAnsi"/>
        </w:rPr>
        <w:t>p</w:t>
      </w:r>
      <w:r w:rsidRPr="00C90EDA">
        <w:rPr>
          <w:rFonts w:cstheme="minorHAnsi"/>
        </w:rPr>
        <w:t xml:space="preserve">ressure </w:t>
      </w:r>
      <w:r w:rsidR="00D31CF1">
        <w:rPr>
          <w:rFonts w:cstheme="minorHAnsi"/>
        </w:rPr>
        <w:t>u</w:t>
      </w:r>
      <w:r w:rsidRPr="00C90EDA">
        <w:rPr>
          <w:rFonts w:cstheme="minorHAnsi"/>
        </w:rPr>
        <w:t>lcers would have higher DTC rates</w:t>
      </w:r>
      <w:r w:rsidR="00E22DD5">
        <w:rPr>
          <w:rFonts w:cstheme="minorHAnsi"/>
        </w:rPr>
        <w:t>, compared to those with such pressure ulcers</w:t>
      </w:r>
      <w:r w:rsidRPr="00C90EDA">
        <w:rPr>
          <w:rFonts w:cstheme="minorHAnsi"/>
        </w:rPr>
        <w:t xml:space="preserve">. </w:t>
      </w:r>
      <w:r w:rsidR="007C192C" w:rsidRPr="00C90EDA">
        <w:t xml:space="preserve">This analysis was not included in the testing </w:t>
      </w:r>
      <w:r w:rsidR="007C192C">
        <w:t>form</w:t>
      </w:r>
      <w:r w:rsidR="007C192C" w:rsidRPr="00C90EDA">
        <w:t>.</w:t>
      </w:r>
    </w:p>
    <w:p w14:paraId="0A5214DE" w14:textId="3B6976FE" w:rsidR="00C90EDA" w:rsidRPr="00C90EDA" w:rsidRDefault="00C90EDA" w:rsidP="00653F47">
      <w:pPr>
        <w:autoSpaceDE w:val="0"/>
        <w:autoSpaceDN w:val="0"/>
        <w:adjustRightInd w:val="0"/>
        <w:spacing w:after="0" w:line="240" w:lineRule="auto"/>
        <w:rPr>
          <w:rFonts w:cstheme="minorHAnsi"/>
        </w:rPr>
      </w:pPr>
    </w:p>
    <w:p w14:paraId="3AB7CE31" w14:textId="15A73853" w:rsidR="00C90EDA" w:rsidRPr="00C90EDA" w:rsidRDefault="00C90EDA" w:rsidP="00653F47">
      <w:pPr>
        <w:autoSpaceDE w:val="0"/>
        <w:autoSpaceDN w:val="0"/>
        <w:adjustRightInd w:val="0"/>
        <w:spacing w:after="0" w:line="240" w:lineRule="auto"/>
        <w:rPr>
          <w:rFonts w:cstheme="minorHAnsi"/>
          <w:bCs/>
        </w:rPr>
      </w:pPr>
      <w:bookmarkStart w:id="1" w:name="_Hlk526927583"/>
      <w:r w:rsidRPr="00C90EDA">
        <w:rPr>
          <w:rFonts w:cstheme="minorHAnsi"/>
          <w:b/>
        </w:rPr>
        <w:t>Table A-3</w:t>
      </w:r>
      <w:r w:rsidRPr="00C90EDA">
        <w:rPr>
          <w:rFonts w:cstheme="minorHAnsi"/>
          <w:bCs/>
        </w:rPr>
        <w:t xml:space="preserve"> </w:t>
      </w:r>
      <w:r w:rsidRPr="00C90EDA">
        <w:rPr>
          <w:rFonts w:cstheme="minorHAnsi"/>
        </w:rPr>
        <w:t>presents</w:t>
      </w:r>
      <w:r w:rsidRPr="00C90EDA">
        <w:rPr>
          <w:rFonts w:cstheme="minorHAnsi"/>
          <w:bCs/>
        </w:rPr>
        <w:t xml:space="preserve"> known-groups </w:t>
      </w:r>
      <w:r w:rsidR="002E3CAF">
        <w:rPr>
          <w:rFonts w:cstheme="minorHAnsi"/>
          <w:bCs/>
        </w:rPr>
        <w:t xml:space="preserve">validity </w:t>
      </w:r>
      <w:r w:rsidRPr="00C90EDA">
        <w:rPr>
          <w:rFonts w:cstheme="minorHAnsi"/>
          <w:bCs/>
        </w:rPr>
        <w:t>testing results for patient</w:t>
      </w:r>
      <w:r w:rsidR="00D33310">
        <w:rPr>
          <w:rFonts w:cstheme="minorHAnsi"/>
          <w:bCs/>
        </w:rPr>
        <w:t xml:space="preserve"> stay</w:t>
      </w:r>
      <w:r w:rsidRPr="00C90EDA">
        <w:rPr>
          <w:rFonts w:cstheme="minorHAnsi"/>
          <w:bCs/>
        </w:rPr>
        <w:t>s with pressure ulcers at discharge</w:t>
      </w:r>
      <w:r w:rsidR="002E3CAF">
        <w:rPr>
          <w:rFonts w:cstheme="minorHAnsi"/>
          <w:bCs/>
        </w:rPr>
        <w:t xml:space="preserve"> compared with those</w:t>
      </w:r>
      <w:r w:rsidRPr="00C90EDA">
        <w:rPr>
          <w:rFonts w:cstheme="minorHAnsi"/>
          <w:bCs/>
        </w:rPr>
        <w:t xml:space="preserve"> without pressure ulcers. The successful DTC rate for patient</w:t>
      </w:r>
      <w:r w:rsidR="00D33310">
        <w:rPr>
          <w:rFonts w:cstheme="minorHAnsi"/>
          <w:bCs/>
        </w:rPr>
        <w:t xml:space="preserve"> stay</w:t>
      </w:r>
      <w:r w:rsidRPr="00C90EDA">
        <w:rPr>
          <w:rFonts w:cstheme="minorHAnsi"/>
          <w:bCs/>
        </w:rPr>
        <w:t xml:space="preserve">s with </w:t>
      </w:r>
      <w:r w:rsidR="00D33310">
        <w:rPr>
          <w:rFonts w:cstheme="minorHAnsi"/>
          <w:bCs/>
        </w:rPr>
        <w:t xml:space="preserve">discharge </w:t>
      </w:r>
      <w:r w:rsidRPr="00C90EDA">
        <w:rPr>
          <w:rFonts w:cstheme="minorHAnsi"/>
          <w:bCs/>
        </w:rPr>
        <w:t>pressure ulcers was 21.2 percentage points lower than that for those without</w:t>
      </w:r>
      <w:r w:rsidR="00B10F88">
        <w:rPr>
          <w:rFonts w:cstheme="minorHAnsi"/>
          <w:bCs/>
        </w:rPr>
        <w:t xml:space="preserve"> pressure ulcers</w:t>
      </w:r>
      <w:r w:rsidRPr="00C90EDA">
        <w:rPr>
          <w:rFonts w:cstheme="minorHAnsi"/>
          <w:bCs/>
        </w:rPr>
        <w:t xml:space="preserve">. </w:t>
      </w:r>
    </w:p>
    <w:p w14:paraId="386DEFD0" w14:textId="77777777" w:rsidR="00C90EDA" w:rsidRPr="00C90EDA" w:rsidRDefault="00C90EDA" w:rsidP="00653F47">
      <w:pPr>
        <w:pStyle w:val="ListParagraph"/>
        <w:autoSpaceDE w:val="0"/>
        <w:autoSpaceDN w:val="0"/>
        <w:adjustRightInd w:val="0"/>
        <w:spacing w:after="0" w:line="240" w:lineRule="auto"/>
        <w:rPr>
          <w:rFonts w:cstheme="minorHAnsi"/>
          <w:bCs/>
        </w:rPr>
      </w:pPr>
    </w:p>
    <w:p w14:paraId="6C95D960" w14:textId="4C521E54" w:rsidR="00C90EDA" w:rsidRPr="00C90EDA" w:rsidRDefault="00C90EDA" w:rsidP="00653F47">
      <w:pPr>
        <w:autoSpaceDE w:val="0"/>
        <w:autoSpaceDN w:val="0"/>
        <w:adjustRightInd w:val="0"/>
        <w:spacing w:after="0" w:line="240" w:lineRule="auto"/>
        <w:rPr>
          <w:rFonts w:cstheme="minorHAnsi"/>
          <w:b/>
          <w:bCs/>
        </w:rPr>
      </w:pPr>
      <w:r w:rsidRPr="00C90EDA">
        <w:rPr>
          <w:rFonts w:cstheme="minorHAnsi"/>
          <w:b/>
          <w:bCs/>
        </w:rPr>
        <w:t>Table A-3. Successful Discharge to Community Rates for Patient</w:t>
      </w:r>
      <w:r w:rsidR="00C83371">
        <w:rPr>
          <w:rFonts w:cstheme="minorHAnsi"/>
          <w:b/>
          <w:bCs/>
        </w:rPr>
        <w:t xml:space="preserve"> Stay</w:t>
      </w:r>
      <w:r w:rsidRPr="00C90EDA">
        <w:rPr>
          <w:rFonts w:cstheme="minorHAnsi"/>
          <w:b/>
          <w:bCs/>
        </w:rPr>
        <w:t>s with Pressure Ulcers vs.</w:t>
      </w:r>
      <w:r w:rsidR="00D33310">
        <w:rPr>
          <w:rFonts w:cstheme="minorHAnsi"/>
          <w:b/>
          <w:bCs/>
        </w:rPr>
        <w:t xml:space="preserve"> Those</w:t>
      </w:r>
      <w:r w:rsidRPr="00C90EDA">
        <w:rPr>
          <w:rFonts w:cstheme="minorHAnsi"/>
          <w:b/>
          <w:bCs/>
        </w:rPr>
        <w:t xml:space="preserve"> without Pressure Ulcers</w:t>
      </w:r>
      <w:r w:rsidR="00D33310">
        <w:rPr>
          <w:rFonts w:cstheme="minorHAnsi"/>
          <w:b/>
          <w:bCs/>
        </w:rPr>
        <w:t xml:space="preserve"> at Discharge</w:t>
      </w:r>
    </w:p>
    <w:p w14:paraId="4BC11768" w14:textId="77777777" w:rsidR="00C90EDA" w:rsidRPr="00C90EDA" w:rsidRDefault="00C90EDA" w:rsidP="00653F47">
      <w:pPr>
        <w:pStyle w:val="ListParagraph"/>
        <w:autoSpaceDE w:val="0"/>
        <w:autoSpaceDN w:val="0"/>
        <w:adjustRightInd w:val="0"/>
        <w:spacing w:after="0" w:line="240" w:lineRule="auto"/>
        <w:rPr>
          <w:rFonts w:cstheme="minorHAnsi"/>
          <w:bCs/>
        </w:rPr>
      </w:pPr>
    </w:p>
    <w:tbl>
      <w:tblPr>
        <w:tblW w:w="5000" w:type="pct"/>
        <w:tblLook w:val="04A0" w:firstRow="1" w:lastRow="0" w:firstColumn="1" w:lastColumn="0" w:noHBand="0" w:noVBand="1"/>
      </w:tblPr>
      <w:tblGrid>
        <w:gridCol w:w="1847"/>
        <w:gridCol w:w="2923"/>
        <w:gridCol w:w="2250"/>
        <w:gridCol w:w="2340"/>
      </w:tblGrid>
      <w:tr w:rsidR="007E635B" w:rsidRPr="00C90EDA" w14:paraId="137A30BB" w14:textId="77777777" w:rsidTr="00531769">
        <w:tc>
          <w:tcPr>
            <w:tcW w:w="1847" w:type="dxa"/>
            <w:vMerge w:val="restart"/>
            <w:tcBorders>
              <w:top w:val="single" w:sz="4" w:space="0" w:color="auto"/>
            </w:tcBorders>
            <w:shd w:val="clear" w:color="auto" w:fill="D9D9D9" w:themeFill="background1" w:themeFillShade="D9"/>
            <w:vAlign w:val="center"/>
          </w:tcPr>
          <w:p w14:paraId="49ABE166" w14:textId="77777777" w:rsidR="007E635B" w:rsidRPr="00C90EDA" w:rsidRDefault="007E635B" w:rsidP="00653F47">
            <w:pPr>
              <w:autoSpaceDE w:val="0"/>
              <w:autoSpaceDN w:val="0"/>
              <w:adjustRightInd w:val="0"/>
              <w:spacing w:after="0" w:line="240" w:lineRule="auto"/>
              <w:rPr>
                <w:rFonts w:cstheme="minorHAnsi"/>
                <w:b/>
              </w:rPr>
            </w:pPr>
            <w:r w:rsidRPr="00C90EDA">
              <w:rPr>
                <w:rFonts w:cstheme="minorHAnsi"/>
                <w:b/>
              </w:rPr>
              <w:t>Characteristic</w:t>
            </w:r>
          </w:p>
        </w:tc>
        <w:tc>
          <w:tcPr>
            <w:tcW w:w="5173" w:type="dxa"/>
            <w:gridSpan w:val="2"/>
            <w:tcBorders>
              <w:top w:val="single" w:sz="4" w:space="0" w:color="auto"/>
              <w:bottom w:val="single" w:sz="4" w:space="0" w:color="auto"/>
            </w:tcBorders>
            <w:shd w:val="clear" w:color="auto" w:fill="D9D9D9" w:themeFill="background1" w:themeFillShade="D9"/>
          </w:tcPr>
          <w:p w14:paraId="4E7A73AE" w14:textId="299089CE" w:rsidR="007E635B" w:rsidRPr="000E3CAF" w:rsidRDefault="007E635B" w:rsidP="003A387F">
            <w:pPr>
              <w:autoSpaceDE w:val="0"/>
              <w:autoSpaceDN w:val="0"/>
              <w:adjustRightInd w:val="0"/>
              <w:spacing w:after="0" w:line="240" w:lineRule="auto"/>
              <w:jc w:val="center"/>
              <w:rPr>
                <w:rFonts w:cstheme="minorHAnsi"/>
                <w:b/>
                <w:bCs/>
              </w:rPr>
            </w:pPr>
            <w:r w:rsidRPr="000E3CAF">
              <w:rPr>
                <w:rFonts w:cstheme="minorHAnsi"/>
                <w:b/>
                <w:bCs/>
              </w:rPr>
              <w:t>Stage 2, 3, 4</w:t>
            </w:r>
            <w:r w:rsidR="007D772C" w:rsidRPr="000E3CAF">
              <w:rPr>
                <w:rFonts w:cstheme="minorHAnsi"/>
                <w:b/>
                <w:bCs/>
              </w:rPr>
              <w:t>,</w:t>
            </w:r>
            <w:r w:rsidRPr="000E3CAF">
              <w:rPr>
                <w:rFonts w:cstheme="minorHAnsi"/>
                <w:b/>
                <w:bCs/>
              </w:rPr>
              <w:t xml:space="preserve"> Unstageable</w:t>
            </w:r>
            <w:r w:rsidR="000E3CAF" w:rsidRPr="000E3CAF">
              <w:rPr>
                <w:rFonts w:cstheme="minorHAnsi"/>
                <w:b/>
                <w:bCs/>
              </w:rPr>
              <w:t xml:space="preserve"> Pressure Ulcers</w:t>
            </w:r>
          </w:p>
        </w:tc>
        <w:tc>
          <w:tcPr>
            <w:tcW w:w="2340" w:type="dxa"/>
            <w:vMerge w:val="restart"/>
            <w:tcBorders>
              <w:top w:val="single" w:sz="4" w:space="0" w:color="auto"/>
            </w:tcBorders>
            <w:shd w:val="clear" w:color="auto" w:fill="D9D9D9" w:themeFill="background1" w:themeFillShade="D9"/>
            <w:vAlign w:val="center"/>
          </w:tcPr>
          <w:p w14:paraId="4AB4C1C3" w14:textId="5F82E8CD" w:rsidR="007E635B" w:rsidRPr="00C90EDA" w:rsidRDefault="007E635B" w:rsidP="003A387F">
            <w:pPr>
              <w:autoSpaceDE w:val="0"/>
              <w:autoSpaceDN w:val="0"/>
              <w:adjustRightInd w:val="0"/>
              <w:spacing w:after="0" w:line="240" w:lineRule="auto"/>
              <w:jc w:val="center"/>
              <w:rPr>
                <w:rFonts w:cstheme="minorHAnsi"/>
                <w:b/>
              </w:rPr>
            </w:pPr>
            <w:r w:rsidRPr="00C90EDA">
              <w:rPr>
                <w:rFonts w:cstheme="minorHAnsi"/>
                <w:b/>
              </w:rPr>
              <w:t xml:space="preserve">Overall Sample </w:t>
            </w:r>
            <w:r w:rsidRPr="00C90EDA">
              <w:rPr>
                <w:rFonts w:cstheme="minorHAnsi"/>
                <w:b/>
              </w:rPr>
              <w:br/>
              <w:t>(n =</w:t>
            </w:r>
            <w:r w:rsidR="001C5930">
              <w:rPr>
                <w:rFonts w:cstheme="minorHAnsi"/>
                <w:b/>
              </w:rPr>
              <w:t xml:space="preserve"> </w:t>
            </w:r>
            <w:r w:rsidRPr="00C90EDA">
              <w:rPr>
                <w:rFonts w:cstheme="minorHAnsi"/>
                <w:b/>
              </w:rPr>
              <w:t>581,735)</w:t>
            </w:r>
          </w:p>
        </w:tc>
      </w:tr>
      <w:tr w:rsidR="007E635B" w:rsidRPr="00C90EDA" w14:paraId="36CDA16E" w14:textId="77777777" w:rsidTr="00531769">
        <w:tc>
          <w:tcPr>
            <w:tcW w:w="1847" w:type="dxa"/>
            <w:vMerge/>
            <w:shd w:val="clear" w:color="auto" w:fill="D9D9D9" w:themeFill="background1" w:themeFillShade="D9"/>
            <w:vAlign w:val="center"/>
          </w:tcPr>
          <w:p w14:paraId="790FB9EB" w14:textId="77777777" w:rsidR="007E635B" w:rsidRPr="00C90EDA" w:rsidRDefault="007E635B" w:rsidP="00653F47">
            <w:pPr>
              <w:autoSpaceDE w:val="0"/>
              <w:autoSpaceDN w:val="0"/>
              <w:adjustRightInd w:val="0"/>
              <w:spacing w:after="0" w:line="240" w:lineRule="auto"/>
              <w:rPr>
                <w:rFonts w:cstheme="minorHAnsi"/>
                <w:b/>
              </w:rPr>
            </w:pPr>
          </w:p>
        </w:tc>
        <w:tc>
          <w:tcPr>
            <w:tcW w:w="2923" w:type="dxa"/>
            <w:tcBorders>
              <w:top w:val="single" w:sz="4" w:space="0" w:color="auto"/>
            </w:tcBorders>
            <w:shd w:val="clear" w:color="auto" w:fill="D9D9D9" w:themeFill="background1" w:themeFillShade="D9"/>
          </w:tcPr>
          <w:p w14:paraId="0C3E3557" w14:textId="77777777" w:rsidR="000E6E5F" w:rsidRDefault="007E635B" w:rsidP="007E635B">
            <w:pPr>
              <w:autoSpaceDE w:val="0"/>
              <w:autoSpaceDN w:val="0"/>
              <w:adjustRightInd w:val="0"/>
              <w:spacing w:after="0" w:line="240" w:lineRule="auto"/>
              <w:jc w:val="center"/>
              <w:rPr>
                <w:rFonts w:cstheme="minorHAnsi"/>
                <w:b/>
                <w:bCs/>
              </w:rPr>
            </w:pPr>
            <w:r w:rsidRPr="007E635B">
              <w:rPr>
                <w:rFonts w:cstheme="minorHAnsi"/>
                <w:b/>
                <w:bCs/>
              </w:rPr>
              <w:t xml:space="preserve">Present </w:t>
            </w:r>
          </w:p>
          <w:p w14:paraId="6B5C56D8" w14:textId="1CA1F4EF" w:rsidR="007E635B" w:rsidRPr="007E635B" w:rsidRDefault="007E635B" w:rsidP="007E635B">
            <w:pPr>
              <w:autoSpaceDE w:val="0"/>
              <w:autoSpaceDN w:val="0"/>
              <w:adjustRightInd w:val="0"/>
              <w:spacing w:after="0" w:line="240" w:lineRule="auto"/>
              <w:jc w:val="center"/>
              <w:rPr>
                <w:rFonts w:cstheme="minorHAnsi"/>
                <w:b/>
                <w:bCs/>
              </w:rPr>
            </w:pPr>
            <w:r w:rsidRPr="007E635B">
              <w:rPr>
                <w:rFonts w:cstheme="minorHAnsi"/>
                <w:b/>
              </w:rPr>
              <w:t>(n</w:t>
            </w:r>
            <w:r w:rsidR="00531769">
              <w:rPr>
                <w:rFonts w:cstheme="minorHAnsi"/>
                <w:b/>
              </w:rPr>
              <w:t xml:space="preserve"> </w:t>
            </w:r>
            <w:r w:rsidRPr="007E635B">
              <w:rPr>
                <w:rFonts w:cstheme="minorHAnsi"/>
                <w:b/>
              </w:rPr>
              <w:t>=</w:t>
            </w:r>
            <w:r w:rsidR="00531769">
              <w:rPr>
                <w:rFonts w:cstheme="minorHAnsi"/>
                <w:b/>
              </w:rPr>
              <w:t xml:space="preserve"> </w:t>
            </w:r>
            <w:r w:rsidRPr="007E635B">
              <w:rPr>
                <w:rFonts w:cstheme="minorHAnsi"/>
                <w:b/>
              </w:rPr>
              <w:t>36,365)</w:t>
            </w:r>
          </w:p>
        </w:tc>
        <w:tc>
          <w:tcPr>
            <w:tcW w:w="2250" w:type="dxa"/>
            <w:tcBorders>
              <w:top w:val="single" w:sz="4" w:space="0" w:color="auto"/>
            </w:tcBorders>
            <w:shd w:val="clear" w:color="auto" w:fill="D9D9D9" w:themeFill="background1" w:themeFillShade="D9"/>
          </w:tcPr>
          <w:p w14:paraId="5CB2034E" w14:textId="77777777" w:rsidR="000E6E5F" w:rsidRDefault="007E635B" w:rsidP="007E635B">
            <w:pPr>
              <w:autoSpaceDE w:val="0"/>
              <w:autoSpaceDN w:val="0"/>
              <w:adjustRightInd w:val="0"/>
              <w:spacing w:after="0" w:line="240" w:lineRule="auto"/>
              <w:jc w:val="center"/>
              <w:rPr>
                <w:rStyle w:val="normaltextrun1"/>
                <w:rFonts w:cstheme="minorHAnsi"/>
                <w:b/>
              </w:rPr>
            </w:pPr>
            <w:r w:rsidRPr="007E635B">
              <w:rPr>
                <w:rStyle w:val="normaltextrun1"/>
                <w:rFonts w:cstheme="minorHAnsi"/>
                <w:b/>
              </w:rPr>
              <w:t xml:space="preserve">Absent </w:t>
            </w:r>
          </w:p>
          <w:p w14:paraId="507C7AA7" w14:textId="49910D24" w:rsidR="007E635B" w:rsidRPr="007E635B" w:rsidRDefault="007E635B" w:rsidP="007E635B">
            <w:pPr>
              <w:autoSpaceDE w:val="0"/>
              <w:autoSpaceDN w:val="0"/>
              <w:adjustRightInd w:val="0"/>
              <w:spacing w:after="0" w:line="240" w:lineRule="auto"/>
              <w:jc w:val="center"/>
              <w:rPr>
                <w:rStyle w:val="normaltextrun1"/>
                <w:rFonts w:cstheme="minorHAnsi"/>
                <w:b/>
              </w:rPr>
            </w:pPr>
            <w:r w:rsidRPr="007E635B">
              <w:rPr>
                <w:rFonts w:cstheme="minorHAnsi"/>
                <w:b/>
              </w:rPr>
              <w:t>(n</w:t>
            </w:r>
            <w:r w:rsidR="00531769">
              <w:rPr>
                <w:rFonts w:cstheme="minorHAnsi"/>
                <w:b/>
              </w:rPr>
              <w:t xml:space="preserve"> </w:t>
            </w:r>
            <w:r w:rsidRPr="007E635B">
              <w:rPr>
                <w:rFonts w:cstheme="minorHAnsi"/>
                <w:b/>
              </w:rPr>
              <w:t>=</w:t>
            </w:r>
            <w:r w:rsidR="00531769">
              <w:rPr>
                <w:rFonts w:cstheme="minorHAnsi"/>
                <w:b/>
              </w:rPr>
              <w:t xml:space="preserve"> </w:t>
            </w:r>
            <w:r w:rsidRPr="007E635B">
              <w:rPr>
                <w:rFonts w:cstheme="minorHAnsi"/>
                <w:b/>
              </w:rPr>
              <w:t>545,370)</w:t>
            </w:r>
          </w:p>
        </w:tc>
        <w:tc>
          <w:tcPr>
            <w:tcW w:w="2340" w:type="dxa"/>
            <w:vMerge/>
            <w:shd w:val="clear" w:color="auto" w:fill="D9D9D9" w:themeFill="background1" w:themeFillShade="D9"/>
            <w:vAlign w:val="center"/>
          </w:tcPr>
          <w:p w14:paraId="527A3EF2" w14:textId="77777777" w:rsidR="007E635B" w:rsidRPr="00C90EDA" w:rsidRDefault="007E635B" w:rsidP="00653F47">
            <w:pPr>
              <w:autoSpaceDE w:val="0"/>
              <w:autoSpaceDN w:val="0"/>
              <w:adjustRightInd w:val="0"/>
              <w:spacing w:after="0" w:line="240" w:lineRule="auto"/>
              <w:rPr>
                <w:rFonts w:cstheme="minorHAnsi"/>
                <w:b/>
              </w:rPr>
            </w:pPr>
          </w:p>
        </w:tc>
      </w:tr>
      <w:tr w:rsidR="00C90EDA" w:rsidRPr="00C90EDA" w14:paraId="2C5989C8" w14:textId="77777777" w:rsidTr="00531769">
        <w:tc>
          <w:tcPr>
            <w:tcW w:w="1847" w:type="dxa"/>
            <w:tcBorders>
              <w:top w:val="single" w:sz="6" w:space="0" w:color="auto"/>
              <w:bottom w:val="single" w:sz="4" w:space="0" w:color="auto"/>
            </w:tcBorders>
            <w:vAlign w:val="center"/>
          </w:tcPr>
          <w:p w14:paraId="51AC3612" w14:textId="77777777" w:rsidR="00C90EDA" w:rsidRPr="00C90EDA" w:rsidRDefault="00C90EDA" w:rsidP="00653F47">
            <w:pPr>
              <w:autoSpaceDE w:val="0"/>
              <w:autoSpaceDN w:val="0"/>
              <w:adjustRightInd w:val="0"/>
              <w:spacing w:after="0" w:line="240" w:lineRule="auto"/>
              <w:rPr>
                <w:rFonts w:cstheme="minorHAnsi"/>
              </w:rPr>
            </w:pPr>
            <w:r w:rsidRPr="00C90EDA">
              <w:rPr>
                <w:rFonts w:cstheme="minorHAnsi"/>
              </w:rPr>
              <w:t xml:space="preserve">Successful DTC </w:t>
            </w:r>
          </w:p>
        </w:tc>
        <w:tc>
          <w:tcPr>
            <w:tcW w:w="2923" w:type="dxa"/>
            <w:tcBorders>
              <w:top w:val="single" w:sz="6" w:space="0" w:color="auto"/>
              <w:bottom w:val="single" w:sz="4" w:space="0" w:color="auto"/>
            </w:tcBorders>
          </w:tcPr>
          <w:p w14:paraId="56A33CF6" w14:textId="77777777" w:rsidR="00C90EDA" w:rsidRPr="00C90EDA" w:rsidRDefault="00C90EDA" w:rsidP="00653F47">
            <w:pPr>
              <w:autoSpaceDE w:val="0"/>
              <w:autoSpaceDN w:val="0"/>
              <w:adjustRightInd w:val="0"/>
              <w:spacing w:after="0" w:line="240" w:lineRule="auto"/>
              <w:jc w:val="center"/>
              <w:rPr>
                <w:rFonts w:cstheme="minorHAnsi"/>
              </w:rPr>
            </w:pPr>
            <w:r w:rsidRPr="00C90EDA">
              <w:rPr>
                <w:rFonts w:cstheme="minorHAnsi"/>
                <w:bCs/>
              </w:rPr>
              <w:t>44.96%</w:t>
            </w:r>
          </w:p>
        </w:tc>
        <w:tc>
          <w:tcPr>
            <w:tcW w:w="2250" w:type="dxa"/>
            <w:tcBorders>
              <w:top w:val="single" w:sz="6" w:space="0" w:color="auto"/>
              <w:bottom w:val="single" w:sz="4" w:space="0" w:color="auto"/>
            </w:tcBorders>
          </w:tcPr>
          <w:p w14:paraId="4F667CD6" w14:textId="77777777" w:rsidR="00C90EDA" w:rsidRPr="00C90EDA" w:rsidRDefault="00C90EDA" w:rsidP="00653F47">
            <w:pPr>
              <w:autoSpaceDE w:val="0"/>
              <w:autoSpaceDN w:val="0"/>
              <w:adjustRightInd w:val="0"/>
              <w:spacing w:after="0" w:line="240" w:lineRule="auto"/>
              <w:jc w:val="center"/>
              <w:rPr>
                <w:rFonts w:cstheme="minorHAnsi"/>
              </w:rPr>
            </w:pPr>
            <w:r w:rsidRPr="00C90EDA">
              <w:rPr>
                <w:rFonts w:cstheme="minorHAnsi"/>
                <w:bCs/>
              </w:rPr>
              <w:t>66.16%</w:t>
            </w:r>
          </w:p>
        </w:tc>
        <w:tc>
          <w:tcPr>
            <w:tcW w:w="2340" w:type="dxa"/>
            <w:tcBorders>
              <w:top w:val="single" w:sz="6" w:space="0" w:color="auto"/>
              <w:bottom w:val="single" w:sz="4" w:space="0" w:color="auto"/>
            </w:tcBorders>
            <w:vAlign w:val="center"/>
          </w:tcPr>
          <w:p w14:paraId="29D004EC" w14:textId="77777777" w:rsidR="00C90EDA" w:rsidRPr="00C90EDA" w:rsidRDefault="00C90EDA" w:rsidP="00653F47">
            <w:pPr>
              <w:autoSpaceDE w:val="0"/>
              <w:autoSpaceDN w:val="0"/>
              <w:adjustRightInd w:val="0"/>
              <w:spacing w:after="0" w:line="240" w:lineRule="auto"/>
              <w:jc w:val="center"/>
              <w:rPr>
                <w:rFonts w:cstheme="minorHAnsi"/>
              </w:rPr>
            </w:pPr>
            <w:r w:rsidRPr="00C90EDA">
              <w:rPr>
                <w:rFonts w:cstheme="minorHAnsi"/>
              </w:rPr>
              <w:t>64.83%</w:t>
            </w:r>
          </w:p>
        </w:tc>
      </w:tr>
    </w:tbl>
    <w:p w14:paraId="02079267" w14:textId="77777777" w:rsidR="00C90EDA" w:rsidRPr="00C90EDA" w:rsidRDefault="00C90EDA" w:rsidP="00653F47">
      <w:pPr>
        <w:spacing w:after="0" w:line="240" w:lineRule="auto"/>
        <w:rPr>
          <w:rFonts w:cstheme="minorHAnsi"/>
          <w:bCs/>
          <w:sz w:val="18"/>
          <w:szCs w:val="18"/>
        </w:rPr>
      </w:pPr>
      <w:r w:rsidRPr="00C90EDA">
        <w:rPr>
          <w:rFonts w:cstheme="minorHAnsi"/>
          <w:bCs/>
          <w:sz w:val="18"/>
          <w:szCs w:val="18"/>
        </w:rPr>
        <w:t>RTI Analysis of Medicare Claims File for IRF FY 2016-2017 (reference: MM211).</w:t>
      </w:r>
    </w:p>
    <w:bookmarkEnd w:id="1"/>
    <w:p w14:paraId="5806CCE8" w14:textId="77777777" w:rsidR="00C90EDA" w:rsidRPr="00C90EDA" w:rsidRDefault="00C90EDA" w:rsidP="00653F47">
      <w:pPr>
        <w:autoSpaceDE w:val="0"/>
        <w:autoSpaceDN w:val="0"/>
        <w:adjustRightInd w:val="0"/>
        <w:spacing w:after="0" w:line="240" w:lineRule="auto"/>
        <w:rPr>
          <w:rFonts w:cstheme="minorHAnsi"/>
        </w:rPr>
      </w:pPr>
    </w:p>
    <w:bookmarkEnd w:id="0"/>
    <w:p w14:paraId="262B3D6F" w14:textId="63E095E0" w:rsidR="00E04E2B" w:rsidRPr="00C90EDA" w:rsidRDefault="00E04E2B" w:rsidP="00653F47">
      <w:pPr>
        <w:spacing w:after="0" w:line="240" w:lineRule="auto"/>
        <w:rPr>
          <w:rFonts w:eastAsia="Calibri" w:cstheme="minorHAnsi"/>
          <w:bCs/>
        </w:rPr>
      </w:pPr>
    </w:p>
    <w:p w14:paraId="69D2E639" w14:textId="77777777" w:rsidR="000E3CAF" w:rsidRDefault="000E3CAF">
      <w:pPr>
        <w:spacing w:after="160" w:line="259" w:lineRule="auto"/>
        <w:rPr>
          <w:rFonts w:eastAsia="Calibri" w:cstheme="minorHAnsi"/>
          <w:b/>
          <w:bCs/>
        </w:rPr>
      </w:pPr>
      <w:r>
        <w:rPr>
          <w:rFonts w:eastAsia="Calibri" w:cstheme="minorHAnsi"/>
          <w:b/>
          <w:bCs/>
        </w:rPr>
        <w:br w:type="page"/>
      </w:r>
    </w:p>
    <w:p w14:paraId="7F5F1006" w14:textId="13795DD2" w:rsidR="00E547E2" w:rsidRPr="00C90EDA" w:rsidRDefault="00E547E2" w:rsidP="00051B47">
      <w:pPr>
        <w:spacing w:after="0" w:line="240" w:lineRule="auto"/>
        <w:jc w:val="center"/>
        <w:rPr>
          <w:rFonts w:eastAsia="Calibri" w:cstheme="minorHAnsi"/>
          <w:b/>
          <w:bCs/>
        </w:rPr>
      </w:pPr>
      <w:r w:rsidRPr="00C90EDA">
        <w:rPr>
          <w:rFonts w:eastAsia="Calibri" w:cstheme="minorHAnsi"/>
          <w:b/>
          <w:bCs/>
        </w:rPr>
        <w:lastRenderedPageBreak/>
        <w:t>Appendix B. Additional Social Risk Factor Testing</w:t>
      </w:r>
      <w:r w:rsidR="00997128">
        <w:rPr>
          <w:rFonts w:eastAsia="Calibri" w:cstheme="minorHAnsi"/>
          <w:b/>
          <w:bCs/>
        </w:rPr>
        <w:t xml:space="preserve"> for Measure Testing Form</w:t>
      </w:r>
    </w:p>
    <w:p w14:paraId="7CF6A12D" w14:textId="32110B52" w:rsidR="00E547E2" w:rsidRDefault="00E547E2" w:rsidP="00E547E2">
      <w:pPr>
        <w:spacing w:after="0" w:line="240" w:lineRule="auto"/>
        <w:rPr>
          <w:rFonts w:eastAsia="Calibri" w:cstheme="minorHAnsi"/>
          <w:bCs/>
        </w:rPr>
      </w:pPr>
    </w:p>
    <w:p w14:paraId="52EC0DF2" w14:textId="77777777" w:rsidR="00997128" w:rsidRPr="00C90EDA" w:rsidRDefault="00997128" w:rsidP="00E547E2">
      <w:pPr>
        <w:spacing w:after="0" w:line="240" w:lineRule="auto"/>
        <w:rPr>
          <w:rFonts w:eastAsia="Calibri" w:cstheme="minorHAnsi"/>
          <w:bCs/>
        </w:rPr>
      </w:pPr>
    </w:p>
    <w:p w14:paraId="0D425E0B" w14:textId="7CF0D8CD" w:rsidR="000B2BCA" w:rsidRPr="00C90EDA" w:rsidRDefault="000B2BCA" w:rsidP="000B2BCA">
      <w:pPr>
        <w:spacing w:after="0" w:line="240" w:lineRule="auto"/>
        <w:rPr>
          <w:rFonts w:cstheme="minorHAnsi"/>
          <w:bCs/>
        </w:rPr>
      </w:pPr>
      <w:r w:rsidRPr="00C90EDA">
        <w:rPr>
          <w:rFonts w:eastAsia="Calibri" w:cstheme="minorHAnsi"/>
          <w:bCs/>
        </w:rPr>
        <w:t xml:space="preserve">In our Measure Testing Form, we tested dual eligibility as a social risk factor </w:t>
      </w:r>
      <w:r w:rsidRPr="00C90EDA">
        <w:rPr>
          <w:rFonts w:cstheme="minorHAnsi"/>
        </w:rPr>
        <w:t>based on evidence from several readmissions measures that dual eligibility is the most important social risk factor predictive of patient outcomes. Dual eligibility data also have the advantage of being easily available and more patient</w:t>
      </w:r>
      <w:r w:rsidR="00BA6606">
        <w:rPr>
          <w:rFonts w:cstheme="minorHAnsi"/>
        </w:rPr>
        <w:t>-</w:t>
      </w:r>
      <w:r w:rsidRPr="00C90EDA">
        <w:rPr>
          <w:rFonts w:cstheme="minorHAnsi"/>
        </w:rPr>
        <w:t xml:space="preserve">specific than area-level variables </w:t>
      </w:r>
      <w:r w:rsidRPr="00C90EDA">
        <w:rPr>
          <w:rFonts w:eastAsia="Calibri" w:cstheme="minorHAnsi"/>
          <w:bCs/>
        </w:rPr>
        <w:t xml:space="preserve">(testing form, </w:t>
      </w:r>
      <w:r w:rsidR="00BC7DD1">
        <w:rPr>
          <w:rFonts w:eastAsia="Calibri" w:cstheme="minorHAnsi"/>
          <w:bCs/>
        </w:rPr>
        <w:t>S</w:t>
      </w:r>
      <w:r w:rsidRPr="00C90EDA">
        <w:rPr>
          <w:rFonts w:eastAsia="Calibri" w:cstheme="minorHAnsi"/>
          <w:bCs/>
        </w:rPr>
        <w:t xml:space="preserve">ection </w:t>
      </w:r>
      <w:r w:rsidRPr="00C90EDA">
        <w:rPr>
          <w:rFonts w:cstheme="minorHAnsi"/>
          <w:b/>
          <w:bCs/>
        </w:rPr>
        <w:t>2b3.3b</w:t>
      </w:r>
      <w:r w:rsidRPr="00C90EDA">
        <w:rPr>
          <w:rFonts w:cstheme="minorHAnsi"/>
          <w:bCs/>
        </w:rPr>
        <w:t>).</w:t>
      </w:r>
    </w:p>
    <w:p w14:paraId="2D770AD6" w14:textId="77777777" w:rsidR="00E547E2" w:rsidRPr="00C90EDA" w:rsidRDefault="00E547E2" w:rsidP="00E547E2">
      <w:pPr>
        <w:spacing w:after="0" w:line="240" w:lineRule="auto"/>
        <w:rPr>
          <w:rFonts w:cstheme="minorHAnsi"/>
          <w:bCs/>
        </w:rPr>
      </w:pPr>
    </w:p>
    <w:p w14:paraId="4AE79200" w14:textId="33F17983" w:rsidR="00E547E2" w:rsidRPr="00C90EDA" w:rsidRDefault="00CB1A56" w:rsidP="00E547E2">
      <w:pPr>
        <w:spacing w:after="0" w:line="240" w:lineRule="auto"/>
        <w:rPr>
          <w:rFonts w:eastAsia="Calibri" w:cstheme="minorHAnsi"/>
        </w:rPr>
      </w:pPr>
      <w:r w:rsidRPr="00C90EDA">
        <w:rPr>
          <w:rFonts w:eastAsia="Calibri" w:cstheme="minorHAnsi"/>
        </w:rPr>
        <w:t xml:space="preserve">In this supplemental analysis, we present social risk factor testing using additional beneficiary-level and county-level social risk factors. In addition to dual eligibility, we tested race/ethnicity, urbanicity based on beneficiary residence, and socioeconomic status (SES). Dual eligibility was defined as described in the testing form (section </w:t>
      </w:r>
      <w:r w:rsidRPr="00C90EDA">
        <w:rPr>
          <w:rFonts w:eastAsia="Calibri" w:cstheme="minorHAnsi"/>
          <w:b/>
        </w:rPr>
        <w:t>1.8</w:t>
      </w:r>
      <w:r w:rsidRPr="00C90EDA">
        <w:rPr>
          <w:rFonts w:eastAsia="Calibri" w:cstheme="minorHAnsi"/>
        </w:rPr>
        <w:t>).</w:t>
      </w:r>
      <w:r>
        <w:rPr>
          <w:rFonts w:eastAsia="Calibri" w:cstheme="minorHAnsi"/>
        </w:rPr>
        <w:t xml:space="preserve"> </w:t>
      </w:r>
      <w:r w:rsidR="00E547E2" w:rsidRPr="00C90EDA">
        <w:rPr>
          <w:rFonts w:eastAsia="Calibri" w:cstheme="minorHAnsi"/>
        </w:rPr>
        <w:t>Race/ethnicity was derived from the Integrated Data Repository (IDR); when missing in the IDR, we obtained race/ethnicity from</w:t>
      </w:r>
      <w:r w:rsidR="00076FBA">
        <w:rPr>
          <w:rFonts w:eastAsia="Calibri" w:cstheme="minorHAnsi"/>
        </w:rPr>
        <w:t xml:space="preserve"> the IRF claim</w:t>
      </w:r>
      <w:r w:rsidR="00E547E2" w:rsidRPr="00C90EDA">
        <w:rPr>
          <w:rFonts w:eastAsia="Calibri" w:cstheme="minorHAnsi"/>
        </w:rPr>
        <w:t>. Urbanicity was defined by cross-walking beneficiary residence ZIP codes (from</w:t>
      </w:r>
      <w:r w:rsidR="00076FBA" w:rsidRPr="00076FBA">
        <w:rPr>
          <w:rFonts w:eastAsia="Calibri" w:cstheme="minorHAnsi"/>
        </w:rPr>
        <w:t xml:space="preserve"> </w:t>
      </w:r>
      <w:r w:rsidR="00076FBA">
        <w:rPr>
          <w:rFonts w:eastAsia="Calibri" w:cstheme="minorHAnsi"/>
        </w:rPr>
        <w:t>IRF claim</w:t>
      </w:r>
      <w:r w:rsidR="00E547E2" w:rsidRPr="00C90EDA">
        <w:rPr>
          <w:rFonts w:eastAsia="Calibri" w:cstheme="minorHAnsi"/>
        </w:rPr>
        <w:t xml:space="preserve">) to </w:t>
      </w:r>
      <w:r w:rsidR="00E547E2" w:rsidRPr="00C90EDA">
        <w:rPr>
          <w:rStyle w:val="st1"/>
          <w:rFonts w:cstheme="minorHAnsi"/>
          <w:lang w:val="en"/>
        </w:rPr>
        <w:t>Federal Information Processing Standard Publication</w:t>
      </w:r>
      <w:r w:rsidR="00E547E2" w:rsidRPr="00C90EDA">
        <w:rPr>
          <w:rFonts w:eastAsia="Calibri" w:cstheme="minorHAnsi"/>
        </w:rPr>
        <w:t xml:space="preserve"> (FIPS) codes,</w:t>
      </w:r>
      <w:r w:rsidR="00E547E2" w:rsidRPr="00C90EDA">
        <w:rPr>
          <w:rStyle w:val="FootnoteReference"/>
          <w:rFonts w:eastAsia="Calibri"/>
        </w:rPr>
        <w:footnoteReference w:id="2"/>
      </w:r>
      <w:r w:rsidR="00E547E2" w:rsidRPr="00C90EDA">
        <w:rPr>
          <w:rFonts w:eastAsia="Calibri" w:cstheme="minorHAnsi"/>
        </w:rPr>
        <w:t xml:space="preserve"> then cross-walking FIPS codes to</w:t>
      </w:r>
      <w:r w:rsidR="00304F82">
        <w:rPr>
          <w:rFonts w:eastAsia="Calibri" w:cstheme="minorHAnsi"/>
        </w:rPr>
        <w:t xml:space="preserve"> 2013</w:t>
      </w:r>
      <w:r w:rsidR="00E547E2" w:rsidRPr="00C90EDA">
        <w:rPr>
          <w:rFonts w:eastAsia="Calibri" w:cstheme="minorHAnsi"/>
        </w:rPr>
        <w:t xml:space="preserve"> </w:t>
      </w:r>
      <w:r w:rsidR="00DB7DC7">
        <w:rPr>
          <w:lang w:val="en"/>
        </w:rPr>
        <w:t>Rural-Urban Continuum Code</w:t>
      </w:r>
      <w:r w:rsidR="00304F82">
        <w:rPr>
          <w:lang w:val="en"/>
        </w:rPr>
        <w:t>s</w:t>
      </w:r>
      <w:r w:rsidR="00DB7DC7">
        <w:rPr>
          <w:lang w:val="en"/>
        </w:rPr>
        <w:t xml:space="preserve"> </w:t>
      </w:r>
      <w:r w:rsidR="00E547E2" w:rsidRPr="00C90EDA">
        <w:rPr>
          <w:rFonts w:eastAsia="Calibri" w:cstheme="minorHAnsi"/>
        </w:rPr>
        <w:t>(</w:t>
      </w:r>
      <w:r w:rsidR="00447B40" w:rsidRPr="00C90EDA">
        <w:rPr>
          <w:rFonts w:eastAsia="Calibri" w:cstheme="minorHAnsi"/>
        </w:rPr>
        <w:t>RUC</w:t>
      </w:r>
      <w:r w:rsidR="00447B40">
        <w:rPr>
          <w:rFonts w:eastAsia="Calibri" w:cstheme="minorHAnsi"/>
        </w:rPr>
        <w:t>C</w:t>
      </w:r>
      <w:r w:rsidR="00E547E2" w:rsidRPr="00C90EDA">
        <w:rPr>
          <w:rFonts w:eastAsia="Calibri" w:cstheme="minorHAnsi"/>
        </w:rPr>
        <w:t>_2013).</w:t>
      </w:r>
      <w:r w:rsidR="00E547E2" w:rsidRPr="00C90EDA">
        <w:rPr>
          <w:rStyle w:val="FootnoteReference"/>
          <w:rFonts w:eastAsia="Calibri"/>
        </w:rPr>
        <w:footnoteReference w:id="3"/>
      </w:r>
      <w:r w:rsidR="00E547E2" w:rsidRPr="00C90EDA">
        <w:rPr>
          <w:rFonts w:eastAsia="Calibri" w:cstheme="minorHAnsi"/>
        </w:rPr>
        <w:t xml:space="preserve"> </w:t>
      </w:r>
      <w:r w:rsidRPr="00C90EDA">
        <w:rPr>
          <w:rFonts w:eastAsia="Calibri" w:cstheme="minorHAnsi"/>
        </w:rPr>
        <w:t>Socioeconomic status was determined using the Agency of Healthcare Research and Quality’s SES Index</w:t>
      </w:r>
      <w:r w:rsidRPr="00C90EDA">
        <w:rPr>
          <w:rStyle w:val="FootnoteReference"/>
          <w:rFonts w:eastAsia="Calibri"/>
        </w:rPr>
        <w:footnoteReference w:id="4"/>
      </w:r>
      <w:r w:rsidRPr="00C90EDA">
        <w:rPr>
          <w:rFonts w:eastAsia="Calibri" w:cstheme="minorHAnsi"/>
        </w:rPr>
        <w:t xml:space="preserve"> </w:t>
      </w:r>
      <w:r w:rsidRPr="00C90EDA">
        <w:t>calculated based on beneficiary residence ZIP Code Tabulation Area (ZCTA).</w:t>
      </w:r>
      <w:r w:rsidRPr="00C90EDA">
        <w:rPr>
          <w:rFonts w:ascii="Arial" w:hAnsi="Arial" w:cs="Arial"/>
          <w:sz w:val="24"/>
          <w:szCs w:val="24"/>
          <w:shd w:val="clear" w:color="auto" w:fill="FFFFFF"/>
        </w:rPr>
        <w:t xml:space="preserve"> </w:t>
      </w:r>
      <w:r w:rsidRPr="00C90EDA">
        <w:t>ZCTA was found by cross-walking the beneficiary residence ZIP code with ZCTA.</w:t>
      </w:r>
      <w:r w:rsidRPr="00C90EDA">
        <w:rPr>
          <w:rFonts w:eastAsia="Calibri" w:cstheme="minorHAnsi"/>
        </w:rPr>
        <w:t xml:space="preserve"> We used data from the 2016 American Community Survey (5-year file) to calculate AHRQ SES Index</w:t>
      </w:r>
      <w:r w:rsidR="005111DE">
        <w:rPr>
          <w:rFonts w:eastAsia="Calibri" w:cstheme="minorHAnsi"/>
        </w:rPr>
        <w:t>, with higher values indicating higher SES</w:t>
      </w:r>
      <w:r w:rsidR="00E547E2" w:rsidRPr="00C90EDA">
        <w:rPr>
          <w:rFonts w:eastAsia="Calibri" w:cstheme="minorHAnsi"/>
        </w:rPr>
        <w:t xml:space="preserve">. </w:t>
      </w:r>
    </w:p>
    <w:p w14:paraId="30D8F72C" w14:textId="77777777" w:rsidR="00E547E2" w:rsidRPr="00C90EDA" w:rsidRDefault="00E547E2" w:rsidP="00E547E2">
      <w:pPr>
        <w:spacing w:after="0" w:line="240" w:lineRule="auto"/>
        <w:rPr>
          <w:rFonts w:eastAsia="Calibri" w:cstheme="minorHAnsi"/>
          <w:bCs/>
        </w:rPr>
      </w:pPr>
    </w:p>
    <w:p w14:paraId="0E8F1F6A" w14:textId="77777777" w:rsidR="00E547E2" w:rsidRPr="00C90EDA" w:rsidRDefault="00E547E2" w:rsidP="00E547E2">
      <w:pPr>
        <w:pStyle w:val="paragraph"/>
        <w:spacing w:before="0" w:beforeAutospacing="0" w:after="0" w:afterAutospacing="0"/>
        <w:textAlignment w:val="baseline"/>
        <w:rPr>
          <w:rStyle w:val="normaltextrun"/>
          <w:rFonts w:asciiTheme="minorHAnsi" w:hAnsiTheme="minorHAnsi" w:cstheme="minorHAnsi"/>
        </w:rPr>
      </w:pPr>
      <w:r w:rsidRPr="00C90EDA">
        <w:rPr>
          <w:rStyle w:val="normaltextrun"/>
          <w:rFonts w:asciiTheme="minorHAnsi" w:hAnsiTheme="minorHAnsi" w:cstheme="minorHAnsi"/>
        </w:rPr>
        <w:t>We conducted the following analysis using the above social risk factors:</w:t>
      </w:r>
    </w:p>
    <w:p w14:paraId="23B4E37A" w14:textId="77777777" w:rsidR="00E547E2" w:rsidRPr="00C90EDA" w:rsidRDefault="00E547E2" w:rsidP="00E547E2">
      <w:pPr>
        <w:pStyle w:val="paragraph"/>
        <w:spacing w:before="0" w:beforeAutospacing="0" w:after="0" w:afterAutospacing="0"/>
        <w:textAlignment w:val="baseline"/>
        <w:rPr>
          <w:rFonts w:asciiTheme="minorHAnsi" w:hAnsiTheme="minorHAnsi" w:cstheme="minorHAnsi"/>
        </w:rPr>
      </w:pPr>
    </w:p>
    <w:p w14:paraId="72DF5CA1" w14:textId="77777777" w:rsidR="00CB1A56" w:rsidRPr="00C90EDA" w:rsidRDefault="00CB1A56" w:rsidP="00CB1A56">
      <w:pPr>
        <w:pStyle w:val="paragraph"/>
        <w:numPr>
          <w:ilvl w:val="0"/>
          <w:numId w:val="1"/>
        </w:numPr>
        <w:spacing w:before="0" w:beforeAutospacing="0" w:after="0" w:afterAutospacing="0"/>
        <w:ind w:left="360" w:firstLine="0"/>
        <w:textAlignment w:val="baseline"/>
        <w:rPr>
          <w:rFonts w:asciiTheme="minorHAnsi" w:hAnsiTheme="minorHAnsi" w:cstheme="minorHAnsi"/>
        </w:rPr>
      </w:pPr>
      <w:r w:rsidRPr="00C90EDA">
        <w:rPr>
          <w:rStyle w:val="normaltextrun"/>
          <w:rFonts w:asciiTheme="minorHAnsi" w:hAnsiTheme="minorHAnsi" w:cstheme="minorHAnsi"/>
        </w:rPr>
        <w:t>We calculated the proportion of stays with each social risk factor;</w:t>
      </w:r>
      <w:r w:rsidRPr="00C90EDA">
        <w:rPr>
          <w:rStyle w:val="eop"/>
          <w:rFonts w:asciiTheme="minorHAnsi" w:hAnsiTheme="minorHAnsi" w:cstheme="minorHAnsi"/>
        </w:rPr>
        <w:t> </w:t>
      </w:r>
    </w:p>
    <w:p w14:paraId="7DF184E5" w14:textId="77777777" w:rsidR="00CB1A56" w:rsidRPr="00C90EDA" w:rsidRDefault="00CB1A56" w:rsidP="00CB1A56">
      <w:pPr>
        <w:pStyle w:val="paragraph"/>
        <w:numPr>
          <w:ilvl w:val="0"/>
          <w:numId w:val="1"/>
        </w:numPr>
        <w:spacing w:before="0" w:beforeAutospacing="0" w:after="0" w:afterAutospacing="0"/>
        <w:ind w:left="360" w:firstLine="0"/>
        <w:textAlignment w:val="baseline"/>
        <w:rPr>
          <w:rFonts w:asciiTheme="minorHAnsi" w:hAnsiTheme="minorHAnsi" w:cstheme="minorHAnsi"/>
        </w:rPr>
      </w:pPr>
      <w:r w:rsidRPr="00C90EDA">
        <w:rPr>
          <w:rStyle w:val="normaltextrun"/>
          <w:rFonts w:asciiTheme="minorHAnsi" w:hAnsiTheme="minorHAnsi" w:cstheme="minorHAnsi"/>
        </w:rPr>
        <w:t>We calculated the observed successful discharge to community rates across each social risk factor subgroup;</w:t>
      </w:r>
      <w:r w:rsidRPr="00C90EDA">
        <w:rPr>
          <w:rStyle w:val="eop"/>
          <w:rFonts w:asciiTheme="minorHAnsi" w:hAnsiTheme="minorHAnsi" w:cstheme="minorHAnsi"/>
        </w:rPr>
        <w:t> </w:t>
      </w:r>
    </w:p>
    <w:p w14:paraId="35844180" w14:textId="77777777" w:rsidR="00CB1A56" w:rsidRDefault="00CB1A56" w:rsidP="00CB1A56">
      <w:pPr>
        <w:pStyle w:val="paragraph"/>
        <w:numPr>
          <w:ilvl w:val="0"/>
          <w:numId w:val="1"/>
        </w:numPr>
        <w:spacing w:before="0" w:beforeAutospacing="0" w:after="0" w:afterAutospacing="0"/>
        <w:ind w:left="360" w:firstLine="0"/>
        <w:textAlignment w:val="baseline"/>
        <w:rPr>
          <w:rStyle w:val="normaltextrun"/>
          <w:rFonts w:asciiTheme="minorHAnsi" w:hAnsiTheme="minorHAnsi" w:cstheme="minorHAnsi"/>
        </w:rPr>
      </w:pPr>
      <w:r w:rsidRPr="00C90EDA">
        <w:rPr>
          <w:rStyle w:val="normaltextrun"/>
          <w:rFonts w:asciiTheme="minorHAnsi" w:hAnsiTheme="minorHAnsi" w:cstheme="minorHAnsi"/>
        </w:rPr>
        <w:t xml:space="preserve">We added indicators for each social risk factor to our risk adjustment model (described in section </w:t>
      </w:r>
      <w:r w:rsidRPr="00C90EDA">
        <w:rPr>
          <w:rStyle w:val="normaltextrun"/>
          <w:rFonts w:asciiTheme="minorHAnsi" w:hAnsiTheme="minorHAnsi" w:cstheme="minorHAnsi"/>
          <w:b/>
        </w:rPr>
        <w:t>2b3</w:t>
      </w:r>
      <w:r w:rsidRPr="00C90EDA">
        <w:rPr>
          <w:rStyle w:val="normaltextrun"/>
          <w:rFonts w:asciiTheme="minorHAnsi" w:hAnsiTheme="minorHAnsi" w:cstheme="minorHAnsi"/>
        </w:rPr>
        <w:t>) and estimated the coefficients and odds ratios of these risk adjusters in the model</w:t>
      </w:r>
      <w:r>
        <w:rPr>
          <w:rStyle w:val="normaltextrun"/>
          <w:rFonts w:asciiTheme="minorHAnsi" w:hAnsiTheme="minorHAnsi" w:cstheme="minorHAnsi"/>
        </w:rPr>
        <w:t>; and</w:t>
      </w:r>
    </w:p>
    <w:p w14:paraId="2DD18C2A" w14:textId="77777777" w:rsidR="00CB1A56" w:rsidRPr="00C90EDA" w:rsidRDefault="00CB1A56" w:rsidP="00CB1A56">
      <w:pPr>
        <w:pStyle w:val="paragraph"/>
        <w:numPr>
          <w:ilvl w:val="0"/>
          <w:numId w:val="1"/>
        </w:numPr>
        <w:spacing w:before="0" w:beforeAutospacing="0" w:after="0" w:afterAutospacing="0"/>
        <w:ind w:left="360" w:firstLine="0"/>
        <w:textAlignment w:val="baseline"/>
        <w:rPr>
          <w:rStyle w:val="normaltextrun"/>
          <w:rFonts w:asciiTheme="minorHAnsi" w:hAnsiTheme="minorHAnsi" w:cstheme="minorHAnsi"/>
        </w:rPr>
      </w:pPr>
      <w:r>
        <w:rPr>
          <w:rStyle w:val="normaltextrun"/>
          <w:rFonts w:asciiTheme="minorHAnsi" w:hAnsiTheme="minorHAnsi" w:cstheme="minorHAnsi"/>
        </w:rPr>
        <w:t>We calculated the difference in provider scores with and without social risk factor adjustment.</w:t>
      </w:r>
    </w:p>
    <w:p w14:paraId="1B3FE323" w14:textId="77777777" w:rsidR="00E547E2" w:rsidRDefault="00E547E2" w:rsidP="00E547E2">
      <w:pPr>
        <w:spacing w:after="0" w:line="240" w:lineRule="auto"/>
        <w:rPr>
          <w:rFonts w:eastAsia="Calibri" w:cstheme="minorHAnsi"/>
          <w:b/>
          <w:bCs/>
        </w:rPr>
      </w:pPr>
    </w:p>
    <w:p w14:paraId="3C43DDF8" w14:textId="2C795CFE" w:rsidR="00E547E2" w:rsidRPr="00C90EDA" w:rsidRDefault="00E547E2" w:rsidP="00E547E2">
      <w:pPr>
        <w:spacing w:after="0" w:line="240" w:lineRule="auto"/>
        <w:rPr>
          <w:rFonts w:eastAsia="Calibri" w:cstheme="minorHAnsi"/>
        </w:rPr>
      </w:pPr>
      <w:r w:rsidRPr="00C90EDA">
        <w:rPr>
          <w:rFonts w:eastAsia="Calibri" w:cstheme="minorHAnsi"/>
          <w:b/>
          <w:bCs/>
        </w:rPr>
        <w:t>Table B-1</w:t>
      </w:r>
      <w:r w:rsidRPr="00C90EDA">
        <w:rPr>
          <w:rFonts w:eastAsia="Calibri" w:cstheme="minorHAnsi"/>
        </w:rPr>
        <w:t xml:space="preserve"> shows the distribution of the social risk factors in the FY 2016-2017 IRF sample. We found that 11.9% of stays were dual eligible with full Medicaid benefits, 84.</w:t>
      </w:r>
      <w:r w:rsidR="000326DC">
        <w:rPr>
          <w:rFonts w:eastAsia="Calibri" w:cstheme="minorHAnsi"/>
        </w:rPr>
        <w:t>1</w:t>
      </w:r>
      <w:r w:rsidRPr="00C90EDA">
        <w:rPr>
          <w:rFonts w:eastAsia="Calibri" w:cstheme="minorHAnsi"/>
        </w:rPr>
        <w:t xml:space="preserve">% were white, and 82.9% lived in </w:t>
      </w:r>
      <w:r w:rsidR="00CB1A56">
        <w:rPr>
          <w:rFonts w:eastAsia="Calibri" w:cstheme="minorHAnsi"/>
        </w:rPr>
        <w:t>u</w:t>
      </w:r>
      <w:r w:rsidRPr="00C90EDA">
        <w:rPr>
          <w:rFonts w:eastAsia="Calibri" w:cstheme="minorHAnsi"/>
        </w:rPr>
        <w:t>rban areas. The lowest quartile of AHRQ SES index ranged from 28.9 to 49.6; the highest quartile ranged from 55.5 to 75.7.</w:t>
      </w:r>
    </w:p>
    <w:p w14:paraId="4A09C25A" w14:textId="4253F401" w:rsidR="00F332D4" w:rsidRDefault="00F332D4" w:rsidP="00E547E2">
      <w:pPr>
        <w:spacing w:after="0" w:line="240" w:lineRule="auto"/>
        <w:rPr>
          <w:rFonts w:eastAsia="Calibri" w:cstheme="minorHAnsi"/>
        </w:rPr>
      </w:pPr>
    </w:p>
    <w:p w14:paraId="74E272D5" w14:textId="77777777" w:rsidR="00FD35B7" w:rsidRPr="00C90EDA" w:rsidRDefault="00FD35B7" w:rsidP="00FD35B7">
      <w:pPr>
        <w:spacing w:after="0" w:line="240" w:lineRule="auto"/>
        <w:rPr>
          <w:rFonts w:eastAsia="Calibri" w:cstheme="minorHAnsi"/>
        </w:rPr>
      </w:pPr>
      <w:r w:rsidRPr="00C90EDA">
        <w:rPr>
          <w:rFonts w:eastAsia="Calibri" w:cstheme="minorHAnsi"/>
        </w:rPr>
        <w:t>The rate of successful DTC for each social risk factor group is show</w:t>
      </w:r>
      <w:r>
        <w:rPr>
          <w:rFonts w:eastAsia="Calibri" w:cstheme="minorHAnsi"/>
        </w:rPr>
        <w:t>n</w:t>
      </w:r>
      <w:r w:rsidRPr="00C90EDA">
        <w:rPr>
          <w:rFonts w:eastAsia="Calibri" w:cstheme="minorHAnsi"/>
        </w:rPr>
        <w:t xml:space="preserve"> in the </w:t>
      </w:r>
      <w:r w:rsidRPr="00C90EDA">
        <w:rPr>
          <w:rFonts w:eastAsia="Calibri" w:cstheme="minorHAnsi"/>
          <w:b/>
        </w:rPr>
        <w:t>Table B-2</w:t>
      </w:r>
      <w:r w:rsidRPr="00C90EDA">
        <w:rPr>
          <w:rFonts w:eastAsia="Calibri" w:cstheme="minorHAnsi"/>
        </w:rPr>
        <w:t xml:space="preserve">. </w:t>
      </w:r>
      <w:r>
        <w:rPr>
          <w:rFonts w:eastAsia="Calibri" w:cstheme="minorHAnsi"/>
        </w:rPr>
        <w:t>The DTC rate for d</w:t>
      </w:r>
      <w:r w:rsidRPr="00C90EDA">
        <w:rPr>
          <w:rFonts w:eastAsia="Calibri" w:cstheme="minorHAnsi"/>
        </w:rPr>
        <w:t xml:space="preserve">ual eligible stays with full Medicaid was 6.2 percentage points lower than the rate for </w:t>
      </w:r>
      <w:r>
        <w:rPr>
          <w:rFonts w:eastAsia="Calibri" w:cstheme="minorHAnsi"/>
        </w:rPr>
        <w:t>non-dual stays</w:t>
      </w:r>
      <w:r w:rsidRPr="00C90EDA">
        <w:rPr>
          <w:rFonts w:eastAsia="Calibri" w:cstheme="minorHAnsi"/>
        </w:rPr>
        <w:t xml:space="preserve">. There was </w:t>
      </w:r>
      <w:r>
        <w:rPr>
          <w:rFonts w:eastAsia="Calibri" w:cstheme="minorHAnsi"/>
        </w:rPr>
        <w:t xml:space="preserve">limited </w:t>
      </w:r>
      <w:r w:rsidRPr="00C90EDA">
        <w:rPr>
          <w:rFonts w:eastAsia="Calibri" w:cstheme="minorHAnsi"/>
        </w:rPr>
        <w:t xml:space="preserve">variability in observed DTC </w:t>
      </w:r>
      <w:r>
        <w:rPr>
          <w:rFonts w:eastAsia="Calibri" w:cstheme="minorHAnsi"/>
        </w:rPr>
        <w:t>r</w:t>
      </w:r>
      <w:r w:rsidRPr="00C90EDA">
        <w:rPr>
          <w:rFonts w:eastAsia="Calibri" w:cstheme="minorHAnsi"/>
        </w:rPr>
        <w:t>ates among the race/ethnicity groups, ranging from 62.6%</w:t>
      </w:r>
      <w:r>
        <w:rPr>
          <w:rFonts w:eastAsia="Calibri" w:cstheme="minorHAnsi"/>
        </w:rPr>
        <w:t xml:space="preserve"> for blacks to </w:t>
      </w:r>
      <w:r w:rsidRPr="00C90EDA">
        <w:rPr>
          <w:rFonts w:eastAsia="Calibri" w:cstheme="minorHAnsi"/>
        </w:rPr>
        <w:t>66.7%</w:t>
      </w:r>
      <w:r>
        <w:rPr>
          <w:rFonts w:eastAsia="Calibri" w:cstheme="minorHAnsi"/>
        </w:rPr>
        <w:t xml:space="preserve"> </w:t>
      </w:r>
      <w:r>
        <w:rPr>
          <w:rFonts w:eastAsia="Calibri" w:cstheme="minorHAnsi"/>
        </w:rPr>
        <w:t xml:space="preserve">for </w:t>
      </w:r>
      <w:r>
        <w:rPr>
          <w:rFonts w:eastAsia="Calibri" w:cstheme="minorHAnsi"/>
        </w:rPr>
        <w:t>Asians</w:t>
      </w:r>
      <w:r w:rsidRPr="00C90EDA">
        <w:rPr>
          <w:rFonts w:eastAsia="Calibri" w:cstheme="minorHAnsi"/>
        </w:rPr>
        <w:t xml:space="preserve">. Patients who lived in </w:t>
      </w:r>
      <w:r>
        <w:rPr>
          <w:rFonts w:eastAsia="Calibri" w:cstheme="minorHAnsi"/>
        </w:rPr>
        <w:t>urban</w:t>
      </w:r>
      <w:r w:rsidRPr="00C90EDA">
        <w:rPr>
          <w:rFonts w:eastAsia="Calibri" w:cstheme="minorHAnsi"/>
        </w:rPr>
        <w:t xml:space="preserve"> areas had a 0.7 percentage point lower DTC rate than those who lived in </w:t>
      </w:r>
      <w:r>
        <w:rPr>
          <w:rFonts w:eastAsia="Calibri" w:cstheme="minorHAnsi"/>
        </w:rPr>
        <w:t>rural</w:t>
      </w:r>
      <w:r w:rsidRPr="00C90EDA">
        <w:rPr>
          <w:rFonts w:eastAsia="Calibri" w:cstheme="minorHAnsi"/>
        </w:rPr>
        <w:t xml:space="preserve"> areas. There was </w:t>
      </w:r>
      <w:r>
        <w:rPr>
          <w:rFonts w:eastAsia="Calibri" w:cstheme="minorHAnsi"/>
        </w:rPr>
        <w:t xml:space="preserve">limited variability in </w:t>
      </w:r>
      <w:r w:rsidRPr="00C90EDA">
        <w:rPr>
          <w:rFonts w:eastAsia="Calibri" w:cstheme="minorHAnsi"/>
        </w:rPr>
        <w:t xml:space="preserve">DTC rates </w:t>
      </w:r>
      <w:r>
        <w:rPr>
          <w:rFonts w:eastAsia="Calibri" w:cstheme="minorHAnsi"/>
        </w:rPr>
        <w:t xml:space="preserve">by </w:t>
      </w:r>
      <w:r w:rsidRPr="00C90EDA">
        <w:rPr>
          <w:rFonts w:eastAsia="Calibri" w:cstheme="minorHAnsi"/>
        </w:rPr>
        <w:t xml:space="preserve">AHRQ SES Index, </w:t>
      </w:r>
      <w:r>
        <w:rPr>
          <w:rFonts w:eastAsia="Calibri" w:cstheme="minorHAnsi"/>
        </w:rPr>
        <w:t>ranging from 64.3% for q</w:t>
      </w:r>
      <w:r w:rsidRPr="00C90EDA">
        <w:rPr>
          <w:rFonts w:eastAsia="Calibri" w:cstheme="minorHAnsi"/>
        </w:rPr>
        <w:t>uartile 1</w:t>
      </w:r>
      <w:r>
        <w:rPr>
          <w:rFonts w:eastAsia="Calibri" w:cstheme="minorHAnsi"/>
        </w:rPr>
        <w:t xml:space="preserve"> to </w:t>
      </w:r>
      <w:r w:rsidRPr="00C90EDA">
        <w:rPr>
          <w:rFonts w:eastAsia="Calibri" w:cstheme="minorHAnsi"/>
        </w:rPr>
        <w:t>65.2</w:t>
      </w:r>
      <w:r>
        <w:rPr>
          <w:rFonts w:eastAsia="Calibri" w:cstheme="minorHAnsi"/>
        </w:rPr>
        <w:t>% for quartile 3.</w:t>
      </w:r>
    </w:p>
    <w:p w14:paraId="29C49059" w14:textId="2E5C40AD" w:rsidR="00FD35B7" w:rsidRDefault="00FD35B7" w:rsidP="00E547E2">
      <w:pPr>
        <w:spacing w:after="0" w:line="240" w:lineRule="auto"/>
        <w:rPr>
          <w:rFonts w:eastAsia="Calibri" w:cstheme="minorHAnsi"/>
        </w:rPr>
      </w:pPr>
    </w:p>
    <w:p w14:paraId="242A0AE2" w14:textId="77777777" w:rsidR="00FD35B7" w:rsidRDefault="00FD35B7" w:rsidP="00E547E2">
      <w:pPr>
        <w:spacing w:after="0" w:line="240" w:lineRule="auto"/>
        <w:rPr>
          <w:rFonts w:eastAsia="Calibri" w:cstheme="minorHAnsi"/>
        </w:rPr>
      </w:pPr>
    </w:p>
    <w:p w14:paraId="1D5ECFC1" w14:textId="77777777" w:rsidR="00F332D4" w:rsidRPr="00C90EDA" w:rsidRDefault="00F332D4" w:rsidP="00F332D4">
      <w:pPr>
        <w:spacing w:after="0" w:line="240" w:lineRule="auto"/>
        <w:rPr>
          <w:rFonts w:eastAsia="Calibri" w:cstheme="minorHAnsi"/>
          <w:b/>
        </w:rPr>
      </w:pPr>
      <w:r w:rsidRPr="00C90EDA">
        <w:rPr>
          <w:rFonts w:eastAsia="Calibri" w:cstheme="minorHAnsi"/>
          <w:b/>
          <w:bCs/>
        </w:rPr>
        <w:lastRenderedPageBreak/>
        <w:t xml:space="preserve">Table B-1. </w:t>
      </w:r>
      <w:r w:rsidRPr="00C90EDA">
        <w:rPr>
          <w:rFonts w:eastAsia="Calibri" w:cstheme="minorHAnsi"/>
          <w:b/>
        </w:rPr>
        <w:t>Distribution of Social Risk Factors across the DTC-PAC IRF Sample (N = 585,702)</w:t>
      </w:r>
    </w:p>
    <w:p w14:paraId="5954CF4A" w14:textId="77777777" w:rsidR="00F332D4" w:rsidRPr="00C90EDA" w:rsidRDefault="00F332D4" w:rsidP="00F332D4">
      <w:pPr>
        <w:spacing w:after="0" w:line="240" w:lineRule="auto"/>
        <w:rPr>
          <w:rFonts w:eastAsia="Calibri" w:cstheme="minorHAnsi"/>
          <w:b/>
          <w:sz w:val="20"/>
          <w:szCs w:val="20"/>
        </w:rPr>
      </w:pPr>
    </w:p>
    <w:tbl>
      <w:tblPr>
        <w:tblW w:w="5283" w:type="pct"/>
        <w:tblLook w:val="06A0" w:firstRow="1" w:lastRow="0" w:firstColumn="1" w:lastColumn="0" w:noHBand="1" w:noVBand="1"/>
      </w:tblPr>
      <w:tblGrid>
        <w:gridCol w:w="2851"/>
        <w:gridCol w:w="940"/>
        <w:gridCol w:w="764"/>
        <w:gridCol w:w="513"/>
        <w:gridCol w:w="2705"/>
        <w:gridCol w:w="1059"/>
        <w:gridCol w:w="1058"/>
      </w:tblGrid>
      <w:tr w:rsidR="00F332D4" w:rsidRPr="00C90EDA" w14:paraId="00E66E7E" w14:textId="77777777" w:rsidTr="00F5528C">
        <w:trPr>
          <w:trHeight w:val="432"/>
          <w:tblHeader/>
        </w:trPr>
        <w:tc>
          <w:tcPr>
            <w:tcW w:w="1457" w:type="pct"/>
            <w:tcBorders>
              <w:top w:val="single" w:sz="4" w:space="0" w:color="auto"/>
              <w:bottom w:val="single" w:sz="4" w:space="0" w:color="auto"/>
            </w:tcBorders>
            <w:shd w:val="clear" w:color="auto" w:fill="D9D9D9" w:themeFill="background1" w:themeFillShade="D9"/>
            <w:vAlign w:val="center"/>
          </w:tcPr>
          <w:p w14:paraId="25A14238" w14:textId="77777777" w:rsidR="00F332D4" w:rsidRPr="00C90EDA" w:rsidRDefault="00F332D4" w:rsidP="003B4778">
            <w:pPr>
              <w:spacing w:after="0" w:line="240" w:lineRule="auto"/>
              <w:rPr>
                <w:rFonts w:eastAsia="Calibri" w:cstheme="minorHAnsi"/>
                <w:b/>
              </w:rPr>
            </w:pPr>
            <w:r w:rsidRPr="00C90EDA">
              <w:rPr>
                <w:rFonts w:eastAsia="Calibri" w:cstheme="minorHAnsi"/>
                <w:b/>
              </w:rPr>
              <w:t>Social Risk Factor</w:t>
            </w:r>
          </w:p>
        </w:tc>
        <w:tc>
          <w:tcPr>
            <w:tcW w:w="448" w:type="pct"/>
            <w:tcBorders>
              <w:top w:val="single" w:sz="4" w:space="0" w:color="auto"/>
              <w:bottom w:val="single" w:sz="4" w:space="0" w:color="auto"/>
            </w:tcBorders>
            <w:shd w:val="clear" w:color="auto" w:fill="D9D9D9" w:themeFill="background1" w:themeFillShade="D9"/>
            <w:vAlign w:val="center"/>
          </w:tcPr>
          <w:p w14:paraId="36762D3F" w14:textId="77777777" w:rsidR="00F332D4" w:rsidRPr="00C90EDA" w:rsidRDefault="00F332D4" w:rsidP="00D050EC">
            <w:pPr>
              <w:spacing w:after="0" w:line="240" w:lineRule="auto"/>
              <w:jc w:val="center"/>
              <w:rPr>
                <w:rFonts w:cstheme="minorHAnsi"/>
                <w:b/>
                <w:bCs/>
              </w:rPr>
            </w:pPr>
            <w:r w:rsidRPr="00C90EDA">
              <w:rPr>
                <w:rFonts w:cstheme="minorHAnsi"/>
                <w:b/>
                <w:bCs/>
              </w:rPr>
              <w:t>n</w:t>
            </w:r>
          </w:p>
        </w:tc>
        <w:tc>
          <w:tcPr>
            <w:tcW w:w="336" w:type="pct"/>
            <w:tcBorders>
              <w:top w:val="single" w:sz="4" w:space="0" w:color="auto"/>
              <w:bottom w:val="single" w:sz="4" w:space="0" w:color="auto"/>
            </w:tcBorders>
            <w:shd w:val="clear" w:color="auto" w:fill="D9D9D9" w:themeFill="background1" w:themeFillShade="D9"/>
            <w:vAlign w:val="center"/>
          </w:tcPr>
          <w:p w14:paraId="6EB287A0" w14:textId="77777777" w:rsidR="00F332D4" w:rsidRPr="00C90EDA" w:rsidRDefault="00F332D4" w:rsidP="00D050EC">
            <w:pPr>
              <w:spacing w:after="0" w:line="240" w:lineRule="auto"/>
              <w:jc w:val="center"/>
              <w:rPr>
                <w:rFonts w:cstheme="minorHAnsi"/>
                <w:b/>
                <w:bCs/>
              </w:rPr>
            </w:pPr>
            <w:r w:rsidRPr="00C90EDA">
              <w:rPr>
                <w:rFonts w:cstheme="minorHAnsi"/>
                <w:b/>
                <w:bCs/>
              </w:rPr>
              <w:t>%</w:t>
            </w:r>
          </w:p>
        </w:tc>
        <w:tc>
          <w:tcPr>
            <w:tcW w:w="275" w:type="pct"/>
            <w:tcBorders>
              <w:top w:val="single" w:sz="4" w:space="0" w:color="auto"/>
              <w:bottom w:val="single" w:sz="4" w:space="0" w:color="auto"/>
            </w:tcBorders>
            <w:shd w:val="clear" w:color="auto" w:fill="D9D9D9" w:themeFill="background1" w:themeFillShade="D9"/>
            <w:vAlign w:val="center"/>
          </w:tcPr>
          <w:p w14:paraId="5209F8BD" w14:textId="77777777" w:rsidR="00F332D4" w:rsidRPr="00C90EDA" w:rsidRDefault="00F332D4" w:rsidP="003B4778">
            <w:pPr>
              <w:spacing w:after="0" w:line="240" w:lineRule="auto"/>
              <w:rPr>
                <w:rFonts w:eastAsia="Calibri" w:cstheme="minorHAnsi"/>
                <w:b/>
              </w:rPr>
            </w:pPr>
          </w:p>
        </w:tc>
        <w:tc>
          <w:tcPr>
            <w:tcW w:w="1383" w:type="pct"/>
            <w:tcBorders>
              <w:top w:val="single" w:sz="4" w:space="0" w:color="auto"/>
              <w:bottom w:val="single" w:sz="4" w:space="0" w:color="auto"/>
            </w:tcBorders>
            <w:shd w:val="clear" w:color="auto" w:fill="D9D9D9" w:themeFill="background1" w:themeFillShade="D9"/>
            <w:vAlign w:val="center"/>
          </w:tcPr>
          <w:p w14:paraId="63984EFD" w14:textId="77777777" w:rsidR="00F332D4" w:rsidRPr="00C90EDA" w:rsidRDefault="00F332D4" w:rsidP="003B4778">
            <w:pPr>
              <w:spacing w:after="0" w:line="240" w:lineRule="auto"/>
              <w:rPr>
                <w:rFonts w:cstheme="minorHAnsi"/>
                <w:b/>
                <w:bCs/>
              </w:rPr>
            </w:pPr>
            <w:r w:rsidRPr="00C90EDA">
              <w:rPr>
                <w:rFonts w:eastAsia="Calibri" w:cstheme="minorHAnsi"/>
                <w:b/>
              </w:rPr>
              <w:t>Social Risk Factor</w:t>
            </w:r>
          </w:p>
        </w:tc>
        <w:tc>
          <w:tcPr>
            <w:tcW w:w="551" w:type="pct"/>
            <w:tcBorders>
              <w:top w:val="single" w:sz="4" w:space="0" w:color="auto"/>
              <w:bottom w:val="single" w:sz="4" w:space="0" w:color="auto"/>
            </w:tcBorders>
            <w:shd w:val="clear" w:color="auto" w:fill="D9D9D9" w:themeFill="background1" w:themeFillShade="D9"/>
            <w:vAlign w:val="center"/>
          </w:tcPr>
          <w:p w14:paraId="651B2210" w14:textId="77777777" w:rsidR="00F332D4" w:rsidRPr="00C90EDA" w:rsidRDefault="00F332D4" w:rsidP="00D050EC">
            <w:pPr>
              <w:spacing w:after="0" w:line="240" w:lineRule="auto"/>
              <w:jc w:val="center"/>
              <w:rPr>
                <w:rFonts w:cstheme="minorHAnsi"/>
                <w:b/>
                <w:bCs/>
              </w:rPr>
            </w:pPr>
            <w:r w:rsidRPr="00C90EDA">
              <w:rPr>
                <w:rFonts w:cstheme="minorHAnsi"/>
                <w:b/>
                <w:bCs/>
              </w:rPr>
              <w:t>n</w:t>
            </w:r>
          </w:p>
        </w:tc>
        <w:tc>
          <w:tcPr>
            <w:tcW w:w="550" w:type="pct"/>
            <w:tcBorders>
              <w:top w:val="single" w:sz="4" w:space="0" w:color="auto"/>
              <w:bottom w:val="single" w:sz="4" w:space="0" w:color="auto"/>
            </w:tcBorders>
            <w:shd w:val="clear" w:color="auto" w:fill="D9D9D9" w:themeFill="background1" w:themeFillShade="D9"/>
            <w:vAlign w:val="center"/>
          </w:tcPr>
          <w:p w14:paraId="5CF6BE11" w14:textId="77777777" w:rsidR="00F332D4" w:rsidRPr="00C90EDA" w:rsidRDefault="00F332D4" w:rsidP="00D050EC">
            <w:pPr>
              <w:spacing w:after="0" w:line="240" w:lineRule="auto"/>
              <w:jc w:val="center"/>
              <w:rPr>
                <w:rFonts w:cstheme="minorHAnsi"/>
                <w:b/>
                <w:bCs/>
              </w:rPr>
            </w:pPr>
            <w:r w:rsidRPr="00C90EDA">
              <w:rPr>
                <w:rFonts w:cstheme="minorHAnsi"/>
                <w:b/>
                <w:bCs/>
              </w:rPr>
              <w:t>%</w:t>
            </w:r>
          </w:p>
        </w:tc>
      </w:tr>
      <w:tr w:rsidR="00F332D4" w:rsidRPr="00C90EDA" w14:paraId="081497E6" w14:textId="77777777" w:rsidTr="003B4778">
        <w:trPr>
          <w:trHeight w:val="315"/>
        </w:trPr>
        <w:tc>
          <w:tcPr>
            <w:tcW w:w="1457" w:type="pct"/>
            <w:vAlign w:val="bottom"/>
          </w:tcPr>
          <w:p w14:paraId="232982DC" w14:textId="77777777" w:rsidR="00F332D4" w:rsidRPr="00C90EDA" w:rsidRDefault="00F332D4" w:rsidP="003B4778">
            <w:pPr>
              <w:spacing w:after="0" w:line="240" w:lineRule="auto"/>
              <w:rPr>
                <w:rFonts w:cstheme="minorHAnsi"/>
                <w:b/>
                <w:i/>
              </w:rPr>
            </w:pPr>
            <w:r w:rsidRPr="00C90EDA">
              <w:rPr>
                <w:rFonts w:cstheme="minorHAnsi"/>
                <w:b/>
                <w:i/>
              </w:rPr>
              <w:t>Dual Eligibility</w:t>
            </w:r>
          </w:p>
        </w:tc>
        <w:tc>
          <w:tcPr>
            <w:tcW w:w="448" w:type="pct"/>
            <w:vAlign w:val="bottom"/>
          </w:tcPr>
          <w:p w14:paraId="0A8DF669" w14:textId="77777777" w:rsidR="00F332D4" w:rsidRPr="00C90EDA" w:rsidRDefault="00F332D4" w:rsidP="00D050EC">
            <w:pPr>
              <w:spacing w:after="0" w:line="240" w:lineRule="auto"/>
              <w:jc w:val="center"/>
              <w:rPr>
                <w:rFonts w:cstheme="minorHAnsi"/>
              </w:rPr>
            </w:pPr>
          </w:p>
        </w:tc>
        <w:tc>
          <w:tcPr>
            <w:tcW w:w="336" w:type="pct"/>
            <w:vAlign w:val="bottom"/>
          </w:tcPr>
          <w:p w14:paraId="0332D9E0" w14:textId="77777777" w:rsidR="00F332D4" w:rsidRPr="00C90EDA" w:rsidRDefault="00F332D4" w:rsidP="00D050EC">
            <w:pPr>
              <w:spacing w:after="0" w:line="240" w:lineRule="auto"/>
              <w:jc w:val="center"/>
              <w:rPr>
                <w:rFonts w:eastAsia="Albany AMT" w:cstheme="minorHAnsi"/>
              </w:rPr>
            </w:pPr>
          </w:p>
        </w:tc>
        <w:tc>
          <w:tcPr>
            <w:tcW w:w="275" w:type="pct"/>
          </w:tcPr>
          <w:p w14:paraId="50DD194A" w14:textId="77777777" w:rsidR="00F332D4" w:rsidRPr="00C90EDA" w:rsidRDefault="00F332D4" w:rsidP="003B4778">
            <w:pPr>
              <w:spacing w:after="0" w:line="240" w:lineRule="auto"/>
              <w:rPr>
                <w:rFonts w:cstheme="minorHAnsi"/>
                <w:b/>
                <w:i/>
              </w:rPr>
            </w:pPr>
          </w:p>
        </w:tc>
        <w:tc>
          <w:tcPr>
            <w:tcW w:w="1383" w:type="pct"/>
            <w:vAlign w:val="bottom"/>
          </w:tcPr>
          <w:p w14:paraId="4D2002D7" w14:textId="5DA9738E" w:rsidR="00F332D4" w:rsidRPr="00C90EDA" w:rsidRDefault="00F332D4" w:rsidP="003B4778">
            <w:pPr>
              <w:spacing w:after="0" w:line="240" w:lineRule="auto"/>
              <w:rPr>
                <w:rFonts w:eastAsia="Albany AMT" w:cstheme="minorHAnsi"/>
                <w:b/>
                <w:i/>
              </w:rPr>
            </w:pPr>
            <w:r w:rsidRPr="00C90EDA">
              <w:rPr>
                <w:rFonts w:cstheme="minorHAnsi"/>
                <w:b/>
                <w:i/>
              </w:rPr>
              <w:t>Urbanicity</w:t>
            </w:r>
            <w:r w:rsidR="005F7F2D">
              <w:rPr>
                <w:rFonts w:cstheme="minorHAnsi"/>
                <w:b/>
                <w:i/>
              </w:rPr>
              <w:t>*</w:t>
            </w:r>
          </w:p>
        </w:tc>
        <w:tc>
          <w:tcPr>
            <w:tcW w:w="551" w:type="pct"/>
            <w:vAlign w:val="bottom"/>
          </w:tcPr>
          <w:p w14:paraId="6019C7D2" w14:textId="77777777" w:rsidR="00F332D4" w:rsidRPr="00C90EDA" w:rsidRDefault="00F332D4" w:rsidP="00D050EC">
            <w:pPr>
              <w:spacing w:after="0" w:line="240" w:lineRule="auto"/>
              <w:jc w:val="center"/>
              <w:rPr>
                <w:rFonts w:eastAsia="Albany AMT" w:cstheme="minorHAnsi"/>
              </w:rPr>
            </w:pPr>
          </w:p>
        </w:tc>
        <w:tc>
          <w:tcPr>
            <w:tcW w:w="550" w:type="pct"/>
            <w:vAlign w:val="bottom"/>
          </w:tcPr>
          <w:p w14:paraId="5813BBB3" w14:textId="77777777" w:rsidR="00F332D4" w:rsidRPr="00C90EDA" w:rsidRDefault="00F332D4" w:rsidP="00D050EC">
            <w:pPr>
              <w:spacing w:after="0" w:line="240" w:lineRule="auto"/>
              <w:jc w:val="center"/>
              <w:rPr>
                <w:rFonts w:eastAsia="Albany AMT" w:cstheme="minorHAnsi"/>
              </w:rPr>
            </w:pPr>
          </w:p>
        </w:tc>
      </w:tr>
      <w:tr w:rsidR="00F332D4" w:rsidRPr="00C90EDA" w14:paraId="6D7687C1" w14:textId="77777777" w:rsidTr="00487949">
        <w:trPr>
          <w:trHeight w:val="315"/>
        </w:trPr>
        <w:tc>
          <w:tcPr>
            <w:tcW w:w="1457" w:type="pct"/>
            <w:vAlign w:val="bottom"/>
          </w:tcPr>
          <w:p w14:paraId="19140C2D" w14:textId="77777777" w:rsidR="00F332D4" w:rsidRPr="00C90EDA" w:rsidRDefault="00F332D4" w:rsidP="00487949">
            <w:pPr>
              <w:spacing w:after="0" w:line="240" w:lineRule="auto"/>
              <w:ind w:left="306"/>
              <w:rPr>
                <w:rFonts w:eastAsia="Times New Roman" w:cstheme="minorHAnsi"/>
              </w:rPr>
            </w:pPr>
            <w:r>
              <w:rPr>
                <w:rFonts w:ascii="Calibri" w:hAnsi="Calibri" w:cstheme="minorHAnsi"/>
                <w:color w:val="000000"/>
              </w:rPr>
              <w:t>Dual with full Medicaid</w:t>
            </w:r>
          </w:p>
        </w:tc>
        <w:tc>
          <w:tcPr>
            <w:tcW w:w="448" w:type="pct"/>
            <w:vAlign w:val="bottom"/>
          </w:tcPr>
          <w:p w14:paraId="3123E7F9" w14:textId="77777777" w:rsidR="00F332D4" w:rsidRPr="00C90EDA" w:rsidRDefault="00F332D4" w:rsidP="00D050EC">
            <w:pPr>
              <w:spacing w:after="0" w:line="240" w:lineRule="auto"/>
              <w:jc w:val="center"/>
              <w:rPr>
                <w:rFonts w:cstheme="minorHAnsi"/>
              </w:rPr>
            </w:pPr>
            <w:r>
              <w:rPr>
                <w:rFonts w:ascii="Calibri" w:hAnsi="Calibri" w:cstheme="minorHAnsi"/>
                <w:color w:val="000000"/>
              </w:rPr>
              <w:t>69,923</w:t>
            </w:r>
          </w:p>
        </w:tc>
        <w:tc>
          <w:tcPr>
            <w:tcW w:w="336" w:type="pct"/>
            <w:vAlign w:val="bottom"/>
          </w:tcPr>
          <w:p w14:paraId="49871C30" w14:textId="7F311A5E" w:rsidR="00F332D4" w:rsidRPr="00C90EDA" w:rsidRDefault="00F332D4" w:rsidP="00D050EC">
            <w:pPr>
              <w:spacing w:after="0" w:line="240" w:lineRule="auto"/>
              <w:jc w:val="center"/>
              <w:rPr>
                <w:rFonts w:eastAsia="Albany AMT" w:cstheme="minorHAnsi"/>
              </w:rPr>
            </w:pPr>
            <w:r>
              <w:rPr>
                <w:rFonts w:ascii="Calibri" w:hAnsi="Calibri" w:cstheme="minorHAnsi"/>
                <w:color w:val="000000"/>
              </w:rPr>
              <w:t>11.9%</w:t>
            </w:r>
          </w:p>
        </w:tc>
        <w:tc>
          <w:tcPr>
            <w:tcW w:w="275" w:type="pct"/>
            <w:vAlign w:val="bottom"/>
          </w:tcPr>
          <w:p w14:paraId="5F514A62" w14:textId="77777777" w:rsidR="00F332D4" w:rsidRPr="00C90EDA" w:rsidRDefault="00F332D4" w:rsidP="00487949">
            <w:pPr>
              <w:spacing w:after="0" w:line="240" w:lineRule="auto"/>
              <w:rPr>
                <w:rFonts w:cstheme="minorHAnsi"/>
              </w:rPr>
            </w:pPr>
          </w:p>
        </w:tc>
        <w:tc>
          <w:tcPr>
            <w:tcW w:w="1383" w:type="pct"/>
            <w:vAlign w:val="bottom"/>
          </w:tcPr>
          <w:p w14:paraId="4C9F6F7C" w14:textId="77777777" w:rsidR="00F332D4" w:rsidRPr="00C90EDA" w:rsidRDefault="00F332D4" w:rsidP="00487949">
            <w:pPr>
              <w:spacing w:after="0" w:line="240" w:lineRule="auto"/>
              <w:ind w:left="207"/>
              <w:rPr>
                <w:rFonts w:cstheme="minorHAnsi"/>
              </w:rPr>
            </w:pPr>
            <w:r w:rsidRPr="00C90EDA">
              <w:rPr>
                <w:rFonts w:cstheme="minorHAnsi"/>
              </w:rPr>
              <w:t>Urban</w:t>
            </w:r>
          </w:p>
        </w:tc>
        <w:tc>
          <w:tcPr>
            <w:tcW w:w="551" w:type="pct"/>
            <w:vAlign w:val="bottom"/>
          </w:tcPr>
          <w:p w14:paraId="1B84D8BE" w14:textId="68E3A334" w:rsidR="00F332D4" w:rsidRPr="00C90EDA" w:rsidRDefault="00F332D4" w:rsidP="00D050EC">
            <w:pPr>
              <w:spacing w:after="0" w:line="240" w:lineRule="auto"/>
              <w:jc w:val="center"/>
              <w:rPr>
                <w:rFonts w:cstheme="minorHAnsi"/>
              </w:rPr>
            </w:pPr>
            <w:r w:rsidRPr="00C90EDA">
              <w:rPr>
                <w:rFonts w:cstheme="minorHAnsi"/>
              </w:rPr>
              <w:t>485,670</w:t>
            </w:r>
          </w:p>
        </w:tc>
        <w:tc>
          <w:tcPr>
            <w:tcW w:w="550" w:type="pct"/>
            <w:vAlign w:val="bottom"/>
          </w:tcPr>
          <w:p w14:paraId="527BABB1" w14:textId="77777777" w:rsidR="00F332D4" w:rsidRPr="00C90EDA" w:rsidRDefault="00F332D4" w:rsidP="00D050EC">
            <w:pPr>
              <w:spacing w:after="0" w:line="240" w:lineRule="auto"/>
              <w:jc w:val="center"/>
              <w:rPr>
                <w:rFonts w:eastAsia="Albany AMT" w:cstheme="minorHAnsi"/>
              </w:rPr>
            </w:pPr>
            <w:r w:rsidRPr="00C90EDA">
              <w:rPr>
                <w:rFonts w:cstheme="minorHAnsi"/>
              </w:rPr>
              <w:t>82.9%</w:t>
            </w:r>
          </w:p>
        </w:tc>
      </w:tr>
      <w:tr w:rsidR="00F332D4" w:rsidRPr="00C90EDA" w14:paraId="4402544F" w14:textId="77777777" w:rsidTr="00487949">
        <w:trPr>
          <w:trHeight w:val="315"/>
        </w:trPr>
        <w:tc>
          <w:tcPr>
            <w:tcW w:w="1457" w:type="pct"/>
            <w:vAlign w:val="bottom"/>
          </w:tcPr>
          <w:p w14:paraId="7742EAE0" w14:textId="77777777" w:rsidR="00F332D4" w:rsidRPr="00C90EDA" w:rsidRDefault="00F332D4" w:rsidP="00487949">
            <w:pPr>
              <w:spacing w:after="0" w:line="240" w:lineRule="auto"/>
              <w:ind w:left="306"/>
              <w:rPr>
                <w:rFonts w:cstheme="minorHAnsi"/>
              </w:rPr>
            </w:pPr>
            <w:r w:rsidRPr="00C90EDA">
              <w:rPr>
                <w:rFonts w:cstheme="minorHAnsi"/>
              </w:rPr>
              <w:t>Dual without full Medicaid</w:t>
            </w:r>
          </w:p>
        </w:tc>
        <w:tc>
          <w:tcPr>
            <w:tcW w:w="448" w:type="pct"/>
            <w:vAlign w:val="bottom"/>
          </w:tcPr>
          <w:p w14:paraId="5D3985A4" w14:textId="595339F7" w:rsidR="00F332D4" w:rsidRPr="00C90EDA" w:rsidRDefault="00F332D4" w:rsidP="00D050EC">
            <w:pPr>
              <w:spacing w:after="0" w:line="240" w:lineRule="auto"/>
              <w:jc w:val="center"/>
              <w:rPr>
                <w:rFonts w:cstheme="minorHAnsi"/>
              </w:rPr>
            </w:pPr>
            <w:r w:rsidRPr="00C90EDA">
              <w:rPr>
                <w:rFonts w:cstheme="minorHAnsi"/>
              </w:rPr>
              <w:t>33,552</w:t>
            </w:r>
          </w:p>
        </w:tc>
        <w:tc>
          <w:tcPr>
            <w:tcW w:w="336" w:type="pct"/>
            <w:vAlign w:val="bottom"/>
          </w:tcPr>
          <w:p w14:paraId="02C8BE92" w14:textId="77777777" w:rsidR="00F332D4" w:rsidRPr="00C90EDA" w:rsidRDefault="00F332D4" w:rsidP="00D050EC">
            <w:pPr>
              <w:spacing w:after="0" w:line="240" w:lineRule="auto"/>
              <w:jc w:val="center"/>
              <w:rPr>
                <w:rFonts w:eastAsia="Albany AMT" w:cstheme="minorHAnsi"/>
              </w:rPr>
            </w:pPr>
            <w:r w:rsidRPr="00C90EDA">
              <w:rPr>
                <w:rFonts w:cstheme="minorHAnsi"/>
              </w:rPr>
              <w:t>5.7%</w:t>
            </w:r>
          </w:p>
        </w:tc>
        <w:tc>
          <w:tcPr>
            <w:tcW w:w="275" w:type="pct"/>
            <w:vAlign w:val="bottom"/>
          </w:tcPr>
          <w:p w14:paraId="6A43A048" w14:textId="77777777" w:rsidR="00F332D4" w:rsidRPr="00C90EDA" w:rsidRDefault="00F332D4" w:rsidP="00487949">
            <w:pPr>
              <w:spacing w:after="0" w:line="240" w:lineRule="auto"/>
              <w:rPr>
                <w:rFonts w:cstheme="minorHAnsi"/>
              </w:rPr>
            </w:pPr>
          </w:p>
        </w:tc>
        <w:tc>
          <w:tcPr>
            <w:tcW w:w="1383" w:type="pct"/>
            <w:vAlign w:val="bottom"/>
          </w:tcPr>
          <w:p w14:paraId="3F68E1AB" w14:textId="77777777" w:rsidR="00F332D4" w:rsidRPr="00C90EDA" w:rsidRDefault="00F332D4" w:rsidP="00487949">
            <w:pPr>
              <w:spacing w:after="0" w:line="240" w:lineRule="auto"/>
              <w:ind w:left="207"/>
              <w:rPr>
                <w:rFonts w:cstheme="minorHAnsi"/>
              </w:rPr>
            </w:pPr>
            <w:r w:rsidRPr="00C90EDA">
              <w:rPr>
                <w:rFonts w:cstheme="minorHAnsi"/>
              </w:rPr>
              <w:t>Suburban</w:t>
            </w:r>
          </w:p>
        </w:tc>
        <w:tc>
          <w:tcPr>
            <w:tcW w:w="551" w:type="pct"/>
            <w:vAlign w:val="bottom"/>
          </w:tcPr>
          <w:p w14:paraId="35A64319" w14:textId="053583D1" w:rsidR="00F332D4" w:rsidRPr="00C90EDA" w:rsidRDefault="00F332D4" w:rsidP="00D050EC">
            <w:pPr>
              <w:spacing w:after="0" w:line="240" w:lineRule="auto"/>
              <w:jc w:val="center"/>
              <w:rPr>
                <w:rFonts w:cstheme="minorHAnsi"/>
              </w:rPr>
            </w:pPr>
            <w:r w:rsidRPr="00C90EDA">
              <w:rPr>
                <w:rFonts w:cstheme="minorHAnsi"/>
              </w:rPr>
              <w:t>72,294</w:t>
            </w:r>
          </w:p>
        </w:tc>
        <w:tc>
          <w:tcPr>
            <w:tcW w:w="550" w:type="pct"/>
            <w:vAlign w:val="bottom"/>
          </w:tcPr>
          <w:p w14:paraId="4668F817" w14:textId="77777777" w:rsidR="00F332D4" w:rsidRPr="00C90EDA" w:rsidRDefault="00F332D4" w:rsidP="00D050EC">
            <w:pPr>
              <w:spacing w:after="0" w:line="240" w:lineRule="auto"/>
              <w:jc w:val="center"/>
              <w:rPr>
                <w:rFonts w:eastAsia="Albany AMT" w:cstheme="minorHAnsi"/>
              </w:rPr>
            </w:pPr>
            <w:r w:rsidRPr="00C90EDA">
              <w:rPr>
                <w:rFonts w:cstheme="minorHAnsi"/>
              </w:rPr>
              <w:t>12.3%</w:t>
            </w:r>
          </w:p>
        </w:tc>
      </w:tr>
      <w:tr w:rsidR="00F332D4" w:rsidRPr="00C90EDA" w14:paraId="4B195E62" w14:textId="77777777" w:rsidTr="003B4778">
        <w:trPr>
          <w:trHeight w:val="315"/>
        </w:trPr>
        <w:tc>
          <w:tcPr>
            <w:tcW w:w="1457" w:type="pct"/>
            <w:vAlign w:val="bottom"/>
          </w:tcPr>
          <w:p w14:paraId="28693F41" w14:textId="77777777" w:rsidR="00F332D4" w:rsidRPr="00C90EDA" w:rsidRDefault="00F332D4" w:rsidP="003B4778">
            <w:pPr>
              <w:spacing w:after="0" w:line="240" w:lineRule="auto"/>
              <w:ind w:left="306"/>
              <w:rPr>
                <w:rFonts w:cstheme="minorHAnsi"/>
              </w:rPr>
            </w:pPr>
            <w:r w:rsidRPr="00C90EDA">
              <w:rPr>
                <w:rFonts w:cstheme="minorHAnsi"/>
              </w:rPr>
              <w:t>Non-dual</w:t>
            </w:r>
          </w:p>
        </w:tc>
        <w:tc>
          <w:tcPr>
            <w:tcW w:w="448" w:type="pct"/>
            <w:vAlign w:val="bottom"/>
          </w:tcPr>
          <w:p w14:paraId="68AC714F" w14:textId="77777777" w:rsidR="00F332D4" w:rsidRPr="00C90EDA" w:rsidRDefault="00F332D4" w:rsidP="00D050EC">
            <w:pPr>
              <w:spacing w:after="0" w:line="240" w:lineRule="auto"/>
              <w:jc w:val="center"/>
              <w:rPr>
                <w:rFonts w:cstheme="minorHAnsi"/>
              </w:rPr>
            </w:pPr>
            <w:r w:rsidRPr="00C90EDA">
              <w:rPr>
                <w:rFonts w:cstheme="minorHAnsi"/>
              </w:rPr>
              <w:t>482,227</w:t>
            </w:r>
          </w:p>
        </w:tc>
        <w:tc>
          <w:tcPr>
            <w:tcW w:w="336" w:type="pct"/>
            <w:vAlign w:val="bottom"/>
          </w:tcPr>
          <w:p w14:paraId="3A83D597" w14:textId="77777777" w:rsidR="00F332D4" w:rsidRPr="00C90EDA" w:rsidRDefault="00F332D4" w:rsidP="00D050EC">
            <w:pPr>
              <w:spacing w:after="0" w:line="240" w:lineRule="auto"/>
              <w:jc w:val="center"/>
              <w:rPr>
                <w:rFonts w:eastAsia="Albany AMT" w:cstheme="minorHAnsi"/>
              </w:rPr>
            </w:pPr>
            <w:r w:rsidRPr="00C90EDA">
              <w:rPr>
                <w:rFonts w:eastAsia="Albany AMT" w:cstheme="minorHAnsi"/>
              </w:rPr>
              <w:t>82.3%</w:t>
            </w:r>
          </w:p>
        </w:tc>
        <w:tc>
          <w:tcPr>
            <w:tcW w:w="275" w:type="pct"/>
            <w:vAlign w:val="bottom"/>
          </w:tcPr>
          <w:p w14:paraId="6EA5DF4A" w14:textId="77777777" w:rsidR="00F332D4" w:rsidRPr="00C90EDA" w:rsidRDefault="00F332D4" w:rsidP="003B4778">
            <w:pPr>
              <w:spacing w:after="0" w:line="240" w:lineRule="auto"/>
              <w:jc w:val="center"/>
              <w:rPr>
                <w:rFonts w:cstheme="minorHAnsi"/>
              </w:rPr>
            </w:pPr>
          </w:p>
        </w:tc>
        <w:tc>
          <w:tcPr>
            <w:tcW w:w="1383" w:type="pct"/>
            <w:vAlign w:val="bottom"/>
          </w:tcPr>
          <w:p w14:paraId="6C740720" w14:textId="77777777" w:rsidR="00F332D4" w:rsidRPr="00C90EDA" w:rsidRDefault="00F332D4" w:rsidP="003B4778">
            <w:pPr>
              <w:spacing w:after="0" w:line="240" w:lineRule="auto"/>
              <w:ind w:left="207"/>
              <w:rPr>
                <w:rFonts w:cstheme="minorHAnsi"/>
              </w:rPr>
            </w:pPr>
            <w:r w:rsidRPr="00C90EDA">
              <w:rPr>
                <w:rFonts w:cstheme="minorHAnsi"/>
              </w:rPr>
              <w:t>Rural</w:t>
            </w:r>
          </w:p>
        </w:tc>
        <w:tc>
          <w:tcPr>
            <w:tcW w:w="551" w:type="pct"/>
            <w:vAlign w:val="center"/>
          </w:tcPr>
          <w:p w14:paraId="3A425089" w14:textId="7FF8DFFF" w:rsidR="00F332D4" w:rsidRPr="00C90EDA" w:rsidRDefault="00F332D4" w:rsidP="00D050EC">
            <w:pPr>
              <w:spacing w:after="0" w:line="240" w:lineRule="auto"/>
              <w:jc w:val="center"/>
              <w:rPr>
                <w:rFonts w:cstheme="minorHAnsi"/>
              </w:rPr>
            </w:pPr>
            <w:r w:rsidRPr="00C90EDA">
              <w:rPr>
                <w:rFonts w:cstheme="minorHAnsi"/>
              </w:rPr>
              <w:t>27,385</w:t>
            </w:r>
          </w:p>
        </w:tc>
        <w:tc>
          <w:tcPr>
            <w:tcW w:w="550" w:type="pct"/>
            <w:vAlign w:val="bottom"/>
          </w:tcPr>
          <w:p w14:paraId="1D185FA1" w14:textId="77777777" w:rsidR="00F332D4" w:rsidRPr="00C90EDA" w:rsidRDefault="00F332D4" w:rsidP="00D050EC">
            <w:pPr>
              <w:spacing w:after="0" w:line="240" w:lineRule="auto"/>
              <w:jc w:val="center"/>
              <w:rPr>
                <w:rFonts w:eastAsia="Albany AMT" w:cstheme="minorHAnsi"/>
              </w:rPr>
            </w:pPr>
            <w:r w:rsidRPr="00C90EDA">
              <w:rPr>
                <w:rFonts w:cstheme="minorHAnsi"/>
              </w:rPr>
              <w:t>4.7%</w:t>
            </w:r>
          </w:p>
        </w:tc>
      </w:tr>
      <w:tr w:rsidR="00F332D4" w:rsidRPr="00C90EDA" w14:paraId="1B26BBC0" w14:textId="77777777" w:rsidTr="003B4778">
        <w:trPr>
          <w:trHeight w:val="315"/>
        </w:trPr>
        <w:tc>
          <w:tcPr>
            <w:tcW w:w="1457" w:type="pct"/>
            <w:vAlign w:val="bottom"/>
          </w:tcPr>
          <w:p w14:paraId="2746A69A" w14:textId="77777777" w:rsidR="00F332D4" w:rsidRPr="00C90EDA" w:rsidRDefault="00F332D4" w:rsidP="003B4778">
            <w:pPr>
              <w:spacing w:after="0" w:line="240" w:lineRule="auto"/>
              <w:rPr>
                <w:rFonts w:cstheme="minorHAnsi"/>
                <w:b/>
                <w:i/>
              </w:rPr>
            </w:pPr>
            <w:r w:rsidRPr="00C90EDA">
              <w:rPr>
                <w:rFonts w:cstheme="minorHAnsi"/>
                <w:b/>
                <w:i/>
              </w:rPr>
              <w:t>Race/Ethnicity</w:t>
            </w:r>
          </w:p>
        </w:tc>
        <w:tc>
          <w:tcPr>
            <w:tcW w:w="448" w:type="pct"/>
          </w:tcPr>
          <w:p w14:paraId="5C7222FB" w14:textId="77777777" w:rsidR="00F332D4" w:rsidRPr="00C90EDA" w:rsidRDefault="00F332D4" w:rsidP="00D050EC">
            <w:pPr>
              <w:spacing w:after="0" w:line="240" w:lineRule="auto"/>
              <w:jc w:val="center"/>
              <w:rPr>
                <w:rFonts w:cstheme="minorHAnsi"/>
                <w:b/>
                <w:i/>
              </w:rPr>
            </w:pPr>
          </w:p>
        </w:tc>
        <w:tc>
          <w:tcPr>
            <w:tcW w:w="336" w:type="pct"/>
          </w:tcPr>
          <w:p w14:paraId="21B4EA80" w14:textId="77777777" w:rsidR="00F332D4" w:rsidRPr="00C90EDA" w:rsidRDefault="00F332D4" w:rsidP="00D050EC">
            <w:pPr>
              <w:spacing w:after="0" w:line="240" w:lineRule="auto"/>
              <w:jc w:val="center"/>
              <w:rPr>
                <w:rFonts w:cstheme="minorHAnsi"/>
                <w:b/>
                <w:i/>
              </w:rPr>
            </w:pPr>
          </w:p>
        </w:tc>
        <w:tc>
          <w:tcPr>
            <w:tcW w:w="275" w:type="pct"/>
          </w:tcPr>
          <w:p w14:paraId="3494F8E2" w14:textId="77777777" w:rsidR="00F332D4" w:rsidRPr="00C90EDA" w:rsidRDefault="00F332D4" w:rsidP="003B4778">
            <w:pPr>
              <w:spacing w:after="0" w:line="240" w:lineRule="auto"/>
              <w:jc w:val="center"/>
              <w:rPr>
                <w:rFonts w:cstheme="minorHAnsi"/>
                <w:b/>
                <w:i/>
              </w:rPr>
            </w:pPr>
          </w:p>
        </w:tc>
        <w:tc>
          <w:tcPr>
            <w:tcW w:w="1383" w:type="pct"/>
            <w:vAlign w:val="bottom"/>
          </w:tcPr>
          <w:p w14:paraId="521CBB69" w14:textId="77777777" w:rsidR="00F332D4" w:rsidRPr="00C90EDA" w:rsidRDefault="00F332D4" w:rsidP="003B4778">
            <w:pPr>
              <w:spacing w:after="0" w:line="240" w:lineRule="auto"/>
              <w:ind w:left="207"/>
              <w:rPr>
                <w:rFonts w:cstheme="minorHAnsi"/>
              </w:rPr>
            </w:pPr>
            <w:r w:rsidRPr="00C90EDA">
              <w:rPr>
                <w:rFonts w:cstheme="minorHAnsi"/>
              </w:rPr>
              <w:t>Missing</w:t>
            </w:r>
          </w:p>
        </w:tc>
        <w:tc>
          <w:tcPr>
            <w:tcW w:w="551" w:type="pct"/>
            <w:vAlign w:val="center"/>
          </w:tcPr>
          <w:p w14:paraId="334E85A9" w14:textId="09B63F3D" w:rsidR="00F332D4" w:rsidRPr="00C90EDA" w:rsidRDefault="00F332D4" w:rsidP="00D050EC">
            <w:pPr>
              <w:spacing w:after="0" w:line="240" w:lineRule="auto"/>
              <w:jc w:val="center"/>
              <w:rPr>
                <w:rFonts w:cstheme="minorHAnsi"/>
              </w:rPr>
            </w:pPr>
            <w:r w:rsidRPr="00C90EDA">
              <w:rPr>
                <w:rFonts w:cstheme="minorHAnsi"/>
              </w:rPr>
              <w:t>353</w:t>
            </w:r>
          </w:p>
        </w:tc>
        <w:tc>
          <w:tcPr>
            <w:tcW w:w="550" w:type="pct"/>
            <w:vAlign w:val="bottom"/>
          </w:tcPr>
          <w:p w14:paraId="666A680E" w14:textId="77777777" w:rsidR="00F332D4" w:rsidRPr="00C90EDA" w:rsidRDefault="00F332D4" w:rsidP="00D050EC">
            <w:pPr>
              <w:spacing w:after="0" w:line="240" w:lineRule="auto"/>
              <w:jc w:val="center"/>
              <w:rPr>
                <w:rFonts w:eastAsia="Albany AMT" w:cstheme="minorHAnsi"/>
              </w:rPr>
            </w:pPr>
            <w:r w:rsidRPr="00C90EDA">
              <w:rPr>
                <w:rFonts w:cstheme="minorHAnsi"/>
              </w:rPr>
              <w:t>0.1%</w:t>
            </w:r>
          </w:p>
        </w:tc>
      </w:tr>
      <w:tr w:rsidR="00F332D4" w:rsidRPr="00C90EDA" w14:paraId="7119CBA7" w14:textId="77777777" w:rsidTr="003B4778">
        <w:trPr>
          <w:trHeight w:val="315"/>
        </w:trPr>
        <w:tc>
          <w:tcPr>
            <w:tcW w:w="1457" w:type="pct"/>
            <w:vAlign w:val="bottom"/>
          </w:tcPr>
          <w:p w14:paraId="37FD8659" w14:textId="77777777" w:rsidR="00F332D4" w:rsidRPr="00C90EDA" w:rsidRDefault="00F332D4" w:rsidP="003B4778">
            <w:pPr>
              <w:spacing w:after="0" w:line="240" w:lineRule="auto"/>
              <w:ind w:left="306"/>
              <w:rPr>
                <w:rFonts w:cstheme="minorHAnsi"/>
              </w:rPr>
            </w:pPr>
            <w:r w:rsidRPr="00C90EDA">
              <w:rPr>
                <w:rFonts w:cstheme="minorHAnsi"/>
              </w:rPr>
              <w:t>White</w:t>
            </w:r>
          </w:p>
        </w:tc>
        <w:tc>
          <w:tcPr>
            <w:tcW w:w="448" w:type="pct"/>
            <w:vAlign w:val="center"/>
          </w:tcPr>
          <w:p w14:paraId="1417D6C2" w14:textId="2499160C" w:rsidR="00F332D4" w:rsidRPr="00C90EDA" w:rsidRDefault="00F332D4" w:rsidP="00D050EC">
            <w:pPr>
              <w:spacing w:after="0" w:line="240" w:lineRule="auto"/>
              <w:jc w:val="center"/>
              <w:rPr>
                <w:rFonts w:cstheme="minorHAnsi"/>
              </w:rPr>
            </w:pPr>
            <w:r w:rsidRPr="00C90EDA">
              <w:rPr>
                <w:rFonts w:cstheme="minorHAnsi"/>
              </w:rPr>
              <w:t>492,263</w:t>
            </w:r>
          </w:p>
        </w:tc>
        <w:tc>
          <w:tcPr>
            <w:tcW w:w="336" w:type="pct"/>
            <w:vAlign w:val="bottom"/>
          </w:tcPr>
          <w:p w14:paraId="71967C75" w14:textId="77777777" w:rsidR="00F332D4" w:rsidRPr="00C90EDA" w:rsidRDefault="00F332D4" w:rsidP="00D050EC">
            <w:pPr>
              <w:spacing w:after="0" w:line="240" w:lineRule="auto"/>
              <w:jc w:val="center"/>
              <w:rPr>
                <w:rFonts w:eastAsia="Albany AMT" w:cstheme="minorHAnsi"/>
              </w:rPr>
            </w:pPr>
            <w:r w:rsidRPr="00C90EDA">
              <w:rPr>
                <w:rFonts w:cstheme="minorHAnsi"/>
              </w:rPr>
              <w:t>84.1%</w:t>
            </w:r>
          </w:p>
        </w:tc>
        <w:tc>
          <w:tcPr>
            <w:tcW w:w="275" w:type="pct"/>
            <w:vAlign w:val="center"/>
          </w:tcPr>
          <w:p w14:paraId="3531863F" w14:textId="77777777" w:rsidR="00F332D4" w:rsidRPr="00C90EDA" w:rsidRDefault="00F332D4" w:rsidP="003B4778">
            <w:pPr>
              <w:spacing w:after="0" w:line="240" w:lineRule="auto"/>
              <w:jc w:val="center"/>
              <w:rPr>
                <w:rFonts w:cstheme="minorHAnsi"/>
              </w:rPr>
            </w:pPr>
          </w:p>
        </w:tc>
        <w:tc>
          <w:tcPr>
            <w:tcW w:w="1383" w:type="pct"/>
            <w:vAlign w:val="bottom"/>
          </w:tcPr>
          <w:p w14:paraId="47F7EE89" w14:textId="77777777" w:rsidR="00F332D4" w:rsidRPr="00C90EDA" w:rsidRDefault="00F332D4" w:rsidP="003B4778">
            <w:pPr>
              <w:spacing w:after="0" w:line="240" w:lineRule="auto"/>
              <w:rPr>
                <w:rFonts w:eastAsia="Albany AMT" w:cstheme="minorHAnsi"/>
              </w:rPr>
            </w:pPr>
          </w:p>
        </w:tc>
        <w:tc>
          <w:tcPr>
            <w:tcW w:w="551" w:type="pct"/>
            <w:vAlign w:val="center"/>
          </w:tcPr>
          <w:p w14:paraId="0D86DAD5" w14:textId="77777777" w:rsidR="00F332D4" w:rsidRPr="00C90EDA" w:rsidRDefault="00F332D4" w:rsidP="00D050EC">
            <w:pPr>
              <w:spacing w:after="0" w:line="240" w:lineRule="auto"/>
              <w:ind w:firstLine="306"/>
              <w:jc w:val="center"/>
              <w:rPr>
                <w:rFonts w:cstheme="minorHAnsi"/>
              </w:rPr>
            </w:pPr>
          </w:p>
        </w:tc>
        <w:tc>
          <w:tcPr>
            <w:tcW w:w="550" w:type="pct"/>
            <w:vAlign w:val="bottom"/>
          </w:tcPr>
          <w:p w14:paraId="0985E7C9" w14:textId="77777777" w:rsidR="00F332D4" w:rsidRPr="00C90EDA" w:rsidRDefault="00F332D4" w:rsidP="00D050EC">
            <w:pPr>
              <w:spacing w:after="0" w:line="240" w:lineRule="auto"/>
              <w:ind w:firstLine="306"/>
              <w:jc w:val="center"/>
              <w:rPr>
                <w:rFonts w:cstheme="minorHAnsi"/>
              </w:rPr>
            </w:pPr>
          </w:p>
        </w:tc>
      </w:tr>
      <w:tr w:rsidR="00F332D4" w:rsidRPr="00C90EDA" w14:paraId="00F2611D" w14:textId="77777777" w:rsidTr="003B4778">
        <w:trPr>
          <w:trHeight w:val="315"/>
        </w:trPr>
        <w:tc>
          <w:tcPr>
            <w:tcW w:w="1457" w:type="pct"/>
            <w:vAlign w:val="bottom"/>
          </w:tcPr>
          <w:p w14:paraId="05A6CA5F" w14:textId="77777777" w:rsidR="00F332D4" w:rsidRPr="00C90EDA" w:rsidRDefault="00F332D4" w:rsidP="003B4778">
            <w:pPr>
              <w:spacing w:after="0" w:line="240" w:lineRule="auto"/>
              <w:ind w:left="306"/>
              <w:rPr>
                <w:rFonts w:cstheme="minorHAnsi"/>
              </w:rPr>
            </w:pPr>
            <w:r w:rsidRPr="00C90EDA">
              <w:rPr>
                <w:rFonts w:cstheme="minorHAnsi"/>
              </w:rPr>
              <w:t>Black</w:t>
            </w:r>
          </w:p>
        </w:tc>
        <w:tc>
          <w:tcPr>
            <w:tcW w:w="448" w:type="pct"/>
            <w:vAlign w:val="center"/>
          </w:tcPr>
          <w:p w14:paraId="6AAE45FF" w14:textId="1FEFA0AE" w:rsidR="00F332D4" w:rsidRPr="00C90EDA" w:rsidRDefault="00F332D4" w:rsidP="00D050EC">
            <w:pPr>
              <w:spacing w:after="0" w:line="240" w:lineRule="auto"/>
              <w:jc w:val="center"/>
              <w:rPr>
                <w:rFonts w:cstheme="minorHAnsi"/>
              </w:rPr>
            </w:pPr>
            <w:r w:rsidRPr="00C90EDA">
              <w:rPr>
                <w:rFonts w:cstheme="minorHAnsi"/>
              </w:rPr>
              <w:t>63,029</w:t>
            </w:r>
          </w:p>
        </w:tc>
        <w:tc>
          <w:tcPr>
            <w:tcW w:w="336" w:type="pct"/>
            <w:vAlign w:val="bottom"/>
          </w:tcPr>
          <w:p w14:paraId="3AC03D46" w14:textId="77777777" w:rsidR="00F332D4" w:rsidRPr="00C90EDA" w:rsidRDefault="00F332D4" w:rsidP="00D050EC">
            <w:pPr>
              <w:spacing w:after="0" w:line="240" w:lineRule="auto"/>
              <w:jc w:val="center"/>
              <w:rPr>
                <w:rFonts w:eastAsia="Albany AMT" w:cstheme="minorHAnsi"/>
              </w:rPr>
            </w:pPr>
            <w:r w:rsidRPr="00C90EDA">
              <w:rPr>
                <w:rFonts w:cstheme="minorHAnsi"/>
              </w:rPr>
              <w:t>10.8%</w:t>
            </w:r>
          </w:p>
        </w:tc>
        <w:tc>
          <w:tcPr>
            <w:tcW w:w="275" w:type="pct"/>
            <w:vAlign w:val="center"/>
          </w:tcPr>
          <w:p w14:paraId="7BFB8702" w14:textId="77777777" w:rsidR="00F332D4" w:rsidRPr="00C90EDA" w:rsidRDefault="00F332D4" w:rsidP="003B4778">
            <w:pPr>
              <w:spacing w:after="0" w:line="240" w:lineRule="auto"/>
              <w:jc w:val="center"/>
              <w:rPr>
                <w:rFonts w:cstheme="minorHAnsi"/>
              </w:rPr>
            </w:pPr>
          </w:p>
        </w:tc>
        <w:tc>
          <w:tcPr>
            <w:tcW w:w="1383" w:type="pct"/>
            <w:vAlign w:val="bottom"/>
          </w:tcPr>
          <w:p w14:paraId="7B775D18" w14:textId="48C30246" w:rsidR="00F332D4" w:rsidRPr="00C90EDA" w:rsidRDefault="00F332D4" w:rsidP="003B4778">
            <w:pPr>
              <w:spacing w:after="0" w:line="240" w:lineRule="auto"/>
              <w:rPr>
                <w:rFonts w:eastAsia="Albany AMT" w:cstheme="minorHAnsi"/>
                <w:b/>
                <w:i/>
              </w:rPr>
            </w:pPr>
            <w:r w:rsidRPr="00C90EDA">
              <w:rPr>
                <w:rFonts w:cstheme="minorHAnsi"/>
                <w:b/>
                <w:i/>
              </w:rPr>
              <w:t>AHRQ SES Index</w:t>
            </w:r>
            <w:r w:rsidR="005F7F2D">
              <w:rPr>
                <w:rFonts w:cstheme="minorHAnsi"/>
                <w:b/>
                <w:i/>
              </w:rPr>
              <w:t>*</w:t>
            </w:r>
          </w:p>
        </w:tc>
        <w:tc>
          <w:tcPr>
            <w:tcW w:w="551" w:type="pct"/>
            <w:vAlign w:val="center"/>
          </w:tcPr>
          <w:p w14:paraId="2D3B6E36" w14:textId="77777777" w:rsidR="00F332D4" w:rsidRPr="00C90EDA" w:rsidRDefault="00F332D4" w:rsidP="00D050EC">
            <w:pPr>
              <w:spacing w:after="0" w:line="240" w:lineRule="auto"/>
              <w:jc w:val="center"/>
              <w:rPr>
                <w:rFonts w:cstheme="minorHAnsi"/>
              </w:rPr>
            </w:pPr>
          </w:p>
        </w:tc>
        <w:tc>
          <w:tcPr>
            <w:tcW w:w="550" w:type="pct"/>
            <w:vAlign w:val="bottom"/>
          </w:tcPr>
          <w:p w14:paraId="5BFFD745" w14:textId="77777777" w:rsidR="00F332D4" w:rsidRPr="00C90EDA" w:rsidRDefault="00F332D4" w:rsidP="00D050EC">
            <w:pPr>
              <w:spacing w:after="0" w:line="240" w:lineRule="auto"/>
              <w:jc w:val="center"/>
              <w:rPr>
                <w:rFonts w:eastAsia="Albany AMT" w:cstheme="minorHAnsi"/>
              </w:rPr>
            </w:pPr>
          </w:p>
        </w:tc>
      </w:tr>
      <w:tr w:rsidR="00F332D4" w:rsidRPr="00C90EDA" w14:paraId="6E5689C8" w14:textId="77777777" w:rsidTr="003B4778">
        <w:trPr>
          <w:trHeight w:val="315"/>
        </w:trPr>
        <w:tc>
          <w:tcPr>
            <w:tcW w:w="1457" w:type="pct"/>
            <w:vAlign w:val="bottom"/>
          </w:tcPr>
          <w:p w14:paraId="6D84505A" w14:textId="77777777" w:rsidR="00F332D4" w:rsidRPr="00C90EDA" w:rsidRDefault="00F332D4" w:rsidP="003B4778">
            <w:pPr>
              <w:spacing w:after="0" w:line="240" w:lineRule="auto"/>
              <w:ind w:left="306"/>
              <w:rPr>
                <w:rFonts w:eastAsia="Times New Roman" w:cstheme="minorHAnsi"/>
              </w:rPr>
            </w:pPr>
            <w:r w:rsidRPr="00C90EDA">
              <w:rPr>
                <w:rFonts w:cstheme="minorHAnsi"/>
              </w:rPr>
              <w:t>Asian</w:t>
            </w:r>
          </w:p>
        </w:tc>
        <w:tc>
          <w:tcPr>
            <w:tcW w:w="448" w:type="pct"/>
            <w:vAlign w:val="center"/>
          </w:tcPr>
          <w:p w14:paraId="080B7D18" w14:textId="46F3F047" w:rsidR="00F332D4" w:rsidRPr="00C90EDA" w:rsidRDefault="00F332D4" w:rsidP="00D050EC">
            <w:pPr>
              <w:spacing w:after="0" w:line="240" w:lineRule="auto"/>
              <w:jc w:val="center"/>
              <w:rPr>
                <w:rFonts w:cstheme="minorHAnsi"/>
              </w:rPr>
            </w:pPr>
            <w:r w:rsidRPr="00C90EDA">
              <w:rPr>
                <w:rFonts w:cstheme="minorHAnsi"/>
              </w:rPr>
              <w:t>6,691</w:t>
            </w:r>
          </w:p>
        </w:tc>
        <w:tc>
          <w:tcPr>
            <w:tcW w:w="336" w:type="pct"/>
            <w:vAlign w:val="bottom"/>
          </w:tcPr>
          <w:p w14:paraId="3BCAAC0E" w14:textId="77777777" w:rsidR="00F332D4" w:rsidRPr="00C90EDA" w:rsidRDefault="00F332D4" w:rsidP="00D050EC">
            <w:pPr>
              <w:spacing w:after="0" w:line="240" w:lineRule="auto"/>
              <w:jc w:val="center"/>
              <w:rPr>
                <w:rFonts w:eastAsia="Albany AMT" w:cstheme="minorHAnsi"/>
              </w:rPr>
            </w:pPr>
            <w:r w:rsidRPr="00C90EDA">
              <w:rPr>
                <w:rFonts w:cstheme="minorHAnsi"/>
              </w:rPr>
              <w:t>1.1%</w:t>
            </w:r>
          </w:p>
        </w:tc>
        <w:tc>
          <w:tcPr>
            <w:tcW w:w="275" w:type="pct"/>
            <w:vAlign w:val="center"/>
          </w:tcPr>
          <w:p w14:paraId="6937609D" w14:textId="77777777" w:rsidR="00F332D4" w:rsidRPr="00C90EDA" w:rsidRDefault="00F332D4" w:rsidP="003B4778">
            <w:pPr>
              <w:spacing w:after="0" w:line="240" w:lineRule="auto"/>
              <w:jc w:val="center"/>
              <w:rPr>
                <w:rFonts w:cstheme="minorHAnsi"/>
              </w:rPr>
            </w:pPr>
          </w:p>
        </w:tc>
        <w:tc>
          <w:tcPr>
            <w:tcW w:w="1383" w:type="pct"/>
            <w:vAlign w:val="bottom"/>
          </w:tcPr>
          <w:p w14:paraId="0C824479" w14:textId="77777777" w:rsidR="00F332D4" w:rsidRPr="00C90EDA" w:rsidRDefault="00F332D4" w:rsidP="003B4778">
            <w:pPr>
              <w:spacing w:after="0" w:line="240" w:lineRule="auto"/>
              <w:ind w:left="207"/>
              <w:rPr>
                <w:rFonts w:cstheme="minorHAnsi"/>
              </w:rPr>
            </w:pPr>
            <w:r w:rsidRPr="00C90EDA">
              <w:rPr>
                <w:rFonts w:cstheme="minorHAnsi"/>
              </w:rPr>
              <w:t>Quartile 1 (28.9 to 49.6)</w:t>
            </w:r>
          </w:p>
        </w:tc>
        <w:tc>
          <w:tcPr>
            <w:tcW w:w="551" w:type="pct"/>
            <w:vAlign w:val="center"/>
          </w:tcPr>
          <w:p w14:paraId="7C899CD6" w14:textId="77777777" w:rsidR="00F332D4" w:rsidRPr="00C90EDA" w:rsidRDefault="00F332D4" w:rsidP="00D050EC">
            <w:pPr>
              <w:spacing w:after="0" w:line="240" w:lineRule="auto"/>
              <w:jc w:val="center"/>
              <w:rPr>
                <w:rFonts w:cstheme="minorHAnsi"/>
              </w:rPr>
            </w:pPr>
            <w:r w:rsidRPr="00C90EDA">
              <w:rPr>
                <w:rFonts w:cstheme="minorHAnsi"/>
              </w:rPr>
              <w:t>146,352</w:t>
            </w:r>
          </w:p>
        </w:tc>
        <w:tc>
          <w:tcPr>
            <w:tcW w:w="550" w:type="pct"/>
            <w:vAlign w:val="bottom"/>
          </w:tcPr>
          <w:p w14:paraId="4652B780" w14:textId="77777777" w:rsidR="00F332D4" w:rsidRPr="00C90EDA" w:rsidRDefault="00F332D4" w:rsidP="00D050EC">
            <w:pPr>
              <w:spacing w:after="0" w:line="240" w:lineRule="auto"/>
              <w:jc w:val="center"/>
              <w:rPr>
                <w:rFonts w:eastAsia="Albany AMT" w:cstheme="minorHAnsi"/>
              </w:rPr>
            </w:pPr>
            <w:r w:rsidRPr="00C90EDA">
              <w:rPr>
                <w:rFonts w:cstheme="minorHAnsi"/>
              </w:rPr>
              <w:t>25.0%</w:t>
            </w:r>
          </w:p>
        </w:tc>
      </w:tr>
      <w:tr w:rsidR="00F332D4" w:rsidRPr="00C90EDA" w14:paraId="32B8F8C1" w14:textId="77777777" w:rsidTr="003B4778">
        <w:trPr>
          <w:trHeight w:val="315"/>
        </w:trPr>
        <w:tc>
          <w:tcPr>
            <w:tcW w:w="1457" w:type="pct"/>
            <w:vAlign w:val="bottom"/>
          </w:tcPr>
          <w:p w14:paraId="08F0A729" w14:textId="77777777" w:rsidR="00F332D4" w:rsidRPr="00C90EDA" w:rsidRDefault="00F332D4" w:rsidP="003B4778">
            <w:pPr>
              <w:spacing w:after="0" w:line="240" w:lineRule="auto"/>
              <w:ind w:left="306"/>
              <w:rPr>
                <w:rFonts w:cstheme="minorHAnsi"/>
              </w:rPr>
            </w:pPr>
            <w:r w:rsidRPr="00C90EDA">
              <w:rPr>
                <w:rFonts w:cstheme="minorHAnsi"/>
              </w:rPr>
              <w:t>Hispanic</w:t>
            </w:r>
          </w:p>
        </w:tc>
        <w:tc>
          <w:tcPr>
            <w:tcW w:w="448" w:type="pct"/>
            <w:vAlign w:val="center"/>
          </w:tcPr>
          <w:p w14:paraId="134979C8" w14:textId="1755AF0F" w:rsidR="00F332D4" w:rsidRPr="00C90EDA" w:rsidRDefault="00F332D4" w:rsidP="00D050EC">
            <w:pPr>
              <w:spacing w:after="0" w:line="240" w:lineRule="auto"/>
              <w:jc w:val="center"/>
              <w:rPr>
                <w:rFonts w:cstheme="minorHAnsi"/>
              </w:rPr>
            </w:pPr>
            <w:r w:rsidRPr="00C90EDA">
              <w:rPr>
                <w:rFonts w:cstheme="minorHAnsi"/>
              </w:rPr>
              <w:t>10,041</w:t>
            </w:r>
          </w:p>
        </w:tc>
        <w:tc>
          <w:tcPr>
            <w:tcW w:w="336" w:type="pct"/>
            <w:vAlign w:val="bottom"/>
          </w:tcPr>
          <w:p w14:paraId="04D1B5BE" w14:textId="77777777" w:rsidR="00F332D4" w:rsidRPr="00C90EDA" w:rsidRDefault="00F332D4" w:rsidP="00D050EC">
            <w:pPr>
              <w:spacing w:after="0" w:line="240" w:lineRule="auto"/>
              <w:jc w:val="center"/>
              <w:rPr>
                <w:rFonts w:eastAsia="Albany AMT" w:cstheme="minorHAnsi"/>
              </w:rPr>
            </w:pPr>
            <w:r w:rsidRPr="00C90EDA">
              <w:rPr>
                <w:rFonts w:cstheme="minorHAnsi"/>
              </w:rPr>
              <w:t>1.7%</w:t>
            </w:r>
          </w:p>
        </w:tc>
        <w:tc>
          <w:tcPr>
            <w:tcW w:w="275" w:type="pct"/>
            <w:vAlign w:val="center"/>
          </w:tcPr>
          <w:p w14:paraId="7C35E375" w14:textId="77777777" w:rsidR="00F332D4" w:rsidRPr="00C90EDA" w:rsidRDefault="00F332D4" w:rsidP="003B4778">
            <w:pPr>
              <w:spacing w:after="0" w:line="240" w:lineRule="auto"/>
              <w:jc w:val="center"/>
              <w:rPr>
                <w:rFonts w:cstheme="minorHAnsi"/>
              </w:rPr>
            </w:pPr>
          </w:p>
        </w:tc>
        <w:tc>
          <w:tcPr>
            <w:tcW w:w="1383" w:type="pct"/>
            <w:vAlign w:val="bottom"/>
          </w:tcPr>
          <w:p w14:paraId="3A63EA81" w14:textId="77777777" w:rsidR="00F332D4" w:rsidRPr="00C90EDA" w:rsidRDefault="00F332D4" w:rsidP="003B4778">
            <w:pPr>
              <w:spacing w:after="0" w:line="240" w:lineRule="auto"/>
              <w:ind w:left="207"/>
              <w:rPr>
                <w:rFonts w:cstheme="minorHAnsi"/>
              </w:rPr>
            </w:pPr>
            <w:r w:rsidRPr="00C90EDA">
              <w:rPr>
                <w:rFonts w:cstheme="minorHAnsi"/>
              </w:rPr>
              <w:t>Quartile 2 (49.6 to 52.2)</w:t>
            </w:r>
          </w:p>
        </w:tc>
        <w:tc>
          <w:tcPr>
            <w:tcW w:w="551" w:type="pct"/>
            <w:vAlign w:val="center"/>
          </w:tcPr>
          <w:p w14:paraId="26281907" w14:textId="2FA4B58B" w:rsidR="00F332D4" w:rsidRPr="00C90EDA" w:rsidRDefault="00F332D4" w:rsidP="00D050EC">
            <w:pPr>
              <w:spacing w:after="0" w:line="240" w:lineRule="auto"/>
              <w:jc w:val="center"/>
              <w:rPr>
                <w:rFonts w:cstheme="minorHAnsi"/>
              </w:rPr>
            </w:pPr>
            <w:r w:rsidRPr="00C90EDA">
              <w:rPr>
                <w:rFonts w:cstheme="minorHAnsi"/>
              </w:rPr>
              <w:t>146,313</w:t>
            </w:r>
          </w:p>
        </w:tc>
        <w:tc>
          <w:tcPr>
            <w:tcW w:w="550" w:type="pct"/>
            <w:vAlign w:val="bottom"/>
          </w:tcPr>
          <w:p w14:paraId="6B54E3ED" w14:textId="77777777" w:rsidR="00F332D4" w:rsidRPr="00C90EDA" w:rsidRDefault="00F332D4" w:rsidP="00D050EC">
            <w:pPr>
              <w:spacing w:after="0" w:line="240" w:lineRule="auto"/>
              <w:jc w:val="center"/>
              <w:rPr>
                <w:rFonts w:eastAsia="Albany AMT" w:cstheme="minorHAnsi"/>
              </w:rPr>
            </w:pPr>
            <w:r w:rsidRPr="00C90EDA">
              <w:rPr>
                <w:rFonts w:cstheme="minorHAnsi"/>
              </w:rPr>
              <w:t>25.0%</w:t>
            </w:r>
          </w:p>
        </w:tc>
      </w:tr>
      <w:tr w:rsidR="00F332D4" w:rsidRPr="00C90EDA" w14:paraId="27E7EFA6" w14:textId="77777777" w:rsidTr="003B4778">
        <w:trPr>
          <w:trHeight w:val="315"/>
        </w:trPr>
        <w:tc>
          <w:tcPr>
            <w:tcW w:w="1457" w:type="pct"/>
            <w:vAlign w:val="bottom"/>
          </w:tcPr>
          <w:p w14:paraId="7D2BCF1D" w14:textId="77777777" w:rsidR="00F332D4" w:rsidRPr="00C90EDA" w:rsidRDefault="00F332D4" w:rsidP="003B4778">
            <w:pPr>
              <w:spacing w:after="0" w:line="240" w:lineRule="auto"/>
              <w:ind w:left="306"/>
              <w:rPr>
                <w:rFonts w:cstheme="minorHAnsi"/>
              </w:rPr>
            </w:pPr>
            <w:r w:rsidRPr="00C90EDA">
              <w:rPr>
                <w:rFonts w:cstheme="minorHAnsi"/>
              </w:rPr>
              <w:t>North American Native</w:t>
            </w:r>
          </w:p>
        </w:tc>
        <w:tc>
          <w:tcPr>
            <w:tcW w:w="448" w:type="pct"/>
            <w:vAlign w:val="center"/>
          </w:tcPr>
          <w:p w14:paraId="14B584EC" w14:textId="4D298F11" w:rsidR="00F332D4" w:rsidRPr="00C90EDA" w:rsidRDefault="00F332D4" w:rsidP="00D050EC">
            <w:pPr>
              <w:spacing w:after="0" w:line="240" w:lineRule="auto"/>
              <w:jc w:val="center"/>
              <w:rPr>
                <w:rFonts w:cstheme="minorHAnsi"/>
              </w:rPr>
            </w:pPr>
            <w:r w:rsidRPr="00C90EDA">
              <w:rPr>
                <w:rFonts w:cstheme="minorHAnsi"/>
              </w:rPr>
              <w:t>3,004</w:t>
            </w:r>
          </w:p>
        </w:tc>
        <w:tc>
          <w:tcPr>
            <w:tcW w:w="336" w:type="pct"/>
            <w:vAlign w:val="bottom"/>
          </w:tcPr>
          <w:p w14:paraId="12B90F1B" w14:textId="77777777" w:rsidR="00F332D4" w:rsidRPr="00C90EDA" w:rsidRDefault="00F332D4" w:rsidP="00D050EC">
            <w:pPr>
              <w:spacing w:after="0" w:line="240" w:lineRule="auto"/>
              <w:jc w:val="center"/>
              <w:rPr>
                <w:rFonts w:eastAsia="Albany AMT" w:cstheme="minorHAnsi"/>
              </w:rPr>
            </w:pPr>
            <w:r w:rsidRPr="00C90EDA">
              <w:rPr>
                <w:rFonts w:cstheme="minorHAnsi"/>
              </w:rPr>
              <w:t>0.5%</w:t>
            </w:r>
          </w:p>
        </w:tc>
        <w:tc>
          <w:tcPr>
            <w:tcW w:w="275" w:type="pct"/>
            <w:vAlign w:val="center"/>
          </w:tcPr>
          <w:p w14:paraId="60852937" w14:textId="77777777" w:rsidR="00F332D4" w:rsidRPr="00C90EDA" w:rsidRDefault="00F332D4" w:rsidP="003B4778">
            <w:pPr>
              <w:spacing w:after="0" w:line="240" w:lineRule="auto"/>
              <w:jc w:val="center"/>
              <w:rPr>
                <w:rFonts w:cstheme="minorHAnsi"/>
              </w:rPr>
            </w:pPr>
          </w:p>
        </w:tc>
        <w:tc>
          <w:tcPr>
            <w:tcW w:w="1383" w:type="pct"/>
            <w:vAlign w:val="bottom"/>
          </w:tcPr>
          <w:p w14:paraId="6F8B1BD6" w14:textId="77777777" w:rsidR="00F332D4" w:rsidRPr="00C90EDA" w:rsidRDefault="00F332D4" w:rsidP="003B4778">
            <w:pPr>
              <w:spacing w:after="0" w:line="240" w:lineRule="auto"/>
              <w:ind w:left="207"/>
              <w:rPr>
                <w:rFonts w:cstheme="minorHAnsi"/>
              </w:rPr>
            </w:pPr>
            <w:r w:rsidRPr="00C90EDA">
              <w:rPr>
                <w:rFonts w:cstheme="minorHAnsi"/>
              </w:rPr>
              <w:t>Quartile 3 (52.2 to 55.5)</w:t>
            </w:r>
          </w:p>
        </w:tc>
        <w:tc>
          <w:tcPr>
            <w:tcW w:w="551" w:type="pct"/>
            <w:vAlign w:val="center"/>
          </w:tcPr>
          <w:p w14:paraId="46B7E06B" w14:textId="5CD559AE" w:rsidR="00F332D4" w:rsidRPr="00C90EDA" w:rsidRDefault="00F332D4" w:rsidP="00D050EC">
            <w:pPr>
              <w:spacing w:after="0" w:line="240" w:lineRule="auto"/>
              <w:jc w:val="center"/>
              <w:rPr>
                <w:rFonts w:cstheme="minorHAnsi"/>
              </w:rPr>
            </w:pPr>
            <w:r w:rsidRPr="00C90EDA">
              <w:rPr>
                <w:rFonts w:cstheme="minorHAnsi"/>
              </w:rPr>
              <w:t>146,298</w:t>
            </w:r>
          </w:p>
        </w:tc>
        <w:tc>
          <w:tcPr>
            <w:tcW w:w="550" w:type="pct"/>
            <w:vAlign w:val="bottom"/>
          </w:tcPr>
          <w:p w14:paraId="1729567E" w14:textId="77777777" w:rsidR="00F332D4" w:rsidRPr="00C90EDA" w:rsidRDefault="00F332D4" w:rsidP="00D050EC">
            <w:pPr>
              <w:spacing w:after="0" w:line="240" w:lineRule="auto"/>
              <w:jc w:val="center"/>
              <w:rPr>
                <w:rFonts w:eastAsia="Albany AMT" w:cstheme="minorHAnsi"/>
              </w:rPr>
            </w:pPr>
            <w:r w:rsidRPr="00C90EDA">
              <w:rPr>
                <w:rFonts w:cstheme="minorHAnsi"/>
              </w:rPr>
              <w:t>25.0%</w:t>
            </w:r>
          </w:p>
        </w:tc>
      </w:tr>
      <w:tr w:rsidR="00F332D4" w:rsidRPr="00C90EDA" w14:paraId="6A7DAC6B" w14:textId="77777777" w:rsidTr="00586DEC">
        <w:trPr>
          <w:trHeight w:val="315"/>
        </w:trPr>
        <w:tc>
          <w:tcPr>
            <w:tcW w:w="1457" w:type="pct"/>
            <w:vAlign w:val="bottom"/>
          </w:tcPr>
          <w:p w14:paraId="07E17EE9" w14:textId="77777777" w:rsidR="00F332D4" w:rsidRPr="00C90EDA" w:rsidRDefault="00F332D4" w:rsidP="003B4778">
            <w:pPr>
              <w:spacing w:after="0" w:line="240" w:lineRule="auto"/>
              <w:ind w:left="306"/>
              <w:rPr>
                <w:rFonts w:cstheme="minorHAnsi"/>
              </w:rPr>
            </w:pPr>
            <w:r w:rsidRPr="00C90EDA">
              <w:rPr>
                <w:rFonts w:cstheme="minorHAnsi"/>
              </w:rPr>
              <w:t xml:space="preserve">Other </w:t>
            </w:r>
          </w:p>
        </w:tc>
        <w:tc>
          <w:tcPr>
            <w:tcW w:w="448" w:type="pct"/>
            <w:vAlign w:val="center"/>
          </w:tcPr>
          <w:p w14:paraId="70CE6EAF" w14:textId="4E6256FE" w:rsidR="00F332D4" w:rsidRPr="00C90EDA" w:rsidRDefault="00F332D4" w:rsidP="00D050EC">
            <w:pPr>
              <w:spacing w:after="0" w:line="240" w:lineRule="auto"/>
              <w:jc w:val="center"/>
              <w:rPr>
                <w:rFonts w:cstheme="minorHAnsi"/>
              </w:rPr>
            </w:pPr>
            <w:r w:rsidRPr="00C90EDA">
              <w:rPr>
                <w:rFonts w:cstheme="minorHAnsi"/>
              </w:rPr>
              <w:t>6,838</w:t>
            </w:r>
          </w:p>
        </w:tc>
        <w:tc>
          <w:tcPr>
            <w:tcW w:w="336" w:type="pct"/>
            <w:vAlign w:val="bottom"/>
          </w:tcPr>
          <w:p w14:paraId="3A7918B3" w14:textId="77777777" w:rsidR="00F332D4" w:rsidRPr="00C90EDA" w:rsidRDefault="00F332D4" w:rsidP="00D050EC">
            <w:pPr>
              <w:spacing w:after="0" w:line="240" w:lineRule="auto"/>
              <w:jc w:val="center"/>
              <w:rPr>
                <w:rFonts w:eastAsia="Albany AMT" w:cstheme="minorHAnsi"/>
              </w:rPr>
            </w:pPr>
            <w:r w:rsidRPr="00C90EDA">
              <w:rPr>
                <w:rFonts w:cstheme="minorHAnsi"/>
              </w:rPr>
              <w:t>1.2%</w:t>
            </w:r>
          </w:p>
        </w:tc>
        <w:tc>
          <w:tcPr>
            <w:tcW w:w="275" w:type="pct"/>
            <w:vAlign w:val="center"/>
          </w:tcPr>
          <w:p w14:paraId="52B55EDF" w14:textId="77777777" w:rsidR="00F332D4" w:rsidRPr="00C90EDA" w:rsidRDefault="00F332D4" w:rsidP="003B4778">
            <w:pPr>
              <w:spacing w:after="0" w:line="240" w:lineRule="auto"/>
              <w:jc w:val="center"/>
              <w:rPr>
                <w:rFonts w:cstheme="minorHAnsi"/>
              </w:rPr>
            </w:pPr>
          </w:p>
        </w:tc>
        <w:tc>
          <w:tcPr>
            <w:tcW w:w="1383" w:type="pct"/>
            <w:vAlign w:val="bottom"/>
          </w:tcPr>
          <w:p w14:paraId="130574AB" w14:textId="77777777" w:rsidR="00F332D4" w:rsidRPr="00C90EDA" w:rsidRDefault="00F332D4" w:rsidP="003B4778">
            <w:pPr>
              <w:spacing w:after="0" w:line="240" w:lineRule="auto"/>
              <w:ind w:left="207"/>
              <w:rPr>
                <w:rFonts w:cstheme="minorHAnsi"/>
              </w:rPr>
            </w:pPr>
            <w:r w:rsidRPr="00C90EDA">
              <w:rPr>
                <w:rFonts w:cstheme="minorHAnsi"/>
              </w:rPr>
              <w:t>Quartile 4 (55.5 to 75.7)</w:t>
            </w:r>
          </w:p>
        </w:tc>
        <w:tc>
          <w:tcPr>
            <w:tcW w:w="551" w:type="pct"/>
            <w:vAlign w:val="center"/>
          </w:tcPr>
          <w:p w14:paraId="53598DED" w14:textId="7FDE4D49" w:rsidR="00F332D4" w:rsidRPr="00C90EDA" w:rsidRDefault="00F332D4" w:rsidP="00D050EC">
            <w:pPr>
              <w:spacing w:after="0" w:line="240" w:lineRule="auto"/>
              <w:jc w:val="center"/>
              <w:rPr>
                <w:rFonts w:cstheme="minorHAnsi"/>
              </w:rPr>
            </w:pPr>
            <w:r w:rsidRPr="00C90EDA">
              <w:rPr>
                <w:rFonts w:cstheme="minorHAnsi"/>
              </w:rPr>
              <w:t>146,355</w:t>
            </w:r>
          </w:p>
        </w:tc>
        <w:tc>
          <w:tcPr>
            <w:tcW w:w="550" w:type="pct"/>
            <w:vAlign w:val="bottom"/>
          </w:tcPr>
          <w:p w14:paraId="2DA693B7" w14:textId="77777777" w:rsidR="00F332D4" w:rsidRPr="00C90EDA" w:rsidRDefault="00F332D4" w:rsidP="00D050EC">
            <w:pPr>
              <w:spacing w:after="0" w:line="240" w:lineRule="auto"/>
              <w:jc w:val="center"/>
              <w:rPr>
                <w:rFonts w:eastAsia="Albany AMT" w:cstheme="minorHAnsi"/>
              </w:rPr>
            </w:pPr>
            <w:r w:rsidRPr="00C90EDA">
              <w:rPr>
                <w:rFonts w:cstheme="minorHAnsi"/>
              </w:rPr>
              <w:t>25.0%</w:t>
            </w:r>
          </w:p>
        </w:tc>
      </w:tr>
      <w:tr w:rsidR="00F332D4" w:rsidRPr="00C90EDA" w14:paraId="4B8049B2" w14:textId="77777777" w:rsidTr="00586DEC">
        <w:trPr>
          <w:trHeight w:val="315"/>
        </w:trPr>
        <w:tc>
          <w:tcPr>
            <w:tcW w:w="1457" w:type="pct"/>
            <w:tcBorders>
              <w:bottom w:val="single" w:sz="4" w:space="0" w:color="auto"/>
            </w:tcBorders>
            <w:vAlign w:val="bottom"/>
          </w:tcPr>
          <w:p w14:paraId="724C7603" w14:textId="77777777" w:rsidR="00F332D4" w:rsidRPr="00C90EDA" w:rsidRDefault="00F332D4" w:rsidP="003B4778">
            <w:pPr>
              <w:spacing w:after="0" w:line="240" w:lineRule="auto"/>
              <w:ind w:left="306"/>
              <w:rPr>
                <w:rFonts w:cstheme="minorHAnsi"/>
              </w:rPr>
            </w:pPr>
            <w:r w:rsidRPr="00C90EDA">
              <w:rPr>
                <w:rFonts w:cstheme="minorHAnsi"/>
              </w:rPr>
              <w:t>Missing</w:t>
            </w:r>
          </w:p>
        </w:tc>
        <w:tc>
          <w:tcPr>
            <w:tcW w:w="448" w:type="pct"/>
            <w:tcBorders>
              <w:bottom w:val="single" w:sz="4" w:space="0" w:color="auto"/>
            </w:tcBorders>
            <w:vAlign w:val="center"/>
          </w:tcPr>
          <w:p w14:paraId="7A583591" w14:textId="2DB0239E" w:rsidR="00F332D4" w:rsidRPr="00C90EDA" w:rsidRDefault="00F332D4" w:rsidP="00D050EC">
            <w:pPr>
              <w:spacing w:after="0" w:line="240" w:lineRule="auto"/>
              <w:jc w:val="center"/>
              <w:rPr>
                <w:rFonts w:cstheme="minorHAnsi"/>
              </w:rPr>
            </w:pPr>
            <w:r w:rsidRPr="00C90EDA">
              <w:rPr>
                <w:rFonts w:cstheme="minorHAnsi"/>
              </w:rPr>
              <w:t>3,836</w:t>
            </w:r>
          </w:p>
        </w:tc>
        <w:tc>
          <w:tcPr>
            <w:tcW w:w="336" w:type="pct"/>
            <w:tcBorders>
              <w:bottom w:val="single" w:sz="4" w:space="0" w:color="auto"/>
            </w:tcBorders>
            <w:vAlign w:val="bottom"/>
          </w:tcPr>
          <w:p w14:paraId="250BEBD8" w14:textId="77777777" w:rsidR="00F332D4" w:rsidRPr="00C90EDA" w:rsidRDefault="00F332D4" w:rsidP="00D050EC">
            <w:pPr>
              <w:spacing w:after="0" w:line="240" w:lineRule="auto"/>
              <w:jc w:val="center"/>
              <w:rPr>
                <w:rFonts w:cstheme="minorHAnsi"/>
              </w:rPr>
            </w:pPr>
            <w:r w:rsidRPr="00C90EDA">
              <w:rPr>
                <w:rFonts w:cstheme="minorHAnsi"/>
              </w:rPr>
              <w:t>0.7%</w:t>
            </w:r>
          </w:p>
        </w:tc>
        <w:tc>
          <w:tcPr>
            <w:tcW w:w="275" w:type="pct"/>
            <w:tcBorders>
              <w:bottom w:val="single" w:sz="4" w:space="0" w:color="auto"/>
            </w:tcBorders>
            <w:vAlign w:val="center"/>
          </w:tcPr>
          <w:p w14:paraId="55639429" w14:textId="77777777" w:rsidR="00F332D4" w:rsidRPr="00C90EDA" w:rsidRDefault="00F332D4" w:rsidP="003B4778">
            <w:pPr>
              <w:spacing w:after="0" w:line="240" w:lineRule="auto"/>
              <w:jc w:val="center"/>
              <w:rPr>
                <w:rFonts w:cstheme="minorHAnsi"/>
              </w:rPr>
            </w:pPr>
          </w:p>
        </w:tc>
        <w:tc>
          <w:tcPr>
            <w:tcW w:w="1383" w:type="pct"/>
            <w:tcBorders>
              <w:bottom w:val="single" w:sz="4" w:space="0" w:color="auto"/>
            </w:tcBorders>
            <w:vAlign w:val="bottom"/>
          </w:tcPr>
          <w:p w14:paraId="6837C8CD" w14:textId="77777777" w:rsidR="00F332D4" w:rsidRPr="00C90EDA" w:rsidRDefault="00F332D4" w:rsidP="003B4778">
            <w:pPr>
              <w:spacing w:after="0" w:line="240" w:lineRule="auto"/>
              <w:ind w:left="207"/>
              <w:rPr>
                <w:rFonts w:eastAsia="Albany AMT" w:cstheme="minorHAnsi"/>
              </w:rPr>
            </w:pPr>
            <w:r w:rsidRPr="00C90EDA">
              <w:rPr>
                <w:rFonts w:cstheme="minorHAnsi"/>
              </w:rPr>
              <w:t>Missing</w:t>
            </w:r>
          </w:p>
        </w:tc>
        <w:tc>
          <w:tcPr>
            <w:tcW w:w="551" w:type="pct"/>
            <w:tcBorders>
              <w:bottom w:val="single" w:sz="4" w:space="0" w:color="auto"/>
            </w:tcBorders>
            <w:vAlign w:val="bottom"/>
          </w:tcPr>
          <w:p w14:paraId="3F1F4D7E" w14:textId="77777777" w:rsidR="00F332D4" w:rsidRPr="00C90EDA" w:rsidRDefault="00F332D4" w:rsidP="00D050EC">
            <w:pPr>
              <w:spacing w:after="0" w:line="240" w:lineRule="auto"/>
              <w:jc w:val="center"/>
              <w:rPr>
                <w:rFonts w:cstheme="minorHAnsi"/>
              </w:rPr>
            </w:pPr>
            <w:r w:rsidRPr="00C90EDA">
              <w:rPr>
                <w:rFonts w:cstheme="minorHAnsi"/>
              </w:rPr>
              <w:t>384</w:t>
            </w:r>
          </w:p>
        </w:tc>
        <w:tc>
          <w:tcPr>
            <w:tcW w:w="550" w:type="pct"/>
            <w:tcBorders>
              <w:bottom w:val="single" w:sz="4" w:space="0" w:color="auto"/>
            </w:tcBorders>
            <w:vAlign w:val="bottom"/>
          </w:tcPr>
          <w:p w14:paraId="2EECBFA1" w14:textId="77777777" w:rsidR="00F332D4" w:rsidRPr="00C90EDA" w:rsidRDefault="00F332D4" w:rsidP="00D050EC">
            <w:pPr>
              <w:spacing w:after="0" w:line="240" w:lineRule="auto"/>
              <w:jc w:val="center"/>
              <w:rPr>
                <w:rFonts w:eastAsia="Albany AMT" w:cstheme="minorHAnsi"/>
              </w:rPr>
            </w:pPr>
            <w:r w:rsidRPr="00C90EDA">
              <w:rPr>
                <w:rFonts w:eastAsia="Albany AMT" w:cstheme="minorHAnsi"/>
              </w:rPr>
              <w:t>0.1%</w:t>
            </w:r>
          </w:p>
        </w:tc>
      </w:tr>
    </w:tbl>
    <w:p w14:paraId="13981313" w14:textId="77777777" w:rsidR="00F332D4" w:rsidRPr="00C90EDA" w:rsidRDefault="00F332D4" w:rsidP="00F332D4">
      <w:pPr>
        <w:spacing w:after="0" w:line="240" w:lineRule="auto"/>
        <w:rPr>
          <w:rFonts w:eastAsia="Calibri" w:cstheme="minorHAnsi"/>
          <w:sz w:val="18"/>
          <w:szCs w:val="18"/>
        </w:rPr>
      </w:pPr>
      <w:r w:rsidRPr="00C90EDA">
        <w:rPr>
          <w:rFonts w:eastAsia="Calibri" w:cstheme="minorHAnsi"/>
          <w:sz w:val="18"/>
          <w:szCs w:val="18"/>
        </w:rPr>
        <w:t>* based on beneficiary residence. AHRQ = Agency for Healthcare Research. Source: RTI International analysis of FY 2016-2017 Medicare fee-for-service claims data for index IRF stays. (RTI program reference: MM213).</w:t>
      </w:r>
    </w:p>
    <w:p w14:paraId="4C207879" w14:textId="77777777" w:rsidR="00F332D4" w:rsidRPr="00C90EDA" w:rsidRDefault="00F332D4" w:rsidP="00F332D4">
      <w:pPr>
        <w:spacing w:after="0" w:line="240" w:lineRule="auto"/>
        <w:rPr>
          <w:rFonts w:eastAsia="Calibri" w:cstheme="minorHAnsi"/>
          <w:b/>
          <w:bCs/>
          <w:sz w:val="20"/>
          <w:szCs w:val="20"/>
        </w:rPr>
      </w:pPr>
    </w:p>
    <w:p w14:paraId="57B03464" w14:textId="1DEB77BC" w:rsidR="00E547E2" w:rsidRDefault="00E547E2" w:rsidP="00E547E2">
      <w:pPr>
        <w:spacing w:after="0" w:line="240" w:lineRule="auto"/>
        <w:rPr>
          <w:rFonts w:cstheme="minorHAnsi"/>
        </w:rPr>
      </w:pPr>
    </w:p>
    <w:p w14:paraId="2C709AB5" w14:textId="77777777" w:rsidR="00F332D4" w:rsidRPr="00C90EDA" w:rsidRDefault="00F332D4" w:rsidP="00F332D4">
      <w:pPr>
        <w:spacing w:after="0" w:line="240" w:lineRule="auto"/>
        <w:rPr>
          <w:rFonts w:eastAsia="Calibri" w:cstheme="minorHAnsi"/>
          <w:b/>
          <w:szCs w:val="20"/>
        </w:rPr>
      </w:pPr>
      <w:r w:rsidRPr="00C90EDA">
        <w:rPr>
          <w:rFonts w:eastAsia="Calibri" w:cstheme="minorHAnsi"/>
          <w:b/>
          <w:bCs/>
          <w:szCs w:val="20"/>
        </w:rPr>
        <w:t xml:space="preserve">Table B-2. </w:t>
      </w:r>
      <w:r w:rsidRPr="00C90EDA">
        <w:rPr>
          <w:rFonts w:eastAsia="Calibri" w:cstheme="minorHAnsi"/>
          <w:b/>
          <w:szCs w:val="20"/>
        </w:rPr>
        <w:t>Successful Discharge to Community from IRF: Observed Rates by Social Risk Factors</w:t>
      </w:r>
      <w:r w:rsidRPr="00C90EDA">
        <w:rPr>
          <w:rFonts w:eastAsia="Calibri" w:cstheme="minorHAnsi"/>
          <w:b/>
        </w:rPr>
        <w:t xml:space="preserve"> (N = 585,702)</w:t>
      </w:r>
    </w:p>
    <w:p w14:paraId="76EBEDB0" w14:textId="77777777" w:rsidR="00F332D4" w:rsidRPr="00C90EDA" w:rsidRDefault="00F332D4" w:rsidP="00F332D4">
      <w:pPr>
        <w:spacing w:after="0" w:line="240" w:lineRule="auto"/>
        <w:rPr>
          <w:rFonts w:eastAsia="Calibri" w:cstheme="minorHAnsi"/>
          <w:b/>
          <w:sz w:val="20"/>
          <w:szCs w:val="20"/>
        </w:rPr>
      </w:pPr>
    </w:p>
    <w:tbl>
      <w:tblPr>
        <w:tblW w:w="5191" w:type="pct"/>
        <w:jc w:val="center"/>
        <w:tblLayout w:type="fixed"/>
        <w:tblLook w:val="06A0" w:firstRow="1" w:lastRow="0" w:firstColumn="1" w:lastColumn="0" w:noHBand="1" w:noVBand="1"/>
      </w:tblPr>
      <w:tblGrid>
        <w:gridCol w:w="2970"/>
        <w:gridCol w:w="991"/>
        <w:gridCol w:w="1079"/>
        <w:gridCol w:w="2791"/>
        <w:gridCol w:w="989"/>
        <w:gridCol w:w="898"/>
      </w:tblGrid>
      <w:tr w:rsidR="00F332D4" w:rsidRPr="00C90EDA" w14:paraId="61E0A282" w14:textId="77777777" w:rsidTr="004A32E1">
        <w:trPr>
          <w:trHeight w:val="288"/>
          <w:jc w:val="center"/>
        </w:trPr>
        <w:tc>
          <w:tcPr>
            <w:tcW w:w="1528" w:type="pct"/>
            <w:vMerge w:val="restart"/>
            <w:tcBorders>
              <w:top w:val="single" w:sz="4" w:space="0" w:color="auto"/>
              <w:bottom w:val="single" w:sz="4" w:space="0" w:color="auto"/>
            </w:tcBorders>
            <w:shd w:val="clear" w:color="auto" w:fill="D9D9D9" w:themeFill="background1" w:themeFillShade="D9"/>
            <w:vAlign w:val="center"/>
          </w:tcPr>
          <w:p w14:paraId="540A7445" w14:textId="77777777" w:rsidR="00F332D4" w:rsidRPr="00C90EDA" w:rsidRDefault="00F332D4" w:rsidP="003B4778">
            <w:pPr>
              <w:spacing w:after="0" w:line="240" w:lineRule="auto"/>
              <w:rPr>
                <w:rFonts w:eastAsia="Calibri" w:cstheme="minorHAnsi"/>
                <w:b/>
              </w:rPr>
            </w:pPr>
            <w:r w:rsidRPr="00C90EDA">
              <w:rPr>
                <w:rFonts w:eastAsia="Calibri" w:cstheme="minorHAnsi"/>
                <w:b/>
              </w:rPr>
              <w:t>Social Risk Factor</w:t>
            </w:r>
          </w:p>
        </w:tc>
        <w:tc>
          <w:tcPr>
            <w:tcW w:w="1065" w:type="pct"/>
            <w:gridSpan w:val="2"/>
            <w:tcBorders>
              <w:top w:val="single" w:sz="4" w:space="0" w:color="auto"/>
              <w:bottom w:val="single" w:sz="4" w:space="0" w:color="auto"/>
            </w:tcBorders>
            <w:shd w:val="clear" w:color="auto" w:fill="D9D9D9" w:themeFill="background1" w:themeFillShade="D9"/>
            <w:vAlign w:val="center"/>
          </w:tcPr>
          <w:p w14:paraId="301B544F" w14:textId="77777777" w:rsidR="00F332D4" w:rsidRPr="00C90EDA" w:rsidRDefault="00F332D4" w:rsidP="003B4778">
            <w:pPr>
              <w:spacing w:after="0" w:line="240" w:lineRule="auto"/>
              <w:rPr>
                <w:rFonts w:eastAsia="Calibri" w:cstheme="minorHAnsi"/>
                <w:b/>
              </w:rPr>
            </w:pPr>
            <w:r w:rsidRPr="00C90EDA">
              <w:rPr>
                <w:rFonts w:eastAsia="Calibri" w:cstheme="minorHAnsi"/>
                <w:b/>
              </w:rPr>
              <w:t>Successful DTC</w:t>
            </w:r>
          </w:p>
        </w:tc>
        <w:tc>
          <w:tcPr>
            <w:tcW w:w="1436" w:type="pct"/>
            <w:vMerge w:val="restart"/>
            <w:tcBorders>
              <w:top w:val="single" w:sz="4" w:space="0" w:color="auto"/>
              <w:bottom w:val="single" w:sz="4" w:space="0" w:color="auto"/>
            </w:tcBorders>
            <w:shd w:val="clear" w:color="auto" w:fill="D9D9D9" w:themeFill="background1" w:themeFillShade="D9"/>
            <w:vAlign w:val="center"/>
          </w:tcPr>
          <w:p w14:paraId="237E1AFD" w14:textId="77777777" w:rsidR="00F332D4" w:rsidRPr="00C90EDA" w:rsidRDefault="00F332D4" w:rsidP="003B4778">
            <w:pPr>
              <w:spacing w:after="0" w:line="240" w:lineRule="auto"/>
              <w:rPr>
                <w:rFonts w:eastAsia="Calibri" w:cstheme="minorHAnsi"/>
                <w:b/>
              </w:rPr>
            </w:pPr>
            <w:r w:rsidRPr="00C90EDA">
              <w:rPr>
                <w:rFonts w:eastAsia="Calibri" w:cstheme="minorHAnsi"/>
                <w:b/>
              </w:rPr>
              <w:t>Social Risk Factor</w:t>
            </w:r>
          </w:p>
        </w:tc>
        <w:tc>
          <w:tcPr>
            <w:tcW w:w="971" w:type="pct"/>
            <w:gridSpan w:val="2"/>
            <w:tcBorders>
              <w:top w:val="single" w:sz="4" w:space="0" w:color="auto"/>
              <w:bottom w:val="single" w:sz="4" w:space="0" w:color="auto"/>
            </w:tcBorders>
            <w:shd w:val="clear" w:color="auto" w:fill="D9D9D9" w:themeFill="background1" w:themeFillShade="D9"/>
            <w:vAlign w:val="center"/>
          </w:tcPr>
          <w:p w14:paraId="37DE2FE8" w14:textId="77777777" w:rsidR="00F332D4" w:rsidRPr="00C90EDA" w:rsidRDefault="00F332D4" w:rsidP="003B4778">
            <w:pPr>
              <w:spacing w:after="0" w:line="240" w:lineRule="auto"/>
              <w:rPr>
                <w:rFonts w:eastAsia="Calibri" w:cstheme="minorHAnsi"/>
                <w:b/>
              </w:rPr>
            </w:pPr>
            <w:r w:rsidRPr="00C90EDA">
              <w:rPr>
                <w:rFonts w:eastAsia="Calibri" w:cstheme="minorHAnsi"/>
                <w:b/>
              </w:rPr>
              <w:t>Successful DTC</w:t>
            </w:r>
          </w:p>
        </w:tc>
      </w:tr>
      <w:tr w:rsidR="00F332D4" w:rsidRPr="00C90EDA" w14:paraId="06207BF0" w14:textId="77777777" w:rsidTr="004A32E1">
        <w:trPr>
          <w:trHeight w:val="288"/>
          <w:jc w:val="center"/>
        </w:trPr>
        <w:tc>
          <w:tcPr>
            <w:tcW w:w="1528" w:type="pct"/>
            <w:vMerge/>
            <w:tcBorders>
              <w:top w:val="single" w:sz="4" w:space="0" w:color="auto"/>
              <w:bottom w:val="single" w:sz="4" w:space="0" w:color="auto"/>
            </w:tcBorders>
            <w:shd w:val="clear" w:color="auto" w:fill="D9D9D9" w:themeFill="background1" w:themeFillShade="D9"/>
            <w:vAlign w:val="center"/>
          </w:tcPr>
          <w:p w14:paraId="01C73D28" w14:textId="77777777" w:rsidR="00F332D4" w:rsidRPr="00C90EDA" w:rsidRDefault="00F332D4" w:rsidP="003B4778">
            <w:pPr>
              <w:spacing w:after="0" w:line="240" w:lineRule="auto"/>
              <w:jc w:val="center"/>
              <w:rPr>
                <w:rFonts w:eastAsia="Calibri" w:cstheme="minorHAnsi"/>
                <w:b/>
              </w:rPr>
            </w:pPr>
          </w:p>
        </w:tc>
        <w:tc>
          <w:tcPr>
            <w:tcW w:w="510" w:type="pct"/>
            <w:tcBorders>
              <w:top w:val="single" w:sz="4" w:space="0" w:color="auto"/>
              <w:bottom w:val="single" w:sz="4" w:space="0" w:color="auto"/>
            </w:tcBorders>
            <w:shd w:val="clear" w:color="auto" w:fill="D9D9D9" w:themeFill="background1" w:themeFillShade="D9"/>
            <w:vAlign w:val="center"/>
          </w:tcPr>
          <w:p w14:paraId="5381D889" w14:textId="77777777" w:rsidR="00F332D4" w:rsidRPr="00C90EDA" w:rsidRDefault="00F332D4" w:rsidP="003B4778">
            <w:pPr>
              <w:spacing w:after="0" w:line="240" w:lineRule="auto"/>
              <w:jc w:val="center"/>
              <w:rPr>
                <w:rFonts w:eastAsia="Calibri" w:cstheme="minorHAnsi"/>
                <w:b/>
              </w:rPr>
            </w:pPr>
            <w:r w:rsidRPr="00C90EDA">
              <w:rPr>
                <w:rFonts w:eastAsia="Calibri" w:cstheme="minorHAnsi"/>
                <w:b/>
              </w:rPr>
              <w:t>N</w:t>
            </w:r>
          </w:p>
        </w:tc>
        <w:tc>
          <w:tcPr>
            <w:tcW w:w="555" w:type="pct"/>
            <w:tcBorders>
              <w:top w:val="single" w:sz="4" w:space="0" w:color="auto"/>
              <w:bottom w:val="single" w:sz="4" w:space="0" w:color="auto"/>
            </w:tcBorders>
            <w:shd w:val="clear" w:color="auto" w:fill="D9D9D9" w:themeFill="background1" w:themeFillShade="D9"/>
            <w:vAlign w:val="center"/>
          </w:tcPr>
          <w:p w14:paraId="375CD1AB" w14:textId="77777777" w:rsidR="00F332D4" w:rsidRPr="00C90EDA" w:rsidRDefault="00F332D4" w:rsidP="003B4778">
            <w:pPr>
              <w:spacing w:after="0" w:line="240" w:lineRule="auto"/>
              <w:jc w:val="center"/>
              <w:rPr>
                <w:rFonts w:eastAsia="Calibri" w:cstheme="minorHAnsi"/>
                <w:b/>
              </w:rPr>
            </w:pPr>
            <w:r w:rsidRPr="00C90EDA">
              <w:rPr>
                <w:rFonts w:eastAsia="Calibri" w:cstheme="minorHAnsi"/>
                <w:b/>
              </w:rPr>
              <w:t>%</w:t>
            </w:r>
          </w:p>
        </w:tc>
        <w:tc>
          <w:tcPr>
            <w:tcW w:w="1436" w:type="pct"/>
            <w:vMerge/>
            <w:tcBorders>
              <w:top w:val="single" w:sz="4" w:space="0" w:color="auto"/>
              <w:bottom w:val="single" w:sz="4" w:space="0" w:color="auto"/>
            </w:tcBorders>
            <w:shd w:val="clear" w:color="auto" w:fill="D9D9D9" w:themeFill="background1" w:themeFillShade="D9"/>
            <w:vAlign w:val="center"/>
          </w:tcPr>
          <w:p w14:paraId="7EE46C0D" w14:textId="77777777" w:rsidR="00F332D4" w:rsidRPr="00C90EDA" w:rsidRDefault="00F332D4" w:rsidP="003B4778">
            <w:pPr>
              <w:spacing w:after="0" w:line="240" w:lineRule="auto"/>
              <w:jc w:val="center"/>
              <w:rPr>
                <w:rFonts w:eastAsia="Calibri" w:cstheme="minorHAnsi"/>
                <w:b/>
              </w:rPr>
            </w:pPr>
          </w:p>
        </w:tc>
        <w:tc>
          <w:tcPr>
            <w:tcW w:w="509" w:type="pct"/>
            <w:tcBorders>
              <w:top w:val="single" w:sz="4" w:space="0" w:color="auto"/>
              <w:bottom w:val="single" w:sz="4" w:space="0" w:color="auto"/>
            </w:tcBorders>
            <w:shd w:val="clear" w:color="auto" w:fill="D9D9D9" w:themeFill="background1" w:themeFillShade="D9"/>
            <w:vAlign w:val="center"/>
          </w:tcPr>
          <w:p w14:paraId="1C12343F" w14:textId="77777777" w:rsidR="00F332D4" w:rsidRPr="00C90EDA" w:rsidRDefault="00F332D4" w:rsidP="003B4778">
            <w:pPr>
              <w:spacing w:after="0" w:line="240" w:lineRule="auto"/>
              <w:jc w:val="center"/>
              <w:rPr>
                <w:rFonts w:eastAsia="Calibri" w:cstheme="minorHAnsi"/>
                <w:b/>
              </w:rPr>
            </w:pPr>
            <w:r w:rsidRPr="00C90EDA">
              <w:rPr>
                <w:rFonts w:eastAsia="Calibri" w:cstheme="minorHAnsi"/>
                <w:b/>
              </w:rPr>
              <w:t>N</w:t>
            </w:r>
          </w:p>
        </w:tc>
        <w:tc>
          <w:tcPr>
            <w:tcW w:w="462" w:type="pct"/>
            <w:tcBorders>
              <w:top w:val="single" w:sz="4" w:space="0" w:color="auto"/>
              <w:bottom w:val="single" w:sz="4" w:space="0" w:color="auto"/>
            </w:tcBorders>
            <w:shd w:val="clear" w:color="auto" w:fill="D9D9D9" w:themeFill="background1" w:themeFillShade="D9"/>
            <w:vAlign w:val="center"/>
          </w:tcPr>
          <w:p w14:paraId="016B22BE" w14:textId="77777777" w:rsidR="00F332D4" w:rsidRPr="00C90EDA" w:rsidRDefault="00F332D4" w:rsidP="003B4778">
            <w:pPr>
              <w:spacing w:after="0" w:line="240" w:lineRule="auto"/>
              <w:jc w:val="center"/>
              <w:rPr>
                <w:rFonts w:eastAsia="Calibri" w:cstheme="minorHAnsi"/>
                <w:b/>
              </w:rPr>
            </w:pPr>
            <w:r w:rsidRPr="00C90EDA">
              <w:rPr>
                <w:rFonts w:eastAsia="Calibri" w:cstheme="minorHAnsi"/>
                <w:b/>
              </w:rPr>
              <w:t>%</w:t>
            </w:r>
          </w:p>
        </w:tc>
      </w:tr>
      <w:tr w:rsidR="00F332D4" w:rsidRPr="00C90EDA" w14:paraId="11AD316E" w14:textId="77777777" w:rsidTr="004A32E1">
        <w:tblPrEx>
          <w:jc w:val="left"/>
          <w:tblLook w:val="04A0" w:firstRow="1" w:lastRow="0" w:firstColumn="1" w:lastColumn="0" w:noHBand="0" w:noVBand="1"/>
        </w:tblPrEx>
        <w:trPr>
          <w:trHeight w:val="315"/>
        </w:trPr>
        <w:tc>
          <w:tcPr>
            <w:tcW w:w="1528" w:type="pct"/>
            <w:tcBorders>
              <w:top w:val="single" w:sz="4" w:space="0" w:color="auto"/>
            </w:tcBorders>
          </w:tcPr>
          <w:p w14:paraId="273F6069" w14:textId="77777777" w:rsidR="00F332D4" w:rsidRPr="00C90EDA" w:rsidRDefault="00F332D4" w:rsidP="003B4778">
            <w:pPr>
              <w:spacing w:after="0" w:line="240" w:lineRule="auto"/>
              <w:rPr>
                <w:rFonts w:cstheme="minorHAnsi"/>
                <w:b/>
                <w:i/>
              </w:rPr>
            </w:pPr>
            <w:r w:rsidRPr="00C90EDA">
              <w:rPr>
                <w:rFonts w:cstheme="minorHAnsi"/>
                <w:b/>
                <w:i/>
              </w:rPr>
              <w:t>Dual Eligibility</w:t>
            </w:r>
          </w:p>
        </w:tc>
        <w:tc>
          <w:tcPr>
            <w:tcW w:w="510" w:type="pct"/>
            <w:tcBorders>
              <w:top w:val="single" w:sz="4" w:space="0" w:color="auto"/>
            </w:tcBorders>
          </w:tcPr>
          <w:p w14:paraId="4562604A" w14:textId="77777777" w:rsidR="00F332D4" w:rsidRPr="00C90EDA" w:rsidRDefault="00F332D4" w:rsidP="003B4778">
            <w:pPr>
              <w:spacing w:after="0" w:line="240" w:lineRule="auto"/>
              <w:rPr>
                <w:rFonts w:cstheme="minorHAnsi"/>
                <w:b/>
                <w:i/>
              </w:rPr>
            </w:pPr>
          </w:p>
        </w:tc>
        <w:tc>
          <w:tcPr>
            <w:tcW w:w="555" w:type="pct"/>
            <w:tcBorders>
              <w:top w:val="single" w:sz="4" w:space="0" w:color="auto"/>
            </w:tcBorders>
          </w:tcPr>
          <w:p w14:paraId="6A14BDA6" w14:textId="77777777" w:rsidR="00F332D4" w:rsidRPr="00C90EDA" w:rsidRDefault="00F332D4" w:rsidP="003B4778">
            <w:pPr>
              <w:spacing w:after="0" w:line="240" w:lineRule="auto"/>
              <w:rPr>
                <w:rFonts w:cstheme="minorHAnsi"/>
                <w:b/>
                <w:i/>
              </w:rPr>
            </w:pPr>
          </w:p>
        </w:tc>
        <w:tc>
          <w:tcPr>
            <w:tcW w:w="1436" w:type="pct"/>
            <w:tcBorders>
              <w:top w:val="single" w:sz="4" w:space="0" w:color="auto"/>
            </w:tcBorders>
            <w:vAlign w:val="bottom"/>
          </w:tcPr>
          <w:p w14:paraId="38BC8BD5" w14:textId="77777777" w:rsidR="00F332D4" w:rsidRPr="00C90EDA" w:rsidRDefault="00F332D4" w:rsidP="003B4778">
            <w:pPr>
              <w:spacing w:after="0" w:line="240" w:lineRule="auto"/>
              <w:rPr>
                <w:rFonts w:cstheme="minorHAnsi"/>
                <w:b/>
                <w:i/>
              </w:rPr>
            </w:pPr>
            <w:r w:rsidRPr="00C90EDA">
              <w:rPr>
                <w:rFonts w:cstheme="minorHAnsi"/>
                <w:b/>
                <w:i/>
              </w:rPr>
              <w:t>Urbanicity*</w:t>
            </w:r>
          </w:p>
        </w:tc>
        <w:tc>
          <w:tcPr>
            <w:tcW w:w="509" w:type="pct"/>
            <w:tcBorders>
              <w:top w:val="single" w:sz="4" w:space="0" w:color="auto"/>
            </w:tcBorders>
          </w:tcPr>
          <w:p w14:paraId="344D2DE4" w14:textId="77777777" w:rsidR="00F332D4" w:rsidRPr="00C90EDA" w:rsidRDefault="00F332D4" w:rsidP="003B4778">
            <w:pPr>
              <w:spacing w:after="0" w:line="240" w:lineRule="auto"/>
              <w:jc w:val="center"/>
              <w:rPr>
                <w:rFonts w:cstheme="minorHAnsi"/>
                <w:b/>
                <w:i/>
              </w:rPr>
            </w:pPr>
          </w:p>
        </w:tc>
        <w:tc>
          <w:tcPr>
            <w:tcW w:w="462" w:type="pct"/>
            <w:tcBorders>
              <w:top w:val="single" w:sz="4" w:space="0" w:color="auto"/>
            </w:tcBorders>
          </w:tcPr>
          <w:p w14:paraId="0FE6508F" w14:textId="77777777" w:rsidR="00F332D4" w:rsidRPr="00C90EDA" w:rsidRDefault="00F332D4" w:rsidP="003B4778">
            <w:pPr>
              <w:spacing w:after="0" w:line="240" w:lineRule="auto"/>
              <w:jc w:val="center"/>
              <w:rPr>
                <w:rFonts w:cstheme="minorHAnsi"/>
                <w:b/>
                <w:i/>
              </w:rPr>
            </w:pPr>
          </w:p>
        </w:tc>
      </w:tr>
      <w:tr w:rsidR="00823410" w:rsidRPr="00C90EDA" w14:paraId="6AE5DE58" w14:textId="77777777" w:rsidTr="004A32E1">
        <w:tblPrEx>
          <w:jc w:val="left"/>
          <w:tblLook w:val="04A0" w:firstRow="1" w:lastRow="0" w:firstColumn="1" w:lastColumn="0" w:noHBand="0" w:noVBand="1"/>
        </w:tblPrEx>
        <w:trPr>
          <w:trHeight w:val="315"/>
        </w:trPr>
        <w:tc>
          <w:tcPr>
            <w:tcW w:w="1528" w:type="pct"/>
            <w:vAlign w:val="center"/>
          </w:tcPr>
          <w:p w14:paraId="3C4DF445" w14:textId="77777777" w:rsidR="00823410" w:rsidRPr="00C90EDA" w:rsidRDefault="00823410" w:rsidP="00823410">
            <w:pPr>
              <w:spacing w:after="0" w:line="240" w:lineRule="auto"/>
              <w:ind w:firstLine="306"/>
              <w:rPr>
                <w:rFonts w:eastAsia="Times New Roman" w:cstheme="minorHAnsi"/>
              </w:rPr>
            </w:pPr>
            <w:r>
              <w:rPr>
                <w:rFonts w:ascii="Calibri" w:hAnsi="Calibri" w:cstheme="minorHAnsi"/>
                <w:color w:val="000000"/>
              </w:rPr>
              <w:t>Dual with full Medicaid</w:t>
            </w:r>
          </w:p>
        </w:tc>
        <w:tc>
          <w:tcPr>
            <w:tcW w:w="510" w:type="pct"/>
            <w:vAlign w:val="center"/>
          </w:tcPr>
          <w:p w14:paraId="15A0D475" w14:textId="77777777" w:rsidR="00823410" w:rsidRPr="00C90EDA" w:rsidRDefault="00823410" w:rsidP="00823410">
            <w:pPr>
              <w:spacing w:after="0" w:line="240" w:lineRule="auto"/>
              <w:jc w:val="center"/>
              <w:rPr>
                <w:rFonts w:cstheme="minorHAnsi"/>
              </w:rPr>
            </w:pPr>
            <w:r>
              <w:rPr>
                <w:rFonts w:ascii="Calibri" w:hAnsi="Calibri" w:cstheme="minorHAnsi"/>
                <w:color w:val="000000"/>
              </w:rPr>
              <w:t>41,577</w:t>
            </w:r>
          </w:p>
        </w:tc>
        <w:tc>
          <w:tcPr>
            <w:tcW w:w="555" w:type="pct"/>
            <w:vAlign w:val="center"/>
          </w:tcPr>
          <w:p w14:paraId="56035ABA" w14:textId="09AC5136" w:rsidR="00823410" w:rsidRPr="00C90EDA" w:rsidRDefault="00823410" w:rsidP="00823410">
            <w:pPr>
              <w:spacing w:after="0" w:line="240" w:lineRule="auto"/>
              <w:jc w:val="center"/>
              <w:rPr>
                <w:rFonts w:eastAsia="Albany AMT" w:cstheme="minorHAnsi"/>
              </w:rPr>
            </w:pPr>
            <w:r>
              <w:rPr>
                <w:rFonts w:ascii="Calibri" w:hAnsi="Calibri" w:cstheme="minorHAnsi"/>
                <w:color w:val="000000"/>
              </w:rPr>
              <w:t>59.5%</w:t>
            </w:r>
          </w:p>
        </w:tc>
        <w:tc>
          <w:tcPr>
            <w:tcW w:w="1436" w:type="pct"/>
            <w:vAlign w:val="bottom"/>
          </w:tcPr>
          <w:p w14:paraId="59BC83AF" w14:textId="77777777" w:rsidR="00823410" w:rsidRPr="00C90EDA" w:rsidRDefault="00823410" w:rsidP="00823410">
            <w:pPr>
              <w:spacing w:after="0" w:line="240" w:lineRule="auto"/>
              <w:ind w:firstLine="306"/>
              <w:rPr>
                <w:rFonts w:cstheme="minorHAnsi"/>
              </w:rPr>
            </w:pPr>
            <w:r w:rsidRPr="00C90EDA">
              <w:rPr>
                <w:rFonts w:eastAsia="Times New Roman" w:cstheme="minorHAnsi"/>
              </w:rPr>
              <w:t xml:space="preserve">Urban </w:t>
            </w:r>
          </w:p>
        </w:tc>
        <w:tc>
          <w:tcPr>
            <w:tcW w:w="509" w:type="pct"/>
            <w:vAlign w:val="center"/>
          </w:tcPr>
          <w:p w14:paraId="3014C2EB" w14:textId="32B44714" w:rsidR="00823410" w:rsidRPr="00C90EDA" w:rsidRDefault="00823410" w:rsidP="00823410">
            <w:pPr>
              <w:spacing w:after="0" w:line="240" w:lineRule="auto"/>
              <w:jc w:val="center"/>
              <w:rPr>
                <w:rFonts w:cstheme="minorHAnsi"/>
              </w:rPr>
            </w:pPr>
            <w:r w:rsidRPr="00C90EDA">
              <w:rPr>
                <w:rFonts w:cstheme="minorHAnsi"/>
              </w:rPr>
              <w:t>314,176</w:t>
            </w:r>
          </w:p>
        </w:tc>
        <w:tc>
          <w:tcPr>
            <w:tcW w:w="462" w:type="pct"/>
            <w:vAlign w:val="center"/>
          </w:tcPr>
          <w:p w14:paraId="27866BE4" w14:textId="4917A886" w:rsidR="00823410" w:rsidRPr="00C90EDA" w:rsidRDefault="00823410" w:rsidP="00823410">
            <w:pPr>
              <w:spacing w:after="0" w:line="240" w:lineRule="auto"/>
              <w:jc w:val="center"/>
              <w:rPr>
                <w:rFonts w:eastAsia="Albany AMT" w:cstheme="minorHAnsi"/>
              </w:rPr>
            </w:pPr>
            <w:r w:rsidRPr="00C90EDA">
              <w:rPr>
                <w:rFonts w:cstheme="minorHAnsi"/>
              </w:rPr>
              <w:t>64.7%</w:t>
            </w:r>
          </w:p>
        </w:tc>
      </w:tr>
      <w:tr w:rsidR="00823410" w:rsidRPr="00C90EDA" w14:paraId="3F9AECCD" w14:textId="77777777" w:rsidTr="004A32E1">
        <w:tblPrEx>
          <w:jc w:val="left"/>
          <w:tblLook w:val="04A0" w:firstRow="1" w:lastRow="0" w:firstColumn="1" w:lastColumn="0" w:noHBand="0" w:noVBand="1"/>
        </w:tblPrEx>
        <w:trPr>
          <w:trHeight w:val="315"/>
        </w:trPr>
        <w:tc>
          <w:tcPr>
            <w:tcW w:w="1528" w:type="pct"/>
            <w:vAlign w:val="bottom"/>
          </w:tcPr>
          <w:p w14:paraId="0F8FD1FA" w14:textId="77777777" w:rsidR="00823410" w:rsidRPr="00C90EDA" w:rsidRDefault="00823410" w:rsidP="00823410">
            <w:pPr>
              <w:spacing w:after="0" w:line="240" w:lineRule="auto"/>
              <w:ind w:firstLine="306"/>
              <w:rPr>
                <w:rFonts w:cstheme="minorHAnsi"/>
              </w:rPr>
            </w:pPr>
            <w:r w:rsidRPr="00C90EDA">
              <w:rPr>
                <w:rFonts w:cstheme="minorHAnsi"/>
              </w:rPr>
              <w:t>Dual without full Medicaid</w:t>
            </w:r>
          </w:p>
        </w:tc>
        <w:tc>
          <w:tcPr>
            <w:tcW w:w="510" w:type="pct"/>
            <w:vAlign w:val="center"/>
          </w:tcPr>
          <w:p w14:paraId="1B772EFA" w14:textId="77777777" w:rsidR="00823410" w:rsidRPr="00C90EDA" w:rsidRDefault="00823410" w:rsidP="00823410">
            <w:pPr>
              <w:spacing w:after="0" w:line="240" w:lineRule="auto"/>
              <w:jc w:val="center"/>
              <w:rPr>
                <w:rFonts w:cstheme="minorHAnsi"/>
              </w:rPr>
            </w:pPr>
            <w:r w:rsidRPr="00C90EDA">
              <w:rPr>
                <w:rFonts w:cstheme="minorHAnsi"/>
              </w:rPr>
              <w:t>21,158</w:t>
            </w:r>
          </w:p>
        </w:tc>
        <w:tc>
          <w:tcPr>
            <w:tcW w:w="555" w:type="pct"/>
            <w:vAlign w:val="center"/>
          </w:tcPr>
          <w:p w14:paraId="4651E76A" w14:textId="77777777" w:rsidR="00823410" w:rsidRPr="00C90EDA" w:rsidRDefault="00823410" w:rsidP="00823410">
            <w:pPr>
              <w:spacing w:after="0" w:line="240" w:lineRule="auto"/>
              <w:jc w:val="center"/>
              <w:rPr>
                <w:rFonts w:eastAsia="Albany AMT" w:cstheme="minorHAnsi"/>
              </w:rPr>
            </w:pPr>
            <w:r w:rsidRPr="00C90EDA">
              <w:rPr>
                <w:rFonts w:cstheme="minorHAnsi"/>
              </w:rPr>
              <w:t>63.1%</w:t>
            </w:r>
          </w:p>
        </w:tc>
        <w:tc>
          <w:tcPr>
            <w:tcW w:w="1436" w:type="pct"/>
            <w:vAlign w:val="bottom"/>
          </w:tcPr>
          <w:p w14:paraId="4F27A8FF" w14:textId="77777777" w:rsidR="00823410" w:rsidRPr="00C90EDA" w:rsidRDefault="00823410" w:rsidP="00823410">
            <w:pPr>
              <w:spacing w:after="0" w:line="240" w:lineRule="auto"/>
              <w:ind w:firstLine="306"/>
              <w:rPr>
                <w:rFonts w:cstheme="minorHAnsi"/>
              </w:rPr>
            </w:pPr>
            <w:r w:rsidRPr="00C90EDA">
              <w:rPr>
                <w:rFonts w:cstheme="minorHAnsi"/>
              </w:rPr>
              <w:t>Suburban</w:t>
            </w:r>
          </w:p>
        </w:tc>
        <w:tc>
          <w:tcPr>
            <w:tcW w:w="509" w:type="pct"/>
            <w:vAlign w:val="center"/>
          </w:tcPr>
          <w:p w14:paraId="3F8B1029" w14:textId="77777777" w:rsidR="00823410" w:rsidRPr="00C90EDA" w:rsidRDefault="00823410" w:rsidP="00823410">
            <w:pPr>
              <w:spacing w:after="0" w:line="240" w:lineRule="auto"/>
              <w:jc w:val="center"/>
              <w:rPr>
                <w:rFonts w:cstheme="minorHAnsi"/>
              </w:rPr>
            </w:pPr>
            <w:r w:rsidRPr="00C90EDA">
              <w:rPr>
                <w:rFonts w:cstheme="minorHAnsi"/>
              </w:rPr>
              <w:t>47,373</w:t>
            </w:r>
          </w:p>
        </w:tc>
        <w:tc>
          <w:tcPr>
            <w:tcW w:w="462" w:type="pct"/>
            <w:vAlign w:val="center"/>
          </w:tcPr>
          <w:p w14:paraId="54F7C059" w14:textId="77777777" w:rsidR="00823410" w:rsidRPr="00C90EDA" w:rsidRDefault="00823410" w:rsidP="00823410">
            <w:pPr>
              <w:spacing w:after="0" w:line="240" w:lineRule="auto"/>
              <w:jc w:val="center"/>
              <w:rPr>
                <w:rFonts w:eastAsia="Albany AMT" w:cstheme="minorHAnsi"/>
              </w:rPr>
            </w:pPr>
            <w:r w:rsidRPr="00C90EDA">
              <w:rPr>
                <w:rFonts w:cstheme="minorHAnsi"/>
              </w:rPr>
              <w:t>65.5%</w:t>
            </w:r>
          </w:p>
        </w:tc>
      </w:tr>
      <w:tr w:rsidR="00823410" w:rsidRPr="00C90EDA" w14:paraId="5204EF58" w14:textId="77777777" w:rsidTr="004A32E1">
        <w:tblPrEx>
          <w:jc w:val="left"/>
          <w:tblLook w:val="04A0" w:firstRow="1" w:lastRow="0" w:firstColumn="1" w:lastColumn="0" w:noHBand="0" w:noVBand="1"/>
        </w:tblPrEx>
        <w:trPr>
          <w:trHeight w:val="315"/>
        </w:trPr>
        <w:tc>
          <w:tcPr>
            <w:tcW w:w="1528" w:type="pct"/>
            <w:vAlign w:val="bottom"/>
          </w:tcPr>
          <w:p w14:paraId="357B3F7A" w14:textId="77777777" w:rsidR="00823410" w:rsidRPr="00C90EDA" w:rsidRDefault="00823410" w:rsidP="00823410">
            <w:pPr>
              <w:spacing w:after="0" w:line="240" w:lineRule="auto"/>
              <w:ind w:firstLine="306"/>
              <w:rPr>
                <w:rFonts w:cstheme="minorHAnsi"/>
              </w:rPr>
            </w:pPr>
            <w:r w:rsidRPr="00C90EDA">
              <w:rPr>
                <w:rFonts w:cstheme="minorHAnsi"/>
              </w:rPr>
              <w:t>Non-dual</w:t>
            </w:r>
          </w:p>
        </w:tc>
        <w:tc>
          <w:tcPr>
            <w:tcW w:w="510" w:type="pct"/>
            <w:vAlign w:val="bottom"/>
          </w:tcPr>
          <w:p w14:paraId="543EFE57" w14:textId="77777777" w:rsidR="00823410" w:rsidRPr="00C90EDA" w:rsidRDefault="00823410" w:rsidP="00823410">
            <w:pPr>
              <w:spacing w:after="0" w:line="240" w:lineRule="auto"/>
              <w:jc w:val="center"/>
              <w:rPr>
                <w:rFonts w:cstheme="minorHAnsi"/>
              </w:rPr>
            </w:pPr>
            <w:r w:rsidRPr="00C90EDA">
              <w:rPr>
                <w:rFonts w:cstheme="minorHAnsi"/>
              </w:rPr>
              <w:t>316,939</w:t>
            </w:r>
          </w:p>
        </w:tc>
        <w:tc>
          <w:tcPr>
            <w:tcW w:w="555" w:type="pct"/>
            <w:vAlign w:val="bottom"/>
          </w:tcPr>
          <w:p w14:paraId="0FB03357" w14:textId="77777777" w:rsidR="00823410" w:rsidRPr="00C90EDA" w:rsidRDefault="00823410" w:rsidP="00823410">
            <w:pPr>
              <w:spacing w:after="0" w:line="240" w:lineRule="auto"/>
              <w:jc w:val="center"/>
              <w:rPr>
                <w:rFonts w:eastAsia="Albany AMT" w:cstheme="minorHAnsi"/>
              </w:rPr>
            </w:pPr>
            <w:r w:rsidRPr="00C90EDA">
              <w:rPr>
                <w:rFonts w:eastAsia="Albany AMT" w:cstheme="minorHAnsi"/>
              </w:rPr>
              <w:t>65.7%</w:t>
            </w:r>
          </w:p>
        </w:tc>
        <w:tc>
          <w:tcPr>
            <w:tcW w:w="1436" w:type="pct"/>
            <w:vAlign w:val="bottom"/>
          </w:tcPr>
          <w:p w14:paraId="75AE3B03" w14:textId="77777777" w:rsidR="00823410" w:rsidRPr="00C90EDA" w:rsidRDefault="00823410" w:rsidP="00823410">
            <w:pPr>
              <w:spacing w:after="0" w:line="240" w:lineRule="auto"/>
              <w:ind w:firstLine="306"/>
              <w:rPr>
                <w:rFonts w:cstheme="minorHAnsi"/>
              </w:rPr>
            </w:pPr>
            <w:r w:rsidRPr="00C90EDA">
              <w:rPr>
                <w:rFonts w:cstheme="minorHAnsi"/>
              </w:rPr>
              <w:t xml:space="preserve">Rural </w:t>
            </w:r>
          </w:p>
        </w:tc>
        <w:tc>
          <w:tcPr>
            <w:tcW w:w="509" w:type="pct"/>
            <w:vAlign w:val="center"/>
          </w:tcPr>
          <w:p w14:paraId="381ADAF3" w14:textId="2BA909DA" w:rsidR="00823410" w:rsidRPr="00C90EDA" w:rsidRDefault="00823410" w:rsidP="00823410">
            <w:pPr>
              <w:spacing w:after="0" w:line="240" w:lineRule="auto"/>
              <w:jc w:val="center"/>
              <w:rPr>
                <w:rFonts w:cstheme="minorHAnsi"/>
              </w:rPr>
            </w:pPr>
            <w:r w:rsidRPr="00C90EDA">
              <w:rPr>
                <w:rFonts w:cstheme="minorHAnsi"/>
              </w:rPr>
              <w:t>17,904</w:t>
            </w:r>
          </w:p>
        </w:tc>
        <w:tc>
          <w:tcPr>
            <w:tcW w:w="462" w:type="pct"/>
            <w:vAlign w:val="center"/>
          </w:tcPr>
          <w:p w14:paraId="794E75AA" w14:textId="0EEBBCA0" w:rsidR="00823410" w:rsidRPr="00C90EDA" w:rsidRDefault="00823410" w:rsidP="00823410">
            <w:pPr>
              <w:spacing w:after="0" w:line="240" w:lineRule="auto"/>
              <w:jc w:val="center"/>
              <w:rPr>
                <w:rFonts w:eastAsia="Albany AMT" w:cstheme="minorHAnsi"/>
              </w:rPr>
            </w:pPr>
            <w:r w:rsidRPr="00C90EDA">
              <w:rPr>
                <w:rFonts w:cstheme="minorHAnsi"/>
              </w:rPr>
              <w:t>65.4%</w:t>
            </w:r>
          </w:p>
        </w:tc>
      </w:tr>
      <w:tr w:rsidR="00823410" w:rsidRPr="00C90EDA" w14:paraId="0C4FDA61" w14:textId="77777777" w:rsidTr="004A32E1">
        <w:tblPrEx>
          <w:jc w:val="left"/>
          <w:tblLook w:val="04A0" w:firstRow="1" w:lastRow="0" w:firstColumn="1" w:lastColumn="0" w:noHBand="0" w:noVBand="1"/>
        </w:tblPrEx>
        <w:trPr>
          <w:trHeight w:val="389"/>
        </w:trPr>
        <w:tc>
          <w:tcPr>
            <w:tcW w:w="1528" w:type="pct"/>
            <w:vAlign w:val="center"/>
          </w:tcPr>
          <w:p w14:paraId="225EF516" w14:textId="77777777" w:rsidR="00823410" w:rsidRPr="00C90EDA" w:rsidRDefault="00823410" w:rsidP="00823410">
            <w:pPr>
              <w:spacing w:after="0" w:line="240" w:lineRule="auto"/>
              <w:rPr>
                <w:rFonts w:cstheme="minorHAnsi"/>
                <w:b/>
                <w:i/>
              </w:rPr>
            </w:pPr>
            <w:r w:rsidRPr="00C90EDA">
              <w:rPr>
                <w:rFonts w:cstheme="minorHAnsi"/>
                <w:b/>
                <w:i/>
              </w:rPr>
              <w:t>Race/Ethnicity</w:t>
            </w:r>
          </w:p>
        </w:tc>
        <w:tc>
          <w:tcPr>
            <w:tcW w:w="510" w:type="pct"/>
            <w:vAlign w:val="center"/>
          </w:tcPr>
          <w:p w14:paraId="2FED18F9" w14:textId="77777777" w:rsidR="00823410" w:rsidRPr="00C90EDA" w:rsidRDefault="00823410" w:rsidP="00823410">
            <w:pPr>
              <w:spacing w:after="0" w:line="240" w:lineRule="auto"/>
              <w:rPr>
                <w:rFonts w:cstheme="minorHAnsi"/>
                <w:b/>
                <w:i/>
              </w:rPr>
            </w:pPr>
          </w:p>
        </w:tc>
        <w:tc>
          <w:tcPr>
            <w:tcW w:w="555" w:type="pct"/>
            <w:vAlign w:val="center"/>
          </w:tcPr>
          <w:p w14:paraId="35E3C2FA" w14:textId="77777777" w:rsidR="00823410" w:rsidRPr="00C90EDA" w:rsidRDefault="00823410" w:rsidP="00823410">
            <w:pPr>
              <w:spacing w:after="0" w:line="240" w:lineRule="auto"/>
              <w:rPr>
                <w:rFonts w:cstheme="minorHAnsi"/>
                <w:b/>
                <w:i/>
              </w:rPr>
            </w:pPr>
          </w:p>
        </w:tc>
        <w:tc>
          <w:tcPr>
            <w:tcW w:w="1436" w:type="pct"/>
            <w:vAlign w:val="center"/>
          </w:tcPr>
          <w:p w14:paraId="7DBBC556" w14:textId="77777777" w:rsidR="00823410" w:rsidRPr="00C90EDA" w:rsidRDefault="00823410" w:rsidP="00823410">
            <w:pPr>
              <w:spacing w:after="0" w:line="240" w:lineRule="auto"/>
              <w:rPr>
                <w:rFonts w:cstheme="minorHAnsi"/>
                <w:b/>
                <w:i/>
              </w:rPr>
            </w:pPr>
            <w:r w:rsidRPr="00C90EDA">
              <w:rPr>
                <w:rFonts w:cstheme="minorHAnsi"/>
              </w:rPr>
              <w:t xml:space="preserve">      Missing</w:t>
            </w:r>
          </w:p>
        </w:tc>
        <w:tc>
          <w:tcPr>
            <w:tcW w:w="509" w:type="pct"/>
            <w:vAlign w:val="center"/>
          </w:tcPr>
          <w:p w14:paraId="278E7040" w14:textId="77777777" w:rsidR="00823410" w:rsidRPr="00C90EDA" w:rsidRDefault="00823410" w:rsidP="00823410">
            <w:pPr>
              <w:spacing w:after="0" w:line="240" w:lineRule="auto"/>
              <w:jc w:val="center"/>
              <w:rPr>
                <w:rFonts w:cstheme="minorHAnsi"/>
              </w:rPr>
            </w:pPr>
            <w:r w:rsidRPr="00C90EDA">
              <w:rPr>
                <w:rFonts w:cstheme="minorHAnsi"/>
              </w:rPr>
              <w:t>221</w:t>
            </w:r>
          </w:p>
        </w:tc>
        <w:tc>
          <w:tcPr>
            <w:tcW w:w="462" w:type="pct"/>
            <w:vAlign w:val="center"/>
          </w:tcPr>
          <w:p w14:paraId="1E751268" w14:textId="77777777" w:rsidR="00823410" w:rsidRPr="00C90EDA" w:rsidRDefault="00823410" w:rsidP="00823410">
            <w:pPr>
              <w:spacing w:after="0" w:line="240" w:lineRule="auto"/>
              <w:jc w:val="center"/>
              <w:rPr>
                <w:rFonts w:eastAsia="Albany AMT" w:cstheme="minorHAnsi"/>
              </w:rPr>
            </w:pPr>
            <w:r w:rsidRPr="00C90EDA">
              <w:rPr>
                <w:rFonts w:cstheme="minorHAnsi"/>
              </w:rPr>
              <w:t>62.6%</w:t>
            </w:r>
          </w:p>
        </w:tc>
      </w:tr>
      <w:tr w:rsidR="00823410" w:rsidRPr="00C90EDA" w14:paraId="0C81EB64" w14:textId="77777777" w:rsidTr="004A32E1">
        <w:tblPrEx>
          <w:jc w:val="left"/>
          <w:tblLook w:val="04A0" w:firstRow="1" w:lastRow="0" w:firstColumn="1" w:lastColumn="0" w:noHBand="0" w:noVBand="1"/>
        </w:tblPrEx>
        <w:trPr>
          <w:trHeight w:val="315"/>
        </w:trPr>
        <w:tc>
          <w:tcPr>
            <w:tcW w:w="1528" w:type="pct"/>
          </w:tcPr>
          <w:p w14:paraId="6E79705C" w14:textId="77777777" w:rsidR="00823410" w:rsidRPr="00C90EDA" w:rsidRDefault="00823410" w:rsidP="00823410">
            <w:pPr>
              <w:spacing w:after="0" w:line="240" w:lineRule="auto"/>
              <w:ind w:firstLine="306"/>
              <w:rPr>
                <w:rFonts w:cstheme="minorHAnsi"/>
              </w:rPr>
            </w:pPr>
            <w:r w:rsidRPr="00C90EDA">
              <w:rPr>
                <w:rFonts w:cstheme="minorHAnsi"/>
              </w:rPr>
              <w:t>White</w:t>
            </w:r>
          </w:p>
        </w:tc>
        <w:tc>
          <w:tcPr>
            <w:tcW w:w="510" w:type="pct"/>
            <w:vAlign w:val="center"/>
          </w:tcPr>
          <w:p w14:paraId="43D8714F" w14:textId="77777777" w:rsidR="00823410" w:rsidRPr="00C90EDA" w:rsidRDefault="00823410" w:rsidP="00823410">
            <w:pPr>
              <w:spacing w:after="0" w:line="240" w:lineRule="auto"/>
              <w:jc w:val="center"/>
              <w:rPr>
                <w:rFonts w:cstheme="minorHAnsi"/>
              </w:rPr>
            </w:pPr>
            <w:r w:rsidRPr="00C90EDA">
              <w:rPr>
                <w:rFonts w:cstheme="minorHAnsi"/>
              </w:rPr>
              <w:t>320,057</w:t>
            </w:r>
          </w:p>
        </w:tc>
        <w:tc>
          <w:tcPr>
            <w:tcW w:w="555" w:type="pct"/>
            <w:vAlign w:val="center"/>
          </w:tcPr>
          <w:p w14:paraId="617FAF26" w14:textId="77777777" w:rsidR="00823410" w:rsidRPr="00C90EDA" w:rsidRDefault="00823410" w:rsidP="00823410">
            <w:pPr>
              <w:spacing w:after="0" w:line="240" w:lineRule="auto"/>
              <w:jc w:val="center"/>
              <w:rPr>
                <w:rFonts w:eastAsia="Albany AMT" w:cstheme="minorHAnsi"/>
              </w:rPr>
            </w:pPr>
            <w:r w:rsidRPr="00C90EDA">
              <w:rPr>
                <w:rFonts w:cstheme="minorHAnsi"/>
              </w:rPr>
              <w:t>65.0%</w:t>
            </w:r>
          </w:p>
        </w:tc>
        <w:tc>
          <w:tcPr>
            <w:tcW w:w="1436" w:type="pct"/>
            <w:vAlign w:val="bottom"/>
          </w:tcPr>
          <w:p w14:paraId="7A6F41A2" w14:textId="77777777" w:rsidR="00823410" w:rsidRPr="00C90EDA" w:rsidRDefault="00823410" w:rsidP="00823410">
            <w:pPr>
              <w:spacing w:after="0" w:line="240" w:lineRule="auto"/>
              <w:rPr>
                <w:rFonts w:cstheme="minorHAnsi"/>
              </w:rPr>
            </w:pPr>
          </w:p>
        </w:tc>
        <w:tc>
          <w:tcPr>
            <w:tcW w:w="509" w:type="pct"/>
          </w:tcPr>
          <w:p w14:paraId="1935D539" w14:textId="77777777" w:rsidR="00823410" w:rsidRPr="00C90EDA" w:rsidRDefault="00823410" w:rsidP="00823410">
            <w:pPr>
              <w:spacing w:after="0" w:line="240" w:lineRule="auto"/>
              <w:ind w:firstLine="306"/>
              <w:jc w:val="center"/>
              <w:rPr>
                <w:rFonts w:cstheme="minorHAnsi"/>
              </w:rPr>
            </w:pPr>
          </w:p>
        </w:tc>
        <w:tc>
          <w:tcPr>
            <w:tcW w:w="462" w:type="pct"/>
          </w:tcPr>
          <w:p w14:paraId="41419871" w14:textId="77777777" w:rsidR="00823410" w:rsidRPr="00C90EDA" w:rsidRDefault="00823410" w:rsidP="00823410">
            <w:pPr>
              <w:spacing w:after="0" w:line="240" w:lineRule="auto"/>
              <w:ind w:firstLine="306"/>
              <w:jc w:val="center"/>
              <w:rPr>
                <w:rFonts w:cstheme="minorHAnsi"/>
              </w:rPr>
            </w:pPr>
          </w:p>
        </w:tc>
      </w:tr>
      <w:tr w:rsidR="00823410" w:rsidRPr="00C90EDA" w14:paraId="5B8F6DEA" w14:textId="77777777" w:rsidTr="004A32E1">
        <w:tblPrEx>
          <w:jc w:val="left"/>
          <w:tblLook w:val="04A0" w:firstRow="1" w:lastRow="0" w:firstColumn="1" w:lastColumn="0" w:noHBand="0" w:noVBand="1"/>
        </w:tblPrEx>
        <w:trPr>
          <w:trHeight w:val="315"/>
        </w:trPr>
        <w:tc>
          <w:tcPr>
            <w:tcW w:w="1528" w:type="pct"/>
          </w:tcPr>
          <w:p w14:paraId="6F30019D" w14:textId="77777777" w:rsidR="00823410" w:rsidRPr="00C90EDA" w:rsidRDefault="00823410" w:rsidP="00823410">
            <w:pPr>
              <w:spacing w:after="0" w:line="240" w:lineRule="auto"/>
              <w:ind w:firstLine="306"/>
              <w:rPr>
                <w:rFonts w:eastAsia="Times New Roman" w:cstheme="minorHAnsi"/>
              </w:rPr>
            </w:pPr>
            <w:r w:rsidRPr="00C90EDA">
              <w:rPr>
                <w:rFonts w:cstheme="minorHAnsi"/>
              </w:rPr>
              <w:t>Black</w:t>
            </w:r>
          </w:p>
        </w:tc>
        <w:tc>
          <w:tcPr>
            <w:tcW w:w="510" w:type="pct"/>
            <w:vAlign w:val="center"/>
          </w:tcPr>
          <w:p w14:paraId="1FBADD45" w14:textId="77777777" w:rsidR="00823410" w:rsidRPr="00C90EDA" w:rsidRDefault="00823410" w:rsidP="00823410">
            <w:pPr>
              <w:spacing w:after="0" w:line="240" w:lineRule="auto"/>
              <w:jc w:val="center"/>
              <w:rPr>
                <w:rFonts w:cstheme="minorHAnsi"/>
              </w:rPr>
            </w:pPr>
            <w:r w:rsidRPr="00C90EDA">
              <w:rPr>
                <w:rFonts w:cstheme="minorHAnsi"/>
              </w:rPr>
              <w:t>39,441</w:t>
            </w:r>
          </w:p>
        </w:tc>
        <w:tc>
          <w:tcPr>
            <w:tcW w:w="555" w:type="pct"/>
            <w:vAlign w:val="center"/>
          </w:tcPr>
          <w:p w14:paraId="5EC77602" w14:textId="77777777" w:rsidR="00823410" w:rsidRPr="00C90EDA" w:rsidRDefault="00823410" w:rsidP="00823410">
            <w:pPr>
              <w:spacing w:after="0" w:line="240" w:lineRule="auto"/>
              <w:jc w:val="center"/>
              <w:rPr>
                <w:rFonts w:eastAsia="Albany AMT" w:cstheme="minorHAnsi"/>
              </w:rPr>
            </w:pPr>
            <w:r w:rsidRPr="00C90EDA">
              <w:rPr>
                <w:rFonts w:cstheme="minorHAnsi"/>
              </w:rPr>
              <w:t>62.6%</w:t>
            </w:r>
          </w:p>
        </w:tc>
        <w:tc>
          <w:tcPr>
            <w:tcW w:w="1436" w:type="pct"/>
            <w:vAlign w:val="bottom"/>
          </w:tcPr>
          <w:p w14:paraId="250711AE" w14:textId="77777777" w:rsidR="00823410" w:rsidRPr="00C90EDA" w:rsidRDefault="00823410" w:rsidP="00823410">
            <w:pPr>
              <w:spacing w:after="0" w:line="240" w:lineRule="auto"/>
              <w:rPr>
                <w:rFonts w:cstheme="minorHAnsi"/>
              </w:rPr>
            </w:pPr>
            <w:r w:rsidRPr="00C90EDA">
              <w:rPr>
                <w:rFonts w:cstheme="minorHAnsi"/>
                <w:b/>
                <w:i/>
              </w:rPr>
              <w:t>AHRQ SES Index*</w:t>
            </w:r>
          </w:p>
        </w:tc>
        <w:tc>
          <w:tcPr>
            <w:tcW w:w="509" w:type="pct"/>
          </w:tcPr>
          <w:p w14:paraId="1B3E09B8" w14:textId="77777777" w:rsidR="00823410" w:rsidRPr="00C90EDA" w:rsidRDefault="00823410" w:rsidP="00823410">
            <w:pPr>
              <w:spacing w:after="0" w:line="240" w:lineRule="auto"/>
              <w:jc w:val="center"/>
              <w:rPr>
                <w:rFonts w:cstheme="minorHAnsi"/>
              </w:rPr>
            </w:pPr>
          </w:p>
        </w:tc>
        <w:tc>
          <w:tcPr>
            <w:tcW w:w="462" w:type="pct"/>
          </w:tcPr>
          <w:p w14:paraId="36079297" w14:textId="77777777" w:rsidR="00823410" w:rsidRPr="00C90EDA" w:rsidRDefault="00823410" w:rsidP="00823410">
            <w:pPr>
              <w:spacing w:after="0" w:line="240" w:lineRule="auto"/>
              <w:jc w:val="center"/>
              <w:rPr>
                <w:rFonts w:eastAsia="Albany AMT" w:cstheme="minorHAnsi"/>
              </w:rPr>
            </w:pPr>
          </w:p>
        </w:tc>
      </w:tr>
      <w:tr w:rsidR="00823410" w:rsidRPr="00C90EDA" w14:paraId="5F0BA575" w14:textId="77777777" w:rsidTr="004A32E1">
        <w:tblPrEx>
          <w:jc w:val="left"/>
          <w:tblLook w:val="04A0" w:firstRow="1" w:lastRow="0" w:firstColumn="1" w:lastColumn="0" w:noHBand="0" w:noVBand="1"/>
        </w:tblPrEx>
        <w:trPr>
          <w:trHeight w:val="315"/>
        </w:trPr>
        <w:tc>
          <w:tcPr>
            <w:tcW w:w="1528" w:type="pct"/>
          </w:tcPr>
          <w:p w14:paraId="287899A7" w14:textId="77777777" w:rsidR="00823410" w:rsidRPr="00C90EDA" w:rsidRDefault="00823410" w:rsidP="00823410">
            <w:pPr>
              <w:spacing w:after="0" w:line="240" w:lineRule="auto"/>
              <w:ind w:firstLine="306"/>
              <w:rPr>
                <w:rFonts w:cstheme="minorHAnsi"/>
              </w:rPr>
            </w:pPr>
            <w:r w:rsidRPr="00C90EDA">
              <w:rPr>
                <w:rFonts w:cstheme="minorHAnsi"/>
              </w:rPr>
              <w:t>Asian</w:t>
            </w:r>
          </w:p>
        </w:tc>
        <w:tc>
          <w:tcPr>
            <w:tcW w:w="510" w:type="pct"/>
            <w:vAlign w:val="center"/>
          </w:tcPr>
          <w:p w14:paraId="35AB67DF" w14:textId="77777777" w:rsidR="00823410" w:rsidRPr="00C90EDA" w:rsidRDefault="00823410" w:rsidP="00823410">
            <w:pPr>
              <w:spacing w:after="0" w:line="240" w:lineRule="auto"/>
              <w:jc w:val="center"/>
              <w:rPr>
                <w:rFonts w:cstheme="minorHAnsi"/>
              </w:rPr>
            </w:pPr>
            <w:r w:rsidRPr="00C90EDA">
              <w:rPr>
                <w:rFonts w:cstheme="minorHAnsi"/>
              </w:rPr>
              <w:t>4,461</w:t>
            </w:r>
          </w:p>
        </w:tc>
        <w:tc>
          <w:tcPr>
            <w:tcW w:w="555" w:type="pct"/>
            <w:vAlign w:val="center"/>
          </w:tcPr>
          <w:p w14:paraId="0BBCA570" w14:textId="77777777" w:rsidR="00823410" w:rsidRPr="00C90EDA" w:rsidRDefault="00823410" w:rsidP="00823410">
            <w:pPr>
              <w:spacing w:after="0" w:line="240" w:lineRule="auto"/>
              <w:jc w:val="center"/>
              <w:rPr>
                <w:rFonts w:eastAsia="Albany AMT" w:cstheme="minorHAnsi"/>
              </w:rPr>
            </w:pPr>
            <w:r w:rsidRPr="00C90EDA">
              <w:rPr>
                <w:rFonts w:cstheme="minorHAnsi"/>
              </w:rPr>
              <w:t>66.7%</w:t>
            </w:r>
          </w:p>
        </w:tc>
        <w:tc>
          <w:tcPr>
            <w:tcW w:w="1436" w:type="pct"/>
            <w:vAlign w:val="bottom"/>
          </w:tcPr>
          <w:p w14:paraId="5F2381D8" w14:textId="77777777" w:rsidR="00823410" w:rsidRPr="00C90EDA" w:rsidRDefault="00823410" w:rsidP="00823410">
            <w:pPr>
              <w:spacing w:after="0" w:line="240" w:lineRule="auto"/>
              <w:ind w:firstLine="306"/>
              <w:rPr>
                <w:rFonts w:cstheme="minorHAnsi"/>
              </w:rPr>
            </w:pPr>
            <w:r w:rsidRPr="00C90EDA">
              <w:rPr>
                <w:rFonts w:cstheme="minorHAnsi"/>
              </w:rPr>
              <w:t>Quartile 1 (28.9 to 49.6)</w:t>
            </w:r>
          </w:p>
        </w:tc>
        <w:tc>
          <w:tcPr>
            <w:tcW w:w="509" w:type="pct"/>
            <w:vAlign w:val="center"/>
          </w:tcPr>
          <w:p w14:paraId="7039123C" w14:textId="77777777" w:rsidR="00823410" w:rsidRPr="00C90EDA" w:rsidRDefault="00823410" w:rsidP="00823410">
            <w:pPr>
              <w:spacing w:after="0" w:line="240" w:lineRule="auto"/>
              <w:jc w:val="center"/>
              <w:rPr>
                <w:rFonts w:cstheme="minorHAnsi"/>
              </w:rPr>
            </w:pPr>
            <w:r w:rsidRPr="00C90EDA">
              <w:rPr>
                <w:rFonts w:cstheme="minorHAnsi"/>
              </w:rPr>
              <w:t>94,033</w:t>
            </w:r>
          </w:p>
        </w:tc>
        <w:tc>
          <w:tcPr>
            <w:tcW w:w="462" w:type="pct"/>
            <w:vAlign w:val="center"/>
          </w:tcPr>
          <w:p w14:paraId="587D6EAC" w14:textId="77777777" w:rsidR="00823410" w:rsidRPr="00C90EDA" w:rsidRDefault="00823410" w:rsidP="00823410">
            <w:pPr>
              <w:spacing w:after="0" w:line="240" w:lineRule="auto"/>
              <w:jc w:val="center"/>
              <w:rPr>
                <w:rFonts w:eastAsia="Albany AMT" w:cstheme="minorHAnsi"/>
              </w:rPr>
            </w:pPr>
            <w:r w:rsidRPr="00C90EDA">
              <w:rPr>
                <w:rFonts w:cstheme="minorHAnsi"/>
              </w:rPr>
              <w:t>64.3%</w:t>
            </w:r>
          </w:p>
        </w:tc>
      </w:tr>
      <w:tr w:rsidR="00823410" w:rsidRPr="00C90EDA" w14:paraId="682591AE" w14:textId="77777777" w:rsidTr="004A32E1">
        <w:tblPrEx>
          <w:jc w:val="left"/>
          <w:tblLook w:val="04A0" w:firstRow="1" w:lastRow="0" w:firstColumn="1" w:lastColumn="0" w:noHBand="0" w:noVBand="1"/>
        </w:tblPrEx>
        <w:trPr>
          <w:trHeight w:val="315"/>
        </w:trPr>
        <w:tc>
          <w:tcPr>
            <w:tcW w:w="1528" w:type="pct"/>
          </w:tcPr>
          <w:p w14:paraId="5CD765B3" w14:textId="77777777" w:rsidR="00823410" w:rsidRPr="00C90EDA" w:rsidRDefault="00823410" w:rsidP="00823410">
            <w:pPr>
              <w:spacing w:after="0" w:line="240" w:lineRule="auto"/>
              <w:ind w:firstLine="306"/>
              <w:rPr>
                <w:rFonts w:cstheme="minorHAnsi"/>
              </w:rPr>
            </w:pPr>
            <w:r w:rsidRPr="00C90EDA">
              <w:rPr>
                <w:rFonts w:cstheme="minorHAnsi"/>
              </w:rPr>
              <w:t>Hispanic</w:t>
            </w:r>
          </w:p>
        </w:tc>
        <w:tc>
          <w:tcPr>
            <w:tcW w:w="510" w:type="pct"/>
            <w:vAlign w:val="center"/>
          </w:tcPr>
          <w:p w14:paraId="4E6568F5" w14:textId="77777777" w:rsidR="00823410" w:rsidRPr="00C90EDA" w:rsidRDefault="00823410" w:rsidP="00823410">
            <w:pPr>
              <w:spacing w:after="0" w:line="240" w:lineRule="auto"/>
              <w:jc w:val="center"/>
              <w:rPr>
                <w:rFonts w:cstheme="minorHAnsi"/>
              </w:rPr>
            </w:pPr>
            <w:r w:rsidRPr="00C90EDA">
              <w:rPr>
                <w:rFonts w:cstheme="minorHAnsi"/>
              </w:rPr>
              <w:t>6,520</w:t>
            </w:r>
          </w:p>
        </w:tc>
        <w:tc>
          <w:tcPr>
            <w:tcW w:w="555" w:type="pct"/>
            <w:vAlign w:val="center"/>
          </w:tcPr>
          <w:p w14:paraId="23784C2F" w14:textId="77777777" w:rsidR="00823410" w:rsidRPr="00C90EDA" w:rsidRDefault="00823410" w:rsidP="00823410">
            <w:pPr>
              <w:spacing w:after="0" w:line="240" w:lineRule="auto"/>
              <w:jc w:val="center"/>
              <w:rPr>
                <w:rFonts w:eastAsia="Albany AMT" w:cstheme="minorHAnsi"/>
              </w:rPr>
            </w:pPr>
            <w:r w:rsidRPr="00C90EDA">
              <w:rPr>
                <w:rFonts w:cstheme="minorHAnsi"/>
              </w:rPr>
              <w:t>64.9%</w:t>
            </w:r>
          </w:p>
        </w:tc>
        <w:tc>
          <w:tcPr>
            <w:tcW w:w="1436" w:type="pct"/>
            <w:vAlign w:val="bottom"/>
          </w:tcPr>
          <w:p w14:paraId="590F5DFF" w14:textId="77777777" w:rsidR="00823410" w:rsidRPr="00C90EDA" w:rsidRDefault="00823410" w:rsidP="00823410">
            <w:pPr>
              <w:spacing w:after="0" w:line="240" w:lineRule="auto"/>
              <w:ind w:firstLine="306"/>
              <w:rPr>
                <w:rFonts w:cstheme="minorHAnsi"/>
              </w:rPr>
            </w:pPr>
            <w:r w:rsidRPr="00C90EDA">
              <w:rPr>
                <w:rFonts w:cstheme="minorHAnsi"/>
              </w:rPr>
              <w:t>Quartile 2 (49.6 to 52.2)</w:t>
            </w:r>
          </w:p>
        </w:tc>
        <w:tc>
          <w:tcPr>
            <w:tcW w:w="509" w:type="pct"/>
            <w:vAlign w:val="center"/>
          </w:tcPr>
          <w:p w14:paraId="3D95DEF2" w14:textId="77777777" w:rsidR="00823410" w:rsidRPr="00C90EDA" w:rsidRDefault="00823410" w:rsidP="00823410">
            <w:pPr>
              <w:spacing w:after="0" w:line="240" w:lineRule="auto"/>
              <w:jc w:val="center"/>
              <w:rPr>
                <w:rFonts w:cstheme="minorHAnsi"/>
              </w:rPr>
            </w:pPr>
            <w:r w:rsidRPr="00C90EDA">
              <w:rPr>
                <w:rFonts w:cstheme="minorHAnsi"/>
              </w:rPr>
              <w:t>94,927</w:t>
            </w:r>
          </w:p>
        </w:tc>
        <w:tc>
          <w:tcPr>
            <w:tcW w:w="462" w:type="pct"/>
            <w:vAlign w:val="center"/>
          </w:tcPr>
          <w:p w14:paraId="3996C58D" w14:textId="77777777" w:rsidR="00823410" w:rsidRPr="00C90EDA" w:rsidRDefault="00823410" w:rsidP="00823410">
            <w:pPr>
              <w:spacing w:after="0" w:line="240" w:lineRule="auto"/>
              <w:jc w:val="center"/>
              <w:rPr>
                <w:rFonts w:eastAsia="Albany AMT" w:cstheme="minorHAnsi"/>
              </w:rPr>
            </w:pPr>
            <w:r w:rsidRPr="00C90EDA">
              <w:rPr>
                <w:rFonts w:cstheme="minorHAnsi"/>
              </w:rPr>
              <w:t>64.9%</w:t>
            </w:r>
          </w:p>
        </w:tc>
      </w:tr>
      <w:tr w:rsidR="00823410" w:rsidRPr="00C90EDA" w14:paraId="14219428" w14:textId="77777777" w:rsidTr="004A32E1">
        <w:tblPrEx>
          <w:jc w:val="left"/>
          <w:tblLook w:val="04A0" w:firstRow="1" w:lastRow="0" w:firstColumn="1" w:lastColumn="0" w:noHBand="0" w:noVBand="1"/>
        </w:tblPrEx>
        <w:trPr>
          <w:trHeight w:val="315"/>
        </w:trPr>
        <w:tc>
          <w:tcPr>
            <w:tcW w:w="1528" w:type="pct"/>
          </w:tcPr>
          <w:p w14:paraId="0452A9CA" w14:textId="77777777" w:rsidR="00823410" w:rsidRPr="00C90EDA" w:rsidRDefault="00823410" w:rsidP="00823410">
            <w:pPr>
              <w:spacing w:after="0" w:line="240" w:lineRule="auto"/>
              <w:ind w:firstLine="306"/>
              <w:rPr>
                <w:rFonts w:cstheme="minorHAnsi"/>
              </w:rPr>
            </w:pPr>
            <w:r w:rsidRPr="00C90EDA">
              <w:rPr>
                <w:rFonts w:cstheme="minorHAnsi"/>
              </w:rPr>
              <w:t>North American Native</w:t>
            </w:r>
          </w:p>
        </w:tc>
        <w:tc>
          <w:tcPr>
            <w:tcW w:w="510" w:type="pct"/>
            <w:vAlign w:val="center"/>
          </w:tcPr>
          <w:p w14:paraId="72485B3C" w14:textId="77777777" w:rsidR="00823410" w:rsidRPr="00C90EDA" w:rsidRDefault="00823410" w:rsidP="00823410">
            <w:pPr>
              <w:spacing w:after="0" w:line="240" w:lineRule="auto"/>
              <w:jc w:val="center"/>
              <w:rPr>
                <w:rFonts w:cstheme="minorHAnsi"/>
              </w:rPr>
            </w:pPr>
            <w:r w:rsidRPr="00C90EDA">
              <w:rPr>
                <w:rFonts w:cstheme="minorHAnsi"/>
              </w:rPr>
              <w:t>1,995</w:t>
            </w:r>
          </w:p>
        </w:tc>
        <w:tc>
          <w:tcPr>
            <w:tcW w:w="555" w:type="pct"/>
            <w:vAlign w:val="center"/>
          </w:tcPr>
          <w:p w14:paraId="5CE0F71E" w14:textId="77777777" w:rsidR="00823410" w:rsidRPr="00C90EDA" w:rsidRDefault="00823410" w:rsidP="00823410">
            <w:pPr>
              <w:spacing w:after="0" w:line="240" w:lineRule="auto"/>
              <w:jc w:val="center"/>
              <w:rPr>
                <w:rFonts w:eastAsia="Albany AMT" w:cstheme="minorHAnsi"/>
              </w:rPr>
            </w:pPr>
            <w:r w:rsidRPr="00C90EDA">
              <w:rPr>
                <w:rFonts w:cstheme="minorHAnsi"/>
              </w:rPr>
              <w:t>66.4%</w:t>
            </w:r>
          </w:p>
        </w:tc>
        <w:tc>
          <w:tcPr>
            <w:tcW w:w="1436" w:type="pct"/>
            <w:vAlign w:val="bottom"/>
          </w:tcPr>
          <w:p w14:paraId="3D753083" w14:textId="77777777" w:rsidR="00823410" w:rsidRPr="00C90EDA" w:rsidRDefault="00823410" w:rsidP="00823410">
            <w:pPr>
              <w:spacing w:after="0" w:line="240" w:lineRule="auto"/>
              <w:ind w:firstLine="306"/>
              <w:rPr>
                <w:rFonts w:cstheme="minorHAnsi"/>
              </w:rPr>
            </w:pPr>
            <w:r w:rsidRPr="00C90EDA">
              <w:rPr>
                <w:rFonts w:cstheme="minorHAnsi"/>
              </w:rPr>
              <w:t>Quartile 3 (52.2 to 55.5)</w:t>
            </w:r>
          </w:p>
        </w:tc>
        <w:tc>
          <w:tcPr>
            <w:tcW w:w="509" w:type="pct"/>
            <w:vAlign w:val="center"/>
          </w:tcPr>
          <w:p w14:paraId="53D2D9AC" w14:textId="77777777" w:rsidR="00823410" w:rsidRPr="00C90EDA" w:rsidRDefault="00823410" w:rsidP="00823410">
            <w:pPr>
              <w:spacing w:after="0" w:line="240" w:lineRule="auto"/>
              <w:jc w:val="center"/>
              <w:rPr>
                <w:rFonts w:cstheme="minorHAnsi"/>
              </w:rPr>
            </w:pPr>
            <w:r w:rsidRPr="00C90EDA">
              <w:rPr>
                <w:rFonts w:cstheme="minorHAnsi"/>
              </w:rPr>
              <w:t>95,368</w:t>
            </w:r>
          </w:p>
        </w:tc>
        <w:tc>
          <w:tcPr>
            <w:tcW w:w="462" w:type="pct"/>
            <w:vAlign w:val="center"/>
          </w:tcPr>
          <w:p w14:paraId="5AF56B48" w14:textId="77777777" w:rsidR="00823410" w:rsidRPr="00C90EDA" w:rsidRDefault="00823410" w:rsidP="00823410">
            <w:pPr>
              <w:spacing w:after="0" w:line="240" w:lineRule="auto"/>
              <w:jc w:val="center"/>
              <w:rPr>
                <w:rFonts w:eastAsia="Albany AMT" w:cstheme="minorHAnsi"/>
              </w:rPr>
            </w:pPr>
            <w:r w:rsidRPr="00C90EDA">
              <w:rPr>
                <w:rFonts w:cstheme="minorHAnsi"/>
              </w:rPr>
              <w:t>65.2%</w:t>
            </w:r>
          </w:p>
        </w:tc>
      </w:tr>
      <w:tr w:rsidR="00823410" w:rsidRPr="00C90EDA" w14:paraId="53A24CB7" w14:textId="77777777" w:rsidTr="004A32E1">
        <w:tblPrEx>
          <w:jc w:val="left"/>
          <w:tblLook w:val="04A0" w:firstRow="1" w:lastRow="0" w:firstColumn="1" w:lastColumn="0" w:noHBand="0" w:noVBand="1"/>
        </w:tblPrEx>
        <w:trPr>
          <w:trHeight w:val="315"/>
        </w:trPr>
        <w:tc>
          <w:tcPr>
            <w:tcW w:w="1528" w:type="pct"/>
          </w:tcPr>
          <w:p w14:paraId="673D84B1" w14:textId="77777777" w:rsidR="00823410" w:rsidRPr="00C90EDA" w:rsidRDefault="00823410" w:rsidP="00823410">
            <w:pPr>
              <w:spacing w:after="0" w:line="240" w:lineRule="auto"/>
              <w:ind w:firstLine="306"/>
              <w:rPr>
                <w:rFonts w:cstheme="minorHAnsi"/>
              </w:rPr>
            </w:pPr>
            <w:r w:rsidRPr="00C90EDA">
              <w:rPr>
                <w:rFonts w:cstheme="minorHAnsi"/>
              </w:rPr>
              <w:t xml:space="preserve">Other </w:t>
            </w:r>
          </w:p>
        </w:tc>
        <w:tc>
          <w:tcPr>
            <w:tcW w:w="510" w:type="pct"/>
            <w:vAlign w:val="center"/>
          </w:tcPr>
          <w:p w14:paraId="3E18630D" w14:textId="77777777" w:rsidR="00823410" w:rsidRPr="00C90EDA" w:rsidRDefault="00823410" w:rsidP="00823410">
            <w:pPr>
              <w:spacing w:after="0" w:line="240" w:lineRule="auto"/>
              <w:jc w:val="center"/>
              <w:rPr>
                <w:rFonts w:cstheme="minorHAnsi"/>
              </w:rPr>
            </w:pPr>
            <w:r w:rsidRPr="00C90EDA">
              <w:rPr>
                <w:rFonts w:cstheme="minorHAnsi"/>
              </w:rPr>
              <w:t>4,514</w:t>
            </w:r>
          </w:p>
        </w:tc>
        <w:tc>
          <w:tcPr>
            <w:tcW w:w="555" w:type="pct"/>
            <w:vAlign w:val="center"/>
          </w:tcPr>
          <w:p w14:paraId="489CC104" w14:textId="77777777" w:rsidR="00823410" w:rsidRPr="00C90EDA" w:rsidRDefault="00823410" w:rsidP="00823410">
            <w:pPr>
              <w:spacing w:after="0" w:line="240" w:lineRule="auto"/>
              <w:jc w:val="center"/>
              <w:rPr>
                <w:rFonts w:eastAsia="Albany AMT" w:cstheme="minorHAnsi"/>
              </w:rPr>
            </w:pPr>
            <w:r w:rsidRPr="00C90EDA">
              <w:rPr>
                <w:rFonts w:cstheme="minorHAnsi"/>
              </w:rPr>
              <w:t>66.0%</w:t>
            </w:r>
          </w:p>
        </w:tc>
        <w:tc>
          <w:tcPr>
            <w:tcW w:w="1436" w:type="pct"/>
            <w:vAlign w:val="bottom"/>
          </w:tcPr>
          <w:p w14:paraId="40A58162" w14:textId="77777777" w:rsidR="00823410" w:rsidRPr="00C90EDA" w:rsidRDefault="00823410" w:rsidP="00823410">
            <w:pPr>
              <w:spacing w:after="0" w:line="240" w:lineRule="auto"/>
              <w:ind w:firstLine="306"/>
              <w:rPr>
                <w:rFonts w:cstheme="minorHAnsi"/>
              </w:rPr>
            </w:pPr>
            <w:r w:rsidRPr="00C90EDA">
              <w:rPr>
                <w:rFonts w:cstheme="minorHAnsi"/>
              </w:rPr>
              <w:t>Quartile 4 (55.5 to 75.7)</w:t>
            </w:r>
          </w:p>
        </w:tc>
        <w:tc>
          <w:tcPr>
            <w:tcW w:w="509" w:type="pct"/>
            <w:vAlign w:val="center"/>
          </w:tcPr>
          <w:p w14:paraId="286158A8" w14:textId="77777777" w:rsidR="00823410" w:rsidRPr="00C90EDA" w:rsidRDefault="00823410" w:rsidP="00823410">
            <w:pPr>
              <w:spacing w:after="0" w:line="240" w:lineRule="auto"/>
              <w:jc w:val="center"/>
              <w:rPr>
                <w:rFonts w:cstheme="minorHAnsi"/>
              </w:rPr>
            </w:pPr>
            <w:r w:rsidRPr="00C90EDA">
              <w:rPr>
                <w:rFonts w:cstheme="minorHAnsi"/>
              </w:rPr>
              <w:t>95,102</w:t>
            </w:r>
          </w:p>
        </w:tc>
        <w:tc>
          <w:tcPr>
            <w:tcW w:w="462" w:type="pct"/>
            <w:vAlign w:val="center"/>
          </w:tcPr>
          <w:p w14:paraId="3992E685" w14:textId="77777777" w:rsidR="00823410" w:rsidRPr="00C90EDA" w:rsidRDefault="00823410" w:rsidP="00823410">
            <w:pPr>
              <w:spacing w:after="0" w:line="240" w:lineRule="auto"/>
              <w:jc w:val="center"/>
              <w:rPr>
                <w:rFonts w:eastAsia="Albany AMT" w:cstheme="minorHAnsi"/>
              </w:rPr>
            </w:pPr>
            <w:r w:rsidRPr="00C90EDA">
              <w:rPr>
                <w:rFonts w:cstheme="minorHAnsi"/>
              </w:rPr>
              <w:t>65.0%</w:t>
            </w:r>
          </w:p>
        </w:tc>
      </w:tr>
      <w:tr w:rsidR="00823410" w:rsidRPr="00C90EDA" w14:paraId="59207A60" w14:textId="77777777" w:rsidTr="004A32E1">
        <w:trPr>
          <w:jc w:val="center"/>
        </w:trPr>
        <w:tc>
          <w:tcPr>
            <w:tcW w:w="1528" w:type="pct"/>
            <w:tcBorders>
              <w:bottom w:val="single" w:sz="4" w:space="0" w:color="auto"/>
            </w:tcBorders>
            <w:vAlign w:val="bottom"/>
          </w:tcPr>
          <w:p w14:paraId="1465DE80" w14:textId="77777777" w:rsidR="00823410" w:rsidRPr="00C90EDA" w:rsidRDefault="00823410" w:rsidP="00823410">
            <w:pPr>
              <w:spacing w:after="0" w:line="240" w:lineRule="auto"/>
              <w:ind w:firstLine="306"/>
              <w:rPr>
                <w:rFonts w:cstheme="minorHAnsi"/>
              </w:rPr>
            </w:pPr>
            <w:r w:rsidRPr="00C90EDA">
              <w:rPr>
                <w:rFonts w:cstheme="minorHAnsi"/>
              </w:rPr>
              <w:t xml:space="preserve">Missing </w:t>
            </w:r>
          </w:p>
        </w:tc>
        <w:tc>
          <w:tcPr>
            <w:tcW w:w="510" w:type="pct"/>
            <w:tcBorders>
              <w:bottom w:val="single" w:sz="4" w:space="0" w:color="auto"/>
            </w:tcBorders>
            <w:vAlign w:val="center"/>
          </w:tcPr>
          <w:p w14:paraId="23159C0F" w14:textId="77777777" w:rsidR="00823410" w:rsidRPr="00C90EDA" w:rsidRDefault="00823410" w:rsidP="00823410">
            <w:pPr>
              <w:spacing w:after="0" w:line="240" w:lineRule="auto"/>
              <w:jc w:val="center"/>
              <w:rPr>
                <w:rFonts w:cstheme="minorHAnsi"/>
              </w:rPr>
            </w:pPr>
            <w:r w:rsidRPr="00C90EDA">
              <w:rPr>
                <w:rFonts w:cstheme="minorHAnsi"/>
              </w:rPr>
              <w:t>2,686</w:t>
            </w:r>
          </w:p>
        </w:tc>
        <w:tc>
          <w:tcPr>
            <w:tcW w:w="555" w:type="pct"/>
            <w:tcBorders>
              <w:bottom w:val="single" w:sz="4" w:space="0" w:color="auto"/>
            </w:tcBorders>
            <w:vAlign w:val="center"/>
          </w:tcPr>
          <w:p w14:paraId="0F10B0D6" w14:textId="77777777" w:rsidR="00823410" w:rsidRPr="00C90EDA" w:rsidRDefault="00823410" w:rsidP="00823410">
            <w:pPr>
              <w:spacing w:after="0" w:line="240" w:lineRule="auto"/>
              <w:jc w:val="center"/>
              <w:rPr>
                <w:rFonts w:cstheme="minorHAnsi"/>
              </w:rPr>
            </w:pPr>
            <w:r w:rsidRPr="00C90EDA">
              <w:rPr>
                <w:rFonts w:cstheme="minorHAnsi"/>
              </w:rPr>
              <w:t>70.0%</w:t>
            </w:r>
          </w:p>
        </w:tc>
        <w:tc>
          <w:tcPr>
            <w:tcW w:w="1436" w:type="pct"/>
            <w:tcBorders>
              <w:bottom w:val="single" w:sz="4" w:space="0" w:color="auto"/>
            </w:tcBorders>
            <w:vAlign w:val="bottom"/>
          </w:tcPr>
          <w:p w14:paraId="0E5CBCDD" w14:textId="77777777" w:rsidR="00823410" w:rsidRPr="00C90EDA" w:rsidRDefault="00823410" w:rsidP="00823410">
            <w:pPr>
              <w:spacing w:after="0" w:line="240" w:lineRule="auto"/>
              <w:ind w:firstLine="306"/>
              <w:rPr>
                <w:rFonts w:cstheme="minorHAnsi"/>
              </w:rPr>
            </w:pPr>
            <w:r w:rsidRPr="00C90EDA">
              <w:rPr>
                <w:rFonts w:cstheme="minorHAnsi"/>
              </w:rPr>
              <w:t>Missing</w:t>
            </w:r>
          </w:p>
        </w:tc>
        <w:tc>
          <w:tcPr>
            <w:tcW w:w="509" w:type="pct"/>
            <w:tcBorders>
              <w:bottom w:val="single" w:sz="4" w:space="0" w:color="auto"/>
            </w:tcBorders>
            <w:vAlign w:val="bottom"/>
          </w:tcPr>
          <w:p w14:paraId="16C629D4" w14:textId="77777777" w:rsidR="00823410" w:rsidRPr="00C90EDA" w:rsidRDefault="00823410" w:rsidP="00823410">
            <w:pPr>
              <w:spacing w:after="0" w:line="240" w:lineRule="auto"/>
              <w:jc w:val="center"/>
              <w:rPr>
                <w:rFonts w:cstheme="minorHAnsi"/>
              </w:rPr>
            </w:pPr>
            <w:r w:rsidRPr="00C90EDA">
              <w:rPr>
                <w:rFonts w:cstheme="minorHAnsi"/>
              </w:rPr>
              <w:t>244</w:t>
            </w:r>
          </w:p>
        </w:tc>
        <w:tc>
          <w:tcPr>
            <w:tcW w:w="462" w:type="pct"/>
            <w:tcBorders>
              <w:bottom w:val="single" w:sz="4" w:space="0" w:color="auto"/>
            </w:tcBorders>
            <w:vAlign w:val="bottom"/>
          </w:tcPr>
          <w:p w14:paraId="4B3F5EB1" w14:textId="77777777" w:rsidR="00823410" w:rsidRPr="00C90EDA" w:rsidRDefault="00823410" w:rsidP="00823410">
            <w:pPr>
              <w:spacing w:after="0" w:line="240" w:lineRule="auto"/>
              <w:jc w:val="center"/>
              <w:rPr>
                <w:rFonts w:cstheme="minorHAnsi"/>
              </w:rPr>
            </w:pPr>
            <w:r w:rsidRPr="00C90EDA">
              <w:rPr>
                <w:rFonts w:eastAsia="Albany AMT" w:cstheme="minorHAnsi"/>
              </w:rPr>
              <w:t>63.4%</w:t>
            </w:r>
          </w:p>
        </w:tc>
      </w:tr>
    </w:tbl>
    <w:p w14:paraId="4E03990E" w14:textId="77777777" w:rsidR="00F332D4" w:rsidRPr="00C90EDA" w:rsidRDefault="00F332D4" w:rsidP="00F332D4">
      <w:pPr>
        <w:spacing w:after="0" w:line="240" w:lineRule="auto"/>
        <w:rPr>
          <w:rFonts w:eastAsia="Calibri" w:cstheme="minorHAnsi"/>
          <w:sz w:val="18"/>
          <w:szCs w:val="18"/>
        </w:rPr>
      </w:pPr>
      <w:r w:rsidRPr="00C90EDA">
        <w:rPr>
          <w:rFonts w:eastAsia="Calibri" w:cstheme="minorHAnsi"/>
          <w:sz w:val="18"/>
          <w:szCs w:val="18"/>
        </w:rPr>
        <w:t>* based on beneficiary residence. AHRQ = Agency for Healthcare Research. Source: RTI International analysis of FY 2016-2017 Medicare fee-for-service claims data for index IRF stays. (RTI program reference: MM213).</w:t>
      </w:r>
    </w:p>
    <w:p w14:paraId="6D5D396A" w14:textId="77777777" w:rsidR="00F332D4" w:rsidRDefault="00F332D4" w:rsidP="00E547E2">
      <w:pPr>
        <w:spacing w:after="0" w:line="240" w:lineRule="auto"/>
        <w:rPr>
          <w:rFonts w:cstheme="minorHAnsi"/>
        </w:rPr>
      </w:pPr>
    </w:p>
    <w:p w14:paraId="1DD6BEBD" w14:textId="42083D4E" w:rsidR="00E547E2" w:rsidRPr="00C90EDA" w:rsidRDefault="00E547E2" w:rsidP="00E547E2">
      <w:pPr>
        <w:spacing w:after="0" w:line="240" w:lineRule="auto"/>
        <w:rPr>
          <w:rFonts w:eastAsia="Calibri" w:cstheme="minorHAnsi"/>
        </w:rPr>
      </w:pPr>
      <w:r w:rsidRPr="00C90EDA">
        <w:rPr>
          <w:rFonts w:eastAsia="Calibri" w:cstheme="minorHAnsi"/>
          <w:b/>
          <w:bCs/>
        </w:rPr>
        <w:t>Table B-3</w:t>
      </w:r>
      <w:r w:rsidRPr="00C90EDA">
        <w:rPr>
          <w:rFonts w:eastAsia="Calibri" w:cstheme="minorHAnsi"/>
        </w:rPr>
        <w:t xml:space="preserve"> shows the social risk factor </w:t>
      </w:r>
      <w:r w:rsidR="00142CB6">
        <w:rPr>
          <w:rFonts w:eastAsia="Calibri" w:cstheme="minorHAnsi"/>
        </w:rPr>
        <w:t xml:space="preserve">estimates in </w:t>
      </w:r>
      <w:r w:rsidRPr="00C90EDA">
        <w:rPr>
          <w:rFonts w:eastAsia="Calibri" w:cstheme="minorHAnsi"/>
        </w:rPr>
        <w:t xml:space="preserve">our logistic regression model. </w:t>
      </w:r>
      <w:r w:rsidR="00691B3B">
        <w:rPr>
          <w:rFonts w:eastAsia="Calibri" w:cstheme="minorHAnsi"/>
        </w:rPr>
        <w:t>D</w:t>
      </w:r>
      <w:r w:rsidRPr="00C90EDA">
        <w:rPr>
          <w:rFonts w:eastAsia="Calibri" w:cstheme="minorHAnsi"/>
        </w:rPr>
        <w:t>ual eligibility was strongly associated with lower odds of successful DTC</w:t>
      </w:r>
      <w:r w:rsidR="00EF46CF">
        <w:rPr>
          <w:rFonts w:eastAsia="Calibri" w:cstheme="minorHAnsi"/>
        </w:rPr>
        <w:t>,</w:t>
      </w:r>
      <w:r w:rsidRPr="00C90EDA">
        <w:rPr>
          <w:rFonts w:eastAsia="Calibri" w:cstheme="minorHAnsi"/>
        </w:rPr>
        <w:t xml:space="preserve"> </w:t>
      </w:r>
      <w:r w:rsidR="008A700D">
        <w:rPr>
          <w:rFonts w:eastAsia="Calibri" w:cstheme="minorHAnsi"/>
        </w:rPr>
        <w:t>with the estimate for dual with full Medicaid being twice as large as that for dual without full Medicaid. All</w:t>
      </w:r>
      <w:r w:rsidR="00EF46CF">
        <w:rPr>
          <w:rFonts w:eastAsia="Calibri" w:cstheme="minorHAnsi"/>
        </w:rPr>
        <w:t xml:space="preserve"> </w:t>
      </w:r>
      <w:r w:rsidRPr="00C90EDA">
        <w:rPr>
          <w:rFonts w:eastAsia="Calibri" w:cstheme="minorHAnsi"/>
        </w:rPr>
        <w:t>race</w:t>
      </w:r>
      <w:r w:rsidR="00142CB6">
        <w:rPr>
          <w:rFonts w:eastAsia="Calibri" w:cstheme="minorHAnsi"/>
        </w:rPr>
        <w:t>/</w:t>
      </w:r>
      <w:r w:rsidRPr="00C90EDA">
        <w:rPr>
          <w:rFonts w:eastAsia="Calibri" w:cstheme="minorHAnsi"/>
        </w:rPr>
        <w:t xml:space="preserve">ethnicity groups were associated with higher odds of DTC compared to the </w:t>
      </w:r>
      <w:r w:rsidR="00142CB6">
        <w:rPr>
          <w:rFonts w:eastAsia="Calibri" w:cstheme="minorHAnsi"/>
        </w:rPr>
        <w:t>reference</w:t>
      </w:r>
      <w:r w:rsidRPr="00C90EDA">
        <w:rPr>
          <w:rFonts w:eastAsia="Calibri" w:cstheme="minorHAnsi"/>
        </w:rPr>
        <w:t xml:space="preserve"> group </w:t>
      </w:r>
      <w:r w:rsidR="00142CB6">
        <w:rPr>
          <w:rFonts w:eastAsia="Calibri" w:cstheme="minorHAnsi"/>
        </w:rPr>
        <w:t>of</w:t>
      </w:r>
      <w:r w:rsidRPr="00C90EDA">
        <w:rPr>
          <w:rFonts w:eastAsia="Calibri" w:cstheme="minorHAnsi"/>
        </w:rPr>
        <w:t xml:space="preserve"> </w:t>
      </w:r>
      <w:r w:rsidR="00142CB6">
        <w:rPr>
          <w:rFonts w:eastAsia="Calibri" w:cstheme="minorHAnsi"/>
        </w:rPr>
        <w:t>w</w:t>
      </w:r>
      <w:r w:rsidRPr="00C90EDA">
        <w:rPr>
          <w:rFonts w:eastAsia="Calibri" w:cstheme="minorHAnsi"/>
        </w:rPr>
        <w:t>hite</w:t>
      </w:r>
      <w:r w:rsidR="008005B3">
        <w:rPr>
          <w:rFonts w:eastAsia="Calibri" w:cstheme="minorHAnsi"/>
        </w:rPr>
        <w:t xml:space="preserve">, with Hispanic having the greatest </w:t>
      </w:r>
      <w:r w:rsidR="008005B3">
        <w:rPr>
          <w:rFonts w:eastAsia="Calibri" w:cstheme="minorHAnsi"/>
        </w:rPr>
        <w:lastRenderedPageBreak/>
        <w:t>protective effect</w:t>
      </w:r>
      <w:r w:rsidRPr="00C90EDA">
        <w:rPr>
          <w:rFonts w:eastAsia="Calibri" w:cstheme="minorHAnsi"/>
        </w:rPr>
        <w:t xml:space="preserve">. </w:t>
      </w:r>
      <w:r w:rsidR="008005B3" w:rsidRPr="00C90EDA">
        <w:rPr>
          <w:rFonts w:eastAsia="Calibri" w:cstheme="minorHAnsi"/>
        </w:rPr>
        <w:t>Patients</w:t>
      </w:r>
      <w:r w:rsidR="008005B3">
        <w:rPr>
          <w:rFonts w:eastAsia="Calibri" w:cstheme="minorHAnsi"/>
        </w:rPr>
        <w:t xml:space="preserve"> living in</w:t>
      </w:r>
      <w:r w:rsidR="00C34D93">
        <w:rPr>
          <w:rFonts w:eastAsia="Calibri" w:cstheme="minorHAnsi"/>
        </w:rPr>
        <w:t xml:space="preserve"> non-urban</w:t>
      </w:r>
      <w:r w:rsidRPr="00C90EDA">
        <w:rPr>
          <w:rFonts w:eastAsia="Calibri" w:cstheme="minorHAnsi"/>
        </w:rPr>
        <w:t xml:space="preserve"> </w:t>
      </w:r>
      <w:r w:rsidR="008005B3">
        <w:rPr>
          <w:rFonts w:eastAsia="Calibri" w:cstheme="minorHAnsi"/>
        </w:rPr>
        <w:t xml:space="preserve">areas </w:t>
      </w:r>
      <w:r w:rsidRPr="00C90EDA">
        <w:rPr>
          <w:rFonts w:eastAsia="Calibri" w:cstheme="minorHAnsi"/>
        </w:rPr>
        <w:t>had lower odds of DTC</w:t>
      </w:r>
      <w:r w:rsidR="008005B3">
        <w:rPr>
          <w:rFonts w:eastAsia="Calibri" w:cstheme="minorHAnsi"/>
        </w:rPr>
        <w:t xml:space="preserve"> compared with those in urban areas</w:t>
      </w:r>
      <w:r w:rsidRPr="00C90EDA">
        <w:rPr>
          <w:rFonts w:eastAsia="Calibri" w:cstheme="minorHAnsi"/>
        </w:rPr>
        <w:t>, though the</w:t>
      </w:r>
      <w:r w:rsidR="001B36BA">
        <w:rPr>
          <w:rFonts w:eastAsia="Calibri" w:cstheme="minorHAnsi"/>
        </w:rPr>
        <w:t xml:space="preserve"> estimate</w:t>
      </w:r>
      <w:r w:rsidRPr="00C90EDA">
        <w:rPr>
          <w:rFonts w:eastAsia="Calibri" w:cstheme="minorHAnsi"/>
        </w:rPr>
        <w:t xml:space="preserve"> was</w:t>
      </w:r>
      <w:r w:rsidR="001B36BA">
        <w:rPr>
          <w:rFonts w:eastAsia="Calibri" w:cstheme="minorHAnsi"/>
        </w:rPr>
        <w:t xml:space="preserve"> relatively small</w:t>
      </w:r>
      <w:r w:rsidRPr="00C90EDA">
        <w:rPr>
          <w:rFonts w:eastAsia="Calibri" w:cstheme="minorHAnsi"/>
        </w:rPr>
        <w:t xml:space="preserve">. </w:t>
      </w:r>
      <w:r w:rsidR="00433295">
        <w:rPr>
          <w:rFonts w:eastAsia="Calibri" w:cstheme="minorHAnsi"/>
        </w:rPr>
        <w:t xml:space="preserve">Unexpectedly, </w:t>
      </w:r>
      <w:r w:rsidRPr="00C90EDA">
        <w:rPr>
          <w:rFonts w:eastAsia="Calibri" w:cstheme="minorHAnsi"/>
        </w:rPr>
        <w:t xml:space="preserve">AHRQ SES Index </w:t>
      </w:r>
      <w:r w:rsidR="001B36BA">
        <w:rPr>
          <w:rFonts w:eastAsia="Calibri" w:cstheme="minorHAnsi"/>
        </w:rPr>
        <w:t>q</w:t>
      </w:r>
      <w:r w:rsidRPr="00C90EDA">
        <w:rPr>
          <w:rFonts w:eastAsia="Calibri" w:cstheme="minorHAnsi"/>
        </w:rPr>
        <w:t>uartiles 1</w:t>
      </w:r>
      <w:r w:rsidR="009F2C3F">
        <w:rPr>
          <w:rFonts w:eastAsia="Calibri" w:cstheme="minorHAnsi"/>
        </w:rPr>
        <w:t xml:space="preserve"> to </w:t>
      </w:r>
      <w:r w:rsidRPr="00C90EDA">
        <w:rPr>
          <w:rFonts w:eastAsia="Calibri" w:cstheme="minorHAnsi"/>
        </w:rPr>
        <w:t xml:space="preserve">3 were all associated with greater odds of successful DTC, though the magnitude of estimates </w:t>
      </w:r>
      <w:r w:rsidR="00D055F6">
        <w:rPr>
          <w:rFonts w:eastAsia="Calibri" w:cstheme="minorHAnsi"/>
        </w:rPr>
        <w:t xml:space="preserve">was </w:t>
      </w:r>
      <w:r w:rsidRPr="00C90EDA">
        <w:rPr>
          <w:rFonts w:eastAsia="Calibri" w:cstheme="minorHAnsi"/>
        </w:rPr>
        <w:t xml:space="preserve">small. In addition, not shown in </w:t>
      </w:r>
      <w:r w:rsidRPr="00C90EDA">
        <w:rPr>
          <w:rFonts w:eastAsia="Calibri" w:cstheme="minorHAnsi"/>
          <w:b/>
        </w:rPr>
        <w:t>Table B-3</w:t>
      </w:r>
      <w:r w:rsidRPr="00C90EDA">
        <w:rPr>
          <w:rFonts w:eastAsia="Calibri" w:cstheme="minorHAnsi"/>
        </w:rPr>
        <w:t xml:space="preserve">, we found that controlling for </w:t>
      </w:r>
      <w:r w:rsidR="00D055F6">
        <w:rPr>
          <w:rFonts w:eastAsia="Calibri" w:cstheme="minorHAnsi"/>
        </w:rPr>
        <w:t xml:space="preserve">social risk factors </w:t>
      </w:r>
      <w:r w:rsidRPr="00C90EDA">
        <w:rPr>
          <w:rFonts w:eastAsia="Calibri" w:cstheme="minorHAnsi"/>
        </w:rPr>
        <w:t>increased the model C-statistic by only 0.001.</w:t>
      </w:r>
    </w:p>
    <w:p w14:paraId="52602D67" w14:textId="1FB6393C" w:rsidR="00E547E2" w:rsidRDefault="00E547E2" w:rsidP="00E547E2">
      <w:pPr>
        <w:spacing w:after="0" w:line="240" w:lineRule="auto"/>
        <w:rPr>
          <w:rFonts w:eastAsia="Calibri" w:cstheme="minorHAnsi"/>
        </w:rPr>
      </w:pPr>
    </w:p>
    <w:p w14:paraId="4A3703F0" w14:textId="5CDBE2D4" w:rsidR="00F332D4" w:rsidRPr="00C90EDA" w:rsidRDefault="00F332D4" w:rsidP="00F332D4">
      <w:pPr>
        <w:spacing w:after="0" w:line="240" w:lineRule="auto"/>
        <w:rPr>
          <w:rFonts w:eastAsia="Calibri" w:cstheme="minorHAnsi"/>
          <w:b/>
          <w:bCs/>
          <w:szCs w:val="20"/>
        </w:rPr>
      </w:pPr>
      <w:r w:rsidRPr="00C90EDA">
        <w:rPr>
          <w:rFonts w:eastAsia="Calibri" w:cstheme="minorHAnsi"/>
          <w:b/>
          <w:bCs/>
          <w:szCs w:val="20"/>
        </w:rPr>
        <w:t xml:space="preserve">Table B-3. </w:t>
      </w:r>
      <w:r w:rsidRPr="00C90EDA">
        <w:rPr>
          <w:rFonts w:eastAsia="Calibri" w:cstheme="minorHAnsi"/>
          <w:b/>
          <w:szCs w:val="20"/>
        </w:rPr>
        <w:t>Effect of Social Risk Factors</w:t>
      </w:r>
      <w:r w:rsidRPr="00C90EDA">
        <w:rPr>
          <w:rFonts w:eastAsia="Calibri" w:cstheme="minorHAnsi"/>
          <w:b/>
          <w:bCs/>
          <w:szCs w:val="20"/>
        </w:rPr>
        <w:t xml:space="preserve"> in the DTC-PAC IRF Logistic Regression Model</w:t>
      </w:r>
      <w:r w:rsidRPr="00C90EDA">
        <w:rPr>
          <w:rFonts w:eastAsia="Calibri" w:cstheme="minorHAnsi"/>
          <w:b/>
        </w:rPr>
        <w:t xml:space="preserve"> (N = 585,702)</w:t>
      </w:r>
      <w:r w:rsidRPr="00C90EDA">
        <w:rPr>
          <w:rFonts w:eastAsia="Calibri" w:cstheme="minorHAnsi"/>
          <w:b/>
          <w:bCs/>
          <w:szCs w:val="20"/>
        </w:rPr>
        <w:t xml:space="preserve"> </w:t>
      </w:r>
    </w:p>
    <w:p w14:paraId="3B9EFA9C" w14:textId="77777777" w:rsidR="00F332D4" w:rsidRPr="00C90EDA" w:rsidRDefault="00F332D4" w:rsidP="00F332D4">
      <w:pPr>
        <w:spacing w:after="0" w:line="240" w:lineRule="auto"/>
        <w:rPr>
          <w:rFonts w:eastAsia="Calibri" w:cstheme="minorHAnsi"/>
          <w:b/>
          <w:bCs/>
          <w:sz w:val="20"/>
          <w:szCs w:val="20"/>
        </w:rPr>
      </w:pPr>
    </w:p>
    <w:tbl>
      <w:tblPr>
        <w:tblW w:w="4103" w:type="pct"/>
        <w:jc w:val="center"/>
        <w:tblLayout w:type="fixed"/>
        <w:tblLook w:val="06A0" w:firstRow="1" w:lastRow="0" w:firstColumn="1" w:lastColumn="0" w:noHBand="1" w:noVBand="1"/>
      </w:tblPr>
      <w:tblGrid>
        <w:gridCol w:w="3071"/>
        <w:gridCol w:w="1447"/>
        <w:gridCol w:w="1175"/>
        <w:gridCol w:w="994"/>
        <w:gridCol w:w="994"/>
      </w:tblGrid>
      <w:tr w:rsidR="00F332D4" w:rsidRPr="00C90EDA" w14:paraId="769A873B" w14:textId="77777777" w:rsidTr="009B581B">
        <w:trPr>
          <w:trHeight w:val="483"/>
          <w:jc w:val="center"/>
        </w:trPr>
        <w:tc>
          <w:tcPr>
            <w:tcW w:w="3071" w:type="dxa"/>
            <w:tcBorders>
              <w:top w:val="single" w:sz="4" w:space="0" w:color="auto"/>
              <w:bottom w:val="single" w:sz="4" w:space="0" w:color="auto"/>
            </w:tcBorders>
            <w:shd w:val="clear" w:color="auto" w:fill="D9D9D9" w:themeFill="background1" w:themeFillShade="D9"/>
            <w:vAlign w:val="center"/>
          </w:tcPr>
          <w:p w14:paraId="5D010624" w14:textId="77777777" w:rsidR="00F332D4" w:rsidRPr="00C90EDA" w:rsidRDefault="00F332D4" w:rsidP="003B4778">
            <w:pPr>
              <w:spacing w:after="0" w:line="240" w:lineRule="auto"/>
              <w:rPr>
                <w:rFonts w:cstheme="minorHAnsi"/>
                <w:b/>
                <w:bCs/>
              </w:rPr>
            </w:pPr>
            <w:r w:rsidRPr="00C90EDA">
              <w:rPr>
                <w:rFonts w:cstheme="minorHAnsi"/>
                <w:b/>
                <w:bCs/>
              </w:rPr>
              <w:t>Social Risk Factor</w:t>
            </w:r>
          </w:p>
        </w:tc>
        <w:tc>
          <w:tcPr>
            <w:tcW w:w="1447" w:type="dxa"/>
            <w:tcBorders>
              <w:top w:val="single" w:sz="4" w:space="0" w:color="auto"/>
              <w:bottom w:val="single" w:sz="4" w:space="0" w:color="auto"/>
            </w:tcBorders>
            <w:shd w:val="clear" w:color="auto" w:fill="D9D9D9" w:themeFill="background1" w:themeFillShade="D9"/>
            <w:vAlign w:val="center"/>
          </w:tcPr>
          <w:p w14:paraId="0B557A42" w14:textId="77777777" w:rsidR="00F332D4" w:rsidRPr="00C90EDA" w:rsidRDefault="00F332D4" w:rsidP="003B4778">
            <w:pPr>
              <w:spacing w:after="0" w:line="240" w:lineRule="auto"/>
              <w:rPr>
                <w:rFonts w:cstheme="minorHAnsi"/>
                <w:b/>
                <w:bCs/>
              </w:rPr>
            </w:pPr>
            <w:r w:rsidRPr="00C90EDA">
              <w:rPr>
                <w:rFonts w:cstheme="minorHAnsi"/>
                <w:b/>
                <w:bCs/>
              </w:rPr>
              <w:t>Estimate</w:t>
            </w:r>
          </w:p>
        </w:tc>
        <w:tc>
          <w:tcPr>
            <w:tcW w:w="1175" w:type="dxa"/>
            <w:tcBorders>
              <w:top w:val="single" w:sz="4" w:space="0" w:color="auto"/>
              <w:bottom w:val="single" w:sz="4" w:space="0" w:color="auto"/>
            </w:tcBorders>
            <w:shd w:val="clear" w:color="auto" w:fill="D9D9D9" w:themeFill="background1" w:themeFillShade="D9"/>
            <w:vAlign w:val="center"/>
          </w:tcPr>
          <w:p w14:paraId="693FEE05" w14:textId="77777777" w:rsidR="00F332D4" w:rsidRPr="00C90EDA" w:rsidRDefault="00F332D4" w:rsidP="003B4778">
            <w:pPr>
              <w:spacing w:after="0" w:line="240" w:lineRule="auto"/>
              <w:rPr>
                <w:rFonts w:cstheme="minorHAnsi"/>
                <w:b/>
                <w:bCs/>
              </w:rPr>
            </w:pPr>
            <w:r w:rsidRPr="00C90EDA">
              <w:rPr>
                <w:rFonts w:cstheme="minorHAnsi"/>
                <w:b/>
                <w:bCs/>
              </w:rPr>
              <w:t>SE</w:t>
            </w:r>
          </w:p>
        </w:tc>
        <w:tc>
          <w:tcPr>
            <w:tcW w:w="994" w:type="dxa"/>
            <w:tcBorders>
              <w:top w:val="single" w:sz="4" w:space="0" w:color="auto"/>
              <w:bottom w:val="single" w:sz="4" w:space="0" w:color="auto"/>
            </w:tcBorders>
            <w:shd w:val="clear" w:color="auto" w:fill="D9D9D9" w:themeFill="background1" w:themeFillShade="D9"/>
            <w:vAlign w:val="center"/>
          </w:tcPr>
          <w:p w14:paraId="549B30EC" w14:textId="77777777" w:rsidR="00F332D4" w:rsidRPr="00C90EDA" w:rsidRDefault="00F332D4" w:rsidP="003B4778">
            <w:pPr>
              <w:spacing w:after="0" w:line="240" w:lineRule="auto"/>
              <w:rPr>
                <w:rFonts w:cstheme="minorHAnsi"/>
                <w:b/>
                <w:bCs/>
                <w:i/>
              </w:rPr>
            </w:pPr>
            <w:r w:rsidRPr="00C90EDA">
              <w:rPr>
                <w:rFonts w:cstheme="minorHAnsi"/>
                <w:b/>
                <w:bCs/>
                <w:i/>
              </w:rPr>
              <w:t>p</w:t>
            </w:r>
            <w:r w:rsidRPr="00C90EDA">
              <w:rPr>
                <w:rFonts w:cstheme="minorHAnsi"/>
                <w:b/>
                <w:bCs/>
              </w:rPr>
              <w:t>-value</w:t>
            </w:r>
          </w:p>
        </w:tc>
        <w:tc>
          <w:tcPr>
            <w:tcW w:w="994" w:type="dxa"/>
            <w:tcBorders>
              <w:top w:val="single" w:sz="4" w:space="0" w:color="auto"/>
              <w:bottom w:val="single" w:sz="4" w:space="0" w:color="auto"/>
            </w:tcBorders>
            <w:shd w:val="clear" w:color="auto" w:fill="D9D9D9" w:themeFill="background1" w:themeFillShade="D9"/>
            <w:vAlign w:val="center"/>
          </w:tcPr>
          <w:p w14:paraId="60B0B848" w14:textId="77777777" w:rsidR="00F332D4" w:rsidRPr="00C90EDA" w:rsidRDefault="00F332D4" w:rsidP="003B4778">
            <w:pPr>
              <w:spacing w:after="0" w:line="240" w:lineRule="auto"/>
              <w:rPr>
                <w:rFonts w:cstheme="minorHAnsi"/>
                <w:b/>
                <w:bCs/>
              </w:rPr>
            </w:pPr>
            <w:r w:rsidRPr="00C90EDA">
              <w:rPr>
                <w:rFonts w:cstheme="minorHAnsi"/>
                <w:b/>
                <w:bCs/>
              </w:rPr>
              <w:t>OR</w:t>
            </w:r>
          </w:p>
        </w:tc>
      </w:tr>
      <w:tr w:rsidR="00F332D4" w:rsidRPr="00C90EDA" w14:paraId="1E2E36B1" w14:textId="77777777" w:rsidTr="00586DEC">
        <w:tblPrEx>
          <w:tblLook w:val="04A0" w:firstRow="1" w:lastRow="0" w:firstColumn="1" w:lastColumn="0" w:noHBand="0" w:noVBand="1"/>
        </w:tblPrEx>
        <w:trPr>
          <w:trHeight w:val="317"/>
          <w:jc w:val="center"/>
        </w:trPr>
        <w:tc>
          <w:tcPr>
            <w:tcW w:w="7681" w:type="dxa"/>
            <w:gridSpan w:val="5"/>
            <w:tcBorders>
              <w:top w:val="single" w:sz="4" w:space="0" w:color="auto"/>
            </w:tcBorders>
            <w:vAlign w:val="center"/>
          </w:tcPr>
          <w:p w14:paraId="2142E3E9" w14:textId="77777777" w:rsidR="00F332D4" w:rsidRPr="00C90EDA" w:rsidRDefault="00F332D4" w:rsidP="003B4778">
            <w:pPr>
              <w:spacing w:after="0" w:line="240" w:lineRule="auto"/>
              <w:rPr>
                <w:rFonts w:cstheme="minorHAnsi"/>
              </w:rPr>
            </w:pPr>
            <w:r w:rsidRPr="00C90EDA">
              <w:rPr>
                <w:rFonts w:cstheme="minorHAnsi"/>
                <w:b/>
                <w:i/>
              </w:rPr>
              <w:t>Dual Eligibility (reference =</w:t>
            </w:r>
            <w:r w:rsidRPr="00C90EDA">
              <w:rPr>
                <w:rFonts w:cstheme="minorHAnsi"/>
              </w:rPr>
              <w:t xml:space="preserve"> </w:t>
            </w:r>
            <w:r w:rsidRPr="00C90EDA">
              <w:rPr>
                <w:rFonts w:cstheme="minorHAnsi"/>
                <w:b/>
                <w:i/>
              </w:rPr>
              <w:t>Non-dual)</w:t>
            </w:r>
          </w:p>
        </w:tc>
      </w:tr>
      <w:tr w:rsidR="00F332D4" w:rsidRPr="00C90EDA" w14:paraId="2433DDAD" w14:textId="77777777" w:rsidTr="003B4778">
        <w:tblPrEx>
          <w:tblLook w:val="04A0" w:firstRow="1" w:lastRow="0" w:firstColumn="1" w:lastColumn="0" w:noHBand="0" w:noVBand="1"/>
        </w:tblPrEx>
        <w:trPr>
          <w:trHeight w:val="317"/>
          <w:jc w:val="center"/>
        </w:trPr>
        <w:tc>
          <w:tcPr>
            <w:tcW w:w="3071" w:type="dxa"/>
            <w:vAlign w:val="bottom"/>
          </w:tcPr>
          <w:p w14:paraId="6DF4DDFE" w14:textId="77777777" w:rsidR="00F332D4" w:rsidRPr="00C90EDA" w:rsidRDefault="00F332D4" w:rsidP="003B4778">
            <w:pPr>
              <w:spacing w:after="0" w:line="240" w:lineRule="auto"/>
              <w:rPr>
                <w:rFonts w:cstheme="minorHAnsi"/>
              </w:rPr>
            </w:pPr>
            <w:r w:rsidRPr="00C90EDA">
              <w:rPr>
                <w:rFonts w:cstheme="minorHAnsi"/>
              </w:rPr>
              <w:t xml:space="preserve">      Dual with full Medicaid</w:t>
            </w:r>
          </w:p>
        </w:tc>
        <w:tc>
          <w:tcPr>
            <w:tcW w:w="1447" w:type="dxa"/>
            <w:vAlign w:val="bottom"/>
          </w:tcPr>
          <w:p w14:paraId="65F5543B" w14:textId="77777777" w:rsidR="00F332D4" w:rsidRPr="00C90EDA" w:rsidRDefault="00F332D4" w:rsidP="003B4778">
            <w:pPr>
              <w:spacing w:after="0" w:line="240" w:lineRule="auto"/>
              <w:jc w:val="center"/>
              <w:rPr>
                <w:rFonts w:cstheme="minorHAnsi"/>
              </w:rPr>
            </w:pPr>
            <w:r w:rsidRPr="00C90EDA">
              <w:rPr>
                <w:rFonts w:cstheme="minorHAnsi"/>
              </w:rPr>
              <w:t>-0.2481</w:t>
            </w:r>
          </w:p>
        </w:tc>
        <w:tc>
          <w:tcPr>
            <w:tcW w:w="1175" w:type="dxa"/>
            <w:vAlign w:val="bottom"/>
          </w:tcPr>
          <w:p w14:paraId="0FAD3820" w14:textId="77777777" w:rsidR="00F332D4" w:rsidRPr="00C90EDA" w:rsidRDefault="00F332D4" w:rsidP="003B4778">
            <w:pPr>
              <w:spacing w:after="0" w:line="240" w:lineRule="auto"/>
              <w:jc w:val="center"/>
              <w:rPr>
                <w:rFonts w:cstheme="minorHAnsi"/>
              </w:rPr>
            </w:pPr>
            <w:r w:rsidRPr="00C90EDA">
              <w:rPr>
                <w:rFonts w:cstheme="minorHAnsi"/>
              </w:rPr>
              <w:t>0.0099</w:t>
            </w:r>
          </w:p>
        </w:tc>
        <w:tc>
          <w:tcPr>
            <w:tcW w:w="994" w:type="dxa"/>
            <w:vAlign w:val="bottom"/>
          </w:tcPr>
          <w:p w14:paraId="034ECB31" w14:textId="77777777" w:rsidR="00F332D4" w:rsidRPr="00C90EDA" w:rsidRDefault="00F332D4" w:rsidP="003B4778">
            <w:pPr>
              <w:spacing w:after="0" w:line="240" w:lineRule="auto"/>
              <w:jc w:val="center"/>
              <w:rPr>
                <w:rFonts w:cstheme="minorHAnsi"/>
              </w:rPr>
            </w:pPr>
            <w:r w:rsidRPr="00C90EDA">
              <w:rPr>
                <w:rFonts w:cstheme="minorHAnsi"/>
              </w:rPr>
              <w:t>&lt;.0001</w:t>
            </w:r>
          </w:p>
        </w:tc>
        <w:tc>
          <w:tcPr>
            <w:tcW w:w="994" w:type="dxa"/>
            <w:vAlign w:val="bottom"/>
          </w:tcPr>
          <w:p w14:paraId="00D5C6AF" w14:textId="77777777" w:rsidR="00F332D4" w:rsidRPr="00C90EDA" w:rsidRDefault="00F332D4" w:rsidP="003B4778">
            <w:pPr>
              <w:spacing w:after="0" w:line="240" w:lineRule="auto"/>
              <w:jc w:val="center"/>
              <w:rPr>
                <w:rFonts w:cstheme="minorHAnsi"/>
              </w:rPr>
            </w:pPr>
            <w:r w:rsidRPr="00C90EDA">
              <w:rPr>
                <w:rFonts w:cstheme="minorHAnsi"/>
              </w:rPr>
              <w:t>0.780</w:t>
            </w:r>
          </w:p>
        </w:tc>
      </w:tr>
      <w:tr w:rsidR="00F332D4" w:rsidRPr="00C90EDA" w14:paraId="0987F6AD" w14:textId="77777777" w:rsidTr="003B4778">
        <w:tblPrEx>
          <w:tblLook w:val="04A0" w:firstRow="1" w:lastRow="0" w:firstColumn="1" w:lastColumn="0" w:noHBand="0" w:noVBand="1"/>
        </w:tblPrEx>
        <w:trPr>
          <w:trHeight w:val="317"/>
          <w:jc w:val="center"/>
        </w:trPr>
        <w:tc>
          <w:tcPr>
            <w:tcW w:w="3071" w:type="dxa"/>
            <w:vAlign w:val="bottom"/>
          </w:tcPr>
          <w:p w14:paraId="74CC05DD" w14:textId="77777777" w:rsidR="00F332D4" w:rsidRPr="00C90EDA" w:rsidRDefault="00F332D4" w:rsidP="003B4778">
            <w:pPr>
              <w:spacing w:after="0" w:line="240" w:lineRule="auto"/>
              <w:rPr>
                <w:rFonts w:cstheme="minorHAnsi"/>
              </w:rPr>
            </w:pPr>
            <w:r w:rsidRPr="00C90EDA">
              <w:rPr>
                <w:rFonts w:cstheme="minorHAnsi"/>
              </w:rPr>
              <w:t xml:space="preserve">      Dual without full Medicaid</w:t>
            </w:r>
          </w:p>
        </w:tc>
        <w:tc>
          <w:tcPr>
            <w:tcW w:w="1447" w:type="dxa"/>
            <w:vAlign w:val="bottom"/>
          </w:tcPr>
          <w:p w14:paraId="5209DC0B" w14:textId="77777777" w:rsidR="00F332D4" w:rsidRPr="00C90EDA" w:rsidRDefault="00F332D4" w:rsidP="003B4778">
            <w:pPr>
              <w:spacing w:after="0" w:line="240" w:lineRule="auto"/>
              <w:jc w:val="center"/>
              <w:rPr>
                <w:rFonts w:cstheme="minorHAnsi"/>
              </w:rPr>
            </w:pPr>
            <w:r w:rsidRPr="00C90EDA">
              <w:rPr>
                <w:rFonts w:cstheme="minorHAnsi"/>
              </w:rPr>
              <w:t>-0.1205</w:t>
            </w:r>
          </w:p>
        </w:tc>
        <w:tc>
          <w:tcPr>
            <w:tcW w:w="1175" w:type="dxa"/>
            <w:vAlign w:val="bottom"/>
          </w:tcPr>
          <w:p w14:paraId="5F4B71AE" w14:textId="77777777" w:rsidR="00F332D4" w:rsidRPr="00C90EDA" w:rsidRDefault="00F332D4" w:rsidP="003B4778">
            <w:pPr>
              <w:spacing w:after="0" w:line="240" w:lineRule="auto"/>
              <w:jc w:val="center"/>
              <w:rPr>
                <w:rFonts w:cstheme="minorHAnsi"/>
              </w:rPr>
            </w:pPr>
            <w:r w:rsidRPr="00C90EDA">
              <w:rPr>
                <w:rFonts w:cstheme="minorHAnsi"/>
              </w:rPr>
              <w:t>0.0131</w:t>
            </w:r>
          </w:p>
        </w:tc>
        <w:tc>
          <w:tcPr>
            <w:tcW w:w="994" w:type="dxa"/>
            <w:vAlign w:val="bottom"/>
          </w:tcPr>
          <w:p w14:paraId="6C54F853" w14:textId="77777777" w:rsidR="00F332D4" w:rsidRPr="00C90EDA" w:rsidRDefault="00F332D4" w:rsidP="003B4778">
            <w:pPr>
              <w:spacing w:after="0" w:line="240" w:lineRule="auto"/>
              <w:jc w:val="center"/>
              <w:rPr>
                <w:rFonts w:cstheme="minorHAnsi"/>
              </w:rPr>
            </w:pPr>
            <w:r w:rsidRPr="00C90EDA">
              <w:rPr>
                <w:rFonts w:cstheme="minorHAnsi"/>
              </w:rPr>
              <w:t>&lt;.0001</w:t>
            </w:r>
          </w:p>
        </w:tc>
        <w:tc>
          <w:tcPr>
            <w:tcW w:w="994" w:type="dxa"/>
            <w:vAlign w:val="bottom"/>
          </w:tcPr>
          <w:p w14:paraId="12C7795F" w14:textId="77777777" w:rsidR="00F332D4" w:rsidRPr="00C90EDA" w:rsidRDefault="00F332D4" w:rsidP="003B4778">
            <w:pPr>
              <w:spacing w:after="0" w:line="240" w:lineRule="auto"/>
              <w:jc w:val="center"/>
              <w:rPr>
                <w:rFonts w:cstheme="minorHAnsi"/>
              </w:rPr>
            </w:pPr>
            <w:r w:rsidRPr="00C90EDA">
              <w:rPr>
                <w:rFonts w:cstheme="minorHAnsi"/>
              </w:rPr>
              <w:t>0.886</w:t>
            </w:r>
          </w:p>
        </w:tc>
      </w:tr>
      <w:tr w:rsidR="00F332D4" w:rsidRPr="00C90EDA" w14:paraId="1842BEB8" w14:textId="77777777" w:rsidTr="003B4778">
        <w:tblPrEx>
          <w:tblLook w:val="04A0" w:firstRow="1" w:lastRow="0" w:firstColumn="1" w:lastColumn="0" w:noHBand="0" w:noVBand="1"/>
        </w:tblPrEx>
        <w:trPr>
          <w:trHeight w:val="389"/>
          <w:jc w:val="center"/>
        </w:trPr>
        <w:tc>
          <w:tcPr>
            <w:tcW w:w="7681" w:type="dxa"/>
            <w:gridSpan w:val="5"/>
            <w:vAlign w:val="center"/>
          </w:tcPr>
          <w:p w14:paraId="400EF110" w14:textId="77777777" w:rsidR="00F332D4" w:rsidRPr="00C90EDA" w:rsidRDefault="00F332D4" w:rsidP="003B4778">
            <w:pPr>
              <w:spacing w:after="0" w:line="240" w:lineRule="auto"/>
              <w:rPr>
                <w:rFonts w:cstheme="minorHAnsi"/>
                <w:b/>
                <w:bCs/>
              </w:rPr>
            </w:pPr>
            <w:r w:rsidRPr="00C90EDA">
              <w:rPr>
                <w:rFonts w:cstheme="minorHAnsi"/>
                <w:b/>
                <w:i/>
              </w:rPr>
              <w:t>Race/Ethnicity (reference = White)</w:t>
            </w:r>
          </w:p>
        </w:tc>
      </w:tr>
      <w:tr w:rsidR="00F332D4" w:rsidRPr="00C90EDA" w14:paraId="4A5017D3" w14:textId="77777777" w:rsidTr="003B4778">
        <w:tblPrEx>
          <w:tblLook w:val="04A0" w:firstRow="1" w:lastRow="0" w:firstColumn="1" w:lastColumn="0" w:noHBand="0" w:noVBand="1"/>
        </w:tblPrEx>
        <w:trPr>
          <w:trHeight w:val="317"/>
          <w:jc w:val="center"/>
        </w:trPr>
        <w:tc>
          <w:tcPr>
            <w:tcW w:w="3071" w:type="dxa"/>
          </w:tcPr>
          <w:p w14:paraId="539B4C65" w14:textId="77777777" w:rsidR="00F332D4" w:rsidRPr="00C90EDA" w:rsidRDefault="00F332D4" w:rsidP="003B4778">
            <w:pPr>
              <w:spacing w:after="0" w:line="240" w:lineRule="auto"/>
              <w:rPr>
                <w:rFonts w:cstheme="minorHAnsi"/>
              </w:rPr>
            </w:pPr>
            <w:r w:rsidRPr="00C90EDA">
              <w:rPr>
                <w:rFonts w:cstheme="minorHAnsi"/>
              </w:rPr>
              <w:t xml:space="preserve">      Black</w:t>
            </w:r>
          </w:p>
        </w:tc>
        <w:tc>
          <w:tcPr>
            <w:tcW w:w="1447" w:type="dxa"/>
            <w:vAlign w:val="bottom"/>
          </w:tcPr>
          <w:p w14:paraId="07CE9756" w14:textId="77777777" w:rsidR="00F332D4" w:rsidRPr="00C90EDA" w:rsidRDefault="00F332D4" w:rsidP="003B4778">
            <w:pPr>
              <w:spacing w:after="0" w:line="240" w:lineRule="auto"/>
              <w:jc w:val="center"/>
              <w:rPr>
                <w:rFonts w:eastAsia="Times New Roman" w:cstheme="minorHAnsi"/>
              </w:rPr>
            </w:pPr>
            <w:r w:rsidRPr="00C90EDA">
              <w:rPr>
                <w:rFonts w:cstheme="minorHAnsi"/>
              </w:rPr>
              <w:t>0.0236</w:t>
            </w:r>
          </w:p>
        </w:tc>
        <w:tc>
          <w:tcPr>
            <w:tcW w:w="1175" w:type="dxa"/>
            <w:vAlign w:val="bottom"/>
          </w:tcPr>
          <w:p w14:paraId="1B906D26" w14:textId="77777777" w:rsidR="00F332D4" w:rsidRPr="00C90EDA" w:rsidRDefault="00F332D4" w:rsidP="003B4778">
            <w:pPr>
              <w:spacing w:after="0" w:line="240" w:lineRule="auto"/>
              <w:jc w:val="center"/>
              <w:rPr>
                <w:rFonts w:cstheme="minorHAnsi"/>
              </w:rPr>
            </w:pPr>
            <w:r w:rsidRPr="00C90EDA">
              <w:rPr>
                <w:rFonts w:cstheme="minorHAnsi"/>
              </w:rPr>
              <w:t>0.0103</w:t>
            </w:r>
          </w:p>
        </w:tc>
        <w:tc>
          <w:tcPr>
            <w:tcW w:w="994" w:type="dxa"/>
            <w:vAlign w:val="bottom"/>
          </w:tcPr>
          <w:p w14:paraId="0EB81968" w14:textId="77777777" w:rsidR="00F332D4" w:rsidRPr="00C90EDA" w:rsidRDefault="00F332D4" w:rsidP="003B4778">
            <w:pPr>
              <w:spacing w:after="0" w:line="240" w:lineRule="auto"/>
              <w:jc w:val="center"/>
              <w:rPr>
                <w:rFonts w:cstheme="minorHAnsi"/>
              </w:rPr>
            </w:pPr>
            <w:r w:rsidRPr="00C90EDA">
              <w:rPr>
                <w:rFonts w:cstheme="minorHAnsi"/>
              </w:rPr>
              <w:t>0.0216</w:t>
            </w:r>
          </w:p>
        </w:tc>
        <w:tc>
          <w:tcPr>
            <w:tcW w:w="994" w:type="dxa"/>
            <w:vAlign w:val="bottom"/>
          </w:tcPr>
          <w:p w14:paraId="47B37303" w14:textId="77777777" w:rsidR="00F332D4" w:rsidRPr="00C90EDA" w:rsidRDefault="00F332D4" w:rsidP="003B4778">
            <w:pPr>
              <w:spacing w:after="0" w:line="240" w:lineRule="auto"/>
              <w:jc w:val="center"/>
              <w:rPr>
                <w:rFonts w:cstheme="minorHAnsi"/>
              </w:rPr>
            </w:pPr>
            <w:r w:rsidRPr="00C90EDA">
              <w:rPr>
                <w:rFonts w:cstheme="minorHAnsi"/>
              </w:rPr>
              <w:t>1.024</w:t>
            </w:r>
          </w:p>
        </w:tc>
      </w:tr>
      <w:tr w:rsidR="00F332D4" w:rsidRPr="00C90EDA" w14:paraId="03FFB2BA" w14:textId="77777777" w:rsidTr="003B4778">
        <w:tblPrEx>
          <w:tblLook w:val="04A0" w:firstRow="1" w:lastRow="0" w:firstColumn="1" w:lastColumn="0" w:noHBand="0" w:noVBand="1"/>
        </w:tblPrEx>
        <w:trPr>
          <w:trHeight w:val="317"/>
          <w:jc w:val="center"/>
        </w:trPr>
        <w:tc>
          <w:tcPr>
            <w:tcW w:w="3071" w:type="dxa"/>
          </w:tcPr>
          <w:p w14:paraId="7DAEDC68" w14:textId="77777777" w:rsidR="00F332D4" w:rsidRPr="00C90EDA" w:rsidRDefault="00F332D4" w:rsidP="003B4778">
            <w:pPr>
              <w:spacing w:after="0" w:line="240" w:lineRule="auto"/>
              <w:rPr>
                <w:rFonts w:eastAsia="Times New Roman" w:cstheme="minorHAnsi"/>
              </w:rPr>
            </w:pPr>
            <w:r w:rsidRPr="00C90EDA">
              <w:rPr>
                <w:rFonts w:cstheme="minorHAnsi"/>
              </w:rPr>
              <w:t xml:space="preserve">      Asian</w:t>
            </w:r>
          </w:p>
        </w:tc>
        <w:tc>
          <w:tcPr>
            <w:tcW w:w="1447" w:type="dxa"/>
            <w:vAlign w:val="bottom"/>
          </w:tcPr>
          <w:p w14:paraId="384A6B0E" w14:textId="77777777" w:rsidR="00F332D4" w:rsidRPr="00C90EDA" w:rsidRDefault="00F332D4" w:rsidP="003B4778">
            <w:pPr>
              <w:spacing w:after="0" w:line="240" w:lineRule="auto"/>
              <w:jc w:val="center"/>
              <w:rPr>
                <w:rFonts w:eastAsia="Times New Roman" w:cstheme="minorHAnsi"/>
              </w:rPr>
            </w:pPr>
            <w:r w:rsidRPr="00C90EDA">
              <w:rPr>
                <w:rFonts w:cstheme="minorHAnsi"/>
              </w:rPr>
              <w:t>0.2295</w:t>
            </w:r>
          </w:p>
        </w:tc>
        <w:tc>
          <w:tcPr>
            <w:tcW w:w="1175" w:type="dxa"/>
            <w:vAlign w:val="bottom"/>
          </w:tcPr>
          <w:p w14:paraId="19F9D9DF" w14:textId="77777777" w:rsidR="00F332D4" w:rsidRPr="00C90EDA" w:rsidRDefault="00F332D4" w:rsidP="003B4778">
            <w:pPr>
              <w:spacing w:after="0" w:line="240" w:lineRule="auto"/>
              <w:jc w:val="center"/>
              <w:rPr>
                <w:rFonts w:cstheme="minorHAnsi"/>
              </w:rPr>
            </w:pPr>
            <w:r w:rsidRPr="00C90EDA">
              <w:rPr>
                <w:rFonts w:cstheme="minorHAnsi"/>
              </w:rPr>
              <w:t>0.0285</w:t>
            </w:r>
          </w:p>
        </w:tc>
        <w:tc>
          <w:tcPr>
            <w:tcW w:w="994" w:type="dxa"/>
            <w:vAlign w:val="bottom"/>
          </w:tcPr>
          <w:p w14:paraId="2127F510" w14:textId="77777777" w:rsidR="00F332D4" w:rsidRPr="00C90EDA" w:rsidRDefault="00F332D4" w:rsidP="003B4778">
            <w:pPr>
              <w:spacing w:after="0" w:line="240" w:lineRule="auto"/>
              <w:jc w:val="center"/>
              <w:rPr>
                <w:rFonts w:cstheme="minorHAnsi"/>
              </w:rPr>
            </w:pPr>
            <w:r w:rsidRPr="00C90EDA">
              <w:rPr>
                <w:rFonts w:cstheme="minorHAnsi"/>
              </w:rPr>
              <w:t>&lt;.0001</w:t>
            </w:r>
          </w:p>
        </w:tc>
        <w:tc>
          <w:tcPr>
            <w:tcW w:w="994" w:type="dxa"/>
            <w:vAlign w:val="bottom"/>
          </w:tcPr>
          <w:p w14:paraId="14F1315E" w14:textId="77777777" w:rsidR="00F332D4" w:rsidRPr="00C90EDA" w:rsidRDefault="00F332D4" w:rsidP="003B4778">
            <w:pPr>
              <w:spacing w:after="0" w:line="240" w:lineRule="auto"/>
              <w:jc w:val="center"/>
              <w:rPr>
                <w:rFonts w:cstheme="minorHAnsi"/>
              </w:rPr>
            </w:pPr>
            <w:r w:rsidRPr="00C90EDA">
              <w:rPr>
                <w:rFonts w:cstheme="minorHAnsi"/>
              </w:rPr>
              <w:t>1.258</w:t>
            </w:r>
          </w:p>
        </w:tc>
      </w:tr>
      <w:tr w:rsidR="00F332D4" w:rsidRPr="00C90EDA" w14:paraId="46B037CB" w14:textId="77777777" w:rsidTr="003B4778">
        <w:tblPrEx>
          <w:tblLook w:val="04A0" w:firstRow="1" w:lastRow="0" w:firstColumn="1" w:lastColumn="0" w:noHBand="0" w:noVBand="1"/>
        </w:tblPrEx>
        <w:trPr>
          <w:trHeight w:val="317"/>
          <w:jc w:val="center"/>
        </w:trPr>
        <w:tc>
          <w:tcPr>
            <w:tcW w:w="3071" w:type="dxa"/>
          </w:tcPr>
          <w:p w14:paraId="0378394E" w14:textId="77777777" w:rsidR="00F332D4" w:rsidRPr="00C90EDA" w:rsidRDefault="00F332D4" w:rsidP="003B4778">
            <w:pPr>
              <w:spacing w:after="0" w:line="240" w:lineRule="auto"/>
              <w:rPr>
                <w:rFonts w:cstheme="minorHAnsi"/>
              </w:rPr>
            </w:pPr>
            <w:r w:rsidRPr="00C90EDA">
              <w:rPr>
                <w:rFonts w:cstheme="minorHAnsi"/>
              </w:rPr>
              <w:t xml:space="preserve">      Hispanic</w:t>
            </w:r>
          </w:p>
        </w:tc>
        <w:tc>
          <w:tcPr>
            <w:tcW w:w="1447" w:type="dxa"/>
            <w:vAlign w:val="bottom"/>
          </w:tcPr>
          <w:p w14:paraId="363B0D80" w14:textId="77777777" w:rsidR="00F332D4" w:rsidRPr="00C90EDA" w:rsidRDefault="00F332D4" w:rsidP="003B4778">
            <w:pPr>
              <w:spacing w:after="0" w:line="240" w:lineRule="auto"/>
              <w:jc w:val="center"/>
              <w:rPr>
                <w:rFonts w:cstheme="minorHAnsi"/>
              </w:rPr>
            </w:pPr>
            <w:r w:rsidRPr="00C90EDA">
              <w:rPr>
                <w:rFonts w:cstheme="minorHAnsi"/>
              </w:rPr>
              <w:t>0.2435</w:t>
            </w:r>
          </w:p>
        </w:tc>
        <w:tc>
          <w:tcPr>
            <w:tcW w:w="1175" w:type="dxa"/>
            <w:vAlign w:val="bottom"/>
          </w:tcPr>
          <w:p w14:paraId="1281A8C4" w14:textId="77777777" w:rsidR="00F332D4" w:rsidRPr="00C90EDA" w:rsidRDefault="00F332D4" w:rsidP="003B4778">
            <w:pPr>
              <w:spacing w:after="0" w:line="240" w:lineRule="auto"/>
              <w:jc w:val="center"/>
              <w:rPr>
                <w:rFonts w:cstheme="minorHAnsi"/>
              </w:rPr>
            </w:pPr>
            <w:r w:rsidRPr="00C90EDA">
              <w:rPr>
                <w:rFonts w:cstheme="minorHAnsi"/>
              </w:rPr>
              <w:t>0.0232</w:t>
            </w:r>
          </w:p>
        </w:tc>
        <w:tc>
          <w:tcPr>
            <w:tcW w:w="994" w:type="dxa"/>
            <w:vAlign w:val="bottom"/>
          </w:tcPr>
          <w:p w14:paraId="133422B3" w14:textId="77777777" w:rsidR="00F332D4" w:rsidRPr="00C90EDA" w:rsidRDefault="00F332D4" w:rsidP="003B4778">
            <w:pPr>
              <w:spacing w:after="0" w:line="240" w:lineRule="auto"/>
              <w:jc w:val="center"/>
              <w:rPr>
                <w:rFonts w:cstheme="minorHAnsi"/>
              </w:rPr>
            </w:pPr>
            <w:r w:rsidRPr="00C90EDA">
              <w:rPr>
                <w:rFonts w:cstheme="minorHAnsi"/>
              </w:rPr>
              <w:t>&lt;.0001</w:t>
            </w:r>
          </w:p>
        </w:tc>
        <w:tc>
          <w:tcPr>
            <w:tcW w:w="994" w:type="dxa"/>
            <w:vAlign w:val="bottom"/>
          </w:tcPr>
          <w:p w14:paraId="5223E90B" w14:textId="77777777" w:rsidR="00F332D4" w:rsidRPr="00C90EDA" w:rsidRDefault="00F332D4" w:rsidP="003B4778">
            <w:pPr>
              <w:spacing w:after="0" w:line="240" w:lineRule="auto"/>
              <w:jc w:val="center"/>
              <w:rPr>
                <w:rFonts w:cstheme="minorHAnsi"/>
              </w:rPr>
            </w:pPr>
            <w:r w:rsidRPr="00C90EDA">
              <w:rPr>
                <w:rFonts w:cstheme="minorHAnsi"/>
              </w:rPr>
              <w:t>1.276</w:t>
            </w:r>
          </w:p>
        </w:tc>
      </w:tr>
      <w:tr w:rsidR="00F332D4" w:rsidRPr="00C90EDA" w14:paraId="0642C85F" w14:textId="77777777" w:rsidTr="003B4778">
        <w:tblPrEx>
          <w:tblLook w:val="04A0" w:firstRow="1" w:lastRow="0" w:firstColumn="1" w:lastColumn="0" w:noHBand="0" w:noVBand="1"/>
        </w:tblPrEx>
        <w:trPr>
          <w:trHeight w:val="317"/>
          <w:jc w:val="center"/>
        </w:trPr>
        <w:tc>
          <w:tcPr>
            <w:tcW w:w="3071" w:type="dxa"/>
          </w:tcPr>
          <w:p w14:paraId="715936B1" w14:textId="77777777" w:rsidR="00F332D4" w:rsidRPr="00C90EDA" w:rsidRDefault="00F332D4" w:rsidP="003B4778">
            <w:pPr>
              <w:spacing w:after="0" w:line="240" w:lineRule="auto"/>
              <w:rPr>
                <w:rFonts w:cstheme="minorHAnsi"/>
              </w:rPr>
            </w:pPr>
            <w:r w:rsidRPr="00C90EDA">
              <w:rPr>
                <w:rFonts w:cstheme="minorHAnsi"/>
              </w:rPr>
              <w:t xml:space="preserve">      North American Native</w:t>
            </w:r>
          </w:p>
        </w:tc>
        <w:tc>
          <w:tcPr>
            <w:tcW w:w="1447" w:type="dxa"/>
            <w:vAlign w:val="bottom"/>
          </w:tcPr>
          <w:p w14:paraId="06941D3D" w14:textId="77777777" w:rsidR="00F332D4" w:rsidRPr="00C90EDA" w:rsidRDefault="00F332D4" w:rsidP="003B4778">
            <w:pPr>
              <w:spacing w:after="0" w:line="240" w:lineRule="auto"/>
              <w:jc w:val="center"/>
              <w:rPr>
                <w:rFonts w:cstheme="minorHAnsi"/>
              </w:rPr>
            </w:pPr>
            <w:r w:rsidRPr="00C90EDA">
              <w:rPr>
                <w:rFonts w:cstheme="minorHAnsi"/>
              </w:rPr>
              <w:t>0.1177</w:t>
            </w:r>
          </w:p>
        </w:tc>
        <w:tc>
          <w:tcPr>
            <w:tcW w:w="1175" w:type="dxa"/>
            <w:vAlign w:val="bottom"/>
          </w:tcPr>
          <w:p w14:paraId="7B32673A" w14:textId="77777777" w:rsidR="00F332D4" w:rsidRPr="00C90EDA" w:rsidRDefault="00F332D4" w:rsidP="003B4778">
            <w:pPr>
              <w:spacing w:after="0" w:line="240" w:lineRule="auto"/>
              <w:jc w:val="center"/>
              <w:rPr>
                <w:rFonts w:cstheme="minorHAnsi"/>
              </w:rPr>
            </w:pPr>
            <w:r w:rsidRPr="00C90EDA">
              <w:rPr>
                <w:rFonts w:cstheme="minorHAnsi"/>
              </w:rPr>
              <w:t>0.0415</w:t>
            </w:r>
          </w:p>
        </w:tc>
        <w:tc>
          <w:tcPr>
            <w:tcW w:w="994" w:type="dxa"/>
            <w:vAlign w:val="bottom"/>
          </w:tcPr>
          <w:p w14:paraId="57AF1381" w14:textId="77777777" w:rsidR="00F332D4" w:rsidRPr="00C90EDA" w:rsidRDefault="00F332D4" w:rsidP="003B4778">
            <w:pPr>
              <w:spacing w:after="0" w:line="240" w:lineRule="auto"/>
              <w:jc w:val="center"/>
              <w:rPr>
                <w:rFonts w:cstheme="minorHAnsi"/>
              </w:rPr>
            </w:pPr>
            <w:r w:rsidRPr="00C90EDA">
              <w:rPr>
                <w:rFonts w:cstheme="minorHAnsi"/>
              </w:rPr>
              <w:t>0.0046</w:t>
            </w:r>
          </w:p>
        </w:tc>
        <w:tc>
          <w:tcPr>
            <w:tcW w:w="994" w:type="dxa"/>
            <w:vAlign w:val="bottom"/>
          </w:tcPr>
          <w:p w14:paraId="728C2A61" w14:textId="77777777" w:rsidR="00F332D4" w:rsidRPr="00C90EDA" w:rsidRDefault="00F332D4" w:rsidP="003B4778">
            <w:pPr>
              <w:spacing w:after="0" w:line="240" w:lineRule="auto"/>
              <w:jc w:val="center"/>
              <w:rPr>
                <w:rFonts w:cstheme="minorHAnsi"/>
              </w:rPr>
            </w:pPr>
            <w:r w:rsidRPr="00C90EDA">
              <w:rPr>
                <w:rFonts w:cstheme="minorHAnsi"/>
              </w:rPr>
              <w:t>1.125</w:t>
            </w:r>
          </w:p>
        </w:tc>
      </w:tr>
      <w:tr w:rsidR="00F332D4" w:rsidRPr="00C90EDA" w14:paraId="25D375C3" w14:textId="77777777" w:rsidTr="003B4778">
        <w:tblPrEx>
          <w:tblLook w:val="04A0" w:firstRow="1" w:lastRow="0" w:firstColumn="1" w:lastColumn="0" w:noHBand="0" w:noVBand="1"/>
        </w:tblPrEx>
        <w:trPr>
          <w:trHeight w:val="317"/>
          <w:jc w:val="center"/>
        </w:trPr>
        <w:tc>
          <w:tcPr>
            <w:tcW w:w="3071" w:type="dxa"/>
          </w:tcPr>
          <w:p w14:paraId="4B0DA52D" w14:textId="77777777" w:rsidR="00F332D4" w:rsidRPr="00C90EDA" w:rsidRDefault="00F332D4" w:rsidP="003B4778">
            <w:pPr>
              <w:spacing w:after="0" w:line="240" w:lineRule="auto"/>
              <w:rPr>
                <w:rFonts w:cstheme="minorHAnsi"/>
              </w:rPr>
            </w:pPr>
            <w:r w:rsidRPr="00C90EDA">
              <w:rPr>
                <w:rFonts w:cstheme="minorHAnsi"/>
              </w:rPr>
              <w:t xml:space="preserve">      Other </w:t>
            </w:r>
          </w:p>
        </w:tc>
        <w:tc>
          <w:tcPr>
            <w:tcW w:w="1447" w:type="dxa"/>
            <w:vAlign w:val="bottom"/>
          </w:tcPr>
          <w:p w14:paraId="65867FD2" w14:textId="77777777" w:rsidR="00F332D4" w:rsidRPr="00C90EDA" w:rsidRDefault="00F332D4" w:rsidP="003B4778">
            <w:pPr>
              <w:spacing w:after="0" w:line="240" w:lineRule="auto"/>
              <w:jc w:val="center"/>
              <w:rPr>
                <w:rFonts w:cstheme="minorHAnsi"/>
              </w:rPr>
            </w:pPr>
            <w:r w:rsidRPr="00C90EDA">
              <w:rPr>
                <w:rFonts w:cstheme="minorHAnsi"/>
              </w:rPr>
              <w:t>0.0967</w:t>
            </w:r>
          </w:p>
        </w:tc>
        <w:tc>
          <w:tcPr>
            <w:tcW w:w="1175" w:type="dxa"/>
            <w:vAlign w:val="bottom"/>
          </w:tcPr>
          <w:p w14:paraId="73E27846" w14:textId="77777777" w:rsidR="00F332D4" w:rsidRPr="00C90EDA" w:rsidRDefault="00F332D4" w:rsidP="003B4778">
            <w:pPr>
              <w:spacing w:after="0" w:line="240" w:lineRule="auto"/>
              <w:jc w:val="center"/>
              <w:rPr>
                <w:rFonts w:cstheme="minorHAnsi"/>
              </w:rPr>
            </w:pPr>
            <w:r w:rsidRPr="00C90EDA">
              <w:rPr>
                <w:rFonts w:cstheme="minorHAnsi"/>
              </w:rPr>
              <w:t>0.0278</w:t>
            </w:r>
          </w:p>
        </w:tc>
        <w:tc>
          <w:tcPr>
            <w:tcW w:w="994" w:type="dxa"/>
            <w:vAlign w:val="bottom"/>
          </w:tcPr>
          <w:p w14:paraId="522CFF3A" w14:textId="77777777" w:rsidR="00F332D4" w:rsidRPr="00C90EDA" w:rsidRDefault="00F332D4" w:rsidP="003B4778">
            <w:pPr>
              <w:spacing w:after="0" w:line="240" w:lineRule="auto"/>
              <w:jc w:val="center"/>
              <w:rPr>
                <w:rFonts w:cstheme="minorHAnsi"/>
              </w:rPr>
            </w:pPr>
            <w:r w:rsidRPr="00C90EDA">
              <w:rPr>
                <w:rFonts w:cstheme="minorHAnsi"/>
              </w:rPr>
              <w:t>0.0005</w:t>
            </w:r>
          </w:p>
        </w:tc>
        <w:tc>
          <w:tcPr>
            <w:tcW w:w="994" w:type="dxa"/>
            <w:vAlign w:val="bottom"/>
          </w:tcPr>
          <w:p w14:paraId="23484032" w14:textId="77777777" w:rsidR="00F332D4" w:rsidRPr="00C90EDA" w:rsidRDefault="00F332D4" w:rsidP="003B4778">
            <w:pPr>
              <w:spacing w:after="0" w:line="240" w:lineRule="auto"/>
              <w:jc w:val="center"/>
              <w:rPr>
                <w:rFonts w:cstheme="minorHAnsi"/>
              </w:rPr>
            </w:pPr>
            <w:r w:rsidRPr="00C90EDA">
              <w:rPr>
                <w:rFonts w:cstheme="minorHAnsi"/>
              </w:rPr>
              <w:t>1.102</w:t>
            </w:r>
          </w:p>
        </w:tc>
      </w:tr>
      <w:tr w:rsidR="00F332D4" w:rsidRPr="00C90EDA" w14:paraId="5577A9C1" w14:textId="77777777" w:rsidTr="003B4778">
        <w:tblPrEx>
          <w:tblLook w:val="04A0" w:firstRow="1" w:lastRow="0" w:firstColumn="1" w:lastColumn="0" w:noHBand="0" w:noVBand="1"/>
        </w:tblPrEx>
        <w:trPr>
          <w:trHeight w:val="317"/>
          <w:jc w:val="center"/>
        </w:trPr>
        <w:tc>
          <w:tcPr>
            <w:tcW w:w="3071" w:type="dxa"/>
          </w:tcPr>
          <w:p w14:paraId="3C598B23" w14:textId="77777777" w:rsidR="00F332D4" w:rsidRPr="00C90EDA" w:rsidRDefault="00F332D4" w:rsidP="003B4778">
            <w:pPr>
              <w:spacing w:after="0" w:line="240" w:lineRule="auto"/>
              <w:rPr>
                <w:rFonts w:cstheme="minorHAnsi"/>
              </w:rPr>
            </w:pPr>
            <w:r w:rsidRPr="00C90EDA">
              <w:rPr>
                <w:rFonts w:cstheme="minorHAnsi"/>
              </w:rPr>
              <w:t xml:space="preserve">      Missing</w:t>
            </w:r>
          </w:p>
        </w:tc>
        <w:tc>
          <w:tcPr>
            <w:tcW w:w="1447" w:type="dxa"/>
            <w:vAlign w:val="bottom"/>
          </w:tcPr>
          <w:p w14:paraId="523B9AA0" w14:textId="77777777" w:rsidR="00F332D4" w:rsidRPr="00C90EDA" w:rsidRDefault="00F332D4" w:rsidP="003B4778">
            <w:pPr>
              <w:spacing w:after="0" w:line="240" w:lineRule="auto"/>
              <w:jc w:val="center"/>
              <w:rPr>
                <w:rFonts w:cstheme="minorHAnsi"/>
              </w:rPr>
            </w:pPr>
            <w:r w:rsidRPr="00C90EDA">
              <w:rPr>
                <w:rFonts w:cstheme="minorHAnsi"/>
              </w:rPr>
              <w:t>0.1227</w:t>
            </w:r>
          </w:p>
        </w:tc>
        <w:tc>
          <w:tcPr>
            <w:tcW w:w="1175" w:type="dxa"/>
            <w:vAlign w:val="bottom"/>
          </w:tcPr>
          <w:p w14:paraId="53A7CEF4" w14:textId="77777777" w:rsidR="00F332D4" w:rsidRPr="00C90EDA" w:rsidRDefault="00F332D4" w:rsidP="003B4778">
            <w:pPr>
              <w:spacing w:after="0" w:line="240" w:lineRule="auto"/>
              <w:jc w:val="center"/>
              <w:rPr>
                <w:rFonts w:cstheme="minorHAnsi"/>
              </w:rPr>
            </w:pPr>
            <w:r w:rsidRPr="00C90EDA">
              <w:rPr>
                <w:rFonts w:cstheme="minorHAnsi"/>
              </w:rPr>
              <w:t>0.0382</w:t>
            </w:r>
          </w:p>
        </w:tc>
        <w:tc>
          <w:tcPr>
            <w:tcW w:w="994" w:type="dxa"/>
            <w:vAlign w:val="bottom"/>
          </w:tcPr>
          <w:p w14:paraId="67BB56E2" w14:textId="77777777" w:rsidR="00F332D4" w:rsidRPr="00C90EDA" w:rsidRDefault="00F332D4" w:rsidP="003B4778">
            <w:pPr>
              <w:spacing w:after="0" w:line="240" w:lineRule="auto"/>
              <w:jc w:val="center"/>
              <w:rPr>
                <w:rFonts w:cstheme="minorHAnsi"/>
              </w:rPr>
            </w:pPr>
            <w:r w:rsidRPr="00C90EDA">
              <w:rPr>
                <w:rFonts w:cstheme="minorHAnsi"/>
              </w:rPr>
              <w:t>0.0013</w:t>
            </w:r>
          </w:p>
        </w:tc>
        <w:tc>
          <w:tcPr>
            <w:tcW w:w="994" w:type="dxa"/>
            <w:vAlign w:val="bottom"/>
          </w:tcPr>
          <w:p w14:paraId="1900F9B1" w14:textId="77777777" w:rsidR="00F332D4" w:rsidRPr="00C90EDA" w:rsidRDefault="00F332D4" w:rsidP="003B4778">
            <w:pPr>
              <w:spacing w:after="0" w:line="240" w:lineRule="auto"/>
              <w:jc w:val="center"/>
              <w:rPr>
                <w:rFonts w:cstheme="minorHAnsi"/>
              </w:rPr>
            </w:pPr>
            <w:r w:rsidRPr="00C90EDA">
              <w:rPr>
                <w:rFonts w:cstheme="minorHAnsi"/>
              </w:rPr>
              <w:t>1.131</w:t>
            </w:r>
          </w:p>
        </w:tc>
      </w:tr>
      <w:tr w:rsidR="00F332D4" w:rsidRPr="00C90EDA" w14:paraId="39E0FB72" w14:textId="77777777" w:rsidTr="003B4778">
        <w:tblPrEx>
          <w:tblLook w:val="04A0" w:firstRow="1" w:lastRow="0" w:firstColumn="1" w:lastColumn="0" w:noHBand="0" w:noVBand="1"/>
        </w:tblPrEx>
        <w:trPr>
          <w:trHeight w:val="317"/>
          <w:jc w:val="center"/>
        </w:trPr>
        <w:tc>
          <w:tcPr>
            <w:tcW w:w="7681" w:type="dxa"/>
            <w:gridSpan w:val="5"/>
            <w:vAlign w:val="center"/>
          </w:tcPr>
          <w:p w14:paraId="6AB842A1" w14:textId="77777777" w:rsidR="00F332D4" w:rsidRPr="00C90EDA" w:rsidRDefault="00F332D4" w:rsidP="003B4778">
            <w:pPr>
              <w:spacing w:after="0" w:line="240" w:lineRule="auto"/>
              <w:rPr>
                <w:rFonts w:cstheme="minorHAnsi"/>
              </w:rPr>
            </w:pPr>
            <w:r w:rsidRPr="00C90EDA">
              <w:rPr>
                <w:rFonts w:cstheme="minorHAnsi"/>
                <w:b/>
                <w:i/>
              </w:rPr>
              <w:t>Urbanicity* (reference = Urban)</w:t>
            </w:r>
          </w:p>
        </w:tc>
      </w:tr>
      <w:tr w:rsidR="00F332D4" w:rsidRPr="00C90EDA" w14:paraId="25A67333" w14:textId="77777777" w:rsidTr="003B4778">
        <w:tblPrEx>
          <w:tblLook w:val="04A0" w:firstRow="1" w:lastRow="0" w:firstColumn="1" w:lastColumn="0" w:noHBand="0" w:noVBand="1"/>
        </w:tblPrEx>
        <w:trPr>
          <w:trHeight w:val="317"/>
          <w:jc w:val="center"/>
        </w:trPr>
        <w:tc>
          <w:tcPr>
            <w:tcW w:w="3071" w:type="dxa"/>
          </w:tcPr>
          <w:p w14:paraId="071B1FE8" w14:textId="77777777" w:rsidR="00F332D4" w:rsidRPr="00C90EDA" w:rsidRDefault="00F332D4" w:rsidP="003B4778">
            <w:pPr>
              <w:spacing w:after="0" w:line="240" w:lineRule="auto"/>
              <w:rPr>
                <w:rFonts w:eastAsia="Times New Roman" w:cstheme="minorHAnsi"/>
              </w:rPr>
            </w:pPr>
            <w:r w:rsidRPr="00C90EDA">
              <w:rPr>
                <w:rFonts w:cstheme="minorHAnsi"/>
              </w:rPr>
              <w:t xml:space="preserve">      Rural</w:t>
            </w:r>
          </w:p>
        </w:tc>
        <w:tc>
          <w:tcPr>
            <w:tcW w:w="1447" w:type="dxa"/>
            <w:vAlign w:val="bottom"/>
          </w:tcPr>
          <w:p w14:paraId="36A3B271" w14:textId="77777777" w:rsidR="00F332D4" w:rsidRPr="00C90EDA" w:rsidRDefault="00F332D4" w:rsidP="003B4778">
            <w:pPr>
              <w:spacing w:after="0" w:line="240" w:lineRule="auto"/>
              <w:jc w:val="center"/>
              <w:rPr>
                <w:rFonts w:eastAsia="Times New Roman" w:cstheme="minorHAnsi"/>
              </w:rPr>
            </w:pPr>
            <w:r w:rsidRPr="00C90EDA">
              <w:rPr>
                <w:rFonts w:cstheme="minorHAnsi"/>
              </w:rPr>
              <w:t>-0.0213</w:t>
            </w:r>
          </w:p>
        </w:tc>
        <w:tc>
          <w:tcPr>
            <w:tcW w:w="1175" w:type="dxa"/>
            <w:vAlign w:val="bottom"/>
          </w:tcPr>
          <w:p w14:paraId="41016481" w14:textId="77777777" w:rsidR="00F332D4" w:rsidRPr="00C90EDA" w:rsidRDefault="00F332D4" w:rsidP="003B4778">
            <w:pPr>
              <w:spacing w:after="0" w:line="240" w:lineRule="auto"/>
              <w:jc w:val="center"/>
              <w:rPr>
                <w:rFonts w:cstheme="minorHAnsi"/>
              </w:rPr>
            </w:pPr>
            <w:r w:rsidRPr="00C90EDA">
              <w:rPr>
                <w:rFonts w:cstheme="minorHAnsi"/>
              </w:rPr>
              <w:t>0.0143</w:t>
            </w:r>
          </w:p>
        </w:tc>
        <w:tc>
          <w:tcPr>
            <w:tcW w:w="994" w:type="dxa"/>
            <w:vAlign w:val="bottom"/>
          </w:tcPr>
          <w:p w14:paraId="6D797F54" w14:textId="77777777" w:rsidR="00F332D4" w:rsidRPr="00C90EDA" w:rsidRDefault="00F332D4" w:rsidP="003B4778">
            <w:pPr>
              <w:spacing w:after="0" w:line="240" w:lineRule="auto"/>
              <w:jc w:val="center"/>
              <w:rPr>
                <w:rFonts w:cstheme="minorHAnsi"/>
              </w:rPr>
            </w:pPr>
            <w:r w:rsidRPr="00C90EDA">
              <w:rPr>
                <w:rFonts w:cstheme="minorHAnsi"/>
              </w:rPr>
              <w:t>0.1361</w:t>
            </w:r>
          </w:p>
        </w:tc>
        <w:tc>
          <w:tcPr>
            <w:tcW w:w="994" w:type="dxa"/>
            <w:vAlign w:val="bottom"/>
          </w:tcPr>
          <w:p w14:paraId="6916AAE1" w14:textId="77777777" w:rsidR="00F332D4" w:rsidRPr="00C90EDA" w:rsidRDefault="00F332D4" w:rsidP="003B4778">
            <w:pPr>
              <w:spacing w:after="0" w:line="240" w:lineRule="auto"/>
              <w:jc w:val="center"/>
              <w:rPr>
                <w:rFonts w:cstheme="minorHAnsi"/>
              </w:rPr>
            </w:pPr>
            <w:r w:rsidRPr="00C90EDA">
              <w:rPr>
                <w:rFonts w:cstheme="minorHAnsi"/>
              </w:rPr>
              <w:t>0.979</w:t>
            </w:r>
          </w:p>
        </w:tc>
      </w:tr>
      <w:tr w:rsidR="00F332D4" w:rsidRPr="00C90EDA" w14:paraId="405E8315" w14:textId="77777777" w:rsidTr="003B4778">
        <w:tblPrEx>
          <w:tblLook w:val="04A0" w:firstRow="1" w:lastRow="0" w:firstColumn="1" w:lastColumn="0" w:noHBand="0" w:noVBand="1"/>
        </w:tblPrEx>
        <w:trPr>
          <w:trHeight w:val="317"/>
          <w:jc w:val="center"/>
        </w:trPr>
        <w:tc>
          <w:tcPr>
            <w:tcW w:w="3071" w:type="dxa"/>
          </w:tcPr>
          <w:p w14:paraId="7D9E2FDC" w14:textId="77777777" w:rsidR="00F332D4" w:rsidRPr="00C90EDA" w:rsidRDefault="00F332D4" w:rsidP="003B4778">
            <w:pPr>
              <w:spacing w:after="0" w:line="240" w:lineRule="auto"/>
              <w:rPr>
                <w:rFonts w:cstheme="minorHAnsi"/>
              </w:rPr>
            </w:pPr>
            <w:r w:rsidRPr="00C90EDA">
              <w:rPr>
                <w:rFonts w:cstheme="minorHAnsi"/>
              </w:rPr>
              <w:t xml:space="preserve">      Suburban</w:t>
            </w:r>
          </w:p>
        </w:tc>
        <w:tc>
          <w:tcPr>
            <w:tcW w:w="1447" w:type="dxa"/>
            <w:vAlign w:val="bottom"/>
          </w:tcPr>
          <w:p w14:paraId="389EFDF0" w14:textId="77777777" w:rsidR="00F332D4" w:rsidRPr="00C90EDA" w:rsidRDefault="00F332D4" w:rsidP="003B4778">
            <w:pPr>
              <w:spacing w:after="0" w:line="240" w:lineRule="auto"/>
              <w:jc w:val="center"/>
              <w:rPr>
                <w:rFonts w:eastAsia="Times New Roman" w:cstheme="minorHAnsi"/>
              </w:rPr>
            </w:pPr>
            <w:r w:rsidRPr="00C90EDA">
              <w:rPr>
                <w:rFonts w:cstheme="minorHAnsi"/>
              </w:rPr>
              <w:t>-0.0057</w:t>
            </w:r>
          </w:p>
        </w:tc>
        <w:tc>
          <w:tcPr>
            <w:tcW w:w="1175" w:type="dxa"/>
            <w:vAlign w:val="bottom"/>
          </w:tcPr>
          <w:p w14:paraId="4680B322" w14:textId="77777777" w:rsidR="00F332D4" w:rsidRPr="00C90EDA" w:rsidRDefault="00F332D4" w:rsidP="003B4778">
            <w:pPr>
              <w:spacing w:after="0" w:line="240" w:lineRule="auto"/>
              <w:jc w:val="center"/>
              <w:rPr>
                <w:rFonts w:cstheme="minorHAnsi"/>
              </w:rPr>
            </w:pPr>
            <w:r w:rsidRPr="00C90EDA">
              <w:rPr>
                <w:rFonts w:cstheme="minorHAnsi"/>
              </w:rPr>
              <w:t>0.0094</w:t>
            </w:r>
          </w:p>
        </w:tc>
        <w:tc>
          <w:tcPr>
            <w:tcW w:w="994" w:type="dxa"/>
            <w:vAlign w:val="bottom"/>
          </w:tcPr>
          <w:p w14:paraId="5264FC1D" w14:textId="77777777" w:rsidR="00F332D4" w:rsidRPr="00C90EDA" w:rsidRDefault="00F332D4" w:rsidP="003B4778">
            <w:pPr>
              <w:spacing w:after="0" w:line="240" w:lineRule="auto"/>
              <w:jc w:val="center"/>
              <w:rPr>
                <w:rFonts w:cstheme="minorHAnsi"/>
              </w:rPr>
            </w:pPr>
            <w:r w:rsidRPr="00C90EDA">
              <w:rPr>
                <w:rFonts w:cstheme="minorHAnsi"/>
              </w:rPr>
              <w:t>0.5399</w:t>
            </w:r>
          </w:p>
        </w:tc>
        <w:tc>
          <w:tcPr>
            <w:tcW w:w="994" w:type="dxa"/>
            <w:vAlign w:val="bottom"/>
          </w:tcPr>
          <w:p w14:paraId="0728B96F" w14:textId="77777777" w:rsidR="00F332D4" w:rsidRPr="00C90EDA" w:rsidRDefault="00F332D4" w:rsidP="003B4778">
            <w:pPr>
              <w:spacing w:after="0" w:line="240" w:lineRule="auto"/>
              <w:jc w:val="center"/>
              <w:rPr>
                <w:rFonts w:cstheme="minorHAnsi"/>
              </w:rPr>
            </w:pPr>
            <w:r w:rsidRPr="00C90EDA">
              <w:rPr>
                <w:rFonts w:cstheme="minorHAnsi"/>
              </w:rPr>
              <w:t>0.994</w:t>
            </w:r>
          </w:p>
        </w:tc>
      </w:tr>
      <w:tr w:rsidR="00F332D4" w:rsidRPr="00C90EDA" w14:paraId="38FCD65B" w14:textId="77777777" w:rsidTr="003B4778">
        <w:tblPrEx>
          <w:tblLook w:val="04A0" w:firstRow="1" w:lastRow="0" w:firstColumn="1" w:lastColumn="0" w:noHBand="0" w:noVBand="1"/>
        </w:tblPrEx>
        <w:trPr>
          <w:trHeight w:val="317"/>
          <w:jc w:val="center"/>
        </w:trPr>
        <w:tc>
          <w:tcPr>
            <w:tcW w:w="3071" w:type="dxa"/>
          </w:tcPr>
          <w:p w14:paraId="04D79978" w14:textId="77777777" w:rsidR="00F332D4" w:rsidRPr="00C90EDA" w:rsidRDefault="00F332D4" w:rsidP="003B4778">
            <w:pPr>
              <w:spacing w:after="0" w:line="240" w:lineRule="auto"/>
              <w:rPr>
                <w:rFonts w:cstheme="minorHAnsi"/>
              </w:rPr>
            </w:pPr>
            <w:r w:rsidRPr="00C90EDA">
              <w:rPr>
                <w:rFonts w:cstheme="minorHAnsi"/>
              </w:rPr>
              <w:t xml:space="preserve">      Missing</w:t>
            </w:r>
          </w:p>
        </w:tc>
        <w:tc>
          <w:tcPr>
            <w:tcW w:w="1447" w:type="dxa"/>
            <w:vAlign w:val="bottom"/>
          </w:tcPr>
          <w:p w14:paraId="5E274617" w14:textId="77777777" w:rsidR="00F332D4" w:rsidRPr="00C90EDA" w:rsidRDefault="00F332D4" w:rsidP="003B4778">
            <w:pPr>
              <w:spacing w:after="0" w:line="240" w:lineRule="auto"/>
              <w:jc w:val="center"/>
              <w:rPr>
                <w:rFonts w:cstheme="minorHAnsi"/>
              </w:rPr>
            </w:pPr>
            <w:r w:rsidRPr="00C90EDA">
              <w:rPr>
                <w:rFonts w:cstheme="minorHAnsi"/>
              </w:rPr>
              <w:t>-0.3583</w:t>
            </w:r>
          </w:p>
        </w:tc>
        <w:tc>
          <w:tcPr>
            <w:tcW w:w="1175" w:type="dxa"/>
            <w:vAlign w:val="bottom"/>
          </w:tcPr>
          <w:p w14:paraId="23B8D4B9" w14:textId="77777777" w:rsidR="00F332D4" w:rsidRPr="00C90EDA" w:rsidRDefault="00F332D4" w:rsidP="003B4778">
            <w:pPr>
              <w:spacing w:after="0" w:line="240" w:lineRule="auto"/>
              <w:jc w:val="center"/>
              <w:rPr>
                <w:rFonts w:cstheme="minorHAnsi"/>
              </w:rPr>
            </w:pPr>
            <w:r w:rsidRPr="00C90EDA">
              <w:rPr>
                <w:rFonts w:cstheme="minorHAnsi"/>
              </w:rPr>
              <w:t>0.2572</w:t>
            </w:r>
          </w:p>
        </w:tc>
        <w:tc>
          <w:tcPr>
            <w:tcW w:w="994" w:type="dxa"/>
            <w:vAlign w:val="bottom"/>
          </w:tcPr>
          <w:p w14:paraId="04C5740F" w14:textId="77777777" w:rsidR="00F332D4" w:rsidRPr="00C90EDA" w:rsidRDefault="00F332D4" w:rsidP="003B4778">
            <w:pPr>
              <w:spacing w:after="0" w:line="240" w:lineRule="auto"/>
              <w:jc w:val="center"/>
              <w:rPr>
                <w:rFonts w:cstheme="minorHAnsi"/>
              </w:rPr>
            </w:pPr>
            <w:r w:rsidRPr="00C90EDA">
              <w:rPr>
                <w:rFonts w:cstheme="minorHAnsi"/>
              </w:rPr>
              <w:t>0.1636</w:t>
            </w:r>
          </w:p>
        </w:tc>
        <w:tc>
          <w:tcPr>
            <w:tcW w:w="994" w:type="dxa"/>
            <w:vAlign w:val="bottom"/>
          </w:tcPr>
          <w:p w14:paraId="2602156E" w14:textId="77777777" w:rsidR="00F332D4" w:rsidRPr="00C90EDA" w:rsidRDefault="00F332D4" w:rsidP="003B4778">
            <w:pPr>
              <w:spacing w:after="0" w:line="240" w:lineRule="auto"/>
              <w:jc w:val="center"/>
              <w:rPr>
                <w:rFonts w:cstheme="minorHAnsi"/>
              </w:rPr>
            </w:pPr>
            <w:r w:rsidRPr="00C90EDA">
              <w:rPr>
                <w:rFonts w:cstheme="minorHAnsi"/>
              </w:rPr>
              <w:t>0.699</w:t>
            </w:r>
          </w:p>
        </w:tc>
      </w:tr>
      <w:tr w:rsidR="00F332D4" w:rsidRPr="00C90EDA" w14:paraId="7581922C" w14:textId="77777777" w:rsidTr="003B4778">
        <w:trPr>
          <w:trHeight w:val="317"/>
          <w:jc w:val="center"/>
        </w:trPr>
        <w:tc>
          <w:tcPr>
            <w:tcW w:w="7681" w:type="dxa"/>
            <w:gridSpan w:val="5"/>
            <w:vAlign w:val="center"/>
          </w:tcPr>
          <w:p w14:paraId="56B84024" w14:textId="77777777" w:rsidR="00F332D4" w:rsidRPr="00C90EDA" w:rsidRDefault="00F332D4" w:rsidP="003B4778">
            <w:pPr>
              <w:spacing w:after="0" w:line="240" w:lineRule="auto"/>
              <w:rPr>
                <w:rFonts w:cstheme="minorHAnsi"/>
              </w:rPr>
            </w:pPr>
            <w:r w:rsidRPr="00C90EDA">
              <w:rPr>
                <w:rFonts w:cstheme="minorHAnsi"/>
                <w:b/>
                <w:i/>
              </w:rPr>
              <w:t>AHRQ SES Index* (reference = Quartile 4 (55.6 to 75.7))</w:t>
            </w:r>
          </w:p>
        </w:tc>
      </w:tr>
      <w:tr w:rsidR="00F332D4" w:rsidRPr="00C90EDA" w14:paraId="27241C43" w14:textId="77777777" w:rsidTr="003B4778">
        <w:trPr>
          <w:trHeight w:val="317"/>
          <w:jc w:val="center"/>
        </w:trPr>
        <w:tc>
          <w:tcPr>
            <w:tcW w:w="3071" w:type="dxa"/>
            <w:vAlign w:val="bottom"/>
          </w:tcPr>
          <w:p w14:paraId="06D18DCF" w14:textId="77777777" w:rsidR="00F332D4" w:rsidRPr="00C90EDA" w:rsidRDefault="00F332D4" w:rsidP="003B4778">
            <w:pPr>
              <w:spacing w:after="0" w:line="240" w:lineRule="auto"/>
              <w:rPr>
                <w:rFonts w:eastAsia="Times New Roman" w:cstheme="minorHAnsi"/>
              </w:rPr>
            </w:pPr>
            <w:r w:rsidRPr="00C90EDA">
              <w:rPr>
                <w:rFonts w:cstheme="minorHAnsi"/>
              </w:rPr>
              <w:t xml:space="preserve">      Quartile 1 (28.9 to 49.6)</w:t>
            </w:r>
          </w:p>
        </w:tc>
        <w:tc>
          <w:tcPr>
            <w:tcW w:w="1447" w:type="dxa"/>
            <w:vAlign w:val="bottom"/>
          </w:tcPr>
          <w:p w14:paraId="303A005D" w14:textId="77777777" w:rsidR="00F332D4" w:rsidRPr="00C90EDA" w:rsidRDefault="00F332D4" w:rsidP="003B4778">
            <w:pPr>
              <w:spacing w:after="0" w:line="240" w:lineRule="auto"/>
              <w:jc w:val="center"/>
              <w:rPr>
                <w:rFonts w:eastAsia="Times New Roman" w:cstheme="minorHAnsi"/>
              </w:rPr>
            </w:pPr>
            <w:r w:rsidRPr="00C90EDA">
              <w:rPr>
                <w:rFonts w:cstheme="minorHAnsi"/>
              </w:rPr>
              <w:t>0.0513</w:t>
            </w:r>
          </w:p>
        </w:tc>
        <w:tc>
          <w:tcPr>
            <w:tcW w:w="1175" w:type="dxa"/>
            <w:vAlign w:val="bottom"/>
          </w:tcPr>
          <w:p w14:paraId="3C2CB22C" w14:textId="77777777" w:rsidR="00F332D4" w:rsidRPr="00C90EDA" w:rsidRDefault="00F332D4" w:rsidP="003B4778">
            <w:pPr>
              <w:spacing w:after="0" w:line="240" w:lineRule="auto"/>
              <w:jc w:val="center"/>
              <w:rPr>
                <w:rFonts w:cstheme="minorHAnsi"/>
              </w:rPr>
            </w:pPr>
            <w:r w:rsidRPr="00C90EDA">
              <w:rPr>
                <w:rFonts w:cstheme="minorHAnsi"/>
              </w:rPr>
              <w:t>0.0091</w:t>
            </w:r>
          </w:p>
        </w:tc>
        <w:tc>
          <w:tcPr>
            <w:tcW w:w="994" w:type="dxa"/>
            <w:vAlign w:val="bottom"/>
          </w:tcPr>
          <w:p w14:paraId="19BC1947" w14:textId="77777777" w:rsidR="00F332D4" w:rsidRPr="00C90EDA" w:rsidRDefault="00F332D4" w:rsidP="003B4778">
            <w:pPr>
              <w:spacing w:after="0" w:line="240" w:lineRule="auto"/>
              <w:jc w:val="center"/>
              <w:rPr>
                <w:rFonts w:cstheme="minorHAnsi"/>
              </w:rPr>
            </w:pPr>
            <w:r w:rsidRPr="00C90EDA">
              <w:rPr>
                <w:rFonts w:cstheme="minorHAnsi"/>
              </w:rPr>
              <w:t>&lt;.0001</w:t>
            </w:r>
          </w:p>
        </w:tc>
        <w:tc>
          <w:tcPr>
            <w:tcW w:w="994" w:type="dxa"/>
            <w:vAlign w:val="bottom"/>
          </w:tcPr>
          <w:p w14:paraId="602283B8" w14:textId="77777777" w:rsidR="00F332D4" w:rsidRPr="00C90EDA" w:rsidRDefault="00F332D4" w:rsidP="003B4778">
            <w:pPr>
              <w:spacing w:after="0" w:line="240" w:lineRule="auto"/>
              <w:jc w:val="center"/>
              <w:rPr>
                <w:rFonts w:cstheme="minorHAnsi"/>
              </w:rPr>
            </w:pPr>
            <w:r w:rsidRPr="00C90EDA">
              <w:rPr>
                <w:rFonts w:cstheme="minorHAnsi"/>
              </w:rPr>
              <w:t>1.053</w:t>
            </w:r>
          </w:p>
        </w:tc>
      </w:tr>
      <w:tr w:rsidR="00F332D4" w:rsidRPr="00C90EDA" w14:paraId="51D6C6FF" w14:textId="77777777" w:rsidTr="003B4778">
        <w:trPr>
          <w:trHeight w:val="317"/>
          <w:jc w:val="center"/>
        </w:trPr>
        <w:tc>
          <w:tcPr>
            <w:tcW w:w="3071" w:type="dxa"/>
            <w:vAlign w:val="bottom"/>
          </w:tcPr>
          <w:p w14:paraId="2F5CF7D4" w14:textId="77777777" w:rsidR="00F332D4" w:rsidRPr="00C90EDA" w:rsidRDefault="00F332D4" w:rsidP="003B4778">
            <w:pPr>
              <w:spacing w:after="0" w:line="240" w:lineRule="auto"/>
              <w:rPr>
                <w:rFonts w:cstheme="minorHAnsi"/>
              </w:rPr>
            </w:pPr>
            <w:r w:rsidRPr="00C90EDA">
              <w:rPr>
                <w:rFonts w:cstheme="minorHAnsi"/>
              </w:rPr>
              <w:t xml:space="preserve">      Quartile 2 (49.7 to 52.2)</w:t>
            </w:r>
          </w:p>
        </w:tc>
        <w:tc>
          <w:tcPr>
            <w:tcW w:w="1447" w:type="dxa"/>
            <w:vAlign w:val="bottom"/>
          </w:tcPr>
          <w:p w14:paraId="1C9C506B" w14:textId="77777777" w:rsidR="00F332D4" w:rsidRPr="00C90EDA" w:rsidRDefault="00F332D4" w:rsidP="003B4778">
            <w:pPr>
              <w:spacing w:after="0" w:line="240" w:lineRule="auto"/>
              <w:jc w:val="center"/>
              <w:rPr>
                <w:rFonts w:cstheme="minorHAnsi"/>
              </w:rPr>
            </w:pPr>
            <w:r w:rsidRPr="00C90EDA">
              <w:rPr>
                <w:rFonts w:cstheme="minorHAnsi"/>
              </w:rPr>
              <w:t>0.0292</w:t>
            </w:r>
          </w:p>
        </w:tc>
        <w:tc>
          <w:tcPr>
            <w:tcW w:w="1175" w:type="dxa"/>
            <w:vAlign w:val="bottom"/>
          </w:tcPr>
          <w:p w14:paraId="33C5C887" w14:textId="77777777" w:rsidR="00F332D4" w:rsidRPr="00C90EDA" w:rsidRDefault="00F332D4" w:rsidP="003B4778">
            <w:pPr>
              <w:spacing w:after="0" w:line="240" w:lineRule="auto"/>
              <w:jc w:val="center"/>
              <w:rPr>
                <w:rFonts w:cstheme="minorHAnsi"/>
              </w:rPr>
            </w:pPr>
            <w:r w:rsidRPr="00C90EDA">
              <w:rPr>
                <w:rFonts w:cstheme="minorHAnsi"/>
              </w:rPr>
              <w:t>0.0086</w:t>
            </w:r>
          </w:p>
        </w:tc>
        <w:tc>
          <w:tcPr>
            <w:tcW w:w="994" w:type="dxa"/>
            <w:vAlign w:val="bottom"/>
          </w:tcPr>
          <w:p w14:paraId="45AAAA99" w14:textId="77777777" w:rsidR="00F332D4" w:rsidRPr="00C90EDA" w:rsidRDefault="00F332D4" w:rsidP="003B4778">
            <w:pPr>
              <w:spacing w:after="0" w:line="240" w:lineRule="auto"/>
              <w:jc w:val="center"/>
              <w:rPr>
                <w:rFonts w:cstheme="minorHAnsi"/>
              </w:rPr>
            </w:pPr>
            <w:r w:rsidRPr="00C90EDA">
              <w:rPr>
                <w:rFonts w:cstheme="minorHAnsi"/>
              </w:rPr>
              <w:t>0.0007</w:t>
            </w:r>
          </w:p>
        </w:tc>
        <w:tc>
          <w:tcPr>
            <w:tcW w:w="994" w:type="dxa"/>
            <w:vAlign w:val="bottom"/>
          </w:tcPr>
          <w:p w14:paraId="3F5F9B54" w14:textId="77777777" w:rsidR="00F332D4" w:rsidRPr="00C90EDA" w:rsidRDefault="00F332D4" w:rsidP="003B4778">
            <w:pPr>
              <w:spacing w:after="0" w:line="240" w:lineRule="auto"/>
              <w:jc w:val="center"/>
              <w:rPr>
                <w:rFonts w:cstheme="minorHAnsi"/>
              </w:rPr>
            </w:pPr>
            <w:r w:rsidRPr="00C90EDA">
              <w:rPr>
                <w:rFonts w:cstheme="minorHAnsi"/>
              </w:rPr>
              <w:t>1.030</w:t>
            </w:r>
          </w:p>
        </w:tc>
      </w:tr>
      <w:tr w:rsidR="00F332D4" w:rsidRPr="00C90EDA" w14:paraId="1DD14364" w14:textId="77777777" w:rsidTr="00586DEC">
        <w:trPr>
          <w:trHeight w:val="317"/>
          <w:jc w:val="center"/>
        </w:trPr>
        <w:tc>
          <w:tcPr>
            <w:tcW w:w="3071" w:type="dxa"/>
            <w:vAlign w:val="bottom"/>
          </w:tcPr>
          <w:p w14:paraId="379D0A8A" w14:textId="77777777" w:rsidR="00F332D4" w:rsidRPr="00C90EDA" w:rsidRDefault="00F332D4" w:rsidP="003B4778">
            <w:pPr>
              <w:spacing w:after="0" w:line="240" w:lineRule="auto"/>
              <w:rPr>
                <w:rFonts w:eastAsia="Times New Roman" w:cstheme="minorHAnsi"/>
              </w:rPr>
            </w:pPr>
            <w:r w:rsidRPr="00C90EDA">
              <w:rPr>
                <w:rFonts w:cstheme="minorHAnsi"/>
              </w:rPr>
              <w:t xml:space="preserve">      Quartile 3 (52.3 to 55.5)</w:t>
            </w:r>
          </w:p>
        </w:tc>
        <w:tc>
          <w:tcPr>
            <w:tcW w:w="1447" w:type="dxa"/>
            <w:vAlign w:val="bottom"/>
          </w:tcPr>
          <w:p w14:paraId="1EAA2B2C" w14:textId="77777777" w:rsidR="00F332D4" w:rsidRPr="00C90EDA" w:rsidRDefault="00F332D4" w:rsidP="003B4778">
            <w:pPr>
              <w:spacing w:after="0" w:line="240" w:lineRule="auto"/>
              <w:jc w:val="center"/>
              <w:rPr>
                <w:rFonts w:eastAsia="Times New Roman" w:cstheme="minorHAnsi"/>
              </w:rPr>
            </w:pPr>
            <w:r w:rsidRPr="00C90EDA">
              <w:rPr>
                <w:rFonts w:cstheme="minorHAnsi"/>
              </w:rPr>
              <w:t>0.0282</w:t>
            </w:r>
          </w:p>
        </w:tc>
        <w:tc>
          <w:tcPr>
            <w:tcW w:w="1175" w:type="dxa"/>
            <w:vAlign w:val="bottom"/>
          </w:tcPr>
          <w:p w14:paraId="01470510" w14:textId="77777777" w:rsidR="00F332D4" w:rsidRPr="00C90EDA" w:rsidRDefault="00F332D4" w:rsidP="003B4778">
            <w:pPr>
              <w:spacing w:after="0" w:line="240" w:lineRule="auto"/>
              <w:jc w:val="center"/>
              <w:rPr>
                <w:rFonts w:cstheme="minorHAnsi"/>
              </w:rPr>
            </w:pPr>
            <w:r w:rsidRPr="00C90EDA">
              <w:rPr>
                <w:rFonts w:cstheme="minorHAnsi"/>
              </w:rPr>
              <w:t>0.0084</w:t>
            </w:r>
          </w:p>
        </w:tc>
        <w:tc>
          <w:tcPr>
            <w:tcW w:w="994" w:type="dxa"/>
            <w:vAlign w:val="bottom"/>
          </w:tcPr>
          <w:p w14:paraId="1C99F4A1" w14:textId="77777777" w:rsidR="00F332D4" w:rsidRPr="00C90EDA" w:rsidRDefault="00F332D4" w:rsidP="003B4778">
            <w:pPr>
              <w:spacing w:after="0" w:line="240" w:lineRule="auto"/>
              <w:jc w:val="center"/>
              <w:rPr>
                <w:rFonts w:cstheme="minorHAnsi"/>
              </w:rPr>
            </w:pPr>
            <w:r w:rsidRPr="00C90EDA">
              <w:rPr>
                <w:rFonts w:cstheme="minorHAnsi"/>
              </w:rPr>
              <w:t>0.0007</w:t>
            </w:r>
          </w:p>
        </w:tc>
        <w:tc>
          <w:tcPr>
            <w:tcW w:w="994" w:type="dxa"/>
            <w:vAlign w:val="bottom"/>
          </w:tcPr>
          <w:p w14:paraId="594A98B5" w14:textId="77777777" w:rsidR="00F332D4" w:rsidRPr="00C90EDA" w:rsidRDefault="00F332D4" w:rsidP="003B4778">
            <w:pPr>
              <w:spacing w:after="0" w:line="240" w:lineRule="auto"/>
              <w:jc w:val="center"/>
              <w:rPr>
                <w:rFonts w:cstheme="minorHAnsi"/>
              </w:rPr>
            </w:pPr>
            <w:r w:rsidRPr="00C90EDA">
              <w:rPr>
                <w:rFonts w:cstheme="minorHAnsi"/>
              </w:rPr>
              <w:t>1.029</w:t>
            </w:r>
          </w:p>
        </w:tc>
      </w:tr>
      <w:tr w:rsidR="00F332D4" w:rsidRPr="00C90EDA" w14:paraId="0813E21D" w14:textId="77777777" w:rsidTr="00586DEC">
        <w:trPr>
          <w:trHeight w:val="317"/>
          <w:jc w:val="center"/>
        </w:trPr>
        <w:tc>
          <w:tcPr>
            <w:tcW w:w="3071" w:type="dxa"/>
            <w:tcBorders>
              <w:bottom w:val="single" w:sz="4" w:space="0" w:color="auto"/>
            </w:tcBorders>
            <w:vAlign w:val="bottom"/>
          </w:tcPr>
          <w:p w14:paraId="00131738" w14:textId="77777777" w:rsidR="00F332D4" w:rsidRPr="00C90EDA" w:rsidRDefault="00F332D4" w:rsidP="003B4778">
            <w:pPr>
              <w:spacing w:after="0" w:line="240" w:lineRule="auto"/>
              <w:rPr>
                <w:rFonts w:cstheme="minorHAnsi"/>
              </w:rPr>
            </w:pPr>
            <w:r w:rsidRPr="00C90EDA">
              <w:rPr>
                <w:rFonts w:cstheme="minorHAnsi"/>
              </w:rPr>
              <w:t xml:space="preserve">      Missing </w:t>
            </w:r>
          </w:p>
        </w:tc>
        <w:tc>
          <w:tcPr>
            <w:tcW w:w="1447" w:type="dxa"/>
            <w:tcBorders>
              <w:bottom w:val="single" w:sz="4" w:space="0" w:color="auto"/>
            </w:tcBorders>
            <w:vAlign w:val="bottom"/>
          </w:tcPr>
          <w:p w14:paraId="776E622F" w14:textId="77777777" w:rsidR="00F332D4" w:rsidRPr="00C90EDA" w:rsidRDefault="00F332D4" w:rsidP="003B4778">
            <w:pPr>
              <w:spacing w:after="0" w:line="240" w:lineRule="auto"/>
              <w:jc w:val="center"/>
              <w:rPr>
                <w:rFonts w:cstheme="minorHAnsi"/>
              </w:rPr>
            </w:pPr>
            <w:r w:rsidRPr="00C90EDA">
              <w:rPr>
                <w:rFonts w:cstheme="minorHAnsi"/>
              </w:rPr>
              <w:t>0.2882</w:t>
            </w:r>
          </w:p>
        </w:tc>
        <w:tc>
          <w:tcPr>
            <w:tcW w:w="1175" w:type="dxa"/>
            <w:tcBorders>
              <w:bottom w:val="single" w:sz="4" w:space="0" w:color="auto"/>
            </w:tcBorders>
            <w:vAlign w:val="bottom"/>
          </w:tcPr>
          <w:p w14:paraId="60B990AC" w14:textId="77777777" w:rsidR="00F332D4" w:rsidRPr="00C90EDA" w:rsidRDefault="00F332D4" w:rsidP="003B4778">
            <w:pPr>
              <w:spacing w:after="0" w:line="240" w:lineRule="auto"/>
              <w:jc w:val="center"/>
              <w:rPr>
                <w:rFonts w:cstheme="minorHAnsi"/>
              </w:rPr>
            </w:pPr>
            <w:r w:rsidRPr="00C90EDA">
              <w:rPr>
                <w:rFonts w:cstheme="minorHAnsi"/>
              </w:rPr>
              <w:t>0.2482</w:t>
            </w:r>
          </w:p>
        </w:tc>
        <w:tc>
          <w:tcPr>
            <w:tcW w:w="994" w:type="dxa"/>
            <w:tcBorders>
              <w:bottom w:val="single" w:sz="4" w:space="0" w:color="auto"/>
            </w:tcBorders>
            <w:vAlign w:val="bottom"/>
          </w:tcPr>
          <w:p w14:paraId="49EFF7D1" w14:textId="77777777" w:rsidR="00F332D4" w:rsidRPr="00C90EDA" w:rsidRDefault="00F332D4" w:rsidP="003B4778">
            <w:pPr>
              <w:spacing w:after="0" w:line="240" w:lineRule="auto"/>
              <w:jc w:val="center"/>
              <w:rPr>
                <w:rFonts w:cstheme="minorHAnsi"/>
              </w:rPr>
            </w:pPr>
            <w:r w:rsidRPr="00C90EDA">
              <w:rPr>
                <w:rFonts w:cstheme="minorHAnsi"/>
              </w:rPr>
              <w:t>0.2456</w:t>
            </w:r>
          </w:p>
        </w:tc>
        <w:tc>
          <w:tcPr>
            <w:tcW w:w="994" w:type="dxa"/>
            <w:tcBorders>
              <w:bottom w:val="single" w:sz="4" w:space="0" w:color="auto"/>
            </w:tcBorders>
            <w:vAlign w:val="bottom"/>
          </w:tcPr>
          <w:p w14:paraId="1602E4E5" w14:textId="77777777" w:rsidR="00F332D4" w:rsidRPr="00C90EDA" w:rsidRDefault="00F332D4" w:rsidP="003B4778">
            <w:pPr>
              <w:spacing w:after="0" w:line="240" w:lineRule="auto"/>
              <w:jc w:val="center"/>
              <w:rPr>
                <w:rFonts w:cstheme="minorHAnsi"/>
              </w:rPr>
            </w:pPr>
            <w:r w:rsidRPr="00C90EDA">
              <w:rPr>
                <w:rFonts w:cstheme="minorHAnsi"/>
              </w:rPr>
              <w:t>1.334</w:t>
            </w:r>
          </w:p>
        </w:tc>
      </w:tr>
    </w:tbl>
    <w:p w14:paraId="7DD6197F" w14:textId="77777777" w:rsidR="00F332D4" w:rsidRPr="00C90EDA" w:rsidRDefault="00F332D4" w:rsidP="00F332D4">
      <w:pPr>
        <w:spacing w:after="0" w:line="240" w:lineRule="auto"/>
        <w:rPr>
          <w:rFonts w:eastAsia="Calibri" w:cstheme="minorHAnsi"/>
          <w:sz w:val="18"/>
          <w:szCs w:val="18"/>
        </w:rPr>
      </w:pPr>
      <w:r w:rsidRPr="00C90EDA">
        <w:rPr>
          <w:rFonts w:eastAsia="Calibri" w:cstheme="minorHAnsi"/>
          <w:sz w:val="18"/>
          <w:szCs w:val="18"/>
        </w:rPr>
        <w:t>Note: SE=Standard error; OR=Odds ratio; * based on beneficiary residence. AHRQ = Agency for Healthcare Research. Source: RTI International analysis of FY 2016-2017 Medicare fee-for-service claims data for index IRF stays. (RTI program reference: MM213).</w:t>
      </w:r>
    </w:p>
    <w:p w14:paraId="03AF8DA3" w14:textId="77777777" w:rsidR="00F332D4" w:rsidRPr="00C90EDA" w:rsidRDefault="00F332D4" w:rsidP="00E547E2">
      <w:pPr>
        <w:spacing w:after="0" w:line="240" w:lineRule="auto"/>
        <w:rPr>
          <w:rFonts w:eastAsia="Calibri" w:cstheme="minorHAnsi"/>
        </w:rPr>
      </w:pPr>
    </w:p>
    <w:p w14:paraId="4EBAB2F7" w14:textId="0931D8CD" w:rsidR="00E547E2" w:rsidRPr="00C90EDA" w:rsidRDefault="00E547E2" w:rsidP="00E547E2">
      <w:pPr>
        <w:spacing w:after="0" w:line="240" w:lineRule="auto"/>
        <w:rPr>
          <w:rFonts w:eastAsia="Calibri" w:cstheme="minorHAnsi"/>
        </w:rPr>
      </w:pPr>
      <w:r w:rsidRPr="00C90EDA">
        <w:rPr>
          <w:rFonts w:eastAsia="Calibri" w:cstheme="minorHAnsi"/>
          <w:b/>
        </w:rPr>
        <w:t>Table B-4</w:t>
      </w:r>
      <w:r w:rsidRPr="00C90EDA">
        <w:rPr>
          <w:rFonts w:eastAsia="Calibri" w:cstheme="minorHAnsi"/>
        </w:rPr>
        <w:t xml:space="preserve"> shows the distribution of DTC performance measure scores </w:t>
      </w:r>
      <w:r w:rsidR="00142CB6">
        <w:rPr>
          <w:rFonts w:eastAsia="Calibri" w:cstheme="minorHAnsi"/>
        </w:rPr>
        <w:t>with and without social risk factor adjustment.</w:t>
      </w:r>
      <w:r w:rsidRPr="00C90EDA">
        <w:rPr>
          <w:rFonts w:eastAsia="Calibri" w:cstheme="minorHAnsi"/>
        </w:rPr>
        <w:t xml:space="preserve"> </w:t>
      </w:r>
      <w:r w:rsidR="00142CB6">
        <w:rPr>
          <w:rFonts w:eastAsia="Calibri" w:cstheme="minorHAnsi"/>
        </w:rPr>
        <w:t>Overall, social risk factor adjustment had minimal impact on providers’ performance scores.</w:t>
      </w:r>
      <w:r w:rsidR="00B11A3F">
        <w:rPr>
          <w:rFonts w:eastAsia="Calibri" w:cstheme="minorHAnsi"/>
        </w:rPr>
        <w:t xml:space="preserve"> T</w:t>
      </w:r>
      <w:r w:rsidRPr="00C90EDA">
        <w:rPr>
          <w:rFonts w:eastAsia="Calibri" w:cstheme="minorHAnsi"/>
        </w:rPr>
        <w:t>he mean difference between the two sets of scores was 0.00 percentage points</w:t>
      </w:r>
      <w:r w:rsidR="00B11A3F">
        <w:rPr>
          <w:rFonts w:eastAsia="Calibri" w:cstheme="minorHAnsi"/>
        </w:rPr>
        <w:t>, with a standard deviation of 0.28 and interquartile range of 0.31.</w:t>
      </w:r>
    </w:p>
    <w:p w14:paraId="6B7092CE" w14:textId="35C7441D" w:rsidR="00E547E2" w:rsidRDefault="00E547E2" w:rsidP="00E547E2">
      <w:pPr>
        <w:spacing w:after="0" w:line="240" w:lineRule="auto"/>
        <w:rPr>
          <w:rFonts w:eastAsia="Calibri" w:cstheme="minorHAnsi"/>
        </w:rPr>
      </w:pPr>
    </w:p>
    <w:p w14:paraId="4E7AE6F0" w14:textId="77777777" w:rsidR="00FD35B7" w:rsidRDefault="00FD35B7" w:rsidP="00F332D4">
      <w:pPr>
        <w:spacing w:after="0" w:line="240" w:lineRule="auto"/>
        <w:rPr>
          <w:rFonts w:eastAsia="Calibri" w:cstheme="minorHAnsi"/>
          <w:b/>
          <w:bCs/>
          <w:szCs w:val="20"/>
        </w:rPr>
      </w:pPr>
    </w:p>
    <w:p w14:paraId="308690EC" w14:textId="77777777" w:rsidR="00FD35B7" w:rsidRDefault="00FD35B7" w:rsidP="00F332D4">
      <w:pPr>
        <w:spacing w:after="0" w:line="240" w:lineRule="auto"/>
        <w:rPr>
          <w:rFonts w:eastAsia="Calibri" w:cstheme="minorHAnsi"/>
          <w:b/>
          <w:bCs/>
          <w:szCs w:val="20"/>
        </w:rPr>
      </w:pPr>
    </w:p>
    <w:p w14:paraId="02A3084A" w14:textId="77777777" w:rsidR="00FD35B7" w:rsidRDefault="00FD35B7" w:rsidP="00F332D4">
      <w:pPr>
        <w:spacing w:after="0" w:line="240" w:lineRule="auto"/>
        <w:rPr>
          <w:rFonts w:eastAsia="Calibri" w:cstheme="minorHAnsi"/>
          <w:b/>
          <w:bCs/>
          <w:szCs w:val="20"/>
        </w:rPr>
      </w:pPr>
    </w:p>
    <w:p w14:paraId="620600B2" w14:textId="77777777" w:rsidR="00FD35B7" w:rsidRDefault="00FD35B7" w:rsidP="00F332D4">
      <w:pPr>
        <w:spacing w:after="0" w:line="240" w:lineRule="auto"/>
        <w:rPr>
          <w:rFonts w:eastAsia="Calibri" w:cstheme="minorHAnsi"/>
          <w:b/>
          <w:bCs/>
          <w:szCs w:val="20"/>
        </w:rPr>
      </w:pPr>
    </w:p>
    <w:p w14:paraId="4076B697" w14:textId="77777777" w:rsidR="00FD35B7" w:rsidRDefault="00FD35B7" w:rsidP="00F332D4">
      <w:pPr>
        <w:spacing w:after="0" w:line="240" w:lineRule="auto"/>
        <w:rPr>
          <w:rFonts w:eastAsia="Calibri" w:cstheme="minorHAnsi"/>
          <w:b/>
          <w:bCs/>
          <w:szCs w:val="20"/>
        </w:rPr>
      </w:pPr>
    </w:p>
    <w:p w14:paraId="440AB53F" w14:textId="77777777" w:rsidR="00FD35B7" w:rsidRDefault="00FD35B7" w:rsidP="00F332D4">
      <w:pPr>
        <w:spacing w:after="0" w:line="240" w:lineRule="auto"/>
        <w:rPr>
          <w:rFonts w:eastAsia="Calibri" w:cstheme="minorHAnsi"/>
          <w:b/>
          <w:bCs/>
          <w:szCs w:val="20"/>
        </w:rPr>
      </w:pPr>
    </w:p>
    <w:p w14:paraId="26E9C861" w14:textId="254786CA" w:rsidR="00F332D4" w:rsidRPr="00C90EDA" w:rsidRDefault="00F332D4" w:rsidP="00F332D4">
      <w:pPr>
        <w:spacing w:after="0" w:line="240" w:lineRule="auto"/>
        <w:rPr>
          <w:rFonts w:eastAsia="Calibri" w:cstheme="minorHAnsi"/>
          <w:b/>
          <w:szCs w:val="20"/>
        </w:rPr>
      </w:pPr>
      <w:r w:rsidRPr="00C90EDA">
        <w:rPr>
          <w:rFonts w:eastAsia="Calibri" w:cstheme="minorHAnsi"/>
          <w:b/>
          <w:bCs/>
          <w:szCs w:val="20"/>
        </w:rPr>
        <w:lastRenderedPageBreak/>
        <w:t>Table B-4</w:t>
      </w:r>
      <w:r w:rsidR="00D050EC">
        <w:rPr>
          <w:rFonts w:eastAsia="Calibri" w:cstheme="minorHAnsi"/>
          <w:b/>
          <w:bCs/>
          <w:szCs w:val="20"/>
        </w:rPr>
        <w:t>.</w:t>
      </w:r>
      <w:r w:rsidRPr="00C90EDA">
        <w:rPr>
          <w:rFonts w:eastAsia="Calibri" w:cstheme="minorHAnsi"/>
          <w:b/>
          <w:bCs/>
          <w:szCs w:val="20"/>
        </w:rPr>
        <w:t xml:space="preserve"> </w:t>
      </w:r>
      <w:r w:rsidRPr="00C90EDA">
        <w:rPr>
          <w:rFonts w:eastAsia="Calibri" w:cstheme="minorHAnsi"/>
          <w:b/>
          <w:szCs w:val="20"/>
        </w:rPr>
        <w:t xml:space="preserve">Distribution of DTC-PAC IRF </w:t>
      </w:r>
      <w:r w:rsidR="009B581B" w:rsidRPr="00C90EDA">
        <w:rPr>
          <w:rFonts w:eastAsia="Calibri" w:cstheme="minorHAnsi"/>
          <w:b/>
          <w:szCs w:val="20"/>
        </w:rPr>
        <w:t xml:space="preserve">Performance Measure Scores </w:t>
      </w:r>
      <w:proofErr w:type="gramStart"/>
      <w:r w:rsidR="009B581B">
        <w:rPr>
          <w:rFonts w:eastAsia="Calibri" w:cstheme="minorHAnsi"/>
          <w:b/>
          <w:szCs w:val="20"/>
        </w:rPr>
        <w:t>W</w:t>
      </w:r>
      <w:r w:rsidRPr="00C90EDA">
        <w:rPr>
          <w:rFonts w:eastAsia="Calibri" w:cstheme="minorHAnsi"/>
          <w:b/>
          <w:szCs w:val="20"/>
        </w:rPr>
        <w:t>ith</w:t>
      </w:r>
      <w:proofErr w:type="gramEnd"/>
      <w:r w:rsidRPr="00C90EDA">
        <w:rPr>
          <w:rFonts w:eastAsia="Calibri" w:cstheme="minorHAnsi"/>
          <w:b/>
          <w:szCs w:val="20"/>
        </w:rPr>
        <w:t xml:space="preserve"> and </w:t>
      </w:r>
      <w:r w:rsidR="009B581B">
        <w:rPr>
          <w:rFonts w:eastAsia="Calibri" w:cstheme="minorHAnsi"/>
          <w:b/>
          <w:szCs w:val="20"/>
        </w:rPr>
        <w:t>W</w:t>
      </w:r>
      <w:r w:rsidRPr="00C90EDA">
        <w:rPr>
          <w:rFonts w:eastAsia="Calibri" w:cstheme="minorHAnsi"/>
          <w:b/>
          <w:szCs w:val="20"/>
        </w:rPr>
        <w:t xml:space="preserve">ithout </w:t>
      </w:r>
      <w:r w:rsidR="009B581B">
        <w:rPr>
          <w:rFonts w:eastAsia="Calibri" w:cstheme="minorHAnsi"/>
          <w:b/>
          <w:szCs w:val="20"/>
        </w:rPr>
        <w:t>A</w:t>
      </w:r>
      <w:r w:rsidRPr="00C90EDA">
        <w:rPr>
          <w:rFonts w:eastAsia="Calibri" w:cstheme="minorHAnsi"/>
          <w:b/>
          <w:szCs w:val="20"/>
        </w:rPr>
        <w:t xml:space="preserve">djustment for </w:t>
      </w:r>
      <w:r w:rsidR="009B581B" w:rsidRPr="00C90EDA">
        <w:rPr>
          <w:rFonts w:eastAsia="Calibri" w:cstheme="minorHAnsi"/>
          <w:b/>
          <w:szCs w:val="20"/>
        </w:rPr>
        <w:t xml:space="preserve">Social Risk Factors </w:t>
      </w:r>
      <w:r w:rsidRPr="00C90EDA">
        <w:rPr>
          <w:rFonts w:eastAsia="Calibri" w:cstheme="minorHAnsi"/>
          <w:b/>
          <w:szCs w:val="20"/>
        </w:rPr>
        <w:t>(K = 1,157)</w:t>
      </w:r>
    </w:p>
    <w:p w14:paraId="71B90215" w14:textId="77777777" w:rsidR="00F332D4" w:rsidRPr="00C90EDA" w:rsidRDefault="00F332D4" w:rsidP="00F332D4">
      <w:pPr>
        <w:spacing w:after="0" w:line="240" w:lineRule="auto"/>
        <w:rPr>
          <w:rFonts w:eastAsia="Calibri" w:cstheme="minorHAnsi"/>
          <w:b/>
          <w:sz w:val="20"/>
          <w:szCs w:val="20"/>
        </w:rPr>
      </w:pPr>
    </w:p>
    <w:tbl>
      <w:tblPr>
        <w:tblW w:w="5000" w:type="pct"/>
        <w:tblLook w:val="06A0" w:firstRow="1" w:lastRow="0" w:firstColumn="1" w:lastColumn="0" w:noHBand="1" w:noVBand="1"/>
      </w:tblPr>
      <w:tblGrid>
        <w:gridCol w:w="3204"/>
        <w:gridCol w:w="766"/>
        <w:gridCol w:w="861"/>
        <w:gridCol w:w="779"/>
        <w:gridCol w:w="1103"/>
        <w:gridCol w:w="918"/>
        <w:gridCol w:w="1011"/>
        <w:gridCol w:w="718"/>
      </w:tblGrid>
      <w:tr w:rsidR="00F332D4" w:rsidRPr="0029236D" w14:paraId="18001E3E" w14:textId="77777777" w:rsidTr="003D4DEE">
        <w:trPr>
          <w:tblHeader/>
        </w:trPr>
        <w:tc>
          <w:tcPr>
            <w:tcW w:w="1720" w:type="pct"/>
            <w:tcBorders>
              <w:top w:val="single" w:sz="4" w:space="0" w:color="auto"/>
              <w:bottom w:val="single" w:sz="4" w:space="0" w:color="auto"/>
            </w:tcBorders>
            <w:shd w:val="clear" w:color="auto" w:fill="D9D9D9" w:themeFill="background1" w:themeFillShade="D9"/>
            <w:vAlign w:val="bottom"/>
          </w:tcPr>
          <w:p w14:paraId="6191DF74" w14:textId="77777777" w:rsidR="00F332D4" w:rsidRPr="0029236D" w:rsidRDefault="00F332D4" w:rsidP="003B4778">
            <w:pPr>
              <w:spacing w:after="0" w:line="240" w:lineRule="auto"/>
              <w:rPr>
                <w:rFonts w:cstheme="minorHAnsi"/>
                <w:b/>
                <w:bCs/>
              </w:rPr>
            </w:pPr>
            <w:r w:rsidRPr="0029236D">
              <w:rPr>
                <w:rFonts w:eastAsia="Calibri" w:cstheme="minorHAnsi"/>
                <w:b/>
                <w:bCs/>
              </w:rPr>
              <w:t>DTC Performance Measure Scores</w:t>
            </w:r>
          </w:p>
        </w:tc>
        <w:tc>
          <w:tcPr>
            <w:tcW w:w="417" w:type="pct"/>
            <w:tcBorders>
              <w:top w:val="single" w:sz="4" w:space="0" w:color="auto"/>
              <w:bottom w:val="single" w:sz="4" w:space="0" w:color="auto"/>
            </w:tcBorders>
            <w:shd w:val="clear" w:color="auto" w:fill="D9D9D9" w:themeFill="background1" w:themeFillShade="D9"/>
            <w:vAlign w:val="bottom"/>
          </w:tcPr>
          <w:p w14:paraId="343660D9" w14:textId="77777777" w:rsidR="00F332D4" w:rsidRPr="0029236D" w:rsidRDefault="00F332D4" w:rsidP="0029236D">
            <w:pPr>
              <w:spacing w:after="0" w:line="240" w:lineRule="auto"/>
              <w:jc w:val="center"/>
              <w:rPr>
                <w:rFonts w:cstheme="minorHAnsi"/>
                <w:b/>
                <w:bCs/>
              </w:rPr>
            </w:pPr>
            <w:r w:rsidRPr="0029236D">
              <w:rPr>
                <w:rFonts w:cstheme="minorHAnsi"/>
                <w:b/>
                <w:bCs/>
              </w:rPr>
              <w:t>Mean</w:t>
            </w:r>
          </w:p>
        </w:tc>
        <w:tc>
          <w:tcPr>
            <w:tcW w:w="468" w:type="pct"/>
            <w:tcBorders>
              <w:top w:val="single" w:sz="4" w:space="0" w:color="auto"/>
              <w:bottom w:val="single" w:sz="4" w:space="0" w:color="auto"/>
            </w:tcBorders>
            <w:shd w:val="clear" w:color="auto" w:fill="D9D9D9" w:themeFill="background1" w:themeFillShade="D9"/>
            <w:vAlign w:val="bottom"/>
          </w:tcPr>
          <w:p w14:paraId="252E3A67" w14:textId="77777777" w:rsidR="00F332D4" w:rsidRPr="0029236D" w:rsidRDefault="00F332D4" w:rsidP="0029236D">
            <w:pPr>
              <w:spacing w:after="0" w:line="240" w:lineRule="auto"/>
              <w:jc w:val="center"/>
              <w:rPr>
                <w:rFonts w:cstheme="minorHAnsi"/>
                <w:b/>
                <w:bCs/>
              </w:rPr>
            </w:pPr>
            <w:r w:rsidRPr="0029236D">
              <w:rPr>
                <w:rFonts w:cstheme="minorHAnsi"/>
                <w:b/>
                <w:bCs/>
              </w:rPr>
              <w:t>SD</w:t>
            </w:r>
          </w:p>
        </w:tc>
        <w:tc>
          <w:tcPr>
            <w:tcW w:w="424" w:type="pct"/>
            <w:tcBorders>
              <w:top w:val="single" w:sz="4" w:space="0" w:color="auto"/>
              <w:bottom w:val="single" w:sz="4" w:space="0" w:color="auto"/>
            </w:tcBorders>
            <w:shd w:val="clear" w:color="auto" w:fill="D9D9D9" w:themeFill="background1" w:themeFillShade="D9"/>
            <w:vAlign w:val="bottom"/>
          </w:tcPr>
          <w:p w14:paraId="79834586" w14:textId="77777777" w:rsidR="00F332D4" w:rsidRPr="0029236D" w:rsidRDefault="00F332D4" w:rsidP="0029236D">
            <w:pPr>
              <w:spacing w:after="0" w:line="240" w:lineRule="auto"/>
              <w:jc w:val="center"/>
              <w:rPr>
                <w:rFonts w:cstheme="minorHAnsi"/>
                <w:b/>
                <w:bCs/>
              </w:rPr>
            </w:pPr>
            <w:r w:rsidRPr="0029236D">
              <w:rPr>
                <w:rFonts w:cstheme="minorHAnsi"/>
                <w:b/>
                <w:bCs/>
              </w:rPr>
              <w:t>Min</w:t>
            </w:r>
          </w:p>
        </w:tc>
        <w:tc>
          <w:tcPr>
            <w:tcW w:w="597" w:type="pct"/>
            <w:tcBorders>
              <w:top w:val="single" w:sz="4" w:space="0" w:color="auto"/>
              <w:bottom w:val="single" w:sz="4" w:space="0" w:color="auto"/>
            </w:tcBorders>
            <w:shd w:val="clear" w:color="auto" w:fill="D9D9D9" w:themeFill="background1" w:themeFillShade="D9"/>
            <w:vAlign w:val="bottom"/>
          </w:tcPr>
          <w:p w14:paraId="3C0F2A27" w14:textId="77777777" w:rsidR="00F332D4" w:rsidRPr="0029236D" w:rsidRDefault="00F332D4" w:rsidP="0029236D">
            <w:pPr>
              <w:spacing w:after="0" w:line="240" w:lineRule="auto"/>
              <w:jc w:val="center"/>
              <w:rPr>
                <w:rFonts w:cstheme="minorHAnsi"/>
                <w:b/>
                <w:bCs/>
              </w:rPr>
            </w:pPr>
            <w:r w:rsidRPr="0029236D">
              <w:rPr>
                <w:rFonts w:cstheme="minorHAnsi"/>
                <w:b/>
                <w:bCs/>
              </w:rPr>
              <w:t>25</w:t>
            </w:r>
            <w:r w:rsidRPr="0029236D">
              <w:rPr>
                <w:rFonts w:cstheme="minorHAnsi"/>
                <w:b/>
                <w:bCs/>
                <w:vertAlign w:val="superscript"/>
              </w:rPr>
              <w:t>th</w:t>
            </w:r>
            <w:r w:rsidRPr="0029236D">
              <w:rPr>
                <w:rFonts w:cstheme="minorHAnsi"/>
                <w:b/>
                <w:bCs/>
              </w:rPr>
              <w:t xml:space="preserve"> Pct*</w:t>
            </w:r>
          </w:p>
        </w:tc>
        <w:tc>
          <w:tcPr>
            <w:tcW w:w="490" w:type="pct"/>
            <w:tcBorders>
              <w:top w:val="single" w:sz="4" w:space="0" w:color="auto"/>
              <w:bottom w:val="single" w:sz="4" w:space="0" w:color="auto"/>
            </w:tcBorders>
            <w:shd w:val="clear" w:color="auto" w:fill="D9D9D9" w:themeFill="background1" w:themeFillShade="D9"/>
            <w:vAlign w:val="bottom"/>
          </w:tcPr>
          <w:p w14:paraId="2CD0F967" w14:textId="77777777" w:rsidR="00F332D4" w:rsidRPr="0029236D" w:rsidRDefault="00F332D4" w:rsidP="0029236D">
            <w:pPr>
              <w:spacing w:after="0" w:line="240" w:lineRule="auto"/>
              <w:jc w:val="center"/>
              <w:rPr>
                <w:rFonts w:cstheme="minorHAnsi"/>
                <w:b/>
                <w:bCs/>
              </w:rPr>
            </w:pPr>
            <w:r w:rsidRPr="0029236D">
              <w:rPr>
                <w:rFonts w:cstheme="minorHAnsi"/>
                <w:b/>
                <w:bCs/>
              </w:rPr>
              <w:t>Median</w:t>
            </w:r>
          </w:p>
        </w:tc>
        <w:tc>
          <w:tcPr>
            <w:tcW w:w="548" w:type="pct"/>
            <w:tcBorders>
              <w:top w:val="single" w:sz="4" w:space="0" w:color="auto"/>
              <w:bottom w:val="single" w:sz="4" w:space="0" w:color="auto"/>
            </w:tcBorders>
            <w:shd w:val="clear" w:color="auto" w:fill="D9D9D9" w:themeFill="background1" w:themeFillShade="D9"/>
            <w:vAlign w:val="bottom"/>
          </w:tcPr>
          <w:p w14:paraId="67FCB916" w14:textId="1AF53A7A" w:rsidR="00F332D4" w:rsidRPr="0029236D" w:rsidRDefault="00F332D4" w:rsidP="0029236D">
            <w:pPr>
              <w:spacing w:after="0" w:line="240" w:lineRule="auto"/>
              <w:jc w:val="center"/>
              <w:rPr>
                <w:rFonts w:cstheme="minorHAnsi"/>
                <w:b/>
                <w:bCs/>
              </w:rPr>
            </w:pPr>
            <w:r w:rsidRPr="0029236D">
              <w:rPr>
                <w:rFonts w:cstheme="minorHAnsi"/>
                <w:b/>
                <w:bCs/>
              </w:rPr>
              <w:t>75</w:t>
            </w:r>
            <w:r w:rsidRPr="0029236D">
              <w:rPr>
                <w:rFonts w:cstheme="minorHAnsi"/>
                <w:b/>
                <w:bCs/>
                <w:vertAlign w:val="superscript"/>
              </w:rPr>
              <w:t>th</w:t>
            </w:r>
            <w:r w:rsidRPr="0029236D">
              <w:rPr>
                <w:rFonts w:cstheme="minorHAnsi"/>
                <w:b/>
                <w:bCs/>
              </w:rPr>
              <w:t xml:space="preserve"> </w:t>
            </w:r>
            <w:proofErr w:type="spellStart"/>
            <w:r w:rsidRPr="0029236D">
              <w:rPr>
                <w:rFonts w:cstheme="minorHAnsi"/>
                <w:b/>
                <w:bCs/>
              </w:rPr>
              <w:t>Pct</w:t>
            </w:r>
            <w:proofErr w:type="spellEnd"/>
            <w:r w:rsidR="0029236D" w:rsidRPr="0029236D">
              <w:rPr>
                <w:rFonts w:cstheme="minorHAnsi"/>
                <w:b/>
                <w:bCs/>
              </w:rPr>
              <w:t>*</w:t>
            </w:r>
          </w:p>
        </w:tc>
        <w:tc>
          <w:tcPr>
            <w:tcW w:w="337" w:type="pct"/>
            <w:tcBorders>
              <w:top w:val="single" w:sz="4" w:space="0" w:color="auto"/>
              <w:bottom w:val="single" w:sz="4" w:space="0" w:color="auto"/>
            </w:tcBorders>
            <w:shd w:val="clear" w:color="auto" w:fill="D9D9D9" w:themeFill="background1" w:themeFillShade="D9"/>
            <w:vAlign w:val="bottom"/>
          </w:tcPr>
          <w:p w14:paraId="65556492" w14:textId="77777777" w:rsidR="00F332D4" w:rsidRPr="0029236D" w:rsidRDefault="00F332D4" w:rsidP="0029236D">
            <w:pPr>
              <w:spacing w:after="0" w:line="240" w:lineRule="auto"/>
              <w:jc w:val="center"/>
              <w:rPr>
                <w:rFonts w:cstheme="minorHAnsi"/>
                <w:b/>
                <w:bCs/>
              </w:rPr>
            </w:pPr>
            <w:r w:rsidRPr="0029236D">
              <w:rPr>
                <w:rFonts w:cstheme="minorHAnsi"/>
                <w:b/>
                <w:bCs/>
              </w:rPr>
              <w:t>Max</w:t>
            </w:r>
          </w:p>
        </w:tc>
      </w:tr>
      <w:tr w:rsidR="00F332D4" w:rsidRPr="0029236D" w14:paraId="0EB53E47" w14:textId="77777777" w:rsidTr="00744B54">
        <w:trPr>
          <w:trHeight w:val="297"/>
        </w:trPr>
        <w:tc>
          <w:tcPr>
            <w:tcW w:w="1720" w:type="pct"/>
            <w:tcBorders>
              <w:top w:val="single" w:sz="4" w:space="0" w:color="auto"/>
            </w:tcBorders>
            <w:vAlign w:val="center"/>
          </w:tcPr>
          <w:p w14:paraId="5794E4E6" w14:textId="77777777" w:rsidR="00F332D4" w:rsidRPr="0029236D" w:rsidRDefault="00F332D4" w:rsidP="003B4778">
            <w:pPr>
              <w:spacing w:after="0" w:line="240" w:lineRule="auto"/>
              <w:rPr>
                <w:rFonts w:cstheme="minorHAnsi"/>
              </w:rPr>
            </w:pPr>
            <w:r w:rsidRPr="0029236D">
              <w:rPr>
                <w:rFonts w:eastAsia="Calibri" w:cstheme="minorHAnsi"/>
              </w:rPr>
              <w:t>Not adjusting for SRF</w:t>
            </w:r>
          </w:p>
        </w:tc>
        <w:tc>
          <w:tcPr>
            <w:tcW w:w="417" w:type="pct"/>
            <w:tcBorders>
              <w:top w:val="single" w:sz="4" w:space="0" w:color="auto"/>
            </w:tcBorders>
            <w:vAlign w:val="bottom"/>
          </w:tcPr>
          <w:p w14:paraId="061E2420" w14:textId="77777777" w:rsidR="00F332D4" w:rsidRPr="0029236D" w:rsidRDefault="00F332D4" w:rsidP="0029236D">
            <w:pPr>
              <w:spacing w:after="0" w:line="240" w:lineRule="auto"/>
              <w:jc w:val="center"/>
              <w:rPr>
                <w:rFonts w:cstheme="minorHAnsi"/>
              </w:rPr>
            </w:pPr>
            <w:r w:rsidRPr="0029236D">
              <w:rPr>
                <w:rFonts w:eastAsia="Calibri" w:cstheme="minorHAnsi"/>
              </w:rPr>
              <w:t>64.75</w:t>
            </w:r>
          </w:p>
        </w:tc>
        <w:tc>
          <w:tcPr>
            <w:tcW w:w="468" w:type="pct"/>
            <w:tcBorders>
              <w:top w:val="single" w:sz="4" w:space="0" w:color="auto"/>
            </w:tcBorders>
            <w:vAlign w:val="bottom"/>
          </w:tcPr>
          <w:p w14:paraId="4D5C8790" w14:textId="77777777" w:rsidR="00F332D4" w:rsidRPr="0029236D" w:rsidRDefault="00F332D4" w:rsidP="0029236D">
            <w:pPr>
              <w:spacing w:after="0" w:line="240" w:lineRule="auto"/>
              <w:jc w:val="center"/>
              <w:rPr>
                <w:rFonts w:cstheme="minorHAnsi"/>
              </w:rPr>
            </w:pPr>
            <w:r w:rsidRPr="0029236D">
              <w:rPr>
                <w:rFonts w:eastAsia="Calibri" w:cstheme="minorHAnsi"/>
              </w:rPr>
              <w:t>5.34</w:t>
            </w:r>
          </w:p>
        </w:tc>
        <w:tc>
          <w:tcPr>
            <w:tcW w:w="424" w:type="pct"/>
            <w:tcBorders>
              <w:top w:val="single" w:sz="4" w:space="0" w:color="auto"/>
            </w:tcBorders>
            <w:vAlign w:val="bottom"/>
          </w:tcPr>
          <w:p w14:paraId="71C97208" w14:textId="77777777" w:rsidR="00F332D4" w:rsidRPr="0029236D" w:rsidRDefault="00F332D4" w:rsidP="0029236D">
            <w:pPr>
              <w:spacing w:after="0" w:line="240" w:lineRule="auto"/>
              <w:jc w:val="center"/>
              <w:rPr>
                <w:rFonts w:cstheme="minorHAnsi"/>
              </w:rPr>
            </w:pPr>
            <w:r w:rsidRPr="0029236D">
              <w:rPr>
                <w:rFonts w:eastAsia="Calibri" w:cstheme="minorHAnsi"/>
              </w:rPr>
              <w:t>44.08</w:t>
            </w:r>
          </w:p>
        </w:tc>
        <w:tc>
          <w:tcPr>
            <w:tcW w:w="597" w:type="pct"/>
            <w:tcBorders>
              <w:top w:val="single" w:sz="4" w:space="0" w:color="auto"/>
            </w:tcBorders>
            <w:vAlign w:val="bottom"/>
          </w:tcPr>
          <w:p w14:paraId="58288B20" w14:textId="77777777" w:rsidR="00F332D4" w:rsidRPr="0029236D" w:rsidRDefault="00F332D4" w:rsidP="0029236D">
            <w:pPr>
              <w:spacing w:after="0" w:line="240" w:lineRule="auto"/>
              <w:jc w:val="center"/>
              <w:rPr>
                <w:rFonts w:cstheme="minorHAnsi"/>
              </w:rPr>
            </w:pPr>
            <w:r w:rsidRPr="0029236D">
              <w:rPr>
                <w:rFonts w:eastAsia="Calibri" w:cstheme="minorHAnsi"/>
              </w:rPr>
              <w:t>61.27</w:t>
            </w:r>
          </w:p>
        </w:tc>
        <w:tc>
          <w:tcPr>
            <w:tcW w:w="490" w:type="pct"/>
            <w:tcBorders>
              <w:top w:val="single" w:sz="4" w:space="0" w:color="auto"/>
            </w:tcBorders>
            <w:vAlign w:val="bottom"/>
          </w:tcPr>
          <w:p w14:paraId="266E2BF5" w14:textId="77777777" w:rsidR="00F332D4" w:rsidRPr="0029236D" w:rsidRDefault="00F332D4" w:rsidP="0029236D">
            <w:pPr>
              <w:spacing w:after="0" w:line="240" w:lineRule="auto"/>
              <w:jc w:val="center"/>
              <w:rPr>
                <w:rFonts w:cstheme="minorHAnsi"/>
              </w:rPr>
            </w:pPr>
            <w:r w:rsidRPr="0029236D">
              <w:rPr>
                <w:rFonts w:eastAsia="Calibri" w:cstheme="minorHAnsi"/>
              </w:rPr>
              <w:t>65.20</w:t>
            </w:r>
          </w:p>
        </w:tc>
        <w:tc>
          <w:tcPr>
            <w:tcW w:w="548" w:type="pct"/>
            <w:tcBorders>
              <w:top w:val="single" w:sz="4" w:space="0" w:color="auto"/>
            </w:tcBorders>
            <w:vAlign w:val="bottom"/>
          </w:tcPr>
          <w:p w14:paraId="6B992DF8" w14:textId="77777777" w:rsidR="00F332D4" w:rsidRPr="0029236D" w:rsidRDefault="00F332D4" w:rsidP="0029236D">
            <w:pPr>
              <w:spacing w:after="0" w:line="240" w:lineRule="auto"/>
              <w:jc w:val="center"/>
              <w:rPr>
                <w:rFonts w:cstheme="minorHAnsi"/>
              </w:rPr>
            </w:pPr>
            <w:r w:rsidRPr="0029236D">
              <w:rPr>
                <w:rFonts w:eastAsia="Calibri" w:cstheme="minorHAnsi"/>
              </w:rPr>
              <w:t>68.39</w:t>
            </w:r>
          </w:p>
        </w:tc>
        <w:tc>
          <w:tcPr>
            <w:tcW w:w="337" w:type="pct"/>
            <w:tcBorders>
              <w:top w:val="single" w:sz="4" w:space="0" w:color="auto"/>
            </w:tcBorders>
            <w:vAlign w:val="bottom"/>
          </w:tcPr>
          <w:p w14:paraId="6E85665F" w14:textId="77777777" w:rsidR="00F332D4" w:rsidRPr="0029236D" w:rsidRDefault="00F332D4" w:rsidP="0029236D">
            <w:pPr>
              <w:spacing w:after="0" w:line="240" w:lineRule="auto"/>
              <w:jc w:val="center"/>
              <w:rPr>
                <w:rFonts w:cstheme="minorHAnsi"/>
              </w:rPr>
            </w:pPr>
            <w:r w:rsidRPr="0029236D">
              <w:rPr>
                <w:rFonts w:eastAsia="Calibri" w:cstheme="minorHAnsi"/>
              </w:rPr>
              <w:t>82.57</w:t>
            </w:r>
          </w:p>
        </w:tc>
      </w:tr>
      <w:tr w:rsidR="00F332D4" w:rsidRPr="0029236D" w14:paraId="56F3C70F" w14:textId="77777777" w:rsidTr="00744B54">
        <w:trPr>
          <w:trHeight w:val="297"/>
        </w:trPr>
        <w:tc>
          <w:tcPr>
            <w:tcW w:w="1720" w:type="pct"/>
            <w:vAlign w:val="center"/>
          </w:tcPr>
          <w:p w14:paraId="5A22F5B2" w14:textId="77777777" w:rsidR="00F332D4" w:rsidRPr="0029236D" w:rsidRDefault="00F332D4" w:rsidP="003B4778">
            <w:pPr>
              <w:spacing w:after="0" w:line="240" w:lineRule="auto"/>
              <w:rPr>
                <w:rFonts w:eastAsiaTheme="minorBidi" w:cstheme="minorHAnsi"/>
              </w:rPr>
            </w:pPr>
            <w:r w:rsidRPr="0029236D">
              <w:rPr>
                <w:rFonts w:eastAsia="Calibri" w:cstheme="minorHAnsi"/>
              </w:rPr>
              <w:t>Adjusting for SRF</w:t>
            </w:r>
          </w:p>
        </w:tc>
        <w:tc>
          <w:tcPr>
            <w:tcW w:w="417" w:type="pct"/>
            <w:vAlign w:val="bottom"/>
          </w:tcPr>
          <w:p w14:paraId="0A388795" w14:textId="77777777" w:rsidR="00F332D4" w:rsidRPr="0029236D" w:rsidRDefault="00F332D4" w:rsidP="0029236D">
            <w:pPr>
              <w:spacing w:after="0" w:line="240" w:lineRule="auto"/>
              <w:jc w:val="center"/>
              <w:rPr>
                <w:rFonts w:cstheme="minorHAnsi"/>
              </w:rPr>
            </w:pPr>
            <w:r w:rsidRPr="0029236D">
              <w:rPr>
                <w:rFonts w:ascii="Calibri" w:hAnsi="Calibri" w:cs="Calibri"/>
              </w:rPr>
              <w:t>64.74</w:t>
            </w:r>
          </w:p>
        </w:tc>
        <w:tc>
          <w:tcPr>
            <w:tcW w:w="468" w:type="pct"/>
            <w:vAlign w:val="bottom"/>
          </w:tcPr>
          <w:p w14:paraId="35B61168" w14:textId="77777777" w:rsidR="00F332D4" w:rsidRPr="0029236D" w:rsidRDefault="00F332D4" w:rsidP="0029236D">
            <w:pPr>
              <w:spacing w:after="0" w:line="240" w:lineRule="auto"/>
              <w:jc w:val="center"/>
              <w:rPr>
                <w:rFonts w:cstheme="minorHAnsi"/>
              </w:rPr>
            </w:pPr>
            <w:r w:rsidRPr="0029236D">
              <w:rPr>
                <w:rFonts w:ascii="Calibri" w:hAnsi="Calibri" w:cs="Calibri"/>
              </w:rPr>
              <w:t>5.31</w:t>
            </w:r>
          </w:p>
        </w:tc>
        <w:tc>
          <w:tcPr>
            <w:tcW w:w="424" w:type="pct"/>
            <w:vAlign w:val="bottom"/>
          </w:tcPr>
          <w:p w14:paraId="24C6980D" w14:textId="77777777" w:rsidR="00F332D4" w:rsidRPr="0029236D" w:rsidRDefault="00F332D4" w:rsidP="0029236D">
            <w:pPr>
              <w:spacing w:after="0" w:line="240" w:lineRule="auto"/>
              <w:jc w:val="center"/>
              <w:rPr>
                <w:rFonts w:cstheme="minorHAnsi"/>
              </w:rPr>
            </w:pPr>
            <w:r w:rsidRPr="0029236D">
              <w:rPr>
                <w:rFonts w:ascii="Calibri" w:hAnsi="Calibri" w:cs="Calibri"/>
              </w:rPr>
              <w:t>43.96</w:t>
            </w:r>
          </w:p>
        </w:tc>
        <w:tc>
          <w:tcPr>
            <w:tcW w:w="597" w:type="pct"/>
            <w:vAlign w:val="bottom"/>
          </w:tcPr>
          <w:p w14:paraId="71C3F952" w14:textId="77777777" w:rsidR="00F332D4" w:rsidRPr="0029236D" w:rsidRDefault="00F332D4" w:rsidP="0029236D">
            <w:pPr>
              <w:spacing w:after="0" w:line="240" w:lineRule="auto"/>
              <w:jc w:val="center"/>
              <w:rPr>
                <w:rFonts w:cstheme="minorHAnsi"/>
              </w:rPr>
            </w:pPr>
            <w:r w:rsidRPr="0029236D">
              <w:rPr>
                <w:rFonts w:ascii="Calibri" w:hAnsi="Calibri" w:cs="Calibri"/>
              </w:rPr>
              <w:t>61.31</w:t>
            </w:r>
          </w:p>
        </w:tc>
        <w:tc>
          <w:tcPr>
            <w:tcW w:w="490" w:type="pct"/>
            <w:vAlign w:val="bottom"/>
          </w:tcPr>
          <w:p w14:paraId="0640AD63" w14:textId="77777777" w:rsidR="00F332D4" w:rsidRPr="0029236D" w:rsidRDefault="00F332D4" w:rsidP="0029236D">
            <w:pPr>
              <w:spacing w:after="0" w:line="240" w:lineRule="auto"/>
              <w:jc w:val="center"/>
              <w:rPr>
                <w:rFonts w:cstheme="minorHAnsi"/>
              </w:rPr>
            </w:pPr>
            <w:r w:rsidRPr="0029236D">
              <w:rPr>
                <w:rFonts w:ascii="Calibri" w:hAnsi="Calibri" w:cs="Calibri"/>
              </w:rPr>
              <w:t>65.21</w:t>
            </w:r>
          </w:p>
        </w:tc>
        <w:tc>
          <w:tcPr>
            <w:tcW w:w="548" w:type="pct"/>
            <w:vAlign w:val="bottom"/>
          </w:tcPr>
          <w:p w14:paraId="7A486655" w14:textId="77777777" w:rsidR="00F332D4" w:rsidRPr="0029236D" w:rsidRDefault="00F332D4" w:rsidP="0029236D">
            <w:pPr>
              <w:spacing w:after="0" w:line="240" w:lineRule="auto"/>
              <w:jc w:val="center"/>
              <w:rPr>
                <w:rFonts w:cstheme="minorHAnsi"/>
              </w:rPr>
            </w:pPr>
            <w:r w:rsidRPr="0029236D">
              <w:rPr>
                <w:rFonts w:ascii="Calibri" w:hAnsi="Calibri" w:cs="Calibri"/>
              </w:rPr>
              <w:t>68.37</w:t>
            </w:r>
          </w:p>
        </w:tc>
        <w:tc>
          <w:tcPr>
            <w:tcW w:w="337" w:type="pct"/>
            <w:vAlign w:val="bottom"/>
          </w:tcPr>
          <w:p w14:paraId="468AD3FF" w14:textId="77777777" w:rsidR="00F332D4" w:rsidRPr="0029236D" w:rsidRDefault="00F332D4" w:rsidP="0029236D">
            <w:pPr>
              <w:spacing w:after="0" w:line="240" w:lineRule="auto"/>
              <w:jc w:val="center"/>
              <w:rPr>
                <w:rFonts w:eastAsia="Times New Roman" w:cstheme="minorHAnsi"/>
              </w:rPr>
            </w:pPr>
            <w:r w:rsidRPr="0029236D">
              <w:rPr>
                <w:rFonts w:ascii="Calibri" w:hAnsi="Calibri" w:cs="Calibri"/>
              </w:rPr>
              <w:t>81.58</w:t>
            </w:r>
          </w:p>
        </w:tc>
      </w:tr>
      <w:tr w:rsidR="00F332D4" w:rsidRPr="0029236D" w14:paraId="22637E35" w14:textId="77777777" w:rsidTr="00744B54">
        <w:trPr>
          <w:trHeight w:val="297"/>
        </w:trPr>
        <w:tc>
          <w:tcPr>
            <w:tcW w:w="1720" w:type="pct"/>
            <w:tcBorders>
              <w:bottom w:val="single" w:sz="4" w:space="0" w:color="auto"/>
            </w:tcBorders>
            <w:vAlign w:val="center"/>
          </w:tcPr>
          <w:p w14:paraId="61287A17" w14:textId="77777777" w:rsidR="00F332D4" w:rsidRPr="0029236D" w:rsidRDefault="00F332D4" w:rsidP="003B4778">
            <w:pPr>
              <w:spacing w:after="0" w:line="240" w:lineRule="auto"/>
              <w:rPr>
                <w:rFonts w:eastAsia="Calibri" w:cstheme="minorHAnsi"/>
              </w:rPr>
            </w:pPr>
            <w:r w:rsidRPr="0029236D">
              <w:rPr>
                <w:rFonts w:eastAsiaTheme="minorBidi" w:cstheme="minorHAnsi"/>
              </w:rPr>
              <w:t>Percentage point difference in SRF-adjusted and non-SRF adjusted scores**</w:t>
            </w:r>
          </w:p>
        </w:tc>
        <w:tc>
          <w:tcPr>
            <w:tcW w:w="417" w:type="pct"/>
            <w:tcBorders>
              <w:bottom w:val="single" w:sz="4" w:space="0" w:color="auto"/>
            </w:tcBorders>
            <w:vAlign w:val="bottom"/>
          </w:tcPr>
          <w:p w14:paraId="68E0B6EB" w14:textId="77777777" w:rsidR="00F332D4" w:rsidRPr="0029236D" w:rsidRDefault="00F332D4" w:rsidP="0029236D">
            <w:pPr>
              <w:spacing w:after="0" w:line="240" w:lineRule="auto"/>
              <w:jc w:val="center"/>
              <w:rPr>
                <w:rFonts w:cstheme="minorHAnsi"/>
              </w:rPr>
            </w:pPr>
            <w:r w:rsidRPr="0029236D">
              <w:rPr>
                <w:rFonts w:ascii="Calibri" w:hAnsi="Calibri" w:cs="Calibri"/>
              </w:rPr>
              <w:t>0.00</w:t>
            </w:r>
          </w:p>
        </w:tc>
        <w:tc>
          <w:tcPr>
            <w:tcW w:w="468" w:type="pct"/>
            <w:tcBorders>
              <w:bottom w:val="single" w:sz="4" w:space="0" w:color="auto"/>
            </w:tcBorders>
            <w:vAlign w:val="bottom"/>
          </w:tcPr>
          <w:p w14:paraId="0FD64B29" w14:textId="77777777" w:rsidR="00F332D4" w:rsidRPr="0029236D" w:rsidRDefault="00F332D4" w:rsidP="0029236D">
            <w:pPr>
              <w:spacing w:after="0" w:line="240" w:lineRule="auto"/>
              <w:jc w:val="center"/>
              <w:rPr>
                <w:rFonts w:cstheme="minorHAnsi"/>
              </w:rPr>
            </w:pPr>
            <w:r w:rsidRPr="0029236D">
              <w:rPr>
                <w:rFonts w:ascii="Calibri" w:hAnsi="Calibri" w:cs="Calibri"/>
              </w:rPr>
              <w:t>0.28</w:t>
            </w:r>
          </w:p>
        </w:tc>
        <w:tc>
          <w:tcPr>
            <w:tcW w:w="424" w:type="pct"/>
            <w:tcBorders>
              <w:bottom w:val="single" w:sz="4" w:space="0" w:color="auto"/>
            </w:tcBorders>
            <w:vAlign w:val="bottom"/>
          </w:tcPr>
          <w:p w14:paraId="2B0E2C0D" w14:textId="77777777" w:rsidR="00F332D4" w:rsidRPr="0029236D" w:rsidRDefault="00F332D4" w:rsidP="0029236D">
            <w:pPr>
              <w:spacing w:after="0" w:line="240" w:lineRule="auto"/>
              <w:jc w:val="center"/>
              <w:rPr>
                <w:rFonts w:cstheme="minorHAnsi"/>
              </w:rPr>
            </w:pPr>
            <w:r w:rsidRPr="0029236D">
              <w:rPr>
                <w:rFonts w:ascii="Calibri" w:hAnsi="Calibri" w:cs="Calibri"/>
              </w:rPr>
              <w:t>-1.77</w:t>
            </w:r>
          </w:p>
        </w:tc>
        <w:tc>
          <w:tcPr>
            <w:tcW w:w="597" w:type="pct"/>
            <w:tcBorders>
              <w:bottom w:val="single" w:sz="4" w:space="0" w:color="auto"/>
            </w:tcBorders>
            <w:vAlign w:val="bottom"/>
          </w:tcPr>
          <w:p w14:paraId="59BCC57D" w14:textId="77777777" w:rsidR="00F332D4" w:rsidRPr="0029236D" w:rsidRDefault="00F332D4" w:rsidP="0029236D">
            <w:pPr>
              <w:spacing w:after="0" w:line="240" w:lineRule="auto"/>
              <w:jc w:val="center"/>
              <w:rPr>
                <w:rFonts w:cstheme="minorHAnsi"/>
              </w:rPr>
            </w:pPr>
            <w:r w:rsidRPr="0029236D">
              <w:rPr>
                <w:rFonts w:ascii="Calibri" w:hAnsi="Calibri" w:cs="Calibri"/>
              </w:rPr>
              <w:t>-0.17</w:t>
            </w:r>
          </w:p>
        </w:tc>
        <w:tc>
          <w:tcPr>
            <w:tcW w:w="490" w:type="pct"/>
            <w:tcBorders>
              <w:bottom w:val="single" w:sz="4" w:space="0" w:color="auto"/>
            </w:tcBorders>
            <w:vAlign w:val="bottom"/>
          </w:tcPr>
          <w:p w14:paraId="39F1334A" w14:textId="77777777" w:rsidR="00F332D4" w:rsidRPr="0029236D" w:rsidRDefault="00F332D4" w:rsidP="0029236D">
            <w:pPr>
              <w:spacing w:after="0" w:line="240" w:lineRule="auto"/>
              <w:jc w:val="center"/>
              <w:rPr>
                <w:rFonts w:cstheme="minorHAnsi"/>
              </w:rPr>
            </w:pPr>
            <w:r w:rsidRPr="0029236D">
              <w:rPr>
                <w:rFonts w:ascii="Calibri" w:hAnsi="Calibri" w:cs="Calibri"/>
              </w:rPr>
              <w:t>-0.02</w:t>
            </w:r>
          </w:p>
        </w:tc>
        <w:tc>
          <w:tcPr>
            <w:tcW w:w="548" w:type="pct"/>
            <w:tcBorders>
              <w:bottom w:val="single" w:sz="4" w:space="0" w:color="auto"/>
            </w:tcBorders>
            <w:vAlign w:val="bottom"/>
          </w:tcPr>
          <w:p w14:paraId="7549606B" w14:textId="77777777" w:rsidR="00F332D4" w:rsidRPr="0029236D" w:rsidRDefault="00F332D4" w:rsidP="0029236D">
            <w:pPr>
              <w:spacing w:after="0" w:line="240" w:lineRule="auto"/>
              <w:jc w:val="center"/>
              <w:rPr>
                <w:rFonts w:eastAsia="Times New Roman" w:cstheme="minorHAnsi"/>
              </w:rPr>
            </w:pPr>
            <w:r w:rsidRPr="0029236D">
              <w:rPr>
                <w:rFonts w:ascii="Calibri" w:hAnsi="Calibri" w:cs="Calibri"/>
              </w:rPr>
              <w:t>0.14</w:t>
            </w:r>
          </w:p>
        </w:tc>
        <w:tc>
          <w:tcPr>
            <w:tcW w:w="337" w:type="pct"/>
            <w:tcBorders>
              <w:bottom w:val="single" w:sz="4" w:space="0" w:color="auto"/>
            </w:tcBorders>
            <w:vAlign w:val="bottom"/>
          </w:tcPr>
          <w:p w14:paraId="1B04CE1A" w14:textId="77777777" w:rsidR="00F332D4" w:rsidRPr="0029236D" w:rsidRDefault="00F332D4" w:rsidP="0029236D">
            <w:pPr>
              <w:spacing w:after="0" w:line="240" w:lineRule="auto"/>
              <w:jc w:val="center"/>
              <w:rPr>
                <w:rFonts w:cstheme="minorHAnsi"/>
              </w:rPr>
            </w:pPr>
            <w:r w:rsidRPr="0029236D">
              <w:rPr>
                <w:rFonts w:ascii="Calibri" w:hAnsi="Calibri" w:cs="Calibri"/>
              </w:rPr>
              <w:t>2.06</w:t>
            </w:r>
          </w:p>
        </w:tc>
      </w:tr>
    </w:tbl>
    <w:p w14:paraId="5DED8B06" w14:textId="77777777" w:rsidR="00F332D4" w:rsidRPr="00C90EDA" w:rsidRDefault="00F332D4" w:rsidP="00F332D4">
      <w:pPr>
        <w:spacing w:after="0" w:line="240" w:lineRule="auto"/>
        <w:rPr>
          <w:rFonts w:eastAsiaTheme="minorBidi" w:cstheme="minorHAnsi"/>
          <w:sz w:val="18"/>
          <w:szCs w:val="18"/>
        </w:rPr>
      </w:pPr>
      <w:r w:rsidRPr="00C90EDA">
        <w:rPr>
          <w:rFonts w:cstheme="minorHAnsi"/>
          <w:sz w:val="18"/>
          <w:szCs w:val="18"/>
        </w:rPr>
        <w:t xml:space="preserve">* </w:t>
      </w:r>
      <w:proofErr w:type="spellStart"/>
      <w:r w:rsidRPr="00C90EDA">
        <w:rPr>
          <w:rFonts w:cstheme="minorHAnsi"/>
          <w:sz w:val="18"/>
          <w:szCs w:val="18"/>
        </w:rPr>
        <w:t>Pct</w:t>
      </w:r>
      <w:proofErr w:type="spellEnd"/>
      <w:r w:rsidRPr="00C90EDA">
        <w:rPr>
          <w:rFonts w:cstheme="minorHAnsi"/>
          <w:sz w:val="18"/>
          <w:szCs w:val="18"/>
        </w:rPr>
        <w:t xml:space="preserve"> = percentile. SRF = social risk factors.</w:t>
      </w:r>
      <w:r w:rsidRPr="00C90EDA">
        <w:rPr>
          <w:rFonts w:eastAsiaTheme="minorBidi" w:cstheme="minorHAnsi"/>
          <w:sz w:val="18"/>
          <w:szCs w:val="18"/>
        </w:rPr>
        <w:t xml:space="preserve"> **Calculated as SRF-adjusted score minus non-SRF adjusted score for each facility.</w:t>
      </w:r>
    </w:p>
    <w:p w14:paraId="7CFB41DD" w14:textId="77777777" w:rsidR="00F332D4" w:rsidRPr="00C90EDA" w:rsidRDefault="00F332D4" w:rsidP="00F332D4">
      <w:pPr>
        <w:spacing w:after="0" w:line="240" w:lineRule="auto"/>
        <w:rPr>
          <w:rFonts w:eastAsia="Calibri" w:cstheme="minorHAnsi"/>
          <w:sz w:val="18"/>
          <w:szCs w:val="18"/>
        </w:rPr>
      </w:pPr>
      <w:r w:rsidRPr="00C90EDA">
        <w:rPr>
          <w:rFonts w:eastAsia="Calibri" w:cstheme="minorHAnsi"/>
          <w:sz w:val="18"/>
          <w:szCs w:val="18"/>
        </w:rPr>
        <w:t>Source: RTI International analysis of FY 2016-2017 Medicare fee-for-service claims data for index IRF stays. (RTI program reference: MM213).</w:t>
      </w:r>
    </w:p>
    <w:p w14:paraId="388CD37E" w14:textId="0D9A6324" w:rsidR="00F332D4" w:rsidRDefault="00F332D4" w:rsidP="00E547E2">
      <w:pPr>
        <w:spacing w:after="0" w:line="240" w:lineRule="auto"/>
        <w:rPr>
          <w:rFonts w:eastAsia="Calibri" w:cstheme="minorHAnsi"/>
        </w:rPr>
      </w:pPr>
    </w:p>
    <w:p w14:paraId="4D2BF7BE" w14:textId="03B75DDE" w:rsidR="003D545D" w:rsidRPr="00C90EDA" w:rsidRDefault="003D545D" w:rsidP="003D545D">
      <w:pPr>
        <w:spacing w:after="0" w:line="240" w:lineRule="auto"/>
        <w:rPr>
          <w:rFonts w:eastAsia="Calibri" w:cstheme="minorHAnsi"/>
        </w:rPr>
      </w:pPr>
      <w:r>
        <w:rPr>
          <w:rFonts w:cstheme="minorHAnsi"/>
        </w:rPr>
        <w:t>Though dual eligibility and living in non-urban areas were associated with lower DTC rates</w:t>
      </w:r>
      <w:r w:rsidRPr="00C90EDA">
        <w:rPr>
          <w:rFonts w:cstheme="minorHAnsi"/>
        </w:rPr>
        <w:t xml:space="preserve">, we believe </w:t>
      </w:r>
      <w:r>
        <w:rPr>
          <w:rFonts w:cstheme="minorHAnsi"/>
        </w:rPr>
        <w:t xml:space="preserve">that </w:t>
      </w:r>
      <w:r w:rsidRPr="00C90EDA">
        <w:rPr>
          <w:rFonts w:cstheme="minorHAnsi"/>
        </w:rPr>
        <w:t xml:space="preserve">adjusting for social risk factors may mask potential disparities in quality of care for certain vulnerable patient groups. Therefore, we do not adjust for social risk factors in our risk adjustment model for the DTC-PAC </w:t>
      </w:r>
      <w:r>
        <w:rPr>
          <w:rFonts w:cstheme="minorHAnsi"/>
        </w:rPr>
        <w:t xml:space="preserve">IRF </w:t>
      </w:r>
      <w:r w:rsidRPr="00C90EDA">
        <w:rPr>
          <w:rFonts w:cstheme="minorHAnsi"/>
        </w:rPr>
        <w:t>measure.</w:t>
      </w:r>
      <w:r w:rsidRPr="00C90EDA">
        <w:t xml:space="preserve"> We will continue to monitor the impact of soci</w:t>
      </w:r>
      <w:r>
        <w:t>al risk factors</w:t>
      </w:r>
      <w:r w:rsidRPr="00C90EDA">
        <w:t xml:space="preserve"> on providers’ </w:t>
      </w:r>
      <w:r>
        <w:t>performance scores</w:t>
      </w:r>
      <w:r w:rsidRPr="00C90EDA">
        <w:t>.</w:t>
      </w:r>
    </w:p>
    <w:p w14:paraId="2E5D5253" w14:textId="77777777" w:rsidR="003D545D" w:rsidRPr="00C90EDA" w:rsidRDefault="003D545D" w:rsidP="00E547E2">
      <w:pPr>
        <w:pStyle w:val="paragraph"/>
        <w:spacing w:before="0" w:beforeAutospacing="0" w:after="0" w:afterAutospacing="0"/>
        <w:textAlignment w:val="baseline"/>
        <w:rPr>
          <w:rFonts w:asciiTheme="minorHAnsi" w:hAnsiTheme="minorHAnsi" w:cstheme="minorHAnsi"/>
        </w:rPr>
      </w:pPr>
    </w:p>
    <w:p w14:paraId="4AEFB538" w14:textId="79EE25DD" w:rsidR="00236FCC" w:rsidRDefault="00236FCC">
      <w:pPr>
        <w:spacing w:after="160" w:line="259" w:lineRule="auto"/>
        <w:rPr>
          <w:rFonts w:eastAsia="Calibri" w:cstheme="minorHAnsi"/>
          <w:b/>
          <w:bCs/>
        </w:rPr>
      </w:pPr>
      <w:r>
        <w:rPr>
          <w:rFonts w:eastAsia="Calibri" w:cstheme="minorHAnsi"/>
          <w:b/>
          <w:bCs/>
        </w:rPr>
        <w:br w:type="page"/>
      </w:r>
    </w:p>
    <w:p w14:paraId="2B693152" w14:textId="2C947E1A" w:rsidR="00D11DB7" w:rsidRPr="00B10DD4" w:rsidRDefault="00D11DB7" w:rsidP="00D11DB7">
      <w:pPr>
        <w:spacing w:after="0" w:line="240" w:lineRule="auto"/>
        <w:jc w:val="center"/>
        <w:rPr>
          <w:rFonts w:eastAsia="Calibri" w:cstheme="minorHAnsi"/>
          <w:b/>
        </w:rPr>
      </w:pPr>
      <w:r w:rsidRPr="00B10DD4">
        <w:rPr>
          <w:rFonts w:eastAsia="Calibri" w:cstheme="minorHAnsi"/>
          <w:b/>
        </w:rPr>
        <w:lastRenderedPageBreak/>
        <w:t>Appendix C. Intent to Submit Form</w:t>
      </w:r>
    </w:p>
    <w:p w14:paraId="7D95EC5B" w14:textId="56C0AF90" w:rsidR="00D11DB7" w:rsidRDefault="00D11DB7" w:rsidP="00D11DB7">
      <w:pPr>
        <w:spacing w:after="0" w:line="240" w:lineRule="auto"/>
        <w:jc w:val="center"/>
        <w:rPr>
          <w:rFonts w:eastAsia="Calibri" w:cstheme="minorHAnsi"/>
          <w:b/>
        </w:rPr>
      </w:pPr>
    </w:p>
    <w:p w14:paraId="043C71A2" w14:textId="77777777" w:rsidR="00E63B4F" w:rsidRPr="0039502E" w:rsidRDefault="00E63B4F" w:rsidP="00E63B4F">
      <w:pPr>
        <w:rPr>
          <w:rStyle w:val="requiredfield"/>
          <w:rFonts w:eastAsia="Trebuchet MS" w:cstheme="minorHAnsi"/>
          <w:b/>
          <w:bCs/>
          <w:color w:val="FF0000"/>
        </w:rPr>
      </w:pPr>
      <w:r w:rsidRPr="0039502E">
        <w:rPr>
          <w:rFonts w:eastAsia="Trebuchet MS" w:cstheme="minorHAnsi"/>
          <w:b/>
          <w:bCs/>
          <w:color w:val="333333"/>
          <w:shd w:val="clear" w:color="auto" w:fill="FFFFFF"/>
        </w:rPr>
        <w:t>De.2. Measure Title</w:t>
      </w:r>
      <w:r w:rsidRPr="0039502E">
        <w:rPr>
          <w:rStyle w:val="requiredfield"/>
          <w:rFonts w:eastAsia="Trebuchet MS" w:cstheme="minorHAnsi"/>
          <w:b/>
          <w:bCs/>
          <w:color w:val="FF0000"/>
          <w:shd w:val="clear" w:color="auto" w:fill="FFFFFF"/>
        </w:rPr>
        <w:t>*</w:t>
      </w:r>
    </w:p>
    <w:p w14:paraId="1DE01591" w14:textId="77777777" w:rsidR="00E63B4F" w:rsidRPr="0039502E" w:rsidRDefault="000E6E5F" w:rsidP="00E63B4F">
      <w:pPr>
        <w:rPr>
          <w:rFonts w:cstheme="minorHAnsi"/>
          <w:noProof/>
        </w:rPr>
      </w:pPr>
      <w:sdt>
        <w:sdtPr>
          <w:rPr>
            <w:rStyle w:val="Style1"/>
            <w:rFonts w:cstheme="minorHAnsi"/>
          </w:rPr>
          <w:id w:val="-882640736"/>
          <w:placeholder>
            <w:docPart w:val="09A75850109D468880ABA5644DB51ED9"/>
          </w:placeholder>
        </w:sdtPr>
        <w:sdtEndPr>
          <w:rPr>
            <w:rStyle w:val="DefaultParagraphFont"/>
            <w:noProof/>
          </w:rPr>
        </w:sdtEndPr>
        <w:sdtContent>
          <w:sdt>
            <w:sdtPr>
              <w:rPr>
                <w:rStyle w:val="Style1"/>
                <w:rFonts w:cstheme="minorHAnsi"/>
              </w:rPr>
              <w:id w:val="-1364206501"/>
              <w:placeholder>
                <w:docPart w:val="B082E5586A65473BA74FDEEC247C562D"/>
              </w:placeholder>
            </w:sdtPr>
            <w:sdtEndPr>
              <w:rPr>
                <w:rStyle w:val="DefaultParagraphFont"/>
                <w:noProof/>
              </w:rPr>
            </w:sdtEndPr>
            <w:sdtContent>
              <w:r w:rsidR="00E63B4F" w:rsidRPr="0039502E">
                <w:rPr>
                  <w:rStyle w:val="Style1"/>
                  <w:rFonts w:cstheme="minorHAnsi"/>
                </w:rPr>
                <w:t>Discharge to Community-Post Acute Care Measure for Inpatient Rehabilitation Facilities (IRF)</w:t>
              </w:r>
            </w:sdtContent>
          </w:sdt>
        </w:sdtContent>
      </w:sdt>
      <w:r w:rsidR="00E63B4F" w:rsidRPr="0039502E">
        <w:rPr>
          <w:rFonts w:cstheme="minorHAnsi"/>
          <w:noProof/>
        </w:rPr>
        <w:t xml:space="preserve"> </w:t>
      </w:r>
    </w:p>
    <w:p w14:paraId="2411E90E" w14:textId="77777777" w:rsidR="00E63B4F" w:rsidRPr="0039502E" w:rsidRDefault="00E63B4F" w:rsidP="00E63B4F">
      <w:pPr>
        <w:rPr>
          <w:rStyle w:val="requiredfield"/>
          <w:rFonts w:eastAsia="Trebuchet MS" w:cstheme="minorHAnsi"/>
          <w:b/>
          <w:bCs/>
          <w:color w:val="FF0000"/>
        </w:rPr>
      </w:pPr>
      <w:r w:rsidRPr="0039502E">
        <w:rPr>
          <w:rFonts w:eastAsia="Trebuchet MS" w:cstheme="minorHAnsi"/>
          <w:b/>
          <w:bCs/>
          <w:color w:val="333333"/>
          <w:shd w:val="clear" w:color="auto" w:fill="FFFFFF"/>
        </w:rPr>
        <w:t>De.3. Measure Description</w:t>
      </w:r>
      <w:r w:rsidRPr="0039502E">
        <w:rPr>
          <w:rFonts w:eastAsia="Trebuchet MS" w:cstheme="minorHAnsi"/>
          <w:i/>
          <w:iCs/>
          <w:color w:val="333333"/>
          <w:shd w:val="clear" w:color="auto" w:fill="FFFFFF"/>
        </w:rPr>
        <w:t> Type a brief narrative of the measure that includes the type of score, measure focus, target population, or time frame</w:t>
      </w:r>
      <w:r w:rsidRPr="0039502E">
        <w:rPr>
          <w:rStyle w:val="requiredfield"/>
          <w:rFonts w:eastAsia="Trebuchet MS" w:cstheme="minorHAnsi"/>
          <w:b/>
          <w:bCs/>
          <w:color w:val="FF0000"/>
          <w:shd w:val="clear" w:color="auto" w:fill="FFFFFF"/>
        </w:rPr>
        <w:t>*</w:t>
      </w:r>
      <w:bookmarkStart w:id="2" w:name="_Hlk520211735"/>
    </w:p>
    <w:p w14:paraId="5E2686C4" w14:textId="77777777" w:rsidR="00E63B4F" w:rsidRPr="007C67CC" w:rsidRDefault="00E63B4F" w:rsidP="00E63B4F">
      <w:pPr>
        <w:rPr>
          <w:rFonts w:eastAsia="Trebuchet MS" w:cstheme="minorHAnsi"/>
        </w:rPr>
      </w:pPr>
      <w:r w:rsidRPr="007C67CC">
        <w:rPr>
          <w:rFonts w:eastAsia="Trebuchet MS" w:cstheme="minorHAnsi"/>
        </w:rPr>
        <w:t xml:space="preserve">The </w:t>
      </w:r>
      <w:sdt>
        <w:sdtPr>
          <w:rPr>
            <w:rStyle w:val="Style1"/>
            <w:rFonts w:cstheme="minorHAnsi"/>
          </w:rPr>
          <w:id w:val="-1123072541"/>
          <w:placeholder>
            <w:docPart w:val="ACBFE6A7C9DF46C197E4189A629FC975"/>
          </w:placeholder>
        </w:sdtPr>
        <w:sdtEndPr>
          <w:rPr>
            <w:rStyle w:val="DefaultParagraphFont"/>
            <w:noProof/>
          </w:rPr>
        </w:sdtEndPr>
        <w:sdtContent>
          <w:r w:rsidRPr="007C67CC">
            <w:rPr>
              <w:rStyle w:val="Style1"/>
              <w:rFonts w:cstheme="minorHAnsi"/>
            </w:rPr>
            <w:t xml:space="preserve">Discharge to Community-Post Acute Care Measure for Inpatient Rehabilitation Facilities </w:t>
          </w:r>
        </w:sdtContent>
      </w:sdt>
      <w:bookmarkEnd w:id="2"/>
      <w:r w:rsidRPr="007C67CC">
        <w:rPr>
          <w:rFonts w:eastAsia="Trebuchet MS" w:cstheme="minorHAnsi"/>
          <w:noProof/>
        </w:rPr>
        <w:t>(DTC-PAC IRF)</w:t>
      </w:r>
      <w:r w:rsidRPr="007C67CC">
        <w:rPr>
          <w:rFonts w:eastAsia="Trebuchet MS" w:cstheme="minorHAnsi"/>
        </w:rPr>
        <w:t xml:space="preserve"> was developed to address the resource use and other measures domain of </w:t>
      </w:r>
      <w:r w:rsidRPr="007C67CC">
        <w:rPr>
          <w:rFonts w:eastAsia="Trebuchet MS" w:cstheme="minorHAnsi"/>
          <w:i/>
        </w:rPr>
        <w:t>Discharge to the Community</w:t>
      </w:r>
      <w:r w:rsidRPr="007C67CC">
        <w:rPr>
          <w:rFonts w:eastAsia="Trebuchet MS" w:cstheme="minorHAnsi"/>
        </w:rPr>
        <w:t xml:space="preserve"> mandated by the Improving Medicare Post-Acute Care Transformation Act of 2014 (IMPACT Act).</w:t>
      </w:r>
      <w:r w:rsidRPr="007C67CC">
        <w:rPr>
          <w:rStyle w:val="Style1"/>
          <w:rFonts w:eastAsia="Trebuchet MS" w:cstheme="minorHAnsi"/>
        </w:rPr>
        <w:t xml:space="preserve"> This outcome measure assesses successful discharge to community from an IRF, with successful discharge to community including no unplanned rehospitalizations and no death in the 31 days following IRF discharge.</w:t>
      </w:r>
      <w:bookmarkStart w:id="3" w:name="_Hlk520203228"/>
      <w:r w:rsidRPr="007C67CC">
        <w:rPr>
          <w:rStyle w:val="Style1"/>
          <w:rFonts w:eastAsia="Trebuchet MS" w:cstheme="minorHAnsi"/>
        </w:rPr>
        <w:t xml:space="preserve"> The measure reports an IRF’s risk-standardized rate of Medicare fee-for-service (FFS</w:t>
      </w:r>
      <w:r w:rsidRPr="007C67CC">
        <w:rPr>
          <w:rStyle w:val="Style1"/>
          <w:rFonts w:eastAsia="Trebuchet MS," w:cstheme="minorHAnsi"/>
        </w:rPr>
        <w:t>)</w:t>
      </w:r>
      <w:r w:rsidRPr="007C67CC">
        <w:rPr>
          <w:rStyle w:val="Style1"/>
          <w:rFonts w:eastAsia="Trebuchet MS" w:cstheme="minorHAnsi"/>
        </w:rPr>
        <w:t xml:space="preserve"> patients who are discharged to the community following an IRF stay, and do not have an unplanned readmission to an acute care hospital or long-term care hospital (LTCH) in the 31 days following discharge to community, and who remain alive during the 31 days following discharge to community. </w:t>
      </w:r>
      <w:bookmarkEnd w:id="3"/>
      <w:r w:rsidRPr="007C67CC">
        <w:rPr>
          <w:rStyle w:val="Style1"/>
          <w:rFonts w:eastAsia="Trebuchet MS" w:cstheme="minorHAnsi"/>
        </w:rPr>
        <w:t xml:space="preserve">The measure is calculated using two consecutive years of Medicare FFS claims data </w:t>
      </w:r>
      <w:r w:rsidRPr="007C67CC">
        <w:rPr>
          <w:rFonts w:eastAsia="Trebuchet MS" w:cstheme="minorHAnsi"/>
        </w:rPr>
        <w:t>and was developed using calendar year (CY) 2012-2013 data.</w:t>
      </w:r>
      <w:r w:rsidRPr="007C67CC">
        <w:rPr>
          <w:rStyle w:val="Style1"/>
          <w:rFonts w:eastAsia="Trebuchet MS" w:cstheme="minorHAnsi"/>
        </w:rPr>
        <w:t xml:space="preserve"> This submission is based on fiscal year (FY) 2016-2017 data; i.e., IRF discharges from October 1, 2015 through September 30, 2017. </w:t>
      </w:r>
    </w:p>
    <w:p w14:paraId="070CEE64" w14:textId="77777777" w:rsidR="00E63B4F" w:rsidRPr="007C67CC" w:rsidRDefault="00E63B4F" w:rsidP="00E63B4F">
      <w:pPr>
        <w:rPr>
          <w:rFonts w:eastAsia="Trebuchet MS,Calibri" w:cstheme="minorHAnsi"/>
        </w:rPr>
      </w:pPr>
      <w:bookmarkStart w:id="4" w:name="_Hlk520802781"/>
      <w:r w:rsidRPr="007C67CC">
        <w:rPr>
          <w:rFonts w:eastAsia="Trebuchet MS" w:cstheme="minorHAnsi"/>
        </w:rPr>
        <w:t xml:space="preserve">The measure was adopted by the Centers for Medicare &amp; Medicaid Services (CMS) for the IRF Quality Reporting Program (QRP) finalized in the FY 2017 IRF Prospective Payment System (PPS) Final Rule and implementation began October 1, 2016 [1]. Confidential feedback reports on measure performance were distributed to IRF providers in Fall 2017. The measure will be publicly reported on the </w:t>
      </w:r>
      <w:r w:rsidRPr="007C67CC">
        <w:rPr>
          <w:rFonts w:eastAsia="Trebuchet MS" w:cstheme="minorHAnsi"/>
          <w:i/>
        </w:rPr>
        <w:t>IRF Compare</w:t>
      </w:r>
      <w:r w:rsidRPr="007C67CC">
        <w:rPr>
          <w:rFonts w:eastAsia="Trebuchet MS" w:cstheme="minorHAnsi"/>
        </w:rPr>
        <w:t xml:space="preserve"> website </w:t>
      </w:r>
      <w:r w:rsidRPr="00742488">
        <w:rPr>
          <w:rFonts w:eastAsia="Trebuchet MS" w:cstheme="minorHAnsi"/>
        </w:rPr>
        <w:t>(</w:t>
      </w:r>
      <w:hyperlink r:id="rId8" w:history="1">
        <w:r w:rsidRPr="00C37585">
          <w:rPr>
            <w:rStyle w:val="Hyperlink"/>
            <w:rFonts w:eastAsia="Trebuchet MS" w:cstheme="minorHAnsi"/>
          </w:rPr>
          <w:t>https://www.medicare.gov/inpatientrehabilitationfacilitycompare/</w:t>
        </w:r>
      </w:hyperlink>
      <w:r w:rsidRPr="00742488">
        <w:rPr>
          <w:rFonts w:eastAsia="Trebuchet MS" w:cstheme="minorHAnsi"/>
        </w:rPr>
        <w:t xml:space="preserve">) </w:t>
      </w:r>
      <w:r w:rsidRPr="007C67CC">
        <w:rPr>
          <w:rFonts w:eastAsia="Trebuchet MS" w:cstheme="minorHAnsi"/>
        </w:rPr>
        <w:t>in Fall 2018 using FY 2016-2017 data.</w:t>
      </w:r>
      <w:r w:rsidRPr="007C67CC">
        <w:rPr>
          <w:rFonts w:eastAsia="Trebuchet MS,Calibri" w:cstheme="minorHAnsi"/>
        </w:rPr>
        <w:t xml:space="preserve"> Four </w:t>
      </w:r>
      <w:r w:rsidRPr="007C67CC">
        <w:t xml:space="preserve">claims-based discharge to community measures were developed for IRF, LTCH, skilled nursing facility, and home health agency settings to meet the mandate of the IMPACT Act. These measures were conceptualized uniformly across the four settings, in terms of the definition of the discharge to community outcome, the approach to </w:t>
      </w:r>
      <w:r>
        <w:t>risk-adjustment</w:t>
      </w:r>
      <w:r w:rsidRPr="007C67CC">
        <w:t>, and the measure calculation.</w:t>
      </w:r>
    </w:p>
    <w:bookmarkEnd w:id="4"/>
    <w:p w14:paraId="162215FF" w14:textId="77777777" w:rsidR="00E63B4F" w:rsidRDefault="00E63B4F" w:rsidP="00E63B4F">
      <w:pPr>
        <w:rPr>
          <w:rStyle w:val="Style1"/>
          <w:rFonts w:eastAsia="Trebuchet MS,Calibri" w:cstheme="minorHAnsi"/>
        </w:rPr>
      </w:pPr>
      <w:r>
        <w:rPr>
          <w:rStyle w:val="Style1"/>
          <w:rFonts w:eastAsia="Trebuchet MS,Calibri" w:cstheme="minorHAnsi"/>
        </w:rPr>
        <w:t>References</w:t>
      </w:r>
    </w:p>
    <w:p w14:paraId="34B29CCC" w14:textId="77777777" w:rsidR="00E63B4F" w:rsidRPr="002D5EF2" w:rsidRDefault="00E63B4F" w:rsidP="00E63B4F">
      <w:pPr>
        <w:rPr>
          <w:rStyle w:val="Style1"/>
          <w:rFonts w:eastAsia="Trebuchet MS,Calibri" w:cstheme="minorHAnsi"/>
        </w:rPr>
      </w:pPr>
      <w:r w:rsidRPr="002D5EF2">
        <w:rPr>
          <w:rStyle w:val="Style1"/>
          <w:rFonts w:eastAsia="Trebuchet MS,Calibri" w:cstheme="minorHAnsi"/>
        </w:rPr>
        <w:t>[1]</w:t>
      </w:r>
      <w:r w:rsidRPr="007C67CC">
        <w:rPr>
          <w:rStyle w:val="Style1"/>
          <w:rFonts w:eastAsia="Trebuchet MS,Calibri" w:cstheme="minorHAnsi"/>
        </w:rPr>
        <w:t xml:space="preserve"> </w:t>
      </w:r>
      <w:r w:rsidRPr="007C67CC">
        <w:rPr>
          <w:rFonts w:cstheme="minorHAnsi"/>
        </w:rPr>
        <w:t xml:space="preserve">Medicare Program; Inpatient Rehabilitation Facility Prospective Payment System for Federal Fiscal Year 2017 Federal Register, Vol. 81, No. 151. </w:t>
      </w:r>
      <w:hyperlink r:id="rId9" w:history="1">
        <w:r w:rsidRPr="002D5EF2">
          <w:rPr>
            <w:rStyle w:val="Hyperlink"/>
            <w:rFonts w:cstheme="minorHAnsi"/>
          </w:rPr>
          <w:t>https://www.gpo.gov/fdsys/pkg/FR-2016-08-05/pdf/2016-18196.pdf</w:t>
        </w:r>
      </w:hyperlink>
    </w:p>
    <w:p w14:paraId="43360AB0" w14:textId="77777777" w:rsidR="00E63B4F" w:rsidRPr="0039502E" w:rsidRDefault="00E63B4F" w:rsidP="00E63B4F">
      <w:pPr>
        <w:rPr>
          <w:rStyle w:val="requiredfield"/>
          <w:rFonts w:eastAsia="Trebuchet MS" w:cstheme="minorHAnsi"/>
          <w:b/>
          <w:bCs/>
          <w:color w:val="FF0000"/>
        </w:rPr>
      </w:pPr>
      <w:r w:rsidRPr="0039502E">
        <w:rPr>
          <w:rFonts w:eastAsia="Trebuchet MS" w:cstheme="minorHAnsi"/>
          <w:b/>
          <w:bCs/>
          <w:color w:val="333333"/>
        </w:rPr>
        <w:t>De.1. Measure Type </w:t>
      </w:r>
      <w:r w:rsidRPr="0039502E">
        <w:rPr>
          <w:rStyle w:val="requiredfield"/>
          <w:rFonts w:eastAsia="Trebuchet MS" w:cstheme="minorHAnsi"/>
          <w:b/>
          <w:bCs/>
          <w:color w:val="FF0000"/>
        </w:rPr>
        <w:t xml:space="preserve">* </w:t>
      </w:r>
    </w:p>
    <w:p w14:paraId="0B44CDD8" w14:textId="77777777" w:rsidR="00E63B4F" w:rsidRPr="0039502E" w:rsidRDefault="00E63B4F" w:rsidP="00E63B4F">
      <w:pPr>
        <w:rPr>
          <w:rStyle w:val="Style1"/>
          <w:rFonts w:cstheme="minorHAnsi"/>
        </w:rPr>
      </w:pPr>
      <w:r w:rsidRPr="0039502E">
        <w:rPr>
          <w:rStyle w:val="Style1"/>
          <w:rFonts w:cstheme="minorHAnsi"/>
        </w:rPr>
        <w:t xml:space="preserve">Outcome </w:t>
      </w:r>
    </w:p>
    <w:p w14:paraId="69998B04" w14:textId="77777777" w:rsidR="00E63B4F" w:rsidRPr="0039502E" w:rsidRDefault="00E63B4F" w:rsidP="00E63B4F">
      <w:pPr>
        <w:rPr>
          <w:rFonts w:eastAsia="Trebuchet MS" w:cstheme="minorHAnsi"/>
          <w:i/>
          <w:iCs/>
          <w:color w:val="333333"/>
          <w:lang w:val="en"/>
        </w:rPr>
      </w:pPr>
      <w:r w:rsidRPr="0039502E">
        <w:rPr>
          <w:rFonts w:eastAsia="Trebuchet MS" w:cstheme="minorHAnsi"/>
          <w:b/>
          <w:bCs/>
          <w:color w:val="333333"/>
          <w:lang w:val="en"/>
        </w:rPr>
        <w:t>S.1. Measure-specific Web Page</w:t>
      </w:r>
      <w:r w:rsidRPr="0039502E">
        <w:rPr>
          <w:rFonts w:eastAsia="Trebuchet MS" w:cstheme="minorHAnsi"/>
          <w:i/>
          <w:iCs/>
          <w:color w:val="333333"/>
          <w:lang w:val="en"/>
        </w:rPr>
        <w:t xml:space="preserve"> (Provide a URL link to a web page specific for this measure that contains current detailed specifications including code lists, risk model details, and supplemental materials. Do not enter a URL linking to a home page or to general information.)</w:t>
      </w:r>
    </w:p>
    <w:p w14:paraId="42771775" w14:textId="77777777" w:rsidR="00E63B4F" w:rsidRPr="007C67CC" w:rsidRDefault="00E63B4F" w:rsidP="00E63B4F">
      <w:pPr>
        <w:shd w:val="clear" w:color="auto" w:fill="FFFFFF" w:themeFill="background1"/>
        <w:spacing w:after="0" w:line="240" w:lineRule="auto"/>
        <w:rPr>
          <w:rFonts w:cstheme="minorHAnsi"/>
        </w:rPr>
      </w:pPr>
      <w:r w:rsidRPr="007C67CC">
        <w:rPr>
          <w:rFonts w:cstheme="minorHAnsi"/>
        </w:rPr>
        <w:lastRenderedPageBreak/>
        <w:t xml:space="preserve">Measure specifications </w:t>
      </w:r>
      <w:bookmarkStart w:id="5" w:name="_Hlk520802996"/>
      <w:r w:rsidRPr="007C67CC">
        <w:rPr>
          <w:rFonts w:cstheme="minorHAnsi"/>
        </w:rPr>
        <w:t xml:space="preserve">posted with the FY 2017 IRF PPS Final Rule </w:t>
      </w:r>
      <w:bookmarkEnd w:id="5"/>
      <w:r w:rsidRPr="007C67CC">
        <w:rPr>
          <w:rFonts w:cstheme="minorHAnsi"/>
        </w:rPr>
        <w:t xml:space="preserve">are publicly available at: </w:t>
      </w:r>
      <w:hyperlink r:id="rId10">
        <w:r w:rsidRPr="0039502E">
          <w:rPr>
            <w:rStyle w:val="Hyperlink"/>
            <w:rFonts w:cstheme="minorHAnsi"/>
          </w:rPr>
          <w:t>https://www.cms.gov/Medicare/Quality-Initiatives-Patient-Assessment-Instruments/IRF-Quality-Reporting/Downloads/Measure-Specifications-for-FY17-IRF-QRP-Final-Rule.pdf</w:t>
        </w:r>
      </w:hyperlink>
      <w:r w:rsidRPr="0039502E">
        <w:rPr>
          <w:rFonts w:cstheme="minorHAnsi"/>
        </w:rPr>
        <w:t xml:space="preserve">. </w:t>
      </w:r>
      <w:r w:rsidRPr="007C67CC">
        <w:rPr>
          <w:rFonts w:cstheme="minorHAnsi"/>
        </w:rPr>
        <w:t xml:space="preserve">The results included in these posted measure specifications are based on CY 2012-2013 data. This submission is based on FY 2016-2017 data. We re-estimate the </w:t>
      </w:r>
      <w:r>
        <w:rPr>
          <w:rFonts w:cstheme="minorHAnsi"/>
        </w:rPr>
        <w:t>risk-adjustment</w:t>
      </w:r>
      <w:r w:rsidRPr="007C67CC">
        <w:rPr>
          <w:rFonts w:cstheme="minorHAnsi"/>
        </w:rPr>
        <w:t xml:space="preserve"> model in each measurement period to account for changes in patient-mix or practice patterns over time, and to provide accurate and precise </w:t>
      </w:r>
      <w:r>
        <w:rPr>
          <w:rFonts w:cstheme="minorHAnsi"/>
        </w:rPr>
        <w:t>risk-adjustment</w:t>
      </w:r>
      <w:r w:rsidRPr="007C67CC">
        <w:rPr>
          <w:rFonts w:cstheme="minorHAnsi"/>
        </w:rPr>
        <w:t xml:space="preserve"> based on the current data. Thus, though the logistic model is fundamentally the same across measurement periods, specific risk adjusters (e.g., comorbidities) and coefficients may vary slightly across measurement periods. Further, some differences between logistic model results using CY 2012-2013 data and FY 2016-2017 data are related to the transition from the </w:t>
      </w:r>
      <w:r w:rsidRPr="007C67CC">
        <w:rPr>
          <w:rStyle w:val="Style1"/>
          <w:rFonts w:cstheme="minorHAnsi"/>
        </w:rPr>
        <w:t xml:space="preserve">ICD-9-CM </w:t>
      </w:r>
      <w:r w:rsidRPr="007C67CC">
        <w:rPr>
          <w:rStyle w:val="tgc"/>
          <w:rFonts w:cstheme="minorHAnsi"/>
        </w:rPr>
        <w:t xml:space="preserve">(International Classification of Diseases, Ninth Revision, Clinical Modification) to ICD-10-CM diagnosis classification system. </w:t>
      </w:r>
    </w:p>
    <w:p w14:paraId="6DCBB8C5" w14:textId="77777777" w:rsidR="00E63B4F" w:rsidRPr="0039502E" w:rsidRDefault="00E63B4F" w:rsidP="00E63B4F">
      <w:pPr>
        <w:shd w:val="clear" w:color="auto" w:fill="FFFFFF" w:themeFill="background1"/>
        <w:spacing w:after="0" w:line="240" w:lineRule="auto"/>
        <w:rPr>
          <w:rFonts w:eastAsia="Trebuchet MS" w:cstheme="minorHAnsi"/>
          <w:b/>
          <w:bCs/>
          <w:color w:val="333333"/>
          <w:lang w:val="en"/>
        </w:rPr>
      </w:pPr>
    </w:p>
    <w:p w14:paraId="3B7C5288" w14:textId="77777777" w:rsidR="00E63B4F" w:rsidRPr="0039502E" w:rsidRDefault="00E63B4F" w:rsidP="00E63B4F">
      <w:pPr>
        <w:shd w:val="clear" w:color="auto" w:fill="FFFFFF" w:themeFill="background1"/>
        <w:spacing w:after="0" w:line="240" w:lineRule="auto"/>
        <w:rPr>
          <w:rFonts w:cstheme="minorHAnsi"/>
        </w:rPr>
      </w:pPr>
      <w:r w:rsidRPr="0039502E">
        <w:rPr>
          <w:rFonts w:eastAsia="Trebuchet MS" w:cstheme="minorHAnsi"/>
          <w:b/>
          <w:bCs/>
          <w:color w:val="333333"/>
          <w:lang w:val="en"/>
        </w:rPr>
        <w:t>S.2a. HQMF specifications</w:t>
      </w:r>
    </w:p>
    <w:p w14:paraId="2B76F3B7" w14:textId="77777777" w:rsidR="00E63B4F" w:rsidRPr="0039502E" w:rsidRDefault="00E63B4F" w:rsidP="00E63B4F">
      <w:pPr>
        <w:shd w:val="clear" w:color="auto" w:fill="FFFFFF" w:themeFill="background1"/>
        <w:spacing w:after="0" w:line="240" w:lineRule="auto"/>
        <w:rPr>
          <w:rFonts w:eastAsia="Trebuchet MS,Times New Roman" w:cstheme="minorHAnsi"/>
          <w:color w:val="333333"/>
          <w:lang w:val="en"/>
        </w:rPr>
      </w:pPr>
      <w:r w:rsidRPr="0039502E">
        <w:rPr>
          <w:rFonts w:eastAsia="Trebuchet MS" w:cstheme="minorHAnsi"/>
          <w:b/>
          <w:bCs/>
          <w:color w:val="333333"/>
          <w:lang w:val="en"/>
        </w:rPr>
        <w:t xml:space="preserve">If this is an </w:t>
      </w:r>
      <w:proofErr w:type="spellStart"/>
      <w:r w:rsidRPr="0039502E">
        <w:rPr>
          <w:rFonts w:eastAsia="Trebuchet MS" w:cstheme="minorHAnsi"/>
          <w:b/>
          <w:bCs/>
          <w:color w:val="333333"/>
          <w:lang w:val="en"/>
        </w:rPr>
        <w:t>eCQM</w:t>
      </w:r>
      <w:proofErr w:type="spellEnd"/>
      <w:r w:rsidRPr="0039502E">
        <w:rPr>
          <w:rFonts w:eastAsia="Trebuchet MS" w:cstheme="minorHAnsi"/>
          <w:color w:val="333333"/>
          <w:lang w:val="en"/>
        </w:rPr>
        <w:t xml:space="preserve">, HQMF specifications and BONNIE testing must be attached. Attach the zipped output from the </w:t>
      </w:r>
      <w:proofErr w:type="spellStart"/>
      <w:r w:rsidRPr="0039502E">
        <w:rPr>
          <w:rFonts w:eastAsia="Trebuchet MS" w:cstheme="minorHAnsi"/>
          <w:color w:val="333333"/>
          <w:lang w:val="en"/>
        </w:rPr>
        <w:t>eCQM</w:t>
      </w:r>
      <w:proofErr w:type="spellEnd"/>
      <w:r w:rsidRPr="0039502E">
        <w:rPr>
          <w:rFonts w:eastAsia="Trebuchet MS" w:cstheme="minorHAnsi"/>
          <w:color w:val="333333"/>
          <w:lang w:val="en"/>
        </w:rPr>
        <w:t xml:space="preserve"> Measure Authoring Tool (MAT) and BONNIE tool - if the MAT or BONNIE was not used, contact NQF staff. (Use the specification fields in this online form for the plain-language description of the specifications)</w:t>
      </w:r>
    </w:p>
    <w:p w14:paraId="0D7071D3" w14:textId="77777777" w:rsidR="00E63B4F" w:rsidRPr="0039502E" w:rsidRDefault="00E63B4F" w:rsidP="00E63B4F">
      <w:pPr>
        <w:shd w:val="clear" w:color="auto" w:fill="FFFFFF" w:themeFill="background1"/>
        <w:spacing w:after="0" w:line="240" w:lineRule="auto"/>
        <w:rPr>
          <w:rFonts w:eastAsia="Trebuchet MS,Times New Roman" w:cstheme="minorHAnsi"/>
          <w:color w:val="333333"/>
          <w:lang w:val="en"/>
        </w:rPr>
      </w:pPr>
    </w:p>
    <w:p w14:paraId="2DCB63ED" w14:textId="77777777" w:rsidR="00E63B4F" w:rsidRPr="003D7C25" w:rsidRDefault="00E63B4F" w:rsidP="00E63B4F">
      <w:pPr>
        <w:pStyle w:val="ListParagraph"/>
        <w:numPr>
          <w:ilvl w:val="0"/>
          <w:numId w:val="22"/>
        </w:numPr>
        <w:shd w:val="clear" w:color="auto" w:fill="FFFFFF" w:themeFill="background1"/>
        <w:spacing w:after="0" w:line="240" w:lineRule="auto"/>
        <w:rPr>
          <w:rStyle w:val="Style1"/>
          <w:rFonts w:cstheme="minorHAnsi"/>
          <w:lang w:val="en"/>
        </w:rPr>
      </w:pPr>
      <w:r>
        <w:rPr>
          <w:rStyle w:val="Style1"/>
          <w:rFonts w:cstheme="minorHAnsi"/>
          <w:lang w:val="en"/>
        </w:rPr>
        <w:t>This</w:t>
      </w:r>
      <w:r w:rsidRPr="003D7C25">
        <w:rPr>
          <w:rStyle w:val="Style1"/>
          <w:rFonts w:cstheme="minorHAnsi"/>
          <w:lang w:val="en"/>
        </w:rPr>
        <w:t xml:space="preserve"> is not an </w:t>
      </w:r>
      <w:proofErr w:type="spellStart"/>
      <w:r w:rsidRPr="003D7C25">
        <w:rPr>
          <w:rStyle w:val="Style1"/>
          <w:rFonts w:cstheme="minorHAnsi"/>
          <w:lang w:val="en"/>
        </w:rPr>
        <w:t>eMeasure</w:t>
      </w:r>
      <w:proofErr w:type="spellEnd"/>
    </w:p>
    <w:p w14:paraId="6EC53E61" w14:textId="77777777" w:rsidR="00E63B4F" w:rsidRPr="0039502E" w:rsidRDefault="00E63B4F" w:rsidP="00E63B4F">
      <w:pPr>
        <w:shd w:val="clear" w:color="auto" w:fill="FFFFFF" w:themeFill="background1"/>
        <w:spacing w:after="0" w:line="240" w:lineRule="auto"/>
        <w:rPr>
          <w:rStyle w:val="Style1"/>
          <w:rFonts w:cstheme="minorHAnsi"/>
          <w:lang w:val="en"/>
        </w:rPr>
      </w:pPr>
    </w:p>
    <w:p w14:paraId="1FF713CA" w14:textId="77777777" w:rsidR="00E63B4F" w:rsidRPr="0039502E" w:rsidRDefault="00E63B4F" w:rsidP="00E63B4F">
      <w:pPr>
        <w:rPr>
          <w:rFonts w:eastAsia="Trebuchet MS" w:cstheme="minorHAnsi"/>
          <w:i/>
          <w:iCs/>
          <w:color w:val="333333"/>
          <w:lang w:val="en"/>
        </w:rPr>
      </w:pPr>
      <w:r w:rsidRPr="0039502E">
        <w:rPr>
          <w:rFonts w:eastAsia="Trebuchet MS" w:cstheme="minorHAnsi"/>
          <w:b/>
          <w:bCs/>
          <w:color w:val="333333"/>
          <w:lang w:val="en"/>
        </w:rPr>
        <w:t xml:space="preserve">S.2b. Data Dictionary, Code Table, or Value Sets </w:t>
      </w:r>
      <w:r w:rsidRPr="0039502E">
        <w:rPr>
          <w:rFonts w:eastAsia="Trebuchet MS" w:cstheme="minorHAnsi"/>
          <w:i/>
          <w:iCs/>
          <w:color w:val="333333"/>
          <w:lang w:val="en"/>
        </w:rPr>
        <w:t>(and risk model codes and coefficients when applicable) must be attached. (Excel or csv file in the suggested format preferred - if not, contact staff. Provide descriptors for any codes. Use one file with multiple worksheets as needed.)</w:t>
      </w:r>
    </w:p>
    <w:p w14:paraId="64BEEC4B" w14:textId="77777777" w:rsidR="00E63B4F" w:rsidRPr="007C67CC" w:rsidRDefault="00E63B4F" w:rsidP="00E63B4F">
      <w:pPr>
        <w:pStyle w:val="ListParagraph"/>
        <w:numPr>
          <w:ilvl w:val="0"/>
          <w:numId w:val="14"/>
        </w:numPr>
        <w:spacing w:after="160" w:line="259" w:lineRule="auto"/>
        <w:rPr>
          <w:rFonts w:eastAsia="Trebuchet MS" w:cstheme="minorHAnsi"/>
          <w:b/>
          <w:bCs/>
        </w:rPr>
      </w:pPr>
      <w:r w:rsidRPr="007C67CC">
        <w:rPr>
          <w:rFonts w:eastAsia="Trebuchet MS" w:cstheme="minorHAnsi"/>
          <w:lang w:val="en"/>
        </w:rPr>
        <w:t xml:space="preserve">Available in attached Excel or csv file  </w:t>
      </w:r>
    </w:p>
    <w:p w14:paraId="0B7BF721" w14:textId="77777777" w:rsidR="00E63B4F" w:rsidRPr="0039502E" w:rsidRDefault="00E63B4F" w:rsidP="00E63B4F">
      <w:pPr>
        <w:pStyle w:val="ListParagraph"/>
        <w:rPr>
          <w:rFonts w:eastAsia="Trebuchet MS" w:cstheme="minorHAnsi"/>
          <w:b/>
          <w:bCs/>
          <w:color w:val="333333"/>
        </w:rPr>
      </w:pPr>
    </w:p>
    <w:p w14:paraId="2DC46676" w14:textId="77777777" w:rsidR="00E63B4F" w:rsidRPr="0039502E" w:rsidRDefault="00E63B4F" w:rsidP="00E63B4F">
      <w:pPr>
        <w:rPr>
          <w:rFonts w:eastAsia="Trebuchet MS" w:cstheme="minorHAnsi"/>
          <w:color w:val="333333"/>
          <w:lang w:val="en"/>
        </w:rPr>
      </w:pPr>
      <w:r w:rsidRPr="0039502E">
        <w:rPr>
          <w:rFonts w:eastAsia="Trebuchet MS" w:cstheme="minorHAnsi"/>
          <w:b/>
          <w:bCs/>
          <w:color w:val="333333"/>
          <w:lang w:val="en"/>
        </w:rPr>
        <w:t xml:space="preserve">S.2c. </w:t>
      </w:r>
      <w:r w:rsidRPr="0039502E">
        <w:rPr>
          <w:rFonts w:eastAsia="Trebuchet MS" w:cstheme="minorHAnsi"/>
          <w:color w:val="333333"/>
          <w:lang w:val="en"/>
        </w:rPr>
        <w:t>Is this an instrument-based measure (i.e., data collected via instruments, surveys, tools, questionnaires, scales, etc.)? Attach copy of instrument if available.</w:t>
      </w:r>
    </w:p>
    <w:p w14:paraId="629B7C8E" w14:textId="77777777" w:rsidR="00E63B4F" w:rsidRDefault="00E63B4F" w:rsidP="00E63B4F">
      <w:pPr>
        <w:pStyle w:val="ListParagraph"/>
        <w:numPr>
          <w:ilvl w:val="0"/>
          <w:numId w:val="14"/>
        </w:numPr>
        <w:spacing w:after="160" w:line="259" w:lineRule="auto"/>
        <w:rPr>
          <w:rStyle w:val="Style1"/>
          <w:rFonts w:cstheme="minorHAnsi"/>
          <w:lang w:val="en"/>
        </w:rPr>
      </w:pPr>
      <w:bookmarkStart w:id="6" w:name="_Hlk520905261"/>
      <w:r w:rsidRPr="0039263B">
        <w:rPr>
          <w:rStyle w:val="Style1"/>
          <w:rFonts w:cstheme="minorHAnsi"/>
          <w:lang w:val="en"/>
        </w:rPr>
        <w:t xml:space="preserve">Not an instrument-based measure </w:t>
      </w:r>
    </w:p>
    <w:p w14:paraId="02063C91" w14:textId="77777777" w:rsidR="00E63B4F" w:rsidRPr="0039263B" w:rsidRDefault="00E63B4F" w:rsidP="00E63B4F">
      <w:pPr>
        <w:pStyle w:val="ListParagraph"/>
        <w:rPr>
          <w:rStyle w:val="Style1"/>
          <w:rFonts w:cstheme="minorHAnsi"/>
          <w:lang w:val="en"/>
        </w:rPr>
      </w:pPr>
    </w:p>
    <w:bookmarkEnd w:id="6"/>
    <w:p w14:paraId="444E2625" w14:textId="77777777" w:rsidR="00E63B4F" w:rsidRPr="0039502E" w:rsidRDefault="00E63B4F" w:rsidP="00E63B4F">
      <w:pPr>
        <w:rPr>
          <w:rStyle w:val="requiredfield"/>
          <w:rFonts w:eastAsia="Trebuchet MS" w:cstheme="minorHAnsi"/>
          <w:b/>
          <w:bCs/>
          <w:color w:val="FF0000"/>
        </w:rPr>
      </w:pPr>
      <w:r w:rsidRPr="0039502E">
        <w:rPr>
          <w:rFonts w:eastAsia="Trebuchet MS" w:cstheme="minorHAnsi"/>
          <w:b/>
          <w:bCs/>
          <w:color w:val="333333"/>
          <w:shd w:val="clear" w:color="auto" w:fill="FFFFFF"/>
        </w:rPr>
        <w:t>S.4. Numerator Statement </w:t>
      </w:r>
      <w:r w:rsidRPr="0039502E">
        <w:rPr>
          <w:rFonts w:eastAsia="Trebuchet MS" w:cstheme="minorHAnsi"/>
          <w:i/>
          <w:iCs/>
          <w:color w:val="333333"/>
          <w:shd w:val="clear" w:color="auto" w:fill="FFFFFF"/>
        </w:rPr>
        <w:t>(Provide a brief description of the measure focus or what is being measured)</w:t>
      </w:r>
      <w:r w:rsidRPr="0039502E">
        <w:rPr>
          <w:rStyle w:val="requiredfield"/>
          <w:rFonts w:eastAsia="Trebuchet MS" w:cstheme="minorHAnsi"/>
          <w:b/>
          <w:bCs/>
          <w:color w:val="FF0000"/>
          <w:shd w:val="clear" w:color="auto" w:fill="FFFFFF"/>
        </w:rPr>
        <w:t xml:space="preserve">* </w:t>
      </w:r>
    </w:p>
    <w:p w14:paraId="051A3E60" w14:textId="77777777" w:rsidR="00E63B4F" w:rsidRPr="0039502E" w:rsidRDefault="00E63B4F" w:rsidP="00E63B4F">
      <w:pPr>
        <w:rPr>
          <w:rStyle w:val="Style1"/>
          <w:rFonts w:eastAsia="Trebuchet MS" w:cstheme="minorHAnsi"/>
        </w:rPr>
      </w:pPr>
      <w:r w:rsidRPr="0039502E">
        <w:rPr>
          <w:rStyle w:val="Style1"/>
          <w:rFonts w:eastAsia="Trebuchet MS" w:cstheme="minorHAnsi"/>
        </w:rPr>
        <w:t>The measure numerator is the risk-adjusted predicted estimate of the number of patients</w:t>
      </w:r>
      <w:r w:rsidRPr="0039502E">
        <w:rPr>
          <w:rStyle w:val="Style1"/>
          <w:rFonts w:eastAsia="Trebuchet MS," w:cstheme="minorHAnsi"/>
        </w:rPr>
        <w:t xml:space="preserve"> </w:t>
      </w:r>
      <w:r w:rsidRPr="0039502E">
        <w:rPr>
          <w:rStyle w:val="Style1"/>
          <w:rFonts w:eastAsia="Trebuchet MS" w:cstheme="minorHAnsi"/>
        </w:rPr>
        <w:t xml:space="preserve">who are discharged to the community, and do not have an unplanned readmission to an acute care hospital or LTCH in the 31-day post-discharge observation window, and who remain alive during the post-discharge observation window. </w:t>
      </w:r>
    </w:p>
    <w:p w14:paraId="5AD7A6B1" w14:textId="77777777" w:rsidR="00E63B4F" w:rsidRPr="0039502E" w:rsidRDefault="00E63B4F" w:rsidP="00E63B4F">
      <w:pPr>
        <w:rPr>
          <w:rStyle w:val="Style1"/>
          <w:rFonts w:eastAsia="Trebuchet MS" w:cstheme="minorHAnsi"/>
        </w:rPr>
      </w:pPr>
      <w:r w:rsidRPr="0039502E">
        <w:rPr>
          <w:rStyle w:val="Style1"/>
          <w:rFonts w:eastAsia="Trebuchet MS" w:cstheme="minorHAnsi"/>
        </w:rPr>
        <w:t xml:space="preserve">This estimate starts with the observed number of discharges to community, defined as: </w:t>
      </w:r>
    </w:p>
    <w:p w14:paraId="1E22A886" w14:textId="77777777" w:rsidR="00E63B4F" w:rsidRPr="0039502E" w:rsidRDefault="00E63B4F" w:rsidP="00E63B4F">
      <w:pPr>
        <w:ind w:left="720"/>
        <w:rPr>
          <w:rStyle w:val="Style1"/>
          <w:rFonts w:eastAsia="Trebuchet MS" w:cstheme="minorHAnsi"/>
        </w:rPr>
      </w:pPr>
      <w:r w:rsidRPr="0039502E">
        <w:rPr>
          <w:rStyle w:val="Style1"/>
          <w:rFonts w:eastAsia="Trebuchet MS" w:cstheme="minorHAnsi"/>
        </w:rPr>
        <w:t xml:space="preserve">(i) discharges to home or </w:t>
      </w:r>
      <w:proofErr w:type="spellStart"/>
      <w:r w:rsidRPr="0039502E">
        <w:rPr>
          <w:rStyle w:val="Style1"/>
          <w:rFonts w:eastAsia="Trebuchet MS" w:cstheme="minorHAnsi"/>
        </w:rPr>
        <w:t>self care</w:t>
      </w:r>
      <w:proofErr w:type="spellEnd"/>
      <w:r w:rsidRPr="0039502E">
        <w:rPr>
          <w:rStyle w:val="Style1"/>
          <w:rFonts w:eastAsia="Trebuchet MS" w:cstheme="minorHAnsi"/>
        </w:rPr>
        <w:t xml:space="preserve"> with or without home health services, based on Patient Discharge Status Codes 01, 06, 81, or 86 on the Medicare FFS claim [</w:t>
      </w:r>
      <w:r>
        <w:rPr>
          <w:rStyle w:val="Style1"/>
          <w:rFonts w:eastAsia="Trebuchet MS" w:cstheme="minorHAnsi"/>
        </w:rPr>
        <w:t>2</w:t>
      </w:r>
      <w:r w:rsidRPr="0039502E">
        <w:rPr>
          <w:rStyle w:val="Style1"/>
          <w:rFonts w:eastAsia="Trebuchet MS" w:cstheme="minorHAnsi"/>
        </w:rPr>
        <w:t xml:space="preserve">]; and </w:t>
      </w:r>
    </w:p>
    <w:p w14:paraId="32A7D673" w14:textId="77777777" w:rsidR="00E63B4F" w:rsidRPr="0039502E" w:rsidRDefault="00E63B4F" w:rsidP="00E63B4F">
      <w:pPr>
        <w:ind w:left="720"/>
        <w:rPr>
          <w:rStyle w:val="Style1"/>
          <w:rFonts w:eastAsia="Trebuchet MS" w:cstheme="minorHAnsi"/>
        </w:rPr>
      </w:pPr>
      <w:r w:rsidRPr="0039502E">
        <w:rPr>
          <w:rStyle w:val="Style1"/>
          <w:rFonts w:eastAsia="Trebuchet MS" w:cstheme="minorHAnsi"/>
        </w:rPr>
        <w:t xml:space="preserve">(ii) no unplanned acute or LTCH hospitalizations in the 31-day post-discharge window; and </w:t>
      </w:r>
    </w:p>
    <w:p w14:paraId="6BDAD556" w14:textId="77777777" w:rsidR="00E63B4F" w:rsidRPr="0039502E" w:rsidRDefault="00E63B4F" w:rsidP="00E63B4F">
      <w:pPr>
        <w:ind w:left="720"/>
        <w:rPr>
          <w:rStyle w:val="Style1"/>
          <w:rFonts w:eastAsia="Trebuchet MS" w:cstheme="minorHAnsi"/>
        </w:rPr>
      </w:pPr>
      <w:r w:rsidRPr="0039502E">
        <w:rPr>
          <w:rStyle w:val="Style1"/>
          <w:rFonts w:eastAsia="Trebuchet MS" w:cstheme="minorHAnsi"/>
        </w:rPr>
        <w:lastRenderedPageBreak/>
        <w:t xml:space="preserve">(iii) no death in the 31-day post-discharge window. </w:t>
      </w:r>
    </w:p>
    <w:p w14:paraId="45374319" w14:textId="77777777" w:rsidR="00E63B4F" w:rsidRPr="0039502E" w:rsidRDefault="00E63B4F" w:rsidP="00E63B4F">
      <w:pPr>
        <w:rPr>
          <w:rStyle w:val="Style1"/>
          <w:rFonts w:eastAsia="Trebuchet MS" w:cstheme="minorHAnsi"/>
        </w:rPr>
      </w:pPr>
      <w:r w:rsidRPr="0039502E">
        <w:rPr>
          <w:rStyle w:val="Style1"/>
          <w:rFonts w:eastAsia="Trebuchet MS" w:cstheme="minorHAnsi"/>
        </w:rPr>
        <w:t>The discharge to community outcome is risk</w:t>
      </w:r>
      <w:r>
        <w:rPr>
          <w:rStyle w:val="Style1"/>
          <w:rFonts w:eastAsia="Trebuchet MS" w:cstheme="minorHAnsi"/>
        </w:rPr>
        <w:t>-</w:t>
      </w:r>
      <w:r w:rsidRPr="0039502E">
        <w:rPr>
          <w:rStyle w:val="Style1"/>
          <w:rFonts w:eastAsia="Trebuchet MS" w:cstheme="minorHAnsi"/>
        </w:rPr>
        <w:t>adjusted for patient characteristics and a statistical estimate of the facility effect beyond case</w:t>
      </w:r>
      <w:r w:rsidRPr="0039502E">
        <w:rPr>
          <w:rStyle w:val="Style1"/>
          <w:rFonts w:eastAsia="Trebuchet MS," w:cstheme="minorHAnsi"/>
        </w:rPr>
        <w:t>-</w:t>
      </w:r>
      <w:r w:rsidRPr="0039502E">
        <w:rPr>
          <w:rStyle w:val="Style1"/>
          <w:rFonts w:eastAsia="Trebuchet MS" w:cstheme="minorHAnsi"/>
        </w:rPr>
        <w:t>mix (described below).</w:t>
      </w:r>
    </w:p>
    <w:p w14:paraId="7415DD7C" w14:textId="77777777" w:rsidR="00E63B4F" w:rsidRPr="0039502E" w:rsidRDefault="00E63B4F" w:rsidP="00E63B4F">
      <w:pPr>
        <w:rPr>
          <w:rStyle w:val="Style1"/>
          <w:rFonts w:eastAsia="Trebuchet MS" w:cstheme="minorHAnsi"/>
        </w:rPr>
      </w:pPr>
      <w:r w:rsidRPr="0039502E">
        <w:rPr>
          <w:rStyle w:val="Style1"/>
          <w:rFonts w:eastAsia="Trebuchet MS" w:cstheme="minorHAnsi"/>
        </w:rPr>
        <w:t xml:space="preserve">References </w:t>
      </w:r>
    </w:p>
    <w:p w14:paraId="05DEE239" w14:textId="77777777" w:rsidR="00E63B4F" w:rsidRPr="007C67CC" w:rsidRDefault="00E63B4F" w:rsidP="00E63B4F">
      <w:pPr>
        <w:rPr>
          <w:rFonts w:cstheme="minorHAnsi"/>
        </w:rPr>
      </w:pPr>
      <w:r w:rsidRPr="0039502E">
        <w:rPr>
          <w:rStyle w:val="Style1"/>
          <w:rFonts w:eastAsia="Trebuchet MS" w:cstheme="minorHAnsi"/>
        </w:rPr>
        <w:t>[</w:t>
      </w:r>
      <w:r>
        <w:rPr>
          <w:rStyle w:val="Style1"/>
          <w:rFonts w:eastAsia="Trebuchet MS" w:cstheme="minorHAnsi"/>
        </w:rPr>
        <w:t>2</w:t>
      </w:r>
      <w:r w:rsidRPr="007C67CC">
        <w:rPr>
          <w:rStyle w:val="Style1"/>
          <w:rFonts w:eastAsia="Trebuchet MS" w:cstheme="minorHAnsi"/>
        </w:rPr>
        <w:t xml:space="preserve">] </w:t>
      </w:r>
      <w:r w:rsidRPr="007C67CC">
        <w:rPr>
          <w:rFonts w:cstheme="minorHAnsi"/>
        </w:rPr>
        <w:t>National Uniform Billing Committee Official UB-04 Data Specifications Manual 2018, Version 12, July 2017, Copyright 2017, American Hospital Association.</w:t>
      </w:r>
    </w:p>
    <w:p w14:paraId="52996811" w14:textId="77777777" w:rsidR="00E63B4F" w:rsidRPr="0039502E" w:rsidRDefault="00E63B4F" w:rsidP="00E63B4F">
      <w:pPr>
        <w:rPr>
          <w:rStyle w:val="underlinecls"/>
          <w:rFonts w:eastAsia="Trebuchet MS" w:cstheme="minorHAnsi"/>
          <w:i/>
          <w:iCs/>
          <w:color w:val="333333"/>
          <w:lang w:val="en"/>
        </w:rPr>
      </w:pPr>
      <w:r w:rsidRPr="0039502E">
        <w:rPr>
          <w:rFonts w:eastAsia="Trebuchet MS" w:cstheme="minorHAnsi"/>
          <w:b/>
          <w:bCs/>
          <w:color w:val="333333"/>
          <w:lang w:val="en"/>
        </w:rPr>
        <w:t xml:space="preserve">S.5. Numerator Details </w:t>
      </w:r>
      <w:r w:rsidRPr="0039502E">
        <w:rPr>
          <w:rFonts w:eastAsia="Trebuchet MS" w:cstheme="minorHAnsi"/>
          <w:i/>
          <w:iCs/>
          <w:color w:val="333333"/>
          <w:lang w:val="en"/>
        </w:rPr>
        <w:t>(All information required to identify and calculate the cases from the target population with the target process, condition, event, or outcome such as definitions, time period for data collection, specific data collection items/responses, code/value sets – Note: lists of individual codes with descriptors that exceed 1 page should be provided in an Excel or csv file in required format at S.2b)</w:t>
      </w:r>
      <w:r w:rsidRPr="0039502E">
        <w:rPr>
          <w:rFonts w:cstheme="minorHAnsi"/>
          <w:i/>
          <w:iCs/>
          <w:color w:val="333333"/>
          <w:lang w:val="en"/>
        </w:rPr>
        <w:br/>
      </w:r>
      <w:r w:rsidRPr="0039502E">
        <w:rPr>
          <w:rStyle w:val="underlinecls"/>
          <w:rFonts w:eastAsia="Trebuchet MS" w:cstheme="minorHAnsi"/>
          <w:i/>
          <w:iCs/>
          <w:color w:val="333333"/>
          <w:lang w:val="en"/>
        </w:rPr>
        <w:t>IF an OUTCOME MEASURE, describe how the observed outcome is identified/counted. Calculation of the risk-adjusted outcome should be described in the calculation algorithm (S.14).</w:t>
      </w:r>
    </w:p>
    <w:p w14:paraId="623A3954" w14:textId="77777777" w:rsidR="00E63B4F" w:rsidRPr="0039502E" w:rsidRDefault="00E63B4F" w:rsidP="00E63B4F">
      <w:pPr>
        <w:rPr>
          <w:rStyle w:val="Style1"/>
          <w:rFonts w:eastAsia="Trebuchet MS" w:cstheme="minorHAnsi"/>
        </w:rPr>
      </w:pPr>
      <w:bookmarkStart w:id="7" w:name="_Hlk518899215"/>
      <w:r w:rsidRPr="0039502E">
        <w:rPr>
          <w:rStyle w:val="Style1"/>
          <w:rFonts w:eastAsia="Trebuchet MS" w:cstheme="minorHAnsi"/>
        </w:rPr>
        <w:t xml:space="preserve">The numerator uses a model estimated on full national data specific to the IRF setting; it is applied to the IRF’s patient stays included in the measure and includes the estimated effect of that IRF. The prediction equation is based on a logistic regression model with a two-level hierarchical structure. </w:t>
      </w:r>
    </w:p>
    <w:p w14:paraId="6EB62D98" w14:textId="77777777" w:rsidR="00E63B4F" w:rsidRPr="0039502E" w:rsidRDefault="00E63B4F" w:rsidP="00E63B4F">
      <w:pPr>
        <w:rPr>
          <w:rStyle w:val="Style1"/>
          <w:rFonts w:eastAsia="Trebuchet MS" w:cstheme="minorHAnsi"/>
        </w:rPr>
      </w:pPr>
      <w:r w:rsidRPr="0039502E">
        <w:rPr>
          <w:rStyle w:val="Style1"/>
          <w:rFonts w:eastAsia="Trebuchet MS" w:cstheme="minorHAnsi"/>
        </w:rPr>
        <w:t xml:space="preserve">The patient stays in the model have an indicator of the facility they are discharged from; the effect of the facility is measured as a positive or negative shift in the intercept term of the equation. The facility effects are modeled as belonging to a normal (Gaussian) distribution centered at 0 and are estimated along with the effects of patient characteristics in the model. </w:t>
      </w:r>
    </w:p>
    <w:p w14:paraId="5E001781" w14:textId="77777777" w:rsidR="00E63B4F" w:rsidRPr="0039502E" w:rsidRDefault="00E63B4F" w:rsidP="00E63B4F">
      <w:pPr>
        <w:rPr>
          <w:rStyle w:val="Style1"/>
          <w:rFonts w:eastAsia="Trebuchet MS" w:cstheme="minorHAnsi"/>
        </w:rPr>
      </w:pPr>
      <w:r w:rsidRPr="0039502E">
        <w:rPr>
          <w:rStyle w:val="Style1"/>
          <w:rFonts w:eastAsia="Trebuchet MS" w:cstheme="minorHAnsi"/>
        </w:rPr>
        <w:t xml:space="preserve">The </w:t>
      </w:r>
      <w:r>
        <w:rPr>
          <w:rStyle w:val="Style1"/>
          <w:rFonts w:eastAsia="Trebuchet MS" w:cstheme="minorHAnsi"/>
        </w:rPr>
        <w:t>risk-adjustment</w:t>
      </w:r>
      <w:r w:rsidRPr="0039502E">
        <w:rPr>
          <w:rStyle w:val="Style1"/>
          <w:rFonts w:eastAsia="Trebuchet MS" w:cstheme="minorHAnsi"/>
        </w:rPr>
        <w:t xml:space="preserve"> logistic model is re-estimated for every measurement period and model coefficients corresponding to the measurement period are used for measure calculation. Results of the logistic model presented in this submission are based FY 2016-2017 data.</w:t>
      </w:r>
    </w:p>
    <w:p w14:paraId="4492904C" w14:textId="77777777" w:rsidR="00E63B4F" w:rsidRPr="0039502E" w:rsidRDefault="00E63B4F" w:rsidP="00E63B4F">
      <w:pPr>
        <w:rPr>
          <w:rStyle w:val="Style1"/>
          <w:rFonts w:eastAsia="Trebuchet MS" w:cstheme="minorHAnsi"/>
        </w:rPr>
      </w:pPr>
      <w:r w:rsidRPr="0039502E">
        <w:rPr>
          <w:rStyle w:val="Style1"/>
          <w:rFonts w:eastAsia="Trebuchet MS" w:cstheme="minorHAnsi"/>
        </w:rPr>
        <w:t xml:space="preserve">Details about the three components of the measure outcome are described below. </w:t>
      </w:r>
    </w:p>
    <w:p w14:paraId="45B684AF" w14:textId="77777777" w:rsidR="00E63B4F" w:rsidRPr="0078067E" w:rsidRDefault="00E63B4F" w:rsidP="00E63B4F">
      <w:pPr>
        <w:pStyle w:val="Heading5"/>
        <w:numPr>
          <w:ilvl w:val="0"/>
          <w:numId w:val="19"/>
        </w:numPr>
        <w:rPr>
          <w:rStyle w:val="Style1"/>
          <w:rFonts w:eastAsiaTheme="minorEastAsia" w:cstheme="minorHAnsi"/>
          <w:b/>
          <w:i w:val="0"/>
          <w:szCs w:val="22"/>
        </w:rPr>
      </w:pPr>
      <w:r w:rsidRPr="0078067E">
        <w:rPr>
          <w:rStyle w:val="Style1"/>
          <w:rFonts w:eastAsiaTheme="minorEastAsia" w:cstheme="minorHAnsi"/>
          <w:b/>
          <w:i w:val="0"/>
          <w:szCs w:val="22"/>
        </w:rPr>
        <w:t xml:space="preserve">Discharge Destination </w:t>
      </w:r>
      <w:r>
        <w:rPr>
          <w:rStyle w:val="Style1"/>
          <w:rFonts w:eastAsiaTheme="minorEastAsia" w:cstheme="minorHAnsi"/>
          <w:b/>
          <w:i w:val="0"/>
          <w:szCs w:val="22"/>
        </w:rPr>
        <w:t>o</w:t>
      </w:r>
      <w:r w:rsidRPr="0078067E">
        <w:rPr>
          <w:rStyle w:val="Style1"/>
          <w:rFonts w:eastAsiaTheme="minorEastAsia" w:cstheme="minorHAnsi"/>
          <w:b/>
          <w:i w:val="0"/>
          <w:szCs w:val="22"/>
        </w:rPr>
        <w:t>f Community</w:t>
      </w:r>
    </w:p>
    <w:p w14:paraId="060CF596" w14:textId="77777777" w:rsidR="00E63B4F" w:rsidRPr="0039502E" w:rsidRDefault="00E63B4F" w:rsidP="00E63B4F">
      <w:pPr>
        <w:pStyle w:val="BodyText"/>
        <w:spacing w:after="160" w:line="276" w:lineRule="auto"/>
        <w:ind w:firstLine="0"/>
        <w:rPr>
          <w:rStyle w:val="Style1"/>
          <w:rFonts w:eastAsiaTheme="minorEastAsia" w:cstheme="minorHAnsi"/>
          <w:szCs w:val="22"/>
        </w:rPr>
      </w:pPr>
      <w:r w:rsidRPr="0039502E">
        <w:rPr>
          <w:rStyle w:val="Style1"/>
          <w:rFonts w:eastAsiaTheme="minorEastAsia" w:cstheme="minorHAnsi"/>
          <w:szCs w:val="22"/>
        </w:rPr>
        <w:t xml:space="preserve">Discharge to a community destination is determined based on the “Patient Discharge Status Code” from the IRF FFS </w:t>
      </w:r>
      <w:r>
        <w:rPr>
          <w:rStyle w:val="Style1"/>
          <w:rFonts w:eastAsiaTheme="minorEastAsia" w:cstheme="minorHAnsi"/>
          <w:szCs w:val="22"/>
        </w:rPr>
        <w:t>claim.</w:t>
      </w:r>
      <w:r w:rsidRPr="0039502E">
        <w:rPr>
          <w:rStyle w:val="Style1"/>
          <w:rFonts w:eastAsiaTheme="minorEastAsia" w:cstheme="minorHAnsi"/>
          <w:szCs w:val="22"/>
        </w:rPr>
        <w:t>[</w:t>
      </w:r>
      <w:r>
        <w:rPr>
          <w:rStyle w:val="Style1"/>
          <w:rFonts w:eastAsiaTheme="minorEastAsia" w:cstheme="minorHAnsi"/>
          <w:szCs w:val="22"/>
        </w:rPr>
        <w:t>3</w:t>
      </w:r>
      <w:r w:rsidRPr="0039502E">
        <w:rPr>
          <w:rStyle w:val="Style1"/>
          <w:rFonts w:eastAsiaTheme="minorEastAsia" w:cstheme="minorHAnsi"/>
          <w:szCs w:val="22"/>
        </w:rPr>
        <w:t xml:space="preserve">] Discharge to a community destination is defined as discharge to home or </w:t>
      </w:r>
      <w:proofErr w:type="spellStart"/>
      <w:r w:rsidRPr="0039502E">
        <w:rPr>
          <w:rStyle w:val="Style1"/>
          <w:rFonts w:eastAsiaTheme="minorEastAsia" w:cstheme="minorHAnsi"/>
          <w:szCs w:val="22"/>
        </w:rPr>
        <w:t>self care</w:t>
      </w:r>
      <w:proofErr w:type="spellEnd"/>
      <w:r w:rsidRPr="0039502E">
        <w:rPr>
          <w:rStyle w:val="Style1"/>
          <w:rFonts w:eastAsiaTheme="minorEastAsia" w:cstheme="minorHAnsi"/>
          <w:szCs w:val="22"/>
        </w:rPr>
        <w:t xml:space="preserve"> with or without home health services as described below. While codes 81 and 86 are intended for use on acute care claims only, we observed some instances of these codes on post-acute claims; thus, we include codes 81 and 86 in our community definition.</w:t>
      </w:r>
    </w:p>
    <w:p w14:paraId="3A361DF6" w14:textId="77777777" w:rsidR="00E63B4F" w:rsidRPr="0039502E" w:rsidRDefault="00E63B4F" w:rsidP="00E63B4F">
      <w:pPr>
        <w:pStyle w:val="BodyText"/>
        <w:spacing w:after="0"/>
        <w:ind w:firstLine="0"/>
        <w:rPr>
          <w:rStyle w:val="Style1"/>
          <w:rFonts w:eastAsiaTheme="minorEastAsia" w:cstheme="minorHAnsi"/>
          <w:szCs w:val="22"/>
        </w:rPr>
      </w:pPr>
      <w:r w:rsidRPr="0039502E">
        <w:rPr>
          <w:rStyle w:val="Style1"/>
          <w:rFonts w:eastAsiaTheme="minorEastAsia" w:cstheme="minorHAnsi"/>
          <w:szCs w:val="22"/>
        </w:rPr>
        <w:t>Discharge Status Codes Indicating Community Discharge:</w:t>
      </w:r>
    </w:p>
    <w:p w14:paraId="49282F1F" w14:textId="77777777" w:rsidR="00E63B4F" w:rsidRPr="0039502E" w:rsidRDefault="00E63B4F" w:rsidP="00E63B4F">
      <w:pPr>
        <w:pStyle w:val="BodyText"/>
        <w:spacing w:after="0"/>
        <w:ind w:firstLine="0"/>
        <w:rPr>
          <w:rStyle w:val="Style1"/>
          <w:rFonts w:eastAsiaTheme="minorEastAsia" w:cstheme="minorHAnsi"/>
          <w:szCs w:val="22"/>
        </w:rPr>
      </w:pPr>
    </w:p>
    <w:p w14:paraId="25A4A06A" w14:textId="77777777" w:rsidR="00E63B4F" w:rsidRPr="0039502E" w:rsidRDefault="00E63B4F" w:rsidP="00E63B4F">
      <w:pPr>
        <w:pStyle w:val="BodyText"/>
        <w:numPr>
          <w:ilvl w:val="0"/>
          <w:numId w:val="14"/>
        </w:numPr>
        <w:spacing w:after="0"/>
        <w:rPr>
          <w:rStyle w:val="Style1"/>
          <w:rFonts w:eastAsiaTheme="minorEastAsia" w:cstheme="minorHAnsi"/>
          <w:szCs w:val="22"/>
        </w:rPr>
      </w:pPr>
      <w:r>
        <w:rPr>
          <w:rStyle w:val="Style1"/>
          <w:rFonts w:eastAsiaTheme="minorEastAsia" w:cstheme="minorHAnsi"/>
          <w:szCs w:val="22"/>
        </w:rPr>
        <w:t xml:space="preserve">01 = </w:t>
      </w:r>
      <w:r w:rsidRPr="0039502E">
        <w:rPr>
          <w:rStyle w:val="Style1"/>
          <w:rFonts w:eastAsiaTheme="minorEastAsia" w:cstheme="minorHAnsi"/>
          <w:szCs w:val="22"/>
        </w:rPr>
        <w:t xml:space="preserve">Discharged to home or </w:t>
      </w:r>
      <w:proofErr w:type="spellStart"/>
      <w:r w:rsidRPr="0039502E">
        <w:rPr>
          <w:rStyle w:val="Style1"/>
          <w:rFonts w:eastAsiaTheme="minorEastAsia" w:cstheme="minorHAnsi"/>
          <w:szCs w:val="22"/>
        </w:rPr>
        <w:t>self care</w:t>
      </w:r>
      <w:proofErr w:type="spellEnd"/>
      <w:r w:rsidRPr="0039502E">
        <w:rPr>
          <w:rStyle w:val="Style1"/>
          <w:rFonts w:eastAsiaTheme="minorEastAsia" w:cstheme="minorHAnsi"/>
          <w:szCs w:val="22"/>
        </w:rPr>
        <w:t xml:space="preserve"> (routine discharge)</w:t>
      </w:r>
    </w:p>
    <w:p w14:paraId="37AAC86B" w14:textId="77777777" w:rsidR="00E63B4F" w:rsidRPr="0039502E" w:rsidRDefault="00E63B4F" w:rsidP="00E63B4F">
      <w:pPr>
        <w:pStyle w:val="BodyText"/>
        <w:numPr>
          <w:ilvl w:val="0"/>
          <w:numId w:val="14"/>
        </w:numPr>
        <w:spacing w:after="0"/>
        <w:rPr>
          <w:rStyle w:val="Style1"/>
          <w:rFonts w:eastAsiaTheme="minorEastAsia" w:cstheme="minorHAnsi"/>
          <w:szCs w:val="22"/>
        </w:rPr>
      </w:pPr>
      <w:r w:rsidRPr="0039502E">
        <w:rPr>
          <w:rStyle w:val="Style1"/>
          <w:rFonts w:eastAsiaTheme="minorEastAsia" w:cstheme="minorHAnsi"/>
          <w:szCs w:val="22"/>
        </w:rPr>
        <w:t>06</w:t>
      </w:r>
      <w:r>
        <w:rPr>
          <w:rStyle w:val="Style1"/>
          <w:rFonts w:eastAsiaTheme="minorEastAsia" w:cstheme="minorHAnsi"/>
          <w:szCs w:val="22"/>
        </w:rPr>
        <w:t xml:space="preserve"> = </w:t>
      </w:r>
      <w:r w:rsidRPr="0039502E">
        <w:rPr>
          <w:rStyle w:val="Style1"/>
          <w:rFonts w:eastAsiaTheme="minorEastAsia" w:cstheme="minorHAnsi"/>
          <w:szCs w:val="22"/>
        </w:rPr>
        <w:t>Discharged/transferred to home under care of organized home health service organization</w:t>
      </w:r>
    </w:p>
    <w:p w14:paraId="2DD77668" w14:textId="77777777" w:rsidR="00E63B4F" w:rsidRPr="0039502E" w:rsidRDefault="00E63B4F" w:rsidP="00E63B4F">
      <w:pPr>
        <w:pStyle w:val="BodyText"/>
        <w:numPr>
          <w:ilvl w:val="0"/>
          <w:numId w:val="14"/>
        </w:numPr>
        <w:spacing w:after="0"/>
        <w:rPr>
          <w:rStyle w:val="Style1"/>
          <w:rFonts w:eastAsiaTheme="minorEastAsia" w:cstheme="minorHAnsi"/>
          <w:szCs w:val="22"/>
        </w:rPr>
      </w:pPr>
      <w:r w:rsidRPr="0039502E">
        <w:rPr>
          <w:rStyle w:val="Style1"/>
          <w:rFonts w:eastAsiaTheme="minorEastAsia" w:cstheme="minorHAnsi"/>
          <w:szCs w:val="22"/>
        </w:rPr>
        <w:t>81</w:t>
      </w:r>
      <w:r>
        <w:rPr>
          <w:rStyle w:val="Style1"/>
          <w:rFonts w:eastAsiaTheme="minorEastAsia" w:cstheme="minorHAnsi"/>
          <w:szCs w:val="22"/>
        </w:rPr>
        <w:t xml:space="preserve"> = </w:t>
      </w:r>
      <w:r w:rsidRPr="0039502E">
        <w:rPr>
          <w:rStyle w:val="Style1"/>
          <w:rFonts w:eastAsiaTheme="minorEastAsia" w:cstheme="minorHAnsi"/>
          <w:szCs w:val="22"/>
        </w:rPr>
        <w:t xml:space="preserve">Discharged to home or </w:t>
      </w:r>
      <w:proofErr w:type="spellStart"/>
      <w:r w:rsidRPr="0039502E">
        <w:rPr>
          <w:rStyle w:val="Style1"/>
          <w:rFonts w:eastAsiaTheme="minorEastAsia" w:cstheme="minorHAnsi"/>
          <w:szCs w:val="22"/>
        </w:rPr>
        <w:t>self care</w:t>
      </w:r>
      <w:proofErr w:type="spellEnd"/>
      <w:r w:rsidRPr="0039502E">
        <w:rPr>
          <w:rStyle w:val="Style1"/>
          <w:rFonts w:eastAsiaTheme="minorEastAsia" w:cstheme="minorHAnsi"/>
          <w:szCs w:val="22"/>
        </w:rPr>
        <w:t xml:space="preserve"> with a planned acute care hospital readmission</w:t>
      </w:r>
    </w:p>
    <w:p w14:paraId="3DE63CD6" w14:textId="77777777" w:rsidR="00E63B4F" w:rsidRPr="0039502E" w:rsidRDefault="00E63B4F" w:rsidP="00E63B4F">
      <w:pPr>
        <w:pStyle w:val="BodyText"/>
        <w:numPr>
          <w:ilvl w:val="0"/>
          <w:numId w:val="14"/>
        </w:numPr>
        <w:spacing w:after="0"/>
        <w:rPr>
          <w:rStyle w:val="Style1"/>
          <w:rFonts w:eastAsiaTheme="minorEastAsia" w:cstheme="minorHAnsi"/>
          <w:szCs w:val="22"/>
        </w:rPr>
      </w:pPr>
      <w:r w:rsidRPr="0039502E">
        <w:rPr>
          <w:rStyle w:val="Style1"/>
          <w:rFonts w:eastAsiaTheme="minorEastAsia" w:cstheme="minorHAnsi"/>
          <w:szCs w:val="22"/>
        </w:rPr>
        <w:lastRenderedPageBreak/>
        <w:t>86</w:t>
      </w:r>
      <w:r>
        <w:rPr>
          <w:rStyle w:val="Style1"/>
          <w:rFonts w:eastAsiaTheme="minorEastAsia" w:cstheme="minorHAnsi"/>
          <w:szCs w:val="22"/>
        </w:rPr>
        <w:t xml:space="preserve"> = </w:t>
      </w:r>
      <w:r w:rsidRPr="0039502E">
        <w:rPr>
          <w:rStyle w:val="Style1"/>
          <w:rFonts w:eastAsiaTheme="minorEastAsia" w:cstheme="minorHAnsi"/>
          <w:szCs w:val="22"/>
        </w:rPr>
        <w:t>Discharged/transferred to home under care of organized home health service organization with a planned acute care hospital inpatient readmission</w:t>
      </w:r>
      <w:bookmarkStart w:id="8" w:name="_Hlk518894247"/>
    </w:p>
    <w:p w14:paraId="44B8BB67" w14:textId="77777777" w:rsidR="00E63B4F" w:rsidRPr="0039502E" w:rsidRDefault="00E63B4F" w:rsidP="00E63B4F">
      <w:pPr>
        <w:spacing w:after="0"/>
        <w:rPr>
          <w:rFonts w:eastAsia="Trebuchet MS" w:cstheme="minorHAnsi"/>
          <w:bCs/>
          <w:color w:val="333333"/>
          <w:lang w:val="en"/>
        </w:rPr>
      </w:pPr>
    </w:p>
    <w:p w14:paraId="7DFA3A34" w14:textId="77777777" w:rsidR="00E63B4F" w:rsidRPr="0039502E" w:rsidRDefault="00E63B4F" w:rsidP="00E63B4F">
      <w:pPr>
        <w:rPr>
          <w:rStyle w:val="Style1"/>
          <w:rFonts w:eastAsia="Trebuchet MS" w:cstheme="minorHAnsi"/>
        </w:rPr>
      </w:pPr>
      <w:r w:rsidRPr="0039502E">
        <w:rPr>
          <w:rStyle w:val="Style1"/>
          <w:rFonts w:eastAsia="Trebuchet MS" w:cstheme="minorHAnsi"/>
        </w:rPr>
        <w:t xml:space="preserve">References </w:t>
      </w:r>
    </w:p>
    <w:p w14:paraId="0397CA4A" w14:textId="77777777" w:rsidR="00E63B4F" w:rsidRPr="007C67CC" w:rsidRDefault="00E63B4F" w:rsidP="00E63B4F">
      <w:pPr>
        <w:rPr>
          <w:rFonts w:cstheme="minorHAnsi"/>
        </w:rPr>
      </w:pPr>
      <w:r w:rsidRPr="007C67CC">
        <w:rPr>
          <w:rFonts w:eastAsia="Trebuchet MS" w:cstheme="minorHAnsi"/>
          <w:bCs/>
          <w:lang w:val="en"/>
        </w:rPr>
        <w:t xml:space="preserve">[3] </w:t>
      </w:r>
      <w:r w:rsidRPr="007C67CC">
        <w:rPr>
          <w:rFonts w:cstheme="minorHAnsi"/>
        </w:rPr>
        <w:t>National Uniform Billing Committee Official UB-04 Data Specifications Manual 2018, Version 12, July 2017, Copyright 2017, American Hospital Association.</w:t>
      </w:r>
    </w:p>
    <w:p w14:paraId="713833D9" w14:textId="77777777" w:rsidR="00E63B4F" w:rsidRPr="0039502E" w:rsidRDefault="00E63B4F" w:rsidP="00E63B4F">
      <w:pPr>
        <w:spacing w:after="0"/>
        <w:rPr>
          <w:rFonts w:eastAsia="Trebuchet MS" w:cstheme="minorHAnsi"/>
          <w:bCs/>
          <w:color w:val="0000FF"/>
          <w:lang w:val="en"/>
        </w:rPr>
      </w:pPr>
    </w:p>
    <w:p w14:paraId="142A0A2A" w14:textId="77777777" w:rsidR="00E63B4F" w:rsidRPr="0078067E" w:rsidRDefault="00E63B4F" w:rsidP="00E63B4F">
      <w:pPr>
        <w:pStyle w:val="Heading5"/>
        <w:numPr>
          <w:ilvl w:val="0"/>
          <w:numId w:val="19"/>
        </w:numPr>
        <w:rPr>
          <w:rStyle w:val="Style1"/>
          <w:rFonts w:eastAsiaTheme="minorEastAsia" w:cstheme="minorHAnsi"/>
          <w:b/>
          <w:i w:val="0"/>
          <w:szCs w:val="22"/>
        </w:rPr>
      </w:pPr>
      <w:bookmarkStart w:id="9" w:name="_Hlk520362389"/>
      <w:bookmarkEnd w:id="8"/>
      <w:r w:rsidRPr="0078067E">
        <w:rPr>
          <w:rStyle w:val="Style1"/>
          <w:rFonts w:eastAsiaTheme="minorEastAsia" w:cstheme="minorHAnsi"/>
          <w:b/>
          <w:i w:val="0"/>
          <w:szCs w:val="22"/>
        </w:rPr>
        <w:t>U</w:t>
      </w:r>
      <w:r>
        <w:rPr>
          <w:rStyle w:val="Style1"/>
          <w:rFonts w:eastAsiaTheme="minorEastAsia" w:cstheme="minorHAnsi"/>
          <w:b/>
          <w:i w:val="0"/>
          <w:szCs w:val="22"/>
        </w:rPr>
        <w:t>n</w:t>
      </w:r>
      <w:r w:rsidRPr="0078067E">
        <w:rPr>
          <w:rStyle w:val="Style1"/>
          <w:rFonts w:eastAsiaTheme="minorEastAsia" w:cstheme="minorHAnsi"/>
          <w:b/>
          <w:i w:val="0"/>
          <w:szCs w:val="22"/>
        </w:rPr>
        <w:t xml:space="preserve">planned Readmissions </w:t>
      </w:r>
      <w:r>
        <w:rPr>
          <w:rStyle w:val="Style1"/>
          <w:rFonts w:eastAsiaTheme="minorEastAsia" w:cstheme="minorHAnsi"/>
          <w:b/>
          <w:i w:val="0"/>
          <w:szCs w:val="22"/>
        </w:rPr>
        <w:t>in t</w:t>
      </w:r>
      <w:r w:rsidRPr="0078067E">
        <w:rPr>
          <w:rStyle w:val="Style1"/>
          <w:rFonts w:eastAsiaTheme="minorEastAsia" w:cstheme="minorHAnsi"/>
          <w:b/>
          <w:i w:val="0"/>
          <w:szCs w:val="22"/>
        </w:rPr>
        <w:t>he 31-Day Post-Discharge Observation Window</w:t>
      </w:r>
    </w:p>
    <w:p w14:paraId="2BD4AA53" w14:textId="77777777" w:rsidR="00E63B4F" w:rsidRPr="0039502E" w:rsidRDefault="00E63B4F" w:rsidP="00E63B4F">
      <w:pPr>
        <w:pStyle w:val="BodyText"/>
        <w:ind w:firstLine="0"/>
        <w:rPr>
          <w:rStyle w:val="Style1"/>
          <w:rFonts w:eastAsiaTheme="minorEastAsia" w:cstheme="minorHAnsi"/>
          <w:szCs w:val="22"/>
        </w:rPr>
      </w:pPr>
      <w:r w:rsidRPr="0039502E">
        <w:rPr>
          <w:rStyle w:val="Style1"/>
          <w:rFonts w:eastAsiaTheme="minorEastAsia" w:cstheme="minorHAnsi"/>
          <w:szCs w:val="22"/>
        </w:rPr>
        <w:t>A patient who is discharged to a community setting is not considered to have a successful discharge to community outcome for this measure if they have a subsequent unplanned readmission to an acute care hospital or LTCH in the post-discharge observation window, which includes the day of discharge and 31 days following day of discharge. We only assess the first readmission encountered in the post-discharge window. Our definition of acute care hospital includes hospitals paid under the Inpatient Prospective Payment System (IPPS), critical access hospitals (CAH), and psychiatric hospitals or units. Using acute care and LTCH claims, we identify unplanned readmissions based on the CMS planned readmissions algorithm</w:t>
      </w:r>
      <w:r>
        <w:rPr>
          <w:rStyle w:val="Style1"/>
          <w:rFonts w:eastAsiaTheme="minorEastAsia" w:cstheme="minorHAnsi"/>
          <w:szCs w:val="22"/>
        </w:rPr>
        <w:t>[4]</w:t>
      </w:r>
      <w:r w:rsidRPr="0039502E">
        <w:rPr>
          <w:rStyle w:val="Style1"/>
          <w:rFonts w:eastAsiaTheme="minorEastAsia" w:cstheme="minorHAnsi"/>
          <w:szCs w:val="22"/>
        </w:rPr>
        <w:t xml:space="preserve"> used in the following post-acute care (PAC) readmission measures, which have been endorsed by the National Quality Forum (NQF) and used in several CMS programs: (i) Skilled Nursing Facility 30-Day All-Cause Readmission Measure (SNFRM) (NQF #2510); (ii) All-Cause Unplanned Readmission Measure for 30 Days Post Discharge from Inpatient Rehabilitation Facilities (IRFs) (NQF #2502); (iii) All-Cause Unplanned Readmission Measure for 30 Days Post Discharge from Long-Term Care Hospitals (LTCHs) (NQF #2512); and (iv) Rehospitalization During the First 30 Days of Home Health (NQF #2380).</w:t>
      </w:r>
      <w:bookmarkStart w:id="10" w:name="_Hlk518894438"/>
      <w:r w:rsidRPr="0039502E">
        <w:rPr>
          <w:rStyle w:val="Style1"/>
          <w:rFonts w:eastAsiaTheme="minorEastAsia" w:cstheme="minorHAnsi"/>
          <w:szCs w:val="22"/>
        </w:rPr>
        <w:t>[5][6][7]</w:t>
      </w:r>
      <w:bookmarkEnd w:id="10"/>
      <w:r>
        <w:rPr>
          <w:rStyle w:val="Style1"/>
          <w:rFonts w:eastAsiaTheme="minorEastAsia" w:cstheme="minorHAnsi"/>
          <w:szCs w:val="22"/>
        </w:rPr>
        <w:t>[8]</w:t>
      </w:r>
      <w:r w:rsidRPr="0039502E">
        <w:rPr>
          <w:rStyle w:val="Style1"/>
          <w:rFonts w:eastAsiaTheme="minorEastAsia" w:cstheme="minorHAnsi"/>
          <w:szCs w:val="22"/>
        </w:rPr>
        <w:t xml:space="preserve"> The planned readmission algorithm used in these PAC readmission measures are based on the Hospital-Wide All-Cause Unplanned Readmission Measure (HWR) (NQF #1789)[</w:t>
      </w:r>
      <w:r>
        <w:rPr>
          <w:rStyle w:val="Style1"/>
          <w:rFonts w:eastAsiaTheme="minorEastAsia" w:cstheme="minorHAnsi"/>
          <w:szCs w:val="22"/>
        </w:rPr>
        <w:t>9</w:t>
      </w:r>
      <w:r w:rsidRPr="0039502E">
        <w:rPr>
          <w:rStyle w:val="Style1"/>
          <w:rFonts w:eastAsiaTheme="minorEastAsia" w:cstheme="minorHAnsi"/>
          <w:szCs w:val="22"/>
        </w:rPr>
        <w:t xml:space="preserve">], with some additions made for </w:t>
      </w:r>
      <w:bookmarkStart w:id="11" w:name="_Hlk520803160"/>
      <w:r>
        <w:rPr>
          <w:rStyle w:val="Style1"/>
          <w:rFonts w:eastAsiaTheme="minorEastAsia" w:cstheme="minorHAnsi"/>
          <w:szCs w:val="22"/>
        </w:rPr>
        <w:t xml:space="preserve">the SNF, IRF, and LTCH </w:t>
      </w:r>
      <w:bookmarkEnd w:id="11"/>
      <w:r w:rsidRPr="0039502E">
        <w:rPr>
          <w:rStyle w:val="Style1"/>
          <w:rFonts w:eastAsiaTheme="minorEastAsia" w:cstheme="minorHAnsi"/>
          <w:szCs w:val="22"/>
        </w:rPr>
        <w:t xml:space="preserve"> setting</w:t>
      </w:r>
      <w:r>
        <w:rPr>
          <w:rStyle w:val="Style1"/>
          <w:rFonts w:eastAsiaTheme="minorEastAsia" w:cstheme="minorHAnsi"/>
          <w:szCs w:val="22"/>
        </w:rPr>
        <w:t xml:space="preserve"> measures</w:t>
      </w:r>
      <w:r w:rsidRPr="0039502E">
        <w:rPr>
          <w:rStyle w:val="Style1"/>
          <w:rFonts w:eastAsiaTheme="minorEastAsia" w:cstheme="minorHAnsi"/>
          <w:szCs w:val="22"/>
        </w:rPr>
        <w:t>.[</w:t>
      </w:r>
      <w:r>
        <w:rPr>
          <w:rStyle w:val="Style1"/>
          <w:rFonts w:eastAsiaTheme="minorEastAsia" w:cstheme="minorHAnsi"/>
          <w:szCs w:val="22"/>
        </w:rPr>
        <w:t>10</w:t>
      </w:r>
      <w:r w:rsidRPr="0039502E">
        <w:rPr>
          <w:rStyle w:val="Style1"/>
          <w:rFonts w:eastAsiaTheme="minorEastAsia" w:cstheme="minorHAnsi"/>
          <w:szCs w:val="22"/>
        </w:rPr>
        <w:t>] We used the most current version of the CMS planned readmission algorithm from the 2018 HWR measure specifications for the FY 2016-2017 measure calculation.[</w:t>
      </w:r>
      <w:r>
        <w:rPr>
          <w:rStyle w:val="Style1"/>
          <w:rFonts w:eastAsiaTheme="minorEastAsia" w:cstheme="minorHAnsi"/>
          <w:szCs w:val="22"/>
        </w:rPr>
        <w:t>4</w:t>
      </w:r>
      <w:r w:rsidRPr="0039502E">
        <w:rPr>
          <w:rStyle w:val="Style1"/>
          <w:rFonts w:eastAsiaTheme="minorEastAsia" w:cstheme="minorHAnsi"/>
          <w:szCs w:val="22"/>
        </w:rPr>
        <w:t>] For future updates, we will use the most current version of the CMS planned readmission algorithm and make necessary updates to the additions made for post-acute care settings to ensure the algorithm corresponds to our measurement period.</w:t>
      </w:r>
    </w:p>
    <w:p w14:paraId="18970D6B" w14:textId="77777777" w:rsidR="00E63B4F" w:rsidRPr="0039502E" w:rsidRDefault="00E63B4F" w:rsidP="00E63B4F">
      <w:pPr>
        <w:pStyle w:val="BodyText"/>
        <w:ind w:firstLine="0"/>
        <w:rPr>
          <w:rStyle w:val="Style1"/>
          <w:rFonts w:eastAsiaTheme="minorEastAsia" w:cstheme="minorHAnsi"/>
          <w:szCs w:val="22"/>
        </w:rPr>
      </w:pPr>
      <w:r w:rsidRPr="0039502E">
        <w:rPr>
          <w:rStyle w:val="Style1"/>
          <w:rFonts w:eastAsiaTheme="minorEastAsia" w:cstheme="minorHAnsi"/>
          <w:szCs w:val="22"/>
        </w:rPr>
        <w:t>The CMS planned readmission definition is based on the claim from the readmission having a code for a diagnosis or procedure that is considered planned; however, if a planned procedure is accompanied by a principal diagnosis in a specified list of acute diagnoses, the readmission is reclassified as unplanned. Readmissions to psychiatric hospitals or units are always classified as planned readmissions.</w:t>
      </w:r>
    </w:p>
    <w:p w14:paraId="75EA7E7C" w14:textId="77777777" w:rsidR="00E63B4F" w:rsidRPr="0039502E" w:rsidRDefault="00E63B4F" w:rsidP="00E63B4F">
      <w:pPr>
        <w:pStyle w:val="BodyText"/>
        <w:ind w:firstLine="0"/>
        <w:rPr>
          <w:rStyle w:val="Style1"/>
          <w:rFonts w:eastAsiaTheme="minorEastAsia" w:cstheme="minorHAnsi"/>
          <w:szCs w:val="22"/>
        </w:rPr>
      </w:pPr>
      <w:bookmarkStart w:id="12" w:name="_Hlk520550915"/>
      <w:r w:rsidRPr="0039502E">
        <w:rPr>
          <w:rStyle w:val="Style1"/>
          <w:rFonts w:eastAsiaTheme="minorEastAsia" w:cstheme="minorHAnsi"/>
          <w:szCs w:val="22"/>
        </w:rPr>
        <w:t xml:space="preserve">While the measure was developed with ICD-9-CM procedure and diagnosis codes, it has been transitioned using the ICD-9-CM to ICD-10-CM cross-walk. </w:t>
      </w:r>
      <w:bookmarkEnd w:id="12"/>
      <w:r w:rsidRPr="0039502E">
        <w:rPr>
          <w:rStyle w:val="Style1"/>
          <w:rFonts w:eastAsiaTheme="minorEastAsia" w:cstheme="minorHAnsi"/>
          <w:szCs w:val="22"/>
        </w:rPr>
        <w:t xml:space="preserve"> </w:t>
      </w:r>
    </w:p>
    <w:bookmarkEnd w:id="9"/>
    <w:p w14:paraId="4003593A" w14:textId="77777777" w:rsidR="00E63B4F" w:rsidRPr="0039502E" w:rsidRDefault="00E63B4F" w:rsidP="00E63B4F">
      <w:pPr>
        <w:rPr>
          <w:rStyle w:val="Style1"/>
          <w:rFonts w:eastAsia="Trebuchet MS" w:cstheme="minorHAnsi"/>
        </w:rPr>
      </w:pPr>
      <w:r w:rsidRPr="0039502E">
        <w:rPr>
          <w:rStyle w:val="Style1"/>
          <w:rFonts w:eastAsia="Trebuchet MS" w:cstheme="minorHAnsi"/>
        </w:rPr>
        <w:t xml:space="preserve">References </w:t>
      </w:r>
    </w:p>
    <w:p w14:paraId="5B82DB6A" w14:textId="77777777" w:rsidR="00E63B4F" w:rsidRPr="0039502E" w:rsidRDefault="00E63B4F" w:rsidP="00E63B4F">
      <w:pPr>
        <w:spacing w:after="0"/>
        <w:rPr>
          <w:rFonts w:eastAsia="Trebuchet MS" w:cstheme="minorHAnsi"/>
          <w:bCs/>
          <w:color w:val="0000FF"/>
          <w:lang w:val="en"/>
        </w:rPr>
      </w:pPr>
      <w:r w:rsidRPr="007C67CC">
        <w:rPr>
          <w:rFonts w:eastAsia="Trebuchet MS" w:cstheme="minorHAnsi"/>
          <w:bCs/>
          <w:lang w:val="en"/>
        </w:rPr>
        <w:t>[4] Appendix E. Planned Readmission Algorithm Version 4.0 2018 (ICD-10). In: 2018 All-Cause Hospital Wide Measure Updates and Specifications Report: Hospital-Level 30-Day Risk-Standardized Readmission Measure – Version 7.0. Available at:</w:t>
      </w:r>
      <w:r w:rsidRPr="007C67CC">
        <w:rPr>
          <w:rFonts w:cstheme="minorHAnsi"/>
        </w:rPr>
        <w:t xml:space="preserve"> </w:t>
      </w:r>
      <w:hyperlink r:id="rId11" w:history="1">
        <w:r w:rsidRPr="0039502E">
          <w:rPr>
            <w:rStyle w:val="Hyperlink"/>
            <w:rFonts w:eastAsia="Trebuchet MS" w:cstheme="minorHAnsi"/>
            <w:bCs/>
            <w:lang w:val="en"/>
          </w:rPr>
          <w:t>https://www.qualitynet.org/dcs/BlobServer?blobkey=id&amp;blobnocache=true&amp;blobwhere=1228890804653&amp;blobheader=multipart%2Foctet-stream&amp;blobheadername1=Content-</w:t>
        </w:r>
        <w:r w:rsidRPr="0039502E">
          <w:rPr>
            <w:rStyle w:val="Hyperlink"/>
            <w:rFonts w:eastAsia="Trebuchet MS" w:cstheme="minorHAnsi"/>
            <w:bCs/>
            <w:lang w:val="en"/>
          </w:rPr>
          <w:lastRenderedPageBreak/>
          <w:t>Disposition&amp;blobheadervalue1=attachment%3Bfilename%3DHospWide_Readmission_AUS_Report_2018_3-28.pdf&amp;blobcol=urldata&amp;blobtable=MungoBlobs</w:t>
        </w:r>
      </w:hyperlink>
      <w:r w:rsidRPr="0039502E">
        <w:rPr>
          <w:rFonts w:eastAsia="Trebuchet MS" w:cstheme="minorHAnsi"/>
          <w:bCs/>
          <w:color w:val="0000FF"/>
          <w:lang w:val="en"/>
        </w:rPr>
        <w:t xml:space="preserve"> </w:t>
      </w:r>
      <w:r w:rsidRPr="008E2E3A">
        <w:rPr>
          <w:rFonts w:eastAsia="Trebuchet MS" w:cstheme="minorHAnsi"/>
          <w:bCs/>
          <w:lang w:val="en"/>
        </w:rPr>
        <w:t xml:space="preserve">or </w:t>
      </w:r>
      <w:hyperlink r:id="rId12" w:history="1">
        <w:r w:rsidRPr="0039502E">
          <w:rPr>
            <w:rStyle w:val="Hyperlink"/>
            <w:rFonts w:eastAsia="Trebuchet MS" w:cstheme="minorHAnsi"/>
            <w:bCs/>
            <w:lang w:val="en"/>
          </w:rPr>
          <w:t>https://www.qualitynet.org/dcs/ContentServer?c=Page&amp;pagename=QnetPublic%2FPage%2FQnetTier4&amp;cid=1219069855841</w:t>
        </w:r>
      </w:hyperlink>
      <w:r w:rsidRPr="0039502E">
        <w:rPr>
          <w:rFonts w:eastAsia="Trebuchet MS" w:cstheme="minorHAnsi"/>
          <w:bCs/>
          <w:color w:val="0000FF"/>
          <w:lang w:val="en"/>
        </w:rPr>
        <w:t xml:space="preserve">. </w:t>
      </w:r>
    </w:p>
    <w:p w14:paraId="46284713" w14:textId="77777777" w:rsidR="00E63B4F" w:rsidRPr="0039502E" w:rsidRDefault="00E63B4F" w:rsidP="00E63B4F">
      <w:pPr>
        <w:spacing w:after="0"/>
        <w:rPr>
          <w:rFonts w:eastAsia="Trebuchet MS" w:cstheme="minorHAnsi"/>
          <w:bCs/>
          <w:color w:val="0000FF"/>
          <w:lang w:val="en"/>
        </w:rPr>
      </w:pPr>
      <w:r w:rsidRPr="007C67CC">
        <w:rPr>
          <w:rFonts w:eastAsia="Trebuchet MS" w:cstheme="minorHAnsi"/>
          <w:bCs/>
          <w:lang w:val="en"/>
        </w:rPr>
        <w:t xml:space="preserve">[5] </w:t>
      </w:r>
      <w:r w:rsidRPr="007C67CC">
        <w:rPr>
          <w:rFonts w:cstheme="minorHAnsi"/>
        </w:rPr>
        <w:t xml:space="preserve">Skilled Nursing Facility 30-Day All-Cause Readmission Measure (SNFRM) (NQF #2510). </w:t>
      </w:r>
      <w:hyperlink r:id="rId13" w:history="1">
        <w:r w:rsidRPr="0039502E">
          <w:rPr>
            <w:rStyle w:val="Hyperlink"/>
            <w:rFonts w:cstheme="minorHAnsi"/>
          </w:rPr>
          <w:t>http://www.qualityforum.org/QPS/2510</w:t>
        </w:r>
      </w:hyperlink>
    </w:p>
    <w:p w14:paraId="123B8E61" w14:textId="77777777" w:rsidR="00E63B4F" w:rsidRPr="0039502E" w:rsidRDefault="00E63B4F" w:rsidP="00E63B4F">
      <w:pPr>
        <w:spacing w:after="0"/>
        <w:rPr>
          <w:rFonts w:eastAsia="Trebuchet MS" w:cstheme="minorHAnsi"/>
          <w:bCs/>
          <w:color w:val="0000FF"/>
          <w:lang w:val="en"/>
        </w:rPr>
      </w:pPr>
      <w:r w:rsidRPr="007C67CC">
        <w:rPr>
          <w:rFonts w:eastAsia="Trebuchet MS" w:cstheme="minorHAnsi"/>
          <w:bCs/>
          <w:lang w:val="en"/>
        </w:rPr>
        <w:t xml:space="preserve">[6] </w:t>
      </w:r>
      <w:r w:rsidRPr="007C67CC">
        <w:rPr>
          <w:rFonts w:cstheme="minorHAnsi"/>
        </w:rPr>
        <w:t>All-Cause Unplanned Readmission Measure for 30 Days Post Discharge from Inpatient Rehabilitation Facilities (IRFs) (NQF #2502).</w:t>
      </w:r>
      <w:r w:rsidRPr="0039502E">
        <w:rPr>
          <w:rFonts w:cstheme="minorHAnsi"/>
          <w:color w:val="0000FF"/>
        </w:rPr>
        <w:t xml:space="preserve"> </w:t>
      </w:r>
      <w:hyperlink r:id="rId14" w:history="1">
        <w:r w:rsidRPr="0039502E">
          <w:rPr>
            <w:rStyle w:val="Hyperlink"/>
            <w:rFonts w:cstheme="minorHAnsi"/>
          </w:rPr>
          <w:t>http://www.qualityforum.org/QPS/2502</w:t>
        </w:r>
      </w:hyperlink>
    </w:p>
    <w:p w14:paraId="11D1D6FD" w14:textId="77777777" w:rsidR="00E63B4F" w:rsidRPr="0039502E" w:rsidRDefault="00E63B4F" w:rsidP="00E63B4F">
      <w:pPr>
        <w:spacing w:after="0"/>
        <w:rPr>
          <w:rFonts w:eastAsia="Trebuchet MS" w:cstheme="minorHAnsi"/>
          <w:bCs/>
          <w:color w:val="0000FF"/>
          <w:lang w:val="en"/>
        </w:rPr>
      </w:pPr>
      <w:r w:rsidRPr="007C67CC">
        <w:rPr>
          <w:rFonts w:eastAsia="Trebuchet MS" w:cstheme="minorHAnsi"/>
          <w:bCs/>
          <w:lang w:val="en"/>
        </w:rPr>
        <w:t xml:space="preserve">[7] </w:t>
      </w:r>
      <w:r w:rsidRPr="007C67CC">
        <w:rPr>
          <w:rFonts w:cstheme="minorHAnsi"/>
        </w:rPr>
        <w:t xml:space="preserve">All-Cause Unplanned Readmission Measure for 30 Days Post Discharge from Long-Term Care Hospitals (LTCHs) (NQF #2512). </w:t>
      </w:r>
      <w:hyperlink r:id="rId15" w:history="1">
        <w:r w:rsidRPr="0039502E">
          <w:rPr>
            <w:rStyle w:val="Hyperlink"/>
            <w:rFonts w:cstheme="minorHAnsi"/>
          </w:rPr>
          <w:t>http://www.qualityforum.org/QPS/2512</w:t>
        </w:r>
      </w:hyperlink>
    </w:p>
    <w:p w14:paraId="3A3160C8" w14:textId="77777777" w:rsidR="00E63B4F" w:rsidRPr="003A6C1A" w:rsidRDefault="00E63B4F" w:rsidP="00E63B4F">
      <w:pPr>
        <w:spacing w:after="0"/>
        <w:rPr>
          <w:rFonts w:eastAsia="Trebuchet MS" w:cstheme="minorHAnsi"/>
          <w:bCs/>
          <w:color w:val="0000FF"/>
          <w:lang w:val="en"/>
        </w:rPr>
      </w:pPr>
      <w:r w:rsidRPr="003A6C1A">
        <w:rPr>
          <w:rFonts w:eastAsia="Trebuchet MS" w:cstheme="minorHAnsi"/>
          <w:bCs/>
          <w:lang w:val="en"/>
        </w:rPr>
        <w:t xml:space="preserve">[8] </w:t>
      </w:r>
      <w:r w:rsidRPr="003A6C1A">
        <w:rPr>
          <w:rFonts w:cstheme="minorHAnsi"/>
        </w:rPr>
        <w:t xml:space="preserve">Rehospitalization During the First 30 Days of Home Health (NQF #2380).  </w:t>
      </w:r>
      <w:hyperlink r:id="rId16" w:history="1">
        <w:r w:rsidRPr="003A6C1A">
          <w:rPr>
            <w:rStyle w:val="Hyperlink"/>
            <w:rFonts w:cstheme="minorHAnsi"/>
          </w:rPr>
          <w:t>http://www.qualityforum.org/QPS/2380</w:t>
        </w:r>
      </w:hyperlink>
    </w:p>
    <w:p w14:paraId="135AAD54" w14:textId="77777777" w:rsidR="00E63B4F" w:rsidRPr="003A6C1A" w:rsidRDefault="00E63B4F" w:rsidP="00E63B4F">
      <w:pPr>
        <w:spacing w:after="0"/>
        <w:rPr>
          <w:rFonts w:eastAsia="Trebuchet MS" w:cstheme="minorHAnsi"/>
          <w:b/>
          <w:bCs/>
          <w:color w:val="0000FF"/>
          <w:lang w:val="en"/>
        </w:rPr>
      </w:pPr>
      <w:r w:rsidRPr="003A6C1A">
        <w:rPr>
          <w:rFonts w:eastAsia="Trebuchet MS" w:cstheme="minorHAnsi"/>
          <w:bCs/>
          <w:lang w:val="en"/>
        </w:rPr>
        <w:t xml:space="preserve">[9] </w:t>
      </w:r>
      <w:r w:rsidRPr="003A6C1A">
        <w:rPr>
          <w:rFonts w:cstheme="minorHAnsi"/>
        </w:rPr>
        <w:t xml:space="preserve">Hospital-Wide All-Cause Unplanned Readmission Measure (HWR) (NQF #1789).  </w:t>
      </w:r>
      <w:hyperlink r:id="rId17" w:history="1">
        <w:r w:rsidRPr="003A6C1A">
          <w:rPr>
            <w:rStyle w:val="Hyperlink"/>
            <w:rFonts w:cstheme="minorHAnsi"/>
          </w:rPr>
          <w:t>www.qualityforum.org/QPS/1789</w:t>
        </w:r>
      </w:hyperlink>
    </w:p>
    <w:p w14:paraId="18B82CBC" w14:textId="77777777" w:rsidR="00E63B4F" w:rsidRPr="003A6C1A" w:rsidRDefault="00E63B4F" w:rsidP="00E63B4F">
      <w:pPr>
        <w:pStyle w:val="BodyText"/>
        <w:ind w:firstLine="0"/>
        <w:rPr>
          <w:rStyle w:val="Style1"/>
          <w:rFonts w:eastAsiaTheme="minorEastAsia" w:cstheme="minorHAnsi"/>
          <w:szCs w:val="22"/>
        </w:rPr>
      </w:pPr>
      <w:r w:rsidRPr="003A6C1A">
        <w:rPr>
          <w:rStyle w:val="Style1"/>
          <w:rFonts w:eastAsiaTheme="minorEastAsia" w:cstheme="minorHAnsi"/>
          <w:szCs w:val="22"/>
        </w:rPr>
        <w:t xml:space="preserve">[10] Table 2-9. </w:t>
      </w:r>
      <w:r w:rsidRPr="003A6C1A">
        <w:rPr>
          <w:rFonts w:asciiTheme="minorHAnsi" w:hAnsiTheme="minorHAnsi" w:cstheme="minorHAnsi"/>
          <w:bCs/>
          <w:sz w:val="22"/>
          <w:szCs w:val="22"/>
        </w:rPr>
        <w:t>AHRQ CCS Single Level Procedure Codes and ICD-9 Procedure Codes Added to Yale’s Planned Readmission Algorithm, for the Post-Acute Care Setting</w:t>
      </w:r>
      <w:r w:rsidRPr="003A6C1A">
        <w:rPr>
          <w:rStyle w:val="Style1"/>
          <w:rFonts w:eastAsiaTheme="minorEastAsia" w:cstheme="minorHAnsi"/>
          <w:szCs w:val="22"/>
        </w:rPr>
        <w:t xml:space="preserve">. In: Measure Specifications for Measures Adopted in the FY 2017 IRF QRP Final Rule. </w:t>
      </w:r>
      <w:hyperlink r:id="rId18" w:history="1">
        <w:r w:rsidRPr="003A6C1A">
          <w:rPr>
            <w:rStyle w:val="Hyperlink"/>
            <w:rFonts w:asciiTheme="minorHAnsi" w:eastAsiaTheme="minorEastAsia" w:hAnsiTheme="minorHAnsi" w:cstheme="minorHAnsi"/>
            <w:sz w:val="22"/>
            <w:szCs w:val="22"/>
          </w:rPr>
          <w:t>https://www.cms.gov/Medicare/Quality-Initiatives-Patient-Assessment-Instruments/IRF-Quality-Reporting/Downloads/Measure-Specifications-for-FY17-IRF-QRP-Final-Rule.pdf</w:t>
        </w:r>
      </w:hyperlink>
      <w:r w:rsidRPr="003A6C1A">
        <w:rPr>
          <w:rStyle w:val="Style1"/>
          <w:rFonts w:eastAsiaTheme="minorEastAsia" w:cstheme="minorHAnsi"/>
          <w:szCs w:val="22"/>
        </w:rPr>
        <w:t xml:space="preserve">. Note: The ICD-9 codes listed in Table 2-9 were updated with ICD-10-CM codes for data starting October 1, 2015. </w:t>
      </w:r>
    </w:p>
    <w:p w14:paraId="6C98EB21" w14:textId="77777777" w:rsidR="00E63B4F" w:rsidRPr="0078067E" w:rsidRDefault="00E63B4F" w:rsidP="00E63B4F">
      <w:pPr>
        <w:pStyle w:val="Heading5"/>
        <w:numPr>
          <w:ilvl w:val="0"/>
          <w:numId w:val="19"/>
        </w:numPr>
        <w:rPr>
          <w:rFonts w:asciiTheme="minorHAnsi" w:hAnsiTheme="minorHAnsi" w:cstheme="minorHAnsi"/>
          <w:b/>
          <w:i w:val="0"/>
          <w:sz w:val="22"/>
          <w:szCs w:val="22"/>
        </w:rPr>
      </w:pPr>
      <w:r w:rsidRPr="0078067E">
        <w:rPr>
          <w:rFonts w:asciiTheme="minorHAnsi" w:hAnsiTheme="minorHAnsi" w:cstheme="minorHAnsi"/>
          <w:b/>
          <w:i w:val="0"/>
          <w:sz w:val="22"/>
          <w:szCs w:val="22"/>
        </w:rPr>
        <w:t xml:space="preserve">Death </w:t>
      </w:r>
      <w:r>
        <w:rPr>
          <w:rFonts w:asciiTheme="minorHAnsi" w:hAnsiTheme="minorHAnsi" w:cstheme="minorHAnsi"/>
          <w:b/>
          <w:i w:val="0"/>
          <w:sz w:val="22"/>
          <w:szCs w:val="22"/>
        </w:rPr>
        <w:t>in t</w:t>
      </w:r>
      <w:r w:rsidRPr="0078067E">
        <w:rPr>
          <w:rFonts w:asciiTheme="minorHAnsi" w:hAnsiTheme="minorHAnsi" w:cstheme="minorHAnsi"/>
          <w:b/>
          <w:i w:val="0"/>
          <w:sz w:val="22"/>
          <w:szCs w:val="22"/>
        </w:rPr>
        <w:t>he 31-Day Post-Discharge Observation Window</w:t>
      </w:r>
    </w:p>
    <w:p w14:paraId="41815217" w14:textId="77777777" w:rsidR="00E63B4F" w:rsidRPr="0039502E" w:rsidRDefault="00E63B4F" w:rsidP="00E63B4F">
      <w:pPr>
        <w:pStyle w:val="BodyText"/>
        <w:ind w:firstLine="0"/>
        <w:rPr>
          <w:rStyle w:val="Style1"/>
          <w:rFonts w:eastAsiaTheme="minorEastAsia" w:cstheme="minorHAnsi"/>
          <w:szCs w:val="22"/>
        </w:rPr>
      </w:pPr>
      <w:r w:rsidRPr="0039502E">
        <w:rPr>
          <w:rStyle w:val="Style1"/>
          <w:rFonts w:eastAsiaTheme="minorEastAsia" w:cstheme="minorHAnsi"/>
          <w:szCs w:val="22"/>
        </w:rPr>
        <w:t>A patient who is discharged to a community setting is not considered to have a successful discharge to community outcome for this measure if they die in the post-discharge window, which includes the day of discharge and the 31 days following day of discharge. Death in the post-discharge window is identified based on date of death from Medicare eligibility files.</w:t>
      </w:r>
    </w:p>
    <w:p w14:paraId="19371500" w14:textId="77777777" w:rsidR="00E63B4F" w:rsidRPr="0078067E" w:rsidRDefault="00E63B4F" w:rsidP="00E63B4F">
      <w:pPr>
        <w:pStyle w:val="Heading5"/>
        <w:rPr>
          <w:rStyle w:val="Style1"/>
          <w:rFonts w:eastAsiaTheme="minorEastAsia" w:cstheme="minorHAnsi"/>
          <w:b/>
          <w:i w:val="0"/>
          <w:szCs w:val="22"/>
        </w:rPr>
      </w:pPr>
      <w:r w:rsidRPr="0078067E">
        <w:rPr>
          <w:rStyle w:val="Style1"/>
          <w:rFonts w:eastAsiaTheme="minorEastAsia" w:cstheme="minorHAnsi"/>
          <w:b/>
          <w:i w:val="0"/>
          <w:szCs w:val="22"/>
        </w:rPr>
        <w:t>Measurement Period</w:t>
      </w:r>
    </w:p>
    <w:p w14:paraId="712D4FE7" w14:textId="77777777" w:rsidR="00E63B4F" w:rsidRPr="007C67CC" w:rsidRDefault="00E63B4F" w:rsidP="00E63B4F">
      <w:pPr>
        <w:rPr>
          <w:rFonts w:eastAsia="Trebuchet MS" w:cstheme="minorHAnsi"/>
          <w:b/>
          <w:bCs/>
          <w:shd w:val="clear" w:color="auto" w:fill="FFFFFF"/>
        </w:rPr>
      </w:pPr>
      <w:r w:rsidRPr="007C67CC">
        <w:rPr>
          <w:rFonts w:eastAsia="Calibri" w:cstheme="minorHAnsi"/>
        </w:rPr>
        <w:t xml:space="preserve">The measure is calculated using two consecutive years of data </w:t>
      </w:r>
      <w:bookmarkStart w:id="13" w:name="_Hlk520803936"/>
      <w:r w:rsidRPr="007C67CC">
        <w:rPr>
          <w:rFonts w:eastAsia="Calibri" w:cstheme="minorHAnsi"/>
        </w:rPr>
        <w:t xml:space="preserve">to ensure adequate number of </w:t>
      </w:r>
      <w:proofErr w:type="gramStart"/>
      <w:r w:rsidRPr="007C67CC">
        <w:rPr>
          <w:rFonts w:eastAsia="Calibri" w:cstheme="minorHAnsi"/>
        </w:rPr>
        <w:t>patient</w:t>
      </w:r>
      <w:proofErr w:type="gramEnd"/>
      <w:r w:rsidRPr="007C67CC">
        <w:rPr>
          <w:rFonts w:eastAsia="Calibri" w:cstheme="minorHAnsi"/>
        </w:rPr>
        <w:t xml:space="preserve"> stays for </w:t>
      </w:r>
      <w:r>
        <w:rPr>
          <w:rFonts w:eastAsia="Calibri" w:cstheme="minorHAnsi"/>
        </w:rPr>
        <w:t>risk-adjustment</w:t>
      </w:r>
      <w:r w:rsidRPr="007C67CC">
        <w:rPr>
          <w:rFonts w:eastAsia="Calibri" w:cstheme="minorHAnsi"/>
        </w:rPr>
        <w:t xml:space="preserve"> modeling</w:t>
      </w:r>
      <w:bookmarkEnd w:id="13"/>
      <w:r w:rsidRPr="007C67CC">
        <w:rPr>
          <w:rFonts w:eastAsia="Calibri" w:cstheme="minorHAnsi"/>
        </w:rPr>
        <w:t>. All IRF Medicare FFS discharges during the two-year measurement period, except those that meet the exclusion criteria (see S.8. and S.9.), are included in the measure. For patients with multiple stays during the two-year measurement period, each stay is eligible for inclusion in the measure.</w:t>
      </w:r>
      <w:bookmarkEnd w:id="7"/>
    </w:p>
    <w:p w14:paraId="725F45E1" w14:textId="77777777" w:rsidR="00E63B4F" w:rsidRPr="0039502E" w:rsidRDefault="00E63B4F" w:rsidP="00E63B4F">
      <w:pPr>
        <w:rPr>
          <w:rStyle w:val="requiredfield"/>
          <w:rFonts w:eastAsia="Trebuchet MS" w:cstheme="minorHAnsi"/>
          <w:b/>
          <w:bCs/>
          <w:color w:val="FF0000"/>
        </w:rPr>
      </w:pPr>
      <w:r w:rsidRPr="0039502E">
        <w:rPr>
          <w:rFonts w:eastAsia="Trebuchet MS" w:cstheme="minorHAnsi"/>
          <w:b/>
          <w:bCs/>
          <w:color w:val="333333"/>
          <w:shd w:val="clear" w:color="auto" w:fill="FFFFFF"/>
        </w:rPr>
        <w:t>S.6. Denominator Statement </w:t>
      </w:r>
      <w:r w:rsidRPr="0039502E">
        <w:rPr>
          <w:rFonts w:eastAsia="Trebuchet MS" w:cstheme="minorHAnsi"/>
          <w:i/>
          <w:iCs/>
          <w:color w:val="333333"/>
          <w:shd w:val="clear" w:color="auto" w:fill="FFFFFF"/>
        </w:rPr>
        <w:t>(Provide a brief description of the target population being measured)</w:t>
      </w:r>
      <w:r w:rsidRPr="0039502E">
        <w:rPr>
          <w:rStyle w:val="requiredfield"/>
          <w:rFonts w:eastAsia="Trebuchet MS" w:cstheme="minorHAnsi"/>
          <w:b/>
          <w:bCs/>
          <w:color w:val="FF0000"/>
          <w:shd w:val="clear" w:color="auto" w:fill="FFFFFF"/>
        </w:rPr>
        <w:t>*</w:t>
      </w:r>
    </w:p>
    <w:p w14:paraId="4C08B768" w14:textId="77777777" w:rsidR="00E63B4F" w:rsidRPr="0039502E" w:rsidRDefault="00E63B4F" w:rsidP="00E63B4F">
      <w:pPr>
        <w:spacing w:after="120"/>
        <w:rPr>
          <w:rStyle w:val="Style1"/>
          <w:rFonts w:cstheme="minorHAnsi"/>
        </w:rPr>
      </w:pPr>
      <w:bookmarkStart w:id="14" w:name="_Hlk518899402"/>
      <w:bookmarkStart w:id="15" w:name="_Hlk518894574"/>
      <w:r w:rsidRPr="0039502E">
        <w:rPr>
          <w:rStyle w:val="Style1"/>
          <w:rFonts w:cstheme="minorHAnsi"/>
        </w:rPr>
        <w:t xml:space="preserve">The target population for the measure is the group of Medicare FFS beneficiaries who are discharged from an IRF during the measurement period and are not excluded based on the measure exclusion </w:t>
      </w:r>
      <w:r w:rsidRPr="007C67CC">
        <w:rPr>
          <w:rStyle w:val="Style1"/>
          <w:rFonts w:cstheme="minorHAnsi"/>
        </w:rPr>
        <w:t xml:space="preserve">criteria </w:t>
      </w:r>
      <w:r w:rsidRPr="007C67CC">
        <w:rPr>
          <w:rFonts w:eastAsia="Calibri" w:cstheme="minorHAnsi"/>
        </w:rPr>
        <w:t>(see S.8. and S.9.)</w:t>
      </w:r>
      <w:r w:rsidRPr="007C67CC">
        <w:rPr>
          <w:rStyle w:val="Style1"/>
          <w:rFonts w:cstheme="minorHAnsi"/>
        </w:rPr>
        <w:t xml:space="preserve">. </w:t>
      </w:r>
    </w:p>
    <w:p w14:paraId="0570F590" w14:textId="77777777" w:rsidR="00E63B4F" w:rsidRPr="0039502E" w:rsidRDefault="00E63B4F" w:rsidP="00E63B4F">
      <w:pPr>
        <w:spacing w:after="120"/>
        <w:rPr>
          <w:rFonts w:cstheme="minorHAnsi"/>
          <w:color w:val="0000FF"/>
        </w:rPr>
      </w:pPr>
      <w:r w:rsidRPr="0039502E">
        <w:rPr>
          <w:rStyle w:val="Style1"/>
          <w:rFonts w:eastAsia="Trebuchet MS" w:cstheme="minorHAnsi"/>
        </w:rPr>
        <w:t xml:space="preserve">The measure denominator is the risk-adjusted expected number of discharges to community. This estimate includes </w:t>
      </w:r>
      <w:r>
        <w:rPr>
          <w:rStyle w:val="Style1"/>
          <w:rFonts w:eastAsia="Trebuchet MS" w:cstheme="minorHAnsi"/>
        </w:rPr>
        <w:t>risk-adjustment</w:t>
      </w:r>
      <w:r w:rsidRPr="0039502E">
        <w:rPr>
          <w:rStyle w:val="Style1"/>
          <w:rFonts w:eastAsia="Trebuchet MS" w:cstheme="minorHAnsi"/>
        </w:rPr>
        <w:t xml:space="preserve"> for patient characteristics with the facility effect removed. The “expected” number of discharges to community is the predicted number of risk-adjusted discharges to </w:t>
      </w:r>
      <w:r w:rsidRPr="0039502E">
        <w:rPr>
          <w:rStyle w:val="Style1"/>
          <w:rFonts w:eastAsia="Trebuchet MS" w:cstheme="minorHAnsi"/>
        </w:rPr>
        <w:lastRenderedPageBreak/>
        <w:t>community if the same patients were treated at the average facility. The logistic regression model used to calculate the denominator is developed using all non-excluded facility stays in the national data. The denominator is computed in the same way as the numerator, but the facility effect is set at the average.</w:t>
      </w:r>
    </w:p>
    <w:p w14:paraId="5989548D" w14:textId="77777777" w:rsidR="00E63B4F" w:rsidRPr="0039502E" w:rsidRDefault="00E63B4F" w:rsidP="00E63B4F">
      <w:pPr>
        <w:rPr>
          <w:rFonts w:eastAsia="Calibri" w:cstheme="minorHAnsi"/>
          <w:color w:val="0000FF"/>
        </w:rPr>
      </w:pPr>
      <w:bookmarkStart w:id="16" w:name="_Hlk518894517"/>
      <w:bookmarkEnd w:id="14"/>
      <w:bookmarkEnd w:id="15"/>
      <w:r w:rsidRPr="0039502E">
        <w:rPr>
          <w:rFonts w:eastAsia="Trebuchet MS" w:cstheme="minorHAnsi"/>
          <w:b/>
          <w:bCs/>
          <w:color w:val="333333"/>
          <w:lang w:val="en"/>
        </w:rPr>
        <w:t xml:space="preserve">S.7. Denominator Details </w:t>
      </w:r>
      <w:r w:rsidRPr="0039502E">
        <w:rPr>
          <w:rFonts w:eastAsia="Trebuchet MS" w:cstheme="minorHAnsi"/>
          <w:i/>
          <w:iCs/>
          <w:color w:val="333333"/>
          <w:lang w:val="en"/>
        </w:rPr>
        <w:t>(All information required to identify and calculate the target population/denominator such as definitions, time period for data collection, specific data collection items/responses, code/value sets – Note: lists of individual codes with descriptors that exceed 1 page should be provided in an Excel or csv file in required format at S.2b)</w:t>
      </w:r>
      <w:r w:rsidRPr="0039502E">
        <w:rPr>
          <w:rFonts w:cstheme="minorHAnsi"/>
          <w:i/>
          <w:iCs/>
          <w:color w:val="333333"/>
          <w:lang w:val="en"/>
        </w:rPr>
        <w:br/>
      </w:r>
      <w:r w:rsidRPr="0039502E">
        <w:rPr>
          <w:rStyle w:val="underlinecls"/>
          <w:rFonts w:eastAsia="Trebuchet MS" w:cstheme="minorHAnsi"/>
          <w:i/>
          <w:iCs/>
          <w:color w:val="333333"/>
          <w:lang w:val="en"/>
        </w:rPr>
        <w:t>IF an OUTCOME MEASURE</w:t>
      </w:r>
      <w:r w:rsidRPr="0039502E">
        <w:rPr>
          <w:rFonts w:eastAsia="Trebuchet MS" w:cstheme="minorHAnsi"/>
          <w:i/>
          <w:iCs/>
          <w:color w:val="333333"/>
          <w:lang w:val="en"/>
        </w:rPr>
        <w:t>, describe how the target population is identified. Calculation of the risk-adjusted outcome should be described in the calculation algorithm (S.14).</w:t>
      </w:r>
      <w:bookmarkStart w:id="17" w:name="_Hlk518894894"/>
      <w:bookmarkEnd w:id="16"/>
    </w:p>
    <w:p w14:paraId="047D8AC1" w14:textId="77777777" w:rsidR="00E63B4F" w:rsidRPr="008E2E3A" w:rsidRDefault="00E63B4F" w:rsidP="00E63B4F">
      <w:pPr>
        <w:rPr>
          <w:rStyle w:val="Style1"/>
          <w:rFonts w:cstheme="minorHAnsi"/>
          <w:b/>
        </w:rPr>
      </w:pPr>
      <w:bookmarkStart w:id="18" w:name="_Hlk518899441"/>
      <w:bookmarkEnd w:id="17"/>
      <w:r w:rsidRPr="007C67CC">
        <w:rPr>
          <w:rFonts w:eastAsia="Calibri" w:cstheme="minorHAnsi"/>
        </w:rPr>
        <w:t xml:space="preserve">The measure denominator is the risk-adjusted expected number of discharges to community. See S.8. for details. </w:t>
      </w:r>
      <w:r w:rsidRPr="007C67CC">
        <w:rPr>
          <w:rFonts w:eastAsia="Trebuchet MS" w:cstheme="minorHAnsi"/>
          <w:lang w:val="en"/>
        </w:rPr>
        <w:t xml:space="preserve">The target population includes all </w:t>
      </w:r>
      <w:r w:rsidRPr="007C67CC">
        <w:rPr>
          <w:rStyle w:val="Style1"/>
          <w:rFonts w:cstheme="minorHAnsi"/>
        </w:rPr>
        <w:t xml:space="preserve">Medicare FFS beneficiaries who are discharged from an IRF during the </w:t>
      </w:r>
      <w:r w:rsidRPr="007C67CC">
        <w:rPr>
          <w:rFonts w:eastAsia="Calibri" w:cstheme="minorHAnsi"/>
        </w:rPr>
        <w:t>measurement period</w:t>
      </w:r>
      <w:r w:rsidRPr="007C67CC">
        <w:rPr>
          <w:rStyle w:val="Style1"/>
          <w:rFonts w:cstheme="minorHAnsi"/>
        </w:rPr>
        <w:t xml:space="preserve"> and are not excluded based on the measure exclusion criteria. The target population for the analyses in this submission includes IRF discharges from October 1, 2015 through September 30, 2017 (i.e., FY 2016-2017). Index IRF stays are identified based on discharge date because the </w:t>
      </w:r>
      <w:r w:rsidRPr="007C67CC">
        <w:rPr>
          <w:rStyle w:val="st1"/>
          <w:rFonts w:cstheme="minorHAnsi"/>
          <w:lang w:val="en"/>
        </w:rPr>
        <w:t xml:space="preserve">Inpatient Standard Analytic </w:t>
      </w:r>
      <w:r w:rsidRPr="008E2E3A">
        <w:rPr>
          <w:rStyle w:val="Emphasis"/>
          <w:rFonts w:cstheme="minorHAnsi"/>
          <w:b w:val="0"/>
          <w:lang w:val="en"/>
        </w:rPr>
        <w:t>File (SAF) from which we extract IRF claims is based on discharge date.</w:t>
      </w:r>
    </w:p>
    <w:p w14:paraId="5F40C64F" w14:textId="77777777" w:rsidR="00E63B4F" w:rsidRPr="0039502E" w:rsidRDefault="00E63B4F" w:rsidP="00E63B4F">
      <w:pPr>
        <w:rPr>
          <w:rFonts w:eastAsia="Trebuchet MS" w:cstheme="minorHAnsi"/>
          <w:color w:val="333333"/>
          <w:lang w:val="en"/>
        </w:rPr>
      </w:pPr>
      <w:bookmarkStart w:id="19" w:name="_Hlk518900154"/>
      <w:bookmarkStart w:id="20" w:name="_Hlk518894521"/>
      <w:bookmarkEnd w:id="18"/>
      <w:r w:rsidRPr="0039502E">
        <w:rPr>
          <w:rFonts w:eastAsia="Trebuchet MS" w:cstheme="minorHAnsi"/>
          <w:b/>
          <w:bCs/>
          <w:color w:val="333333"/>
          <w:lang w:val="en"/>
        </w:rPr>
        <w:t xml:space="preserve">S.8. Denominator Exclusions </w:t>
      </w:r>
      <w:r w:rsidRPr="0039502E">
        <w:rPr>
          <w:rFonts w:eastAsia="Trebuchet MS" w:cstheme="minorHAnsi"/>
          <w:i/>
          <w:iCs/>
          <w:color w:val="333333"/>
          <w:lang w:val="en"/>
        </w:rPr>
        <w:t>(Brief narrative description of exclusions from the target population)</w:t>
      </w:r>
    </w:p>
    <w:p w14:paraId="5304A761" w14:textId="77777777" w:rsidR="00E63B4F" w:rsidRPr="007C67CC" w:rsidRDefault="00E63B4F" w:rsidP="00E63B4F">
      <w:pPr>
        <w:rPr>
          <w:rFonts w:eastAsia="Trebuchet MS" w:cstheme="minorHAnsi"/>
          <w:lang w:val="en"/>
        </w:rPr>
      </w:pPr>
      <w:bookmarkStart w:id="21" w:name="_Hlk518895325"/>
      <w:bookmarkEnd w:id="19"/>
      <w:r w:rsidRPr="007C67CC">
        <w:rPr>
          <w:rFonts w:eastAsia="Trebuchet MS" w:cstheme="minorHAnsi"/>
        </w:rPr>
        <w:t xml:space="preserve">Measure exclusion criteria are based on administrative data from Medicare claims and eligibility files. </w:t>
      </w:r>
      <w:bookmarkStart w:id="22" w:name="_Hlk520624426"/>
      <w:r w:rsidRPr="007C67CC">
        <w:rPr>
          <w:rFonts w:eastAsia="Trebuchet MS" w:cstheme="minorHAnsi"/>
        </w:rPr>
        <w:t xml:space="preserve">Exclusion criteria were selected to maintain clinical validity of the measure by excluding stays for which discharge to community would not be appropriate, to ensure data availability and completeness, to exclude stays with problematic claims data, and to maintain relevance to the IRF QRP (e.g., excluding IRFs not included in the IRF QRP based on regional location). </w:t>
      </w:r>
      <w:bookmarkEnd w:id="22"/>
      <w:r w:rsidRPr="007C67CC">
        <w:rPr>
          <w:rFonts w:eastAsia="Trebuchet MS" w:cstheme="minorHAnsi"/>
        </w:rPr>
        <w:t xml:space="preserve">Only IRF stays that are preceded by a short-term acute care stay in the 30 days prior to the IRF admission date are included in the measure; this is because </w:t>
      </w:r>
      <w:r>
        <w:rPr>
          <w:rFonts w:eastAsia="Trebuchet MS" w:cstheme="minorHAnsi"/>
        </w:rPr>
        <w:t>risk-adjustment</w:t>
      </w:r>
      <w:r w:rsidRPr="007C67CC">
        <w:rPr>
          <w:rFonts w:eastAsia="Trebuchet MS" w:cstheme="minorHAnsi"/>
        </w:rPr>
        <w:t xml:space="preserve"> variables come from the short-term acute care stay in the 30 days prior to IRF admission. Stays ending in transfers to the same level of care (i.e., IRF-to-IRF discharge) are excluded, because the IRF episode of care had not ended. We also excluded certain discharge status codes on the IRF FFS claim that indicated that the patient was not appropriate for community discharge (e.g., discharges against medical advice). See section S.9 for detailed rationale and data sources for each exclusion.</w:t>
      </w:r>
    </w:p>
    <w:bookmarkEnd w:id="20"/>
    <w:bookmarkEnd w:id="21"/>
    <w:p w14:paraId="7496168B" w14:textId="77777777" w:rsidR="00E63B4F" w:rsidRPr="0039502E" w:rsidRDefault="00E63B4F" w:rsidP="00E63B4F">
      <w:pPr>
        <w:rPr>
          <w:rStyle w:val="Style1"/>
          <w:rFonts w:eastAsia="Trebuchet MS," w:cstheme="minorHAnsi"/>
        </w:rPr>
      </w:pPr>
      <w:r w:rsidRPr="0039502E">
        <w:rPr>
          <w:rStyle w:val="Style1"/>
          <w:rFonts w:eastAsia="Trebuchet MS" w:cstheme="minorHAnsi"/>
        </w:rPr>
        <w:t>Measure exclusion criteria are as follows:</w:t>
      </w:r>
    </w:p>
    <w:p w14:paraId="3CEBB853" w14:textId="77777777" w:rsidR="00E63B4F" w:rsidRPr="0039502E" w:rsidRDefault="00E63B4F" w:rsidP="00E63B4F">
      <w:pPr>
        <w:pStyle w:val="ListParagraph"/>
        <w:numPr>
          <w:ilvl w:val="0"/>
          <w:numId w:val="10"/>
        </w:numPr>
        <w:spacing w:after="160"/>
        <w:rPr>
          <w:rStyle w:val="Style1"/>
          <w:rFonts w:eastAsia="Trebuchet MS," w:cstheme="minorHAnsi"/>
        </w:rPr>
      </w:pPr>
      <w:r w:rsidRPr="0039502E">
        <w:rPr>
          <w:rStyle w:val="Style1"/>
          <w:rFonts w:eastAsia="Trebuchet MS" w:cstheme="minorHAnsi"/>
        </w:rPr>
        <w:t>Age under 18 years;</w:t>
      </w:r>
    </w:p>
    <w:p w14:paraId="3A0B1C4C" w14:textId="77777777" w:rsidR="00E63B4F" w:rsidRPr="0039502E" w:rsidRDefault="00E63B4F" w:rsidP="00E63B4F">
      <w:pPr>
        <w:pStyle w:val="ListParagraph"/>
        <w:numPr>
          <w:ilvl w:val="0"/>
          <w:numId w:val="10"/>
        </w:numPr>
        <w:spacing w:after="160"/>
        <w:rPr>
          <w:rStyle w:val="Style1"/>
          <w:rFonts w:cstheme="minorHAnsi"/>
        </w:rPr>
      </w:pPr>
      <w:r w:rsidRPr="0039502E">
        <w:rPr>
          <w:rStyle w:val="Style1"/>
          <w:rFonts w:cstheme="minorHAnsi"/>
        </w:rPr>
        <w:t>No short-term acute care hospital discharge within the thirty days preceding an IRF admission;</w:t>
      </w:r>
    </w:p>
    <w:p w14:paraId="574968C6" w14:textId="77777777" w:rsidR="00E63B4F" w:rsidRPr="0039502E" w:rsidRDefault="00E63B4F" w:rsidP="00E63B4F">
      <w:pPr>
        <w:pStyle w:val="ListParagraph"/>
        <w:numPr>
          <w:ilvl w:val="0"/>
          <w:numId w:val="10"/>
        </w:numPr>
        <w:spacing w:after="160"/>
        <w:rPr>
          <w:rStyle w:val="Style1"/>
          <w:rFonts w:eastAsia="Trebuchet MS," w:cstheme="minorHAnsi"/>
        </w:rPr>
      </w:pPr>
      <w:r w:rsidRPr="0039502E">
        <w:rPr>
          <w:rStyle w:val="Style1"/>
          <w:rFonts w:eastAsia="Trebuchet MS" w:cstheme="minorHAnsi"/>
        </w:rPr>
        <w:t>Discharges to a psychiatric hospital;</w:t>
      </w:r>
    </w:p>
    <w:p w14:paraId="3645539D" w14:textId="77777777" w:rsidR="00E63B4F" w:rsidRPr="0039502E" w:rsidRDefault="00E63B4F" w:rsidP="00E63B4F">
      <w:pPr>
        <w:pStyle w:val="ListParagraph"/>
        <w:numPr>
          <w:ilvl w:val="0"/>
          <w:numId w:val="10"/>
        </w:numPr>
        <w:spacing w:after="160"/>
        <w:rPr>
          <w:rStyle w:val="Style1"/>
          <w:rFonts w:eastAsia="Trebuchet MS," w:cstheme="minorHAnsi"/>
        </w:rPr>
      </w:pPr>
      <w:r w:rsidRPr="0039502E">
        <w:rPr>
          <w:rStyle w:val="Style1"/>
          <w:rFonts w:eastAsia="Trebuchet MS" w:cstheme="minorHAnsi"/>
        </w:rPr>
        <w:t xml:space="preserve">Discharges against medical advice; </w:t>
      </w:r>
    </w:p>
    <w:p w14:paraId="1CA58627" w14:textId="77777777" w:rsidR="00E63B4F" w:rsidRPr="0039502E" w:rsidRDefault="00E63B4F" w:rsidP="00E63B4F">
      <w:pPr>
        <w:pStyle w:val="ListParagraph"/>
        <w:numPr>
          <w:ilvl w:val="0"/>
          <w:numId w:val="10"/>
        </w:numPr>
        <w:spacing w:after="160"/>
        <w:rPr>
          <w:rStyle w:val="Style1"/>
          <w:rFonts w:eastAsia="Trebuchet MS," w:cstheme="minorHAnsi"/>
        </w:rPr>
      </w:pPr>
      <w:r w:rsidRPr="0039502E">
        <w:rPr>
          <w:rStyle w:val="Style1"/>
          <w:rFonts w:eastAsia="Trebuchet MS" w:cstheme="minorHAnsi"/>
        </w:rPr>
        <w:t xml:space="preserve">Discharges to disaster alternative care site or a federal hospital; </w:t>
      </w:r>
    </w:p>
    <w:p w14:paraId="15185106" w14:textId="77777777" w:rsidR="00E63B4F" w:rsidRPr="0039502E" w:rsidRDefault="00E63B4F" w:rsidP="00E63B4F">
      <w:pPr>
        <w:pStyle w:val="ListParagraph"/>
        <w:numPr>
          <w:ilvl w:val="0"/>
          <w:numId w:val="10"/>
        </w:numPr>
        <w:spacing w:after="160"/>
        <w:rPr>
          <w:rStyle w:val="Style1"/>
          <w:rFonts w:eastAsia="Trebuchet MS," w:cstheme="minorHAnsi"/>
        </w:rPr>
      </w:pPr>
      <w:r w:rsidRPr="0039502E">
        <w:rPr>
          <w:rStyle w:val="Style1"/>
          <w:rFonts w:eastAsia="Trebuchet MS" w:cstheme="minorHAnsi"/>
        </w:rPr>
        <w:t>Discharges to court/law enforcement;</w:t>
      </w:r>
    </w:p>
    <w:p w14:paraId="60E91843" w14:textId="77777777" w:rsidR="00E63B4F" w:rsidRPr="0039502E" w:rsidRDefault="00E63B4F" w:rsidP="00E63B4F">
      <w:pPr>
        <w:pStyle w:val="ListParagraph"/>
        <w:numPr>
          <w:ilvl w:val="0"/>
          <w:numId w:val="10"/>
        </w:numPr>
        <w:spacing w:after="160"/>
        <w:rPr>
          <w:rStyle w:val="Style1"/>
          <w:rFonts w:eastAsia="Trebuchet MS," w:cstheme="minorHAnsi"/>
        </w:rPr>
      </w:pPr>
      <w:r w:rsidRPr="0039502E">
        <w:rPr>
          <w:rStyle w:val="Style1"/>
          <w:rFonts w:eastAsia="Trebuchet MS" w:cstheme="minorHAnsi"/>
        </w:rPr>
        <w:t xml:space="preserve">Discharges to hospice or patient stays with a hospice benefit in the 31-day post-discharge window; </w:t>
      </w:r>
    </w:p>
    <w:p w14:paraId="6954AE4F" w14:textId="77777777" w:rsidR="00E63B4F" w:rsidRPr="0039502E" w:rsidRDefault="00E63B4F" w:rsidP="00E63B4F">
      <w:pPr>
        <w:pStyle w:val="ListParagraph"/>
        <w:numPr>
          <w:ilvl w:val="0"/>
          <w:numId w:val="10"/>
        </w:numPr>
        <w:spacing w:after="160"/>
        <w:rPr>
          <w:rStyle w:val="Style1"/>
          <w:rFonts w:eastAsia="Trebuchet MS," w:cstheme="minorHAnsi"/>
        </w:rPr>
      </w:pPr>
      <w:r w:rsidRPr="0039502E">
        <w:rPr>
          <w:rStyle w:val="Style1"/>
          <w:rFonts w:eastAsia="Trebuchet MS" w:cstheme="minorHAnsi"/>
        </w:rPr>
        <w:lastRenderedPageBreak/>
        <w:t xml:space="preserve">Planned discharges to an acute or LTCH setting; </w:t>
      </w:r>
    </w:p>
    <w:p w14:paraId="70B00315" w14:textId="77777777" w:rsidR="00E63B4F" w:rsidRPr="0039502E" w:rsidRDefault="00E63B4F" w:rsidP="00E63B4F">
      <w:pPr>
        <w:pStyle w:val="ListParagraph"/>
        <w:numPr>
          <w:ilvl w:val="0"/>
          <w:numId w:val="10"/>
        </w:numPr>
        <w:spacing w:after="160"/>
        <w:rPr>
          <w:rStyle w:val="Style1"/>
          <w:rFonts w:eastAsia="Trebuchet MS," w:cstheme="minorHAnsi"/>
        </w:rPr>
      </w:pPr>
      <w:r w:rsidRPr="0039502E">
        <w:rPr>
          <w:rStyle w:val="Style1"/>
          <w:rFonts w:eastAsia="Trebuchet MS" w:cstheme="minorHAnsi"/>
        </w:rPr>
        <w:t xml:space="preserve">Stays for patients without continuous Part A FFS Medicare enrollment during the 12 months prior to the IRF admission date and the 31 days after the IRF discharge; </w:t>
      </w:r>
    </w:p>
    <w:p w14:paraId="2B733C88" w14:textId="77777777" w:rsidR="00E63B4F" w:rsidRPr="0039502E" w:rsidRDefault="00E63B4F" w:rsidP="00E63B4F">
      <w:pPr>
        <w:pStyle w:val="ListParagraph"/>
        <w:numPr>
          <w:ilvl w:val="0"/>
          <w:numId w:val="10"/>
        </w:numPr>
        <w:spacing w:after="160"/>
        <w:rPr>
          <w:rStyle w:val="Style1"/>
          <w:rFonts w:eastAsia="Trebuchet MS," w:cstheme="minorHAnsi"/>
        </w:rPr>
      </w:pPr>
      <w:r w:rsidRPr="0039502E">
        <w:rPr>
          <w:rStyle w:val="Style1"/>
          <w:rFonts w:eastAsia="Trebuchet MS" w:cstheme="minorHAnsi"/>
        </w:rPr>
        <w:t xml:space="preserve">IRF stays preceded by a short-term acute care stay for non-surgical treatment of cancer; </w:t>
      </w:r>
    </w:p>
    <w:p w14:paraId="7EE609A4" w14:textId="77777777" w:rsidR="00E63B4F" w:rsidRPr="0039502E" w:rsidRDefault="00E63B4F" w:rsidP="00E63B4F">
      <w:pPr>
        <w:pStyle w:val="ListParagraph"/>
        <w:numPr>
          <w:ilvl w:val="0"/>
          <w:numId w:val="10"/>
        </w:numPr>
        <w:spacing w:after="160"/>
        <w:rPr>
          <w:rStyle w:val="Style1"/>
          <w:rFonts w:eastAsia="Trebuchet MS," w:cstheme="minorHAnsi"/>
        </w:rPr>
      </w:pPr>
      <w:r w:rsidRPr="0039502E">
        <w:rPr>
          <w:rStyle w:val="Style1"/>
          <w:rFonts w:eastAsia="Trebuchet MS" w:cstheme="minorHAnsi"/>
        </w:rPr>
        <w:t>Stays ending in transfer to an IRF;</w:t>
      </w:r>
    </w:p>
    <w:p w14:paraId="5A0CC96B" w14:textId="77777777" w:rsidR="00E63B4F" w:rsidRPr="0039502E" w:rsidRDefault="00E63B4F" w:rsidP="00E63B4F">
      <w:pPr>
        <w:pStyle w:val="ListParagraph"/>
        <w:numPr>
          <w:ilvl w:val="0"/>
          <w:numId w:val="10"/>
        </w:numPr>
        <w:spacing w:after="160"/>
        <w:rPr>
          <w:rStyle w:val="Style1"/>
          <w:rFonts w:eastAsia="Trebuchet MS," w:cstheme="minorHAnsi"/>
        </w:rPr>
      </w:pPr>
      <w:r w:rsidRPr="0039502E">
        <w:rPr>
          <w:rStyle w:val="Style1"/>
          <w:rFonts w:eastAsia="Trebuchet MS" w:cstheme="minorHAnsi"/>
        </w:rPr>
        <w:t>Stays with problematic claims data (e.g. anomalous records for stays that overlap wholly or in part or are otherwise erroneous or contradictory; claims not paid);</w:t>
      </w:r>
    </w:p>
    <w:p w14:paraId="3797FCFE" w14:textId="77777777" w:rsidR="00E63B4F" w:rsidRPr="0039502E" w:rsidRDefault="00E63B4F" w:rsidP="00E63B4F">
      <w:pPr>
        <w:pStyle w:val="ListParagraph"/>
        <w:numPr>
          <w:ilvl w:val="0"/>
          <w:numId w:val="10"/>
        </w:numPr>
        <w:spacing w:after="160"/>
        <w:rPr>
          <w:rStyle w:val="Style1"/>
          <w:rFonts w:eastAsia="Trebuchet MS," w:cstheme="minorHAnsi"/>
        </w:rPr>
      </w:pPr>
      <w:r w:rsidRPr="0039502E">
        <w:rPr>
          <w:rStyle w:val="Style1"/>
          <w:rFonts w:eastAsia="Trebuchet MS" w:cstheme="minorHAnsi"/>
        </w:rPr>
        <w:t xml:space="preserve">Exhaustion of Medicare Part A benefit during the IRF stay; and </w:t>
      </w:r>
    </w:p>
    <w:p w14:paraId="5CD15E0F" w14:textId="77777777" w:rsidR="00E63B4F" w:rsidRPr="0039502E" w:rsidRDefault="00E63B4F" w:rsidP="00E63B4F">
      <w:pPr>
        <w:pStyle w:val="ListParagraph"/>
        <w:numPr>
          <w:ilvl w:val="0"/>
          <w:numId w:val="10"/>
        </w:numPr>
        <w:spacing w:after="160"/>
        <w:rPr>
          <w:rStyle w:val="Style1"/>
          <w:rFonts w:eastAsia="Trebuchet MS," w:cstheme="minorHAnsi"/>
        </w:rPr>
      </w:pPr>
      <w:r w:rsidRPr="0039502E">
        <w:rPr>
          <w:rStyle w:val="Style1"/>
          <w:rFonts w:eastAsia="Trebuchet MS" w:cstheme="minorHAnsi"/>
        </w:rPr>
        <w:t>IRF stays in facilities outside of the United States, Puerto Rico, or another U.S. territory.</w:t>
      </w:r>
    </w:p>
    <w:p w14:paraId="671251B8" w14:textId="77777777" w:rsidR="00E63B4F" w:rsidRPr="0039502E" w:rsidRDefault="00E63B4F" w:rsidP="00E63B4F">
      <w:pPr>
        <w:rPr>
          <w:rFonts w:eastAsia="Trebuchet MS" w:cstheme="minorHAnsi"/>
          <w:i/>
          <w:iCs/>
          <w:color w:val="333333"/>
          <w:lang w:val="en"/>
        </w:rPr>
      </w:pPr>
      <w:bookmarkStart w:id="23" w:name="_Hlk518900258"/>
      <w:bookmarkStart w:id="24" w:name="_Hlk518895554"/>
      <w:r w:rsidRPr="0039502E">
        <w:rPr>
          <w:rFonts w:eastAsia="Trebuchet MS" w:cstheme="minorHAnsi"/>
          <w:b/>
          <w:bCs/>
          <w:color w:val="333333"/>
          <w:lang w:val="en"/>
        </w:rPr>
        <w:t xml:space="preserve">S.9. Denominator Exclusion Details </w:t>
      </w:r>
      <w:r w:rsidRPr="0039502E">
        <w:rPr>
          <w:rFonts w:eastAsia="Trebuchet MS" w:cstheme="minorHAnsi"/>
          <w:i/>
          <w:iCs/>
          <w:color w:val="333333"/>
          <w:lang w:val="en"/>
        </w:rPr>
        <w:t>(All information required to identify and calculate exclusions from the denominator such as definitions, time period for data collection, specific data collection items/responses, code/value sets – Note: lists of individual codes with descriptors that exceed 1 page should be provided in an Excel or csv file in required format at S.2b)</w:t>
      </w:r>
    </w:p>
    <w:p w14:paraId="44D5EBBE" w14:textId="77777777" w:rsidR="00E63B4F" w:rsidRPr="007C67CC" w:rsidRDefault="00E63B4F" w:rsidP="00E63B4F">
      <w:pPr>
        <w:rPr>
          <w:rFonts w:eastAsia="Trebuchet MS" w:cstheme="minorHAnsi"/>
        </w:rPr>
      </w:pPr>
      <w:r w:rsidRPr="007C67CC">
        <w:rPr>
          <w:rFonts w:eastAsia="Trebuchet MS" w:cstheme="minorHAnsi"/>
        </w:rPr>
        <w:t>Exclusions for the DTC-PAC IRF measure are listed below, along with the rationale and data source for each exclusion.</w:t>
      </w:r>
      <w:r w:rsidRPr="007C67CC">
        <w:rPr>
          <w:rFonts w:cstheme="minorHAnsi"/>
        </w:rPr>
        <w:t xml:space="preserve"> The measure exclusion criteria are determined by processing Medicare FFS claims and eligibility data to determine whether the individual exclusion criteria are met. All exclusions are based on administrative data.</w:t>
      </w:r>
    </w:p>
    <w:p w14:paraId="5DC1A114" w14:textId="77777777" w:rsidR="00E63B4F" w:rsidRPr="007C67CC" w:rsidRDefault="00E63B4F" w:rsidP="00E63B4F">
      <w:pPr>
        <w:pStyle w:val="NumberedListItal"/>
        <w:numPr>
          <w:ilvl w:val="0"/>
          <w:numId w:val="18"/>
        </w:numPr>
        <w:rPr>
          <w:rFonts w:asciiTheme="minorHAnsi" w:hAnsiTheme="minorHAnsi" w:cstheme="minorHAnsi"/>
          <w:sz w:val="22"/>
          <w:szCs w:val="22"/>
        </w:rPr>
      </w:pPr>
      <w:bookmarkStart w:id="25" w:name="_Hlk518895645"/>
      <w:bookmarkStart w:id="26" w:name="_Hlk518901520"/>
      <w:bookmarkEnd w:id="23"/>
      <w:bookmarkEnd w:id="24"/>
      <w:r w:rsidRPr="007C67CC">
        <w:rPr>
          <w:rFonts w:asciiTheme="minorHAnsi" w:hAnsiTheme="minorHAnsi" w:cstheme="minorHAnsi"/>
          <w:sz w:val="22"/>
          <w:szCs w:val="22"/>
        </w:rPr>
        <w:t>Age under 18 years</w:t>
      </w:r>
    </w:p>
    <w:p w14:paraId="684D59ED" w14:textId="77777777" w:rsidR="00E63B4F" w:rsidRPr="007C67CC" w:rsidRDefault="00E63B4F" w:rsidP="00E63B4F">
      <w:pPr>
        <w:pStyle w:val="Rationale"/>
        <w:rPr>
          <w:rFonts w:asciiTheme="minorHAnsi" w:hAnsiTheme="minorHAnsi" w:cstheme="minorHAnsi"/>
          <w:i/>
          <w:iCs/>
          <w:sz w:val="22"/>
          <w:szCs w:val="22"/>
        </w:rPr>
      </w:pPr>
      <w:r w:rsidRPr="007C67CC">
        <w:rPr>
          <w:rFonts w:asciiTheme="minorHAnsi" w:hAnsiTheme="minorHAnsi" w:cstheme="minorHAnsi"/>
          <w:i/>
          <w:iCs/>
          <w:sz w:val="22"/>
          <w:szCs w:val="22"/>
        </w:rPr>
        <w:t>Rationale:</w:t>
      </w:r>
    </w:p>
    <w:p w14:paraId="7A7FB4E2" w14:textId="77777777" w:rsidR="00E63B4F" w:rsidRPr="007C67CC" w:rsidRDefault="00E63B4F" w:rsidP="00E63B4F">
      <w:pPr>
        <w:pStyle w:val="rationalebullets"/>
        <w:rPr>
          <w:rFonts w:asciiTheme="minorHAnsi" w:hAnsiTheme="minorHAnsi" w:cstheme="minorHAnsi"/>
          <w:sz w:val="22"/>
          <w:szCs w:val="22"/>
        </w:rPr>
      </w:pPr>
      <w:r w:rsidRPr="007C67CC">
        <w:rPr>
          <w:rFonts w:asciiTheme="minorHAnsi" w:hAnsiTheme="minorHAnsi" w:cstheme="minorHAnsi"/>
          <w:sz w:val="22"/>
          <w:szCs w:val="22"/>
        </w:rPr>
        <w:t>a.</w:t>
      </w:r>
      <w:r w:rsidRPr="007C67CC">
        <w:rPr>
          <w:rFonts w:asciiTheme="minorHAnsi" w:hAnsiTheme="minorHAnsi" w:cstheme="minorHAnsi"/>
          <w:sz w:val="22"/>
          <w:szCs w:val="22"/>
        </w:rPr>
        <w:tab/>
        <w:t>There is limited literature on discharge destination outcomes in this age group;</w:t>
      </w:r>
    </w:p>
    <w:p w14:paraId="104B2F80" w14:textId="77777777" w:rsidR="00E63B4F" w:rsidRPr="007C67CC" w:rsidRDefault="00E63B4F" w:rsidP="00E63B4F">
      <w:pPr>
        <w:pStyle w:val="rationalebullets"/>
        <w:rPr>
          <w:rFonts w:asciiTheme="minorHAnsi" w:hAnsiTheme="minorHAnsi" w:cstheme="minorHAnsi"/>
          <w:sz w:val="22"/>
          <w:szCs w:val="22"/>
        </w:rPr>
      </w:pPr>
      <w:r w:rsidRPr="007C67CC">
        <w:rPr>
          <w:rFonts w:asciiTheme="minorHAnsi" w:hAnsiTheme="minorHAnsi" w:cstheme="minorHAnsi"/>
          <w:sz w:val="22"/>
          <w:szCs w:val="22"/>
        </w:rPr>
        <w:t>b.</w:t>
      </w:r>
      <w:r w:rsidRPr="007C67CC">
        <w:rPr>
          <w:rFonts w:asciiTheme="minorHAnsi" w:hAnsiTheme="minorHAnsi" w:cstheme="minorHAnsi"/>
          <w:sz w:val="22"/>
          <w:szCs w:val="22"/>
        </w:rPr>
        <w:tab/>
        <w:t xml:space="preserve">Patients in this age group represent a different cohort, likely living with their parents, and may be expected to have higher discharge to community rates compared with the rest of the Medicare population; and </w:t>
      </w:r>
    </w:p>
    <w:p w14:paraId="2F69FC78" w14:textId="77777777" w:rsidR="00E63B4F" w:rsidRPr="007C67CC" w:rsidRDefault="00E63B4F" w:rsidP="00E63B4F">
      <w:pPr>
        <w:pStyle w:val="rationalebullets"/>
        <w:rPr>
          <w:rFonts w:asciiTheme="minorHAnsi" w:hAnsiTheme="minorHAnsi" w:cstheme="minorHAnsi"/>
          <w:sz w:val="22"/>
          <w:szCs w:val="22"/>
        </w:rPr>
      </w:pPr>
      <w:r w:rsidRPr="007C67CC">
        <w:rPr>
          <w:rFonts w:asciiTheme="minorHAnsi" w:hAnsiTheme="minorHAnsi" w:cstheme="minorHAnsi"/>
          <w:sz w:val="22"/>
          <w:szCs w:val="22"/>
        </w:rPr>
        <w:t>c.</w:t>
      </w:r>
      <w:r w:rsidRPr="007C67CC">
        <w:rPr>
          <w:rFonts w:asciiTheme="minorHAnsi" w:hAnsiTheme="minorHAnsi" w:cstheme="minorHAnsi"/>
          <w:sz w:val="22"/>
          <w:szCs w:val="22"/>
        </w:rPr>
        <w:tab/>
        <w:t xml:space="preserve">Patients in this age group represent a small proportion of the IRF Medicare FFS population. </w:t>
      </w:r>
    </w:p>
    <w:p w14:paraId="10075F90" w14:textId="77777777" w:rsidR="00E63B4F" w:rsidRPr="007C67CC" w:rsidRDefault="00E63B4F" w:rsidP="00E63B4F">
      <w:pPr>
        <w:pStyle w:val="rationalebullets"/>
        <w:rPr>
          <w:rFonts w:asciiTheme="minorHAnsi" w:hAnsiTheme="minorHAnsi" w:cstheme="minorHAnsi"/>
          <w:sz w:val="22"/>
          <w:szCs w:val="22"/>
        </w:rPr>
      </w:pPr>
      <w:r w:rsidRPr="007C67CC">
        <w:rPr>
          <w:rFonts w:asciiTheme="minorHAnsi" w:hAnsiTheme="minorHAnsi" w:cstheme="minorHAnsi"/>
          <w:i/>
          <w:sz w:val="22"/>
          <w:szCs w:val="22"/>
        </w:rPr>
        <w:t>Data source</w:t>
      </w:r>
      <w:r w:rsidRPr="007C67CC">
        <w:rPr>
          <w:rFonts w:asciiTheme="minorHAnsi" w:hAnsiTheme="minorHAnsi" w:cstheme="minorHAnsi"/>
          <w:sz w:val="22"/>
          <w:szCs w:val="22"/>
        </w:rPr>
        <w:t xml:space="preserve">: Birth date and IRF admission date from </w:t>
      </w:r>
      <w:r w:rsidRPr="007C67CC">
        <w:rPr>
          <w:rFonts w:asciiTheme="minorHAnsi" w:eastAsia="Calibri" w:hAnsiTheme="minorHAnsi" w:cstheme="minorHAnsi"/>
          <w:sz w:val="22"/>
          <w:szCs w:val="22"/>
        </w:rPr>
        <w:t>Inpatient SAF</w:t>
      </w:r>
    </w:p>
    <w:p w14:paraId="05E9D43C" w14:textId="77777777" w:rsidR="00E63B4F" w:rsidRPr="007C67CC" w:rsidRDefault="00E63B4F" w:rsidP="00E63B4F">
      <w:pPr>
        <w:pStyle w:val="NumberedListItal"/>
        <w:keepNext/>
        <w:numPr>
          <w:ilvl w:val="0"/>
          <w:numId w:val="18"/>
        </w:numPr>
        <w:rPr>
          <w:rFonts w:asciiTheme="minorHAnsi" w:hAnsiTheme="minorHAnsi" w:cstheme="minorHAnsi"/>
          <w:sz w:val="22"/>
          <w:szCs w:val="22"/>
        </w:rPr>
      </w:pPr>
      <w:r w:rsidRPr="007C67CC">
        <w:rPr>
          <w:rFonts w:asciiTheme="minorHAnsi" w:hAnsiTheme="minorHAnsi" w:cstheme="minorHAnsi"/>
          <w:sz w:val="22"/>
          <w:szCs w:val="22"/>
        </w:rPr>
        <w:t xml:space="preserve">No short-term acute care discharge within the 30 days preceding IRF admission </w:t>
      </w:r>
    </w:p>
    <w:p w14:paraId="767FA8C2" w14:textId="77777777" w:rsidR="00E63B4F" w:rsidRPr="007C67CC" w:rsidRDefault="00E63B4F" w:rsidP="00E63B4F">
      <w:pPr>
        <w:pStyle w:val="Rationale"/>
        <w:rPr>
          <w:rFonts w:asciiTheme="minorHAnsi" w:hAnsiTheme="minorHAnsi" w:cstheme="minorHAnsi"/>
          <w:sz w:val="22"/>
          <w:szCs w:val="22"/>
        </w:rPr>
      </w:pPr>
      <w:r w:rsidRPr="007C67CC">
        <w:rPr>
          <w:rFonts w:asciiTheme="minorHAnsi" w:hAnsiTheme="minorHAnsi" w:cstheme="minorHAnsi"/>
          <w:i/>
          <w:iCs/>
          <w:sz w:val="22"/>
          <w:szCs w:val="22"/>
        </w:rPr>
        <w:t>Rationale:</w:t>
      </w:r>
      <w:r w:rsidRPr="007C67CC">
        <w:rPr>
          <w:rFonts w:asciiTheme="minorHAnsi" w:hAnsiTheme="minorHAnsi" w:cstheme="minorHAnsi"/>
          <w:sz w:val="22"/>
          <w:szCs w:val="22"/>
        </w:rPr>
        <w:t xml:space="preserve"> The most recent acute care claim from the 30 days prior to IRF admission provides the principal diagnosis and other important patient data for </w:t>
      </w:r>
      <w:r>
        <w:rPr>
          <w:rFonts w:asciiTheme="minorHAnsi" w:hAnsiTheme="minorHAnsi" w:cstheme="minorHAnsi"/>
          <w:sz w:val="22"/>
          <w:szCs w:val="22"/>
        </w:rPr>
        <w:t>risk-adjustment</w:t>
      </w:r>
      <w:r w:rsidRPr="007C67CC">
        <w:rPr>
          <w:rFonts w:asciiTheme="minorHAnsi" w:hAnsiTheme="minorHAnsi" w:cstheme="minorHAnsi"/>
          <w:sz w:val="22"/>
          <w:szCs w:val="22"/>
        </w:rPr>
        <w:t xml:space="preserve">. Stays without a short-term acute care discharge within the 30 days prior to PAC admission are excluded because important </w:t>
      </w:r>
      <w:r>
        <w:rPr>
          <w:rFonts w:asciiTheme="minorHAnsi" w:hAnsiTheme="minorHAnsi" w:cstheme="minorHAnsi"/>
          <w:sz w:val="22"/>
          <w:szCs w:val="22"/>
        </w:rPr>
        <w:t>risk-adjustment</w:t>
      </w:r>
      <w:r w:rsidRPr="007C67CC">
        <w:rPr>
          <w:rFonts w:asciiTheme="minorHAnsi" w:hAnsiTheme="minorHAnsi" w:cstheme="minorHAnsi"/>
          <w:sz w:val="22"/>
          <w:szCs w:val="22"/>
        </w:rPr>
        <w:t xml:space="preserve"> data will be missing.</w:t>
      </w:r>
    </w:p>
    <w:p w14:paraId="1A7A05B4" w14:textId="77777777" w:rsidR="00E63B4F" w:rsidRPr="007C67CC" w:rsidRDefault="00E63B4F" w:rsidP="00E63B4F">
      <w:pPr>
        <w:pStyle w:val="rationalebullets"/>
        <w:ind w:left="1166" w:firstLine="0"/>
        <w:rPr>
          <w:rFonts w:asciiTheme="minorHAnsi" w:hAnsiTheme="minorHAnsi" w:cstheme="minorHAnsi"/>
          <w:sz w:val="22"/>
          <w:szCs w:val="22"/>
        </w:rPr>
      </w:pPr>
      <w:bookmarkStart w:id="27" w:name="_Hlk520477552"/>
      <w:r w:rsidRPr="007C67CC">
        <w:rPr>
          <w:rFonts w:asciiTheme="minorHAnsi" w:hAnsiTheme="minorHAnsi" w:cstheme="minorHAnsi"/>
          <w:i/>
          <w:sz w:val="22"/>
          <w:szCs w:val="22"/>
        </w:rPr>
        <w:t>Data source</w:t>
      </w:r>
      <w:r w:rsidRPr="007C67CC">
        <w:rPr>
          <w:rFonts w:asciiTheme="minorHAnsi" w:hAnsiTheme="minorHAnsi" w:cstheme="minorHAnsi"/>
          <w:sz w:val="22"/>
          <w:szCs w:val="22"/>
        </w:rPr>
        <w:t xml:space="preserve">: </w:t>
      </w:r>
      <w:bookmarkStart w:id="28" w:name="_Hlk520906495"/>
      <w:r>
        <w:rPr>
          <w:rFonts w:asciiTheme="minorHAnsi" w:hAnsiTheme="minorHAnsi" w:cstheme="minorHAnsi"/>
          <w:sz w:val="22"/>
          <w:szCs w:val="22"/>
        </w:rPr>
        <w:t>Hospital d</w:t>
      </w:r>
      <w:r w:rsidRPr="007C67CC">
        <w:rPr>
          <w:rFonts w:asciiTheme="minorHAnsi" w:hAnsiTheme="minorHAnsi" w:cstheme="minorHAnsi"/>
          <w:sz w:val="22"/>
          <w:szCs w:val="22"/>
        </w:rPr>
        <w:t xml:space="preserve">ischarge date in </w:t>
      </w:r>
      <w:r w:rsidRPr="007C67CC">
        <w:rPr>
          <w:rFonts w:asciiTheme="minorHAnsi" w:eastAsia="Calibri" w:hAnsiTheme="minorHAnsi" w:cstheme="minorHAnsi"/>
          <w:sz w:val="22"/>
          <w:szCs w:val="22"/>
        </w:rPr>
        <w:t>Inpatient SAF acute care claims</w:t>
      </w:r>
      <w:bookmarkEnd w:id="27"/>
      <w:r>
        <w:rPr>
          <w:rFonts w:asciiTheme="minorHAnsi" w:eastAsia="Calibri" w:hAnsiTheme="minorHAnsi" w:cstheme="minorHAnsi"/>
          <w:sz w:val="22"/>
          <w:szCs w:val="22"/>
        </w:rPr>
        <w:t xml:space="preserve"> in the 30 days before IRF admission</w:t>
      </w:r>
      <w:bookmarkEnd w:id="28"/>
    </w:p>
    <w:p w14:paraId="56397B2B" w14:textId="77777777" w:rsidR="00E63B4F" w:rsidRPr="007C67CC" w:rsidRDefault="00E63B4F" w:rsidP="00E63B4F">
      <w:pPr>
        <w:pStyle w:val="NumberedListItal"/>
        <w:numPr>
          <w:ilvl w:val="0"/>
          <w:numId w:val="18"/>
        </w:numPr>
        <w:rPr>
          <w:rFonts w:asciiTheme="minorHAnsi" w:hAnsiTheme="minorHAnsi" w:cstheme="minorHAnsi"/>
          <w:sz w:val="22"/>
          <w:szCs w:val="22"/>
        </w:rPr>
      </w:pPr>
      <w:r w:rsidRPr="007C67CC">
        <w:rPr>
          <w:rFonts w:asciiTheme="minorHAnsi" w:hAnsiTheme="minorHAnsi" w:cstheme="minorHAnsi"/>
          <w:sz w:val="22"/>
          <w:szCs w:val="22"/>
        </w:rPr>
        <w:t>Discharges to psychiatric hospital</w:t>
      </w:r>
    </w:p>
    <w:p w14:paraId="763703F9" w14:textId="77777777" w:rsidR="00E63B4F" w:rsidRPr="007C67CC" w:rsidRDefault="00E63B4F" w:rsidP="00E63B4F">
      <w:pPr>
        <w:pStyle w:val="Rationale"/>
        <w:rPr>
          <w:rFonts w:asciiTheme="minorHAnsi" w:hAnsiTheme="minorHAnsi" w:cstheme="minorHAnsi"/>
          <w:sz w:val="22"/>
          <w:szCs w:val="22"/>
        </w:rPr>
      </w:pPr>
      <w:r w:rsidRPr="007C67CC">
        <w:rPr>
          <w:rFonts w:asciiTheme="minorHAnsi" w:hAnsiTheme="minorHAnsi" w:cstheme="minorHAnsi"/>
          <w:i/>
          <w:iCs/>
          <w:sz w:val="22"/>
          <w:szCs w:val="22"/>
        </w:rPr>
        <w:t xml:space="preserve">Rationale: </w:t>
      </w:r>
      <w:r w:rsidRPr="007C67CC">
        <w:rPr>
          <w:rFonts w:asciiTheme="minorHAnsi" w:hAnsiTheme="minorHAnsi" w:cstheme="minorHAnsi"/>
          <w:sz w:val="22"/>
          <w:szCs w:val="22"/>
        </w:rPr>
        <w:t xml:space="preserve">Patients discharged to psychiatric hospital are excluded from the measure because community living at the time of discharge may be potentially inappropriate or </w:t>
      </w:r>
      <w:r w:rsidRPr="007C67CC">
        <w:rPr>
          <w:rFonts w:asciiTheme="minorHAnsi" w:hAnsiTheme="minorHAnsi" w:cstheme="minorHAnsi"/>
          <w:sz w:val="22"/>
          <w:szCs w:val="22"/>
        </w:rPr>
        <w:lastRenderedPageBreak/>
        <w:t>unsafe for them due to their mental health or psychiatric condition.</w:t>
      </w:r>
      <w:bookmarkStart w:id="29" w:name="_Hlk520803192"/>
      <w:r w:rsidRPr="007C67CC">
        <w:rPr>
          <w:rFonts w:asciiTheme="minorHAnsi" w:hAnsiTheme="minorHAnsi" w:cstheme="minorHAnsi"/>
          <w:sz w:val="22"/>
          <w:szCs w:val="22"/>
        </w:rPr>
        <w:t xml:space="preserve"> This exclusion is also intended to avoid the potential unintended consequence of decreased IRF access for patients discharged from psychiatric hospitals.</w:t>
      </w:r>
      <w:bookmarkEnd w:id="29"/>
    </w:p>
    <w:p w14:paraId="37A0621E" w14:textId="77777777" w:rsidR="00E63B4F" w:rsidRPr="007C67CC" w:rsidRDefault="00E63B4F" w:rsidP="00E63B4F">
      <w:pPr>
        <w:pStyle w:val="rationalebullets"/>
        <w:rPr>
          <w:rFonts w:asciiTheme="minorHAnsi" w:hAnsiTheme="minorHAnsi" w:cstheme="minorHAnsi"/>
          <w:sz w:val="22"/>
          <w:szCs w:val="22"/>
        </w:rPr>
      </w:pPr>
      <w:bookmarkStart w:id="30" w:name="_Hlk520477567"/>
      <w:r w:rsidRPr="007C67CC">
        <w:rPr>
          <w:rFonts w:asciiTheme="minorHAnsi" w:hAnsiTheme="minorHAnsi" w:cstheme="minorHAnsi"/>
          <w:i/>
          <w:sz w:val="22"/>
          <w:szCs w:val="22"/>
        </w:rPr>
        <w:t>Data source</w:t>
      </w:r>
      <w:r w:rsidRPr="007C67CC">
        <w:rPr>
          <w:rFonts w:asciiTheme="minorHAnsi" w:hAnsiTheme="minorHAnsi" w:cstheme="minorHAnsi"/>
          <w:sz w:val="22"/>
          <w:szCs w:val="22"/>
        </w:rPr>
        <w:t xml:space="preserve">: Patient discharge status code from </w:t>
      </w:r>
      <w:r w:rsidRPr="007C67CC">
        <w:rPr>
          <w:rFonts w:asciiTheme="minorHAnsi" w:eastAsia="Calibri" w:hAnsiTheme="minorHAnsi" w:cstheme="minorHAnsi"/>
          <w:sz w:val="22"/>
          <w:szCs w:val="22"/>
        </w:rPr>
        <w:t>Inpatient SAF IRF claim</w:t>
      </w:r>
      <w:bookmarkEnd w:id="30"/>
    </w:p>
    <w:p w14:paraId="1EE0D9B7" w14:textId="77777777" w:rsidR="00E63B4F" w:rsidRPr="007C67CC" w:rsidRDefault="00E63B4F" w:rsidP="00E63B4F">
      <w:pPr>
        <w:pStyle w:val="NumberedListItal"/>
        <w:numPr>
          <w:ilvl w:val="0"/>
          <w:numId w:val="18"/>
        </w:numPr>
        <w:rPr>
          <w:rFonts w:asciiTheme="minorHAnsi" w:hAnsiTheme="minorHAnsi" w:cstheme="minorHAnsi"/>
          <w:sz w:val="22"/>
          <w:szCs w:val="22"/>
        </w:rPr>
      </w:pPr>
      <w:r w:rsidRPr="007C67CC">
        <w:rPr>
          <w:rFonts w:asciiTheme="minorHAnsi" w:hAnsiTheme="minorHAnsi" w:cstheme="minorHAnsi"/>
          <w:sz w:val="22"/>
          <w:szCs w:val="22"/>
        </w:rPr>
        <w:t>Discharges against medical advice</w:t>
      </w:r>
    </w:p>
    <w:p w14:paraId="330CF987" w14:textId="77777777" w:rsidR="00E63B4F" w:rsidRPr="007C67CC" w:rsidRDefault="00E63B4F" w:rsidP="00E63B4F">
      <w:pPr>
        <w:pStyle w:val="Rationale"/>
        <w:rPr>
          <w:rFonts w:asciiTheme="minorHAnsi" w:hAnsiTheme="minorHAnsi" w:cstheme="minorHAnsi"/>
          <w:sz w:val="22"/>
          <w:szCs w:val="22"/>
        </w:rPr>
      </w:pPr>
      <w:r w:rsidRPr="007C67CC">
        <w:rPr>
          <w:rFonts w:asciiTheme="minorHAnsi" w:hAnsiTheme="minorHAnsi" w:cstheme="minorHAnsi"/>
          <w:i/>
          <w:iCs/>
          <w:sz w:val="22"/>
          <w:szCs w:val="22"/>
        </w:rPr>
        <w:t xml:space="preserve">Rationale: </w:t>
      </w:r>
      <w:r w:rsidRPr="007C67CC">
        <w:rPr>
          <w:rFonts w:asciiTheme="minorHAnsi" w:hAnsiTheme="minorHAnsi" w:cstheme="minorHAnsi"/>
          <w:iCs/>
          <w:sz w:val="22"/>
          <w:szCs w:val="22"/>
        </w:rPr>
        <w:t xml:space="preserve">Stays ending in </w:t>
      </w:r>
      <w:r w:rsidRPr="007C67CC">
        <w:rPr>
          <w:rFonts w:asciiTheme="minorHAnsi" w:hAnsiTheme="minorHAnsi" w:cstheme="minorHAnsi"/>
          <w:sz w:val="22"/>
          <w:szCs w:val="22"/>
        </w:rPr>
        <w:t>discharge against medical advice are excluded because the IRF care plan may not have been fully implemented, and the discharge destination may not reflect the facility’s discharge recommendation. Additionally, patients discharged against medical advice may potentially be at higher risk of post-discharge readmissions or death, depending on their medical condition, or due to potential non-adherence or non-compliance with care recommendations.</w:t>
      </w:r>
    </w:p>
    <w:p w14:paraId="13CD84CA" w14:textId="77777777" w:rsidR="00E63B4F" w:rsidRPr="007C67CC" w:rsidRDefault="00E63B4F" w:rsidP="00E63B4F">
      <w:pPr>
        <w:pStyle w:val="Rationale"/>
        <w:rPr>
          <w:rFonts w:asciiTheme="minorHAnsi" w:hAnsiTheme="minorHAnsi" w:cstheme="minorHAnsi"/>
          <w:sz w:val="22"/>
          <w:szCs w:val="22"/>
        </w:rPr>
      </w:pPr>
      <w:r w:rsidRPr="007C67CC">
        <w:rPr>
          <w:rFonts w:asciiTheme="minorHAnsi" w:hAnsiTheme="minorHAnsi" w:cstheme="minorHAnsi"/>
          <w:i/>
          <w:sz w:val="22"/>
          <w:szCs w:val="22"/>
        </w:rPr>
        <w:t>Data source</w:t>
      </w:r>
      <w:r w:rsidRPr="007C67CC">
        <w:rPr>
          <w:rFonts w:asciiTheme="minorHAnsi" w:hAnsiTheme="minorHAnsi" w:cstheme="minorHAnsi"/>
          <w:sz w:val="22"/>
          <w:szCs w:val="22"/>
        </w:rPr>
        <w:t>: Patient discharge status code from Inpatient SAF IRF claim</w:t>
      </w:r>
    </w:p>
    <w:p w14:paraId="4E6BFD91" w14:textId="77777777" w:rsidR="00E63B4F" w:rsidRPr="007C67CC" w:rsidRDefault="00E63B4F" w:rsidP="00E63B4F">
      <w:pPr>
        <w:pStyle w:val="NumberedListItal"/>
        <w:numPr>
          <w:ilvl w:val="0"/>
          <w:numId w:val="18"/>
        </w:numPr>
        <w:rPr>
          <w:rFonts w:asciiTheme="minorHAnsi" w:hAnsiTheme="minorHAnsi" w:cstheme="minorHAnsi"/>
          <w:sz w:val="22"/>
          <w:szCs w:val="22"/>
        </w:rPr>
      </w:pPr>
      <w:r w:rsidRPr="007C67CC">
        <w:rPr>
          <w:rFonts w:asciiTheme="minorHAnsi" w:hAnsiTheme="minorHAnsi" w:cstheme="minorHAnsi"/>
          <w:sz w:val="22"/>
          <w:szCs w:val="22"/>
        </w:rPr>
        <w:t>Discharges to disaster alternative care sites or federal hospitals</w:t>
      </w:r>
    </w:p>
    <w:p w14:paraId="1FEB88C2" w14:textId="77777777" w:rsidR="00E63B4F" w:rsidRPr="007C67CC" w:rsidRDefault="00E63B4F" w:rsidP="00E63B4F">
      <w:pPr>
        <w:pStyle w:val="Rationale"/>
        <w:rPr>
          <w:rFonts w:asciiTheme="minorHAnsi" w:hAnsiTheme="minorHAnsi" w:cstheme="minorHAnsi"/>
          <w:sz w:val="22"/>
          <w:szCs w:val="22"/>
        </w:rPr>
      </w:pPr>
      <w:r w:rsidRPr="007C67CC">
        <w:rPr>
          <w:rFonts w:asciiTheme="minorHAnsi" w:hAnsiTheme="minorHAnsi" w:cstheme="minorHAnsi"/>
          <w:i/>
          <w:iCs/>
          <w:sz w:val="22"/>
          <w:szCs w:val="22"/>
        </w:rPr>
        <w:t xml:space="preserve">Rationale: </w:t>
      </w:r>
      <w:r w:rsidRPr="007C67CC">
        <w:rPr>
          <w:rFonts w:asciiTheme="minorHAnsi" w:hAnsiTheme="minorHAnsi" w:cstheme="minorHAnsi"/>
          <w:iCs/>
          <w:sz w:val="22"/>
          <w:szCs w:val="22"/>
        </w:rPr>
        <w:t xml:space="preserve">Stays ending in </w:t>
      </w:r>
      <w:r w:rsidRPr="007C67CC">
        <w:rPr>
          <w:rFonts w:asciiTheme="minorHAnsi" w:hAnsiTheme="minorHAnsi" w:cstheme="minorHAnsi"/>
          <w:sz w:val="22"/>
          <w:szCs w:val="22"/>
        </w:rPr>
        <w:t>discharge to disaster alternative care sites are excluded because these discharges are likely influenced by external emergency conditions and may not represent discretionary discharges by the PAC provider. Discharges to federal hospitals are excluded because we will not have inpatient claims to determine whether the hospitalization was planned or unplanned.</w:t>
      </w:r>
    </w:p>
    <w:p w14:paraId="29EA2F3A" w14:textId="77777777" w:rsidR="00E63B4F" w:rsidRPr="007C67CC" w:rsidRDefault="00E63B4F" w:rsidP="00E63B4F">
      <w:pPr>
        <w:pStyle w:val="Rationale"/>
        <w:rPr>
          <w:rFonts w:asciiTheme="minorHAnsi" w:hAnsiTheme="minorHAnsi" w:cstheme="minorHAnsi"/>
          <w:sz w:val="22"/>
          <w:szCs w:val="22"/>
        </w:rPr>
      </w:pPr>
      <w:r w:rsidRPr="007C67CC">
        <w:rPr>
          <w:rFonts w:asciiTheme="minorHAnsi" w:hAnsiTheme="minorHAnsi" w:cstheme="minorHAnsi"/>
          <w:i/>
          <w:sz w:val="22"/>
          <w:szCs w:val="22"/>
        </w:rPr>
        <w:t>Data source</w:t>
      </w:r>
      <w:r w:rsidRPr="007C67CC">
        <w:rPr>
          <w:rFonts w:asciiTheme="minorHAnsi" w:hAnsiTheme="minorHAnsi" w:cstheme="minorHAnsi"/>
          <w:sz w:val="22"/>
          <w:szCs w:val="22"/>
        </w:rPr>
        <w:t>: Patient discharge status code from Inpatient SAF IRF claim</w:t>
      </w:r>
    </w:p>
    <w:p w14:paraId="1822991E" w14:textId="77777777" w:rsidR="00E63B4F" w:rsidRPr="007C67CC" w:rsidRDefault="00E63B4F" w:rsidP="00E63B4F">
      <w:pPr>
        <w:pStyle w:val="NumberedListItal"/>
        <w:numPr>
          <w:ilvl w:val="0"/>
          <w:numId w:val="18"/>
        </w:numPr>
        <w:rPr>
          <w:rFonts w:asciiTheme="minorHAnsi" w:hAnsiTheme="minorHAnsi" w:cstheme="minorHAnsi"/>
          <w:sz w:val="22"/>
          <w:szCs w:val="22"/>
        </w:rPr>
      </w:pPr>
      <w:r w:rsidRPr="007C67CC">
        <w:rPr>
          <w:rFonts w:asciiTheme="minorHAnsi" w:hAnsiTheme="minorHAnsi" w:cstheme="minorHAnsi"/>
          <w:sz w:val="22"/>
          <w:szCs w:val="22"/>
        </w:rPr>
        <w:t>Discharges to court/law enforcement</w:t>
      </w:r>
    </w:p>
    <w:p w14:paraId="0258CD99" w14:textId="77777777" w:rsidR="00E63B4F" w:rsidRPr="007C67CC" w:rsidRDefault="00E63B4F" w:rsidP="00E63B4F">
      <w:pPr>
        <w:pStyle w:val="Rationale"/>
        <w:rPr>
          <w:rFonts w:asciiTheme="minorHAnsi" w:hAnsiTheme="minorHAnsi" w:cstheme="minorHAnsi"/>
          <w:sz w:val="22"/>
          <w:szCs w:val="22"/>
        </w:rPr>
      </w:pPr>
      <w:r w:rsidRPr="007C67CC">
        <w:rPr>
          <w:rFonts w:asciiTheme="minorHAnsi" w:hAnsiTheme="minorHAnsi" w:cstheme="minorHAnsi"/>
          <w:i/>
          <w:iCs/>
          <w:sz w:val="22"/>
          <w:szCs w:val="22"/>
        </w:rPr>
        <w:t xml:space="preserve">Rationale: </w:t>
      </w:r>
      <w:r w:rsidRPr="007C67CC">
        <w:rPr>
          <w:rFonts w:asciiTheme="minorHAnsi" w:hAnsiTheme="minorHAnsi" w:cstheme="minorHAnsi"/>
          <w:sz w:val="22"/>
          <w:szCs w:val="22"/>
        </w:rPr>
        <w:t>Patients who are discharged to court or law enforcement are likely ineligible for discharge to the community due to legal restrictions.</w:t>
      </w:r>
    </w:p>
    <w:p w14:paraId="23D414D1" w14:textId="77777777" w:rsidR="00E63B4F" w:rsidRPr="007C67CC" w:rsidRDefault="00E63B4F" w:rsidP="00E63B4F">
      <w:pPr>
        <w:pStyle w:val="Rationale"/>
        <w:rPr>
          <w:rFonts w:asciiTheme="minorHAnsi" w:hAnsiTheme="minorHAnsi" w:cstheme="minorHAnsi"/>
          <w:i/>
          <w:iCs/>
          <w:sz w:val="22"/>
          <w:szCs w:val="22"/>
        </w:rPr>
      </w:pPr>
      <w:r w:rsidRPr="007C67CC">
        <w:rPr>
          <w:rFonts w:asciiTheme="minorHAnsi" w:hAnsiTheme="minorHAnsi" w:cstheme="minorHAnsi"/>
          <w:i/>
          <w:sz w:val="22"/>
          <w:szCs w:val="22"/>
        </w:rPr>
        <w:t>Data source</w:t>
      </w:r>
      <w:r w:rsidRPr="007C67CC">
        <w:rPr>
          <w:rFonts w:asciiTheme="minorHAnsi" w:hAnsiTheme="minorHAnsi" w:cstheme="minorHAnsi"/>
          <w:sz w:val="22"/>
          <w:szCs w:val="22"/>
        </w:rPr>
        <w:t>: Patient discharge status code from Inpatient SAF IRF claim</w:t>
      </w:r>
    </w:p>
    <w:p w14:paraId="1A2F4C2E" w14:textId="77777777" w:rsidR="00E63B4F" w:rsidRPr="007C67CC" w:rsidRDefault="00E63B4F" w:rsidP="00E63B4F">
      <w:pPr>
        <w:pStyle w:val="NumberedListItal"/>
        <w:numPr>
          <w:ilvl w:val="0"/>
          <w:numId w:val="18"/>
        </w:numPr>
        <w:rPr>
          <w:rFonts w:asciiTheme="minorHAnsi" w:hAnsiTheme="minorHAnsi" w:cstheme="minorHAnsi"/>
          <w:sz w:val="22"/>
          <w:szCs w:val="22"/>
        </w:rPr>
      </w:pPr>
      <w:r w:rsidRPr="007C67CC">
        <w:rPr>
          <w:rFonts w:asciiTheme="minorHAnsi" w:hAnsiTheme="minorHAnsi" w:cstheme="minorHAnsi"/>
          <w:sz w:val="22"/>
          <w:szCs w:val="22"/>
        </w:rPr>
        <w:t xml:space="preserve">Planned discharges to an acute or LTCH setting </w:t>
      </w:r>
    </w:p>
    <w:p w14:paraId="238A384F" w14:textId="77777777" w:rsidR="00E63B4F" w:rsidRPr="007C67CC" w:rsidRDefault="00E63B4F" w:rsidP="00E63B4F">
      <w:pPr>
        <w:pStyle w:val="Rationale"/>
        <w:rPr>
          <w:rFonts w:asciiTheme="minorHAnsi" w:hAnsiTheme="minorHAnsi" w:cstheme="minorHAnsi"/>
          <w:sz w:val="22"/>
          <w:szCs w:val="22"/>
        </w:rPr>
      </w:pPr>
      <w:r w:rsidRPr="007C67CC">
        <w:rPr>
          <w:rFonts w:asciiTheme="minorHAnsi" w:hAnsiTheme="minorHAnsi" w:cstheme="minorHAnsi"/>
          <w:i/>
          <w:iCs/>
          <w:sz w:val="22"/>
          <w:szCs w:val="22"/>
        </w:rPr>
        <w:t xml:space="preserve">Rationale: </w:t>
      </w:r>
      <w:r w:rsidRPr="007C67CC">
        <w:rPr>
          <w:rFonts w:asciiTheme="minorHAnsi" w:hAnsiTheme="minorHAnsi" w:cstheme="minorHAnsi"/>
          <w:sz w:val="22"/>
          <w:szCs w:val="22"/>
        </w:rPr>
        <w:t xml:space="preserve">Planned discharges to an acute care hospital or LTCH are excluded as they indicate that community discharge was not appropriate for the patient. Planned discharges are determined based on the planned readmission algorithm described in </w:t>
      </w:r>
      <w:bookmarkStart w:id="31" w:name="_GoBack"/>
      <w:bookmarkEnd w:id="31"/>
      <w:r w:rsidRPr="007C67CC">
        <w:rPr>
          <w:rFonts w:asciiTheme="minorHAnsi" w:hAnsiTheme="minorHAnsi" w:cstheme="minorHAnsi"/>
          <w:sz w:val="22"/>
          <w:szCs w:val="22"/>
        </w:rPr>
        <w:t>section S.5.</w:t>
      </w:r>
    </w:p>
    <w:p w14:paraId="089F0000" w14:textId="77777777" w:rsidR="00E63B4F" w:rsidRPr="007C67CC" w:rsidRDefault="00E63B4F" w:rsidP="00E63B4F">
      <w:pPr>
        <w:pStyle w:val="Rationale"/>
        <w:rPr>
          <w:rFonts w:asciiTheme="minorHAnsi" w:hAnsiTheme="minorHAnsi" w:cstheme="minorHAnsi"/>
          <w:sz w:val="22"/>
          <w:szCs w:val="22"/>
        </w:rPr>
      </w:pPr>
      <w:bookmarkStart w:id="32" w:name="_Hlk520477601"/>
      <w:r w:rsidRPr="007C67CC">
        <w:rPr>
          <w:rFonts w:asciiTheme="minorHAnsi" w:hAnsiTheme="minorHAnsi" w:cstheme="minorHAnsi"/>
          <w:i/>
          <w:sz w:val="22"/>
          <w:szCs w:val="22"/>
        </w:rPr>
        <w:t>Data source</w:t>
      </w:r>
      <w:r w:rsidRPr="007C67CC">
        <w:rPr>
          <w:rFonts w:asciiTheme="minorHAnsi" w:hAnsiTheme="minorHAnsi" w:cstheme="minorHAnsi"/>
          <w:sz w:val="22"/>
          <w:szCs w:val="22"/>
        </w:rPr>
        <w:t>: The planned readmission algorithm is applied to diagnosis and procedure codes found on the first Inpatient SAF acute or LTCH claim, if any, on the day of or day after index IRF discharge.</w:t>
      </w:r>
    </w:p>
    <w:bookmarkEnd w:id="32"/>
    <w:p w14:paraId="56CFB68C" w14:textId="77777777" w:rsidR="00E63B4F" w:rsidRPr="007C67CC" w:rsidRDefault="00E63B4F" w:rsidP="00E63B4F">
      <w:pPr>
        <w:pStyle w:val="NumberedListItal"/>
        <w:numPr>
          <w:ilvl w:val="0"/>
          <w:numId w:val="18"/>
        </w:numPr>
        <w:rPr>
          <w:rFonts w:asciiTheme="minorHAnsi" w:hAnsiTheme="minorHAnsi" w:cstheme="minorHAnsi"/>
          <w:iCs/>
          <w:sz w:val="22"/>
          <w:szCs w:val="22"/>
        </w:rPr>
      </w:pPr>
      <w:r w:rsidRPr="007C67CC">
        <w:rPr>
          <w:rFonts w:asciiTheme="minorHAnsi" w:hAnsiTheme="minorHAnsi" w:cstheme="minorHAnsi"/>
          <w:sz w:val="22"/>
          <w:szCs w:val="22"/>
        </w:rPr>
        <w:t>Stays ending in discharge to hospice and those with a hospice benefit in the post-discharge observation window</w:t>
      </w:r>
    </w:p>
    <w:p w14:paraId="799AFBB0" w14:textId="77777777" w:rsidR="00E63B4F" w:rsidRPr="007C67CC" w:rsidRDefault="00E63B4F" w:rsidP="00E63B4F">
      <w:pPr>
        <w:pStyle w:val="Rationale"/>
        <w:rPr>
          <w:rFonts w:asciiTheme="minorHAnsi" w:hAnsiTheme="minorHAnsi" w:cstheme="minorHAnsi"/>
          <w:i/>
          <w:iCs/>
          <w:sz w:val="22"/>
          <w:szCs w:val="22"/>
        </w:rPr>
      </w:pPr>
      <w:r w:rsidRPr="007C67CC">
        <w:rPr>
          <w:rFonts w:asciiTheme="minorHAnsi" w:hAnsiTheme="minorHAnsi" w:cstheme="minorHAnsi"/>
          <w:i/>
          <w:iCs/>
          <w:sz w:val="22"/>
          <w:szCs w:val="22"/>
        </w:rPr>
        <w:t>Rationale:</w:t>
      </w:r>
    </w:p>
    <w:p w14:paraId="49B67F2E" w14:textId="77777777" w:rsidR="00E63B4F" w:rsidRPr="007C67CC" w:rsidRDefault="00E63B4F" w:rsidP="00E63B4F">
      <w:pPr>
        <w:pStyle w:val="rationalebullets"/>
        <w:rPr>
          <w:rFonts w:asciiTheme="minorHAnsi" w:hAnsiTheme="minorHAnsi" w:cstheme="minorHAnsi"/>
          <w:sz w:val="22"/>
          <w:szCs w:val="22"/>
        </w:rPr>
      </w:pPr>
      <w:r w:rsidRPr="007C67CC">
        <w:rPr>
          <w:rFonts w:asciiTheme="minorHAnsi" w:hAnsiTheme="minorHAnsi" w:cstheme="minorHAnsi"/>
          <w:sz w:val="22"/>
          <w:szCs w:val="22"/>
        </w:rPr>
        <w:lastRenderedPageBreak/>
        <w:t>a.</w:t>
      </w:r>
      <w:r w:rsidRPr="007C67CC">
        <w:rPr>
          <w:rFonts w:asciiTheme="minorHAnsi" w:hAnsiTheme="minorHAnsi" w:cstheme="minorHAnsi"/>
          <w:sz w:val="22"/>
          <w:szCs w:val="22"/>
        </w:rPr>
        <w:tab/>
        <w:t xml:space="preserve">Patients discharged to hospice care and those with a hospice benefit in the post-discharge observation window are terminally ill and have very different goals of care compared with non-hospice patients. For non-hospice patients, the primary goal of post-acute care is to return to baseline, independent living in the community; death is an undesirable outcome in the non-hospice population. For hospice patients, the goal is to provide them the opportunity to die comfortably, at home or in a facility. </w:t>
      </w:r>
    </w:p>
    <w:p w14:paraId="7939E571" w14:textId="77777777" w:rsidR="00E63B4F" w:rsidRPr="007C67CC" w:rsidRDefault="00E63B4F" w:rsidP="00E63B4F">
      <w:pPr>
        <w:pStyle w:val="rationalebullets"/>
        <w:rPr>
          <w:rFonts w:asciiTheme="minorHAnsi" w:hAnsiTheme="minorHAnsi" w:cstheme="minorHAnsi"/>
          <w:sz w:val="22"/>
          <w:szCs w:val="22"/>
        </w:rPr>
      </w:pPr>
      <w:r w:rsidRPr="007C67CC">
        <w:rPr>
          <w:rFonts w:asciiTheme="minorHAnsi" w:hAnsiTheme="minorHAnsi" w:cstheme="minorHAnsi"/>
          <w:sz w:val="22"/>
          <w:szCs w:val="22"/>
        </w:rPr>
        <w:t>b.</w:t>
      </w:r>
      <w:r w:rsidRPr="007C67CC">
        <w:rPr>
          <w:rFonts w:asciiTheme="minorHAnsi" w:hAnsiTheme="minorHAnsi" w:cstheme="minorHAnsi"/>
          <w:sz w:val="22"/>
          <w:szCs w:val="22"/>
        </w:rPr>
        <w:tab/>
        <w:t xml:space="preserve">A large proportion of hospice patients die in the 31-day window following discharge from the post-acute setting. </w:t>
      </w:r>
    </w:p>
    <w:p w14:paraId="3D24292C" w14:textId="77777777" w:rsidR="00E63B4F" w:rsidRPr="007C67CC" w:rsidRDefault="00E63B4F" w:rsidP="00E63B4F">
      <w:pPr>
        <w:pStyle w:val="rationalebullets"/>
        <w:rPr>
          <w:rFonts w:asciiTheme="minorHAnsi" w:hAnsiTheme="minorHAnsi" w:cstheme="minorHAnsi"/>
          <w:sz w:val="22"/>
          <w:szCs w:val="22"/>
        </w:rPr>
      </w:pPr>
      <w:r w:rsidRPr="007C67CC">
        <w:rPr>
          <w:rFonts w:asciiTheme="minorHAnsi" w:hAnsiTheme="minorHAnsi" w:cstheme="minorHAnsi"/>
          <w:sz w:val="22"/>
          <w:szCs w:val="22"/>
        </w:rPr>
        <w:t>c.</w:t>
      </w:r>
      <w:r w:rsidRPr="007C67CC">
        <w:rPr>
          <w:rFonts w:asciiTheme="minorHAnsi" w:hAnsiTheme="minorHAnsi" w:cstheme="minorHAnsi"/>
          <w:sz w:val="22"/>
          <w:szCs w:val="22"/>
        </w:rPr>
        <w:tab/>
        <w:t xml:space="preserve">The hospice agency, not the post-acute care setting, makes the final decision of discharge to hospice-home or hospice-facility. </w:t>
      </w:r>
      <w:bookmarkStart w:id="33" w:name="_Hlk520627658"/>
    </w:p>
    <w:p w14:paraId="2F4C400C" w14:textId="77777777" w:rsidR="00E63B4F" w:rsidRPr="007C67CC" w:rsidRDefault="00E63B4F" w:rsidP="00E63B4F">
      <w:pPr>
        <w:pStyle w:val="rationalebullets"/>
        <w:ind w:left="1166" w:firstLine="0"/>
        <w:rPr>
          <w:rFonts w:asciiTheme="minorHAnsi" w:hAnsiTheme="minorHAnsi" w:cstheme="minorHAnsi"/>
          <w:sz w:val="22"/>
          <w:szCs w:val="22"/>
        </w:rPr>
      </w:pPr>
      <w:bookmarkStart w:id="34" w:name="_Hlk520477649"/>
      <w:r w:rsidRPr="007C67CC">
        <w:rPr>
          <w:rFonts w:asciiTheme="minorHAnsi" w:hAnsiTheme="minorHAnsi" w:cstheme="minorHAnsi"/>
          <w:i/>
          <w:sz w:val="22"/>
          <w:szCs w:val="22"/>
        </w:rPr>
        <w:t>Data source</w:t>
      </w:r>
      <w:r w:rsidRPr="007C67CC">
        <w:rPr>
          <w:rFonts w:asciiTheme="minorHAnsi" w:hAnsiTheme="minorHAnsi" w:cstheme="minorHAnsi"/>
          <w:sz w:val="22"/>
          <w:szCs w:val="22"/>
        </w:rPr>
        <w:t>:</w:t>
      </w:r>
      <w:r w:rsidRPr="007C67CC">
        <w:rPr>
          <w:rFonts w:asciiTheme="minorHAnsi" w:eastAsia="Calibri" w:hAnsiTheme="minorHAnsi" w:cstheme="minorHAnsi"/>
          <w:sz w:val="22"/>
          <w:szCs w:val="22"/>
        </w:rPr>
        <w:t xml:space="preserve"> Discharge to hospice is determined based on the Inpatient SAF IRF claim. Post-discharge hospice benefit is determined based on hospice enrollment dates (start and termination dates) in the Enrollment Database (EDB). </w:t>
      </w:r>
      <w:bookmarkEnd w:id="33"/>
    </w:p>
    <w:bookmarkEnd w:id="34"/>
    <w:p w14:paraId="1B41D5A4" w14:textId="77777777" w:rsidR="00E63B4F" w:rsidRPr="007C67CC" w:rsidRDefault="00E63B4F" w:rsidP="00E63B4F">
      <w:pPr>
        <w:pStyle w:val="NumberedListItal"/>
        <w:numPr>
          <w:ilvl w:val="0"/>
          <w:numId w:val="18"/>
        </w:numPr>
        <w:rPr>
          <w:rFonts w:asciiTheme="minorHAnsi" w:hAnsiTheme="minorHAnsi" w:cstheme="minorHAnsi"/>
          <w:sz w:val="22"/>
          <w:szCs w:val="22"/>
        </w:rPr>
      </w:pPr>
      <w:r w:rsidRPr="007C67CC">
        <w:rPr>
          <w:rFonts w:asciiTheme="minorHAnsi" w:hAnsiTheme="minorHAnsi" w:cstheme="minorHAnsi"/>
          <w:sz w:val="22"/>
          <w:szCs w:val="22"/>
        </w:rPr>
        <w:t>Patients not continuously enrolled in Part A FFS Medicare for the 12 months prior to the IRF admission date, and at least 31 days after IRF discharge date</w:t>
      </w:r>
    </w:p>
    <w:p w14:paraId="47ADC0C8" w14:textId="77777777" w:rsidR="00E63B4F" w:rsidRPr="007C67CC" w:rsidRDefault="00E63B4F" w:rsidP="00E63B4F">
      <w:pPr>
        <w:pStyle w:val="Rationale"/>
        <w:rPr>
          <w:rFonts w:asciiTheme="minorHAnsi" w:hAnsiTheme="minorHAnsi" w:cstheme="minorHAnsi"/>
          <w:sz w:val="22"/>
          <w:szCs w:val="22"/>
        </w:rPr>
      </w:pPr>
      <w:r w:rsidRPr="007C67CC">
        <w:rPr>
          <w:rFonts w:asciiTheme="minorHAnsi" w:hAnsiTheme="minorHAnsi" w:cstheme="minorHAnsi"/>
          <w:i/>
          <w:iCs/>
          <w:sz w:val="22"/>
          <w:szCs w:val="22"/>
        </w:rPr>
        <w:t xml:space="preserve">Rationale: </w:t>
      </w:r>
      <w:r w:rsidRPr="007C67CC">
        <w:rPr>
          <w:rFonts w:asciiTheme="minorHAnsi" w:hAnsiTheme="minorHAnsi" w:cstheme="minorHAnsi"/>
          <w:sz w:val="22"/>
          <w:szCs w:val="22"/>
        </w:rPr>
        <w:t xml:space="preserve">Patients not continuously enrolled in Medicare Part A FFS for the 12 months prior to IRF admission date are excluded because </w:t>
      </w:r>
      <w:r>
        <w:rPr>
          <w:rFonts w:asciiTheme="minorHAnsi" w:hAnsiTheme="minorHAnsi" w:cstheme="minorHAnsi"/>
          <w:sz w:val="22"/>
          <w:szCs w:val="22"/>
        </w:rPr>
        <w:t>risk-adjustment</w:t>
      </w:r>
      <w:r w:rsidRPr="007C67CC">
        <w:rPr>
          <w:rFonts w:asciiTheme="minorHAnsi" w:hAnsiTheme="minorHAnsi" w:cstheme="minorHAnsi"/>
          <w:sz w:val="22"/>
          <w:szCs w:val="22"/>
        </w:rPr>
        <w:t xml:space="preserve"> for certain comorbidities requires information on acute inpatient bills for one year prior to IRF admission. Patients not continuously enrolled in Medicare Part A FFS for at least 31 days after IRF discharge are excluded because readmissions and death must be observable in the 31-day post-discharge period. Patients without Part A coverage or those who are enrolled in Medicare Advantage plans will not have complete inpatient claims in the system.</w:t>
      </w:r>
    </w:p>
    <w:p w14:paraId="6FC98814" w14:textId="77777777" w:rsidR="00E63B4F" w:rsidRPr="007C67CC" w:rsidRDefault="00E63B4F" w:rsidP="00E63B4F">
      <w:pPr>
        <w:pStyle w:val="Rationale"/>
        <w:rPr>
          <w:rFonts w:asciiTheme="minorHAnsi" w:hAnsiTheme="minorHAnsi" w:cstheme="minorHAnsi"/>
          <w:i/>
          <w:iCs/>
          <w:sz w:val="22"/>
          <w:szCs w:val="22"/>
        </w:rPr>
      </w:pPr>
      <w:bookmarkStart w:id="35" w:name="_Hlk520477674"/>
      <w:r w:rsidRPr="007C67CC">
        <w:rPr>
          <w:rFonts w:asciiTheme="minorHAnsi" w:hAnsiTheme="minorHAnsi" w:cstheme="minorHAnsi"/>
          <w:i/>
          <w:sz w:val="22"/>
          <w:szCs w:val="22"/>
        </w:rPr>
        <w:t>Data source</w:t>
      </w:r>
      <w:r w:rsidRPr="007C67CC">
        <w:rPr>
          <w:rFonts w:asciiTheme="minorHAnsi" w:hAnsiTheme="minorHAnsi" w:cstheme="minorHAnsi"/>
          <w:sz w:val="22"/>
          <w:szCs w:val="22"/>
        </w:rPr>
        <w:t>: EDB and Denominator Files</w:t>
      </w:r>
    </w:p>
    <w:bookmarkEnd w:id="35"/>
    <w:p w14:paraId="217655C9" w14:textId="77777777" w:rsidR="00E63B4F" w:rsidRPr="007C67CC" w:rsidRDefault="00E63B4F" w:rsidP="00E63B4F">
      <w:pPr>
        <w:pStyle w:val="NumberedListItal"/>
        <w:numPr>
          <w:ilvl w:val="0"/>
          <w:numId w:val="18"/>
        </w:numPr>
        <w:rPr>
          <w:rFonts w:asciiTheme="minorHAnsi" w:hAnsiTheme="minorHAnsi" w:cstheme="minorHAnsi"/>
          <w:sz w:val="22"/>
          <w:szCs w:val="22"/>
        </w:rPr>
      </w:pPr>
      <w:r w:rsidRPr="007C67CC">
        <w:rPr>
          <w:rFonts w:asciiTheme="minorHAnsi" w:hAnsiTheme="minorHAnsi" w:cstheme="minorHAnsi"/>
          <w:sz w:val="22"/>
          <w:szCs w:val="22"/>
        </w:rPr>
        <w:t xml:space="preserve">IRF stays for which the prior short-term acute care stay was for non-surgical treatment of cancer </w:t>
      </w:r>
    </w:p>
    <w:p w14:paraId="53C5D6DC" w14:textId="77777777" w:rsidR="00E63B4F" w:rsidRPr="007C67CC" w:rsidRDefault="00E63B4F" w:rsidP="00E63B4F">
      <w:pPr>
        <w:pStyle w:val="Rationale"/>
        <w:rPr>
          <w:rFonts w:asciiTheme="minorHAnsi" w:hAnsiTheme="minorHAnsi" w:cstheme="minorHAnsi"/>
          <w:sz w:val="22"/>
          <w:szCs w:val="22"/>
        </w:rPr>
      </w:pPr>
      <w:r w:rsidRPr="007C67CC">
        <w:rPr>
          <w:rFonts w:asciiTheme="minorHAnsi" w:hAnsiTheme="minorHAnsi" w:cstheme="minorHAnsi"/>
          <w:i/>
          <w:iCs/>
          <w:sz w:val="22"/>
          <w:szCs w:val="22"/>
        </w:rPr>
        <w:t xml:space="preserve">Rationale: </w:t>
      </w:r>
      <w:r w:rsidRPr="007C67CC">
        <w:rPr>
          <w:rFonts w:asciiTheme="minorHAnsi" w:hAnsiTheme="minorHAnsi" w:cstheme="minorHAnsi"/>
          <w:sz w:val="22"/>
          <w:szCs w:val="22"/>
        </w:rPr>
        <w:t xml:space="preserve">Patient stays for which the prior short-term acute care stay was for non-surgical treatment of cancer are excluded because they have a different trajectory for recovery after discharge, with a high mortality rate. Exclusion of these stays is consistent with the hospital-wide and post-acute readmission measures listed in section S.5. </w:t>
      </w:r>
    </w:p>
    <w:p w14:paraId="67D0A3C4" w14:textId="77777777" w:rsidR="00E63B4F" w:rsidRPr="007C67CC" w:rsidRDefault="00E63B4F" w:rsidP="00E63B4F">
      <w:pPr>
        <w:pStyle w:val="Rationale"/>
        <w:rPr>
          <w:rFonts w:asciiTheme="minorHAnsi" w:hAnsiTheme="minorHAnsi" w:cstheme="minorHAnsi"/>
          <w:sz w:val="22"/>
          <w:szCs w:val="22"/>
        </w:rPr>
      </w:pPr>
      <w:bookmarkStart w:id="36" w:name="_Hlk520477686"/>
      <w:r w:rsidRPr="007C67CC">
        <w:rPr>
          <w:rFonts w:asciiTheme="minorHAnsi" w:hAnsiTheme="minorHAnsi" w:cstheme="minorHAnsi"/>
          <w:i/>
          <w:sz w:val="22"/>
          <w:szCs w:val="22"/>
        </w:rPr>
        <w:t>Data source</w:t>
      </w:r>
      <w:r w:rsidRPr="007C67CC">
        <w:rPr>
          <w:rFonts w:asciiTheme="minorHAnsi" w:hAnsiTheme="minorHAnsi" w:cstheme="minorHAnsi"/>
          <w:sz w:val="22"/>
          <w:szCs w:val="22"/>
        </w:rPr>
        <w:t>: Diagnosis codes from the Inpatient SAF prior acute claim</w:t>
      </w:r>
    </w:p>
    <w:bookmarkEnd w:id="36"/>
    <w:p w14:paraId="4A277AFB" w14:textId="77777777" w:rsidR="00E63B4F" w:rsidRPr="007C67CC" w:rsidRDefault="00E63B4F" w:rsidP="00E63B4F">
      <w:pPr>
        <w:pStyle w:val="NumberedListItal"/>
        <w:numPr>
          <w:ilvl w:val="0"/>
          <w:numId w:val="18"/>
        </w:numPr>
        <w:rPr>
          <w:rFonts w:asciiTheme="minorHAnsi" w:hAnsiTheme="minorHAnsi" w:cstheme="minorHAnsi"/>
          <w:sz w:val="22"/>
          <w:szCs w:val="22"/>
        </w:rPr>
      </w:pPr>
      <w:r w:rsidRPr="007C67CC">
        <w:rPr>
          <w:rFonts w:asciiTheme="minorHAnsi" w:hAnsiTheme="minorHAnsi" w:cstheme="minorHAnsi"/>
          <w:sz w:val="22"/>
          <w:szCs w:val="22"/>
        </w:rPr>
        <w:t>IRF stays that end in transfer to the same level of care</w:t>
      </w:r>
    </w:p>
    <w:p w14:paraId="67A5D4C9" w14:textId="77777777" w:rsidR="00E63B4F" w:rsidRPr="007C67CC" w:rsidRDefault="00E63B4F" w:rsidP="00E63B4F">
      <w:pPr>
        <w:pStyle w:val="Rationale"/>
        <w:rPr>
          <w:rFonts w:asciiTheme="minorHAnsi" w:hAnsiTheme="minorHAnsi" w:cstheme="minorHAnsi"/>
          <w:sz w:val="22"/>
          <w:szCs w:val="22"/>
        </w:rPr>
      </w:pPr>
      <w:r w:rsidRPr="007C67CC">
        <w:rPr>
          <w:rFonts w:asciiTheme="minorHAnsi" w:hAnsiTheme="minorHAnsi" w:cstheme="minorHAnsi"/>
          <w:i/>
          <w:iCs/>
          <w:sz w:val="22"/>
          <w:szCs w:val="22"/>
        </w:rPr>
        <w:t xml:space="preserve">Rationale: </w:t>
      </w:r>
      <w:r w:rsidRPr="007C67CC">
        <w:rPr>
          <w:rFonts w:asciiTheme="minorHAnsi" w:hAnsiTheme="minorHAnsi" w:cstheme="minorHAnsi"/>
          <w:sz w:val="22"/>
          <w:szCs w:val="22"/>
        </w:rPr>
        <w:t>IRF stays that end in transfer to another IRF are excluded from the measure because the IRF episode has not ended. For an IRF episode that involves transfer to another IRF, only the final IRF provider is included in the measure. (Note that this exclusion does not apply to transitions across different levels of post-acute care (e.g., IRF-to-SNF)).</w:t>
      </w:r>
    </w:p>
    <w:p w14:paraId="5FE1088C" w14:textId="77777777" w:rsidR="00E63B4F" w:rsidRPr="007C67CC" w:rsidRDefault="00E63B4F" w:rsidP="00E63B4F">
      <w:pPr>
        <w:pStyle w:val="Rationale"/>
        <w:rPr>
          <w:rFonts w:asciiTheme="minorHAnsi" w:hAnsiTheme="minorHAnsi" w:cstheme="minorHAnsi"/>
          <w:sz w:val="22"/>
          <w:szCs w:val="22"/>
        </w:rPr>
      </w:pPr>
      <w:bookmarkStart w:id="37" w:name="_Hlk520477742"/>
      <w:r w:rsidRPr="007C67CC">
        <w:rPr>
          <w:rFonts w:asciiTheme="minorHAnsi" w:hAnsiTheme="minorHAnsi" w:cstheme="minorHAnsi"/>
          <w:i/>
          <w:sz w:val="22"/>
          <w:szCs w:val="22"/>
        </w:rPr>
        <w:t>Data source</w:t>
      </w:r>
      <w:r w:rsidRPr="007C67CC">
        <w:rPr>
          <w:rFonts w:asciiTheme="minorHAnsi" w:hAnsiTheme="minorHAnsi" w:cstheme="minorHAnsi"/>
          <w:sz w:val="22"/>
          <w:szCs w:val="22"/>
        </w:rPr>
        <w:t>: Patient discharge status code from Inpatient SAF IRF claim</w:t>
      </w:r>
    </w:p>
    <w:bookmarkEnd w:id="37"/>
    <w:p w14:paraId="5711C16B" w14:textId="77777777" w:rsidR="00E63B4F" w:rsidRPr="007C67CC" w:rsidRDefault="00E63B4F" w:rsidP="00E63B4F">
      <w:pPr>
        <w:pStyle w:val="NumberedListItal"/>
        <w:numPr>
          <w:ilvl w:val="0"/>
          <w:numId w:val="18"/>
        </w:numPr>
        <w:rPr>
          <w:rFonts w:asciiTheme="minorHAnsi" w:hAnsiTheme="minorHAnsi" w:cstheme="minorHAnsi"/>
          <w:sz w:val="22"/>
          <w:szCs w:val="22"/>
        </w:rPr>
      </w:pPr>
      <w:r w:rsidRPr="007C67CC">
        <w:rPr>
          <w:rFonts w:asciiTheme="minorHAnsi" w:hAnsiTheme="minorHAnsi" w:cstheme="minorHAnsi"/>
          <w:sz w:val="22"/>
          <w:szCs w:val="22"/>
        </w:rPr>
        <w:t xml:space="preserve">IRF stays with claims data that are problematic </w:t>
      </w:r>
      <w:bookmarkStart w:id="38" w:name="_Hlk520373041"/>
      <w:r w:rsidRPr="007C67CC">
        <w:rPr>
          <w:rFonts w:asciiTheme="minorHAnsi" w:hAnsiTheme="minorHAnsi" w:cstheme="minorHAnsi"/>
          <w:sz w:val="22"/>
          <w:szCs w:val="22"/>
        </w:rPr>
        <w:t>(e.g., anomalous records for stays that overlap wholly or in part or are otherwise erroneous or contradictory, stays not matched to the denominator or EDB files, claims not paid)</w:t>
      </w:r>
    </w:p>
    <w:p w14:paraId="5F36088D" w14:textId="77777777" w:rsidR="00E63B4F" w:rsidRPr="007C67CC" w:rsidRDefault="00E63B4F" w:rsidP="00E63B4F">
      <w:pPr>
        <w:pStyle w:val="Rationale"/>
        <w:rPr>
          <w:rFonts w:asciiTheme="minorHAnsi" w:hAnsiTheme="minorHAnsi" w:cstheme="minorHAnsi"/>
          <w:sz w:val="22"/>
          <w:szCs w:val="22"/>
        </w:rPr>
      </w:pPr>
      <w:r w:rsidRPr="007C67CC">
        <w:rPr>
          <w:rFonts w:asciiTheme="minorHAnsi" w:hAnsiTheme="minorHAnsi" w:cstheme="minorHAnsi"/>
          <w:i/>
          <w:iCs/>
          <w:sz w:val="22"/>
          <w:szCs w:val="22"/>
        </w:rPr>
        <w:lastRenderedPageBreak/>
        <w:t xml:space="preserve">Rationale: </w:t>
      </w:r>
      <w:r w:rsidRPr="007C67CC">
        <w:rPr>
          <w:rFonts w:asciiTheme="minorHAnsi" w:hAnsiTheme="minorHAnsi" w:cstheme="minorHAnsi"/>
          <w:sz w:val="22"/>
          <w:szCs w:val="22"/>
        </w:rPr>
        <w:t xml:space="preserve">This measure requires accurate information from the post-acute stay and prior short-term acute care stay and from the denominator and EDB files for </w:t>
      </w:r>
      <w:r>
        <w:rPr>
          <w:rFonts w:asciiTheme="minorHAnsi" w:hAnsiTheme="minorHAnsi" w:cstheme="minorHAnsi"/>
          <w:sz w:val="22"/>
          <w:szCs w:val="22"/>
        </w:rPr>
        <w:t>risk-adjustment</w:t>
      </w:r>
      <w:r w:rsidRPr="007C67CC">
        <w:rPr>
          <w:rFonts w:asciiTheme="minorHAnsi" w:hAnsiTheme="minorHAnsi" w:cstheme="minorHAnsi"/>
          <w:sz w:val="22"/>
          <w:szCs w:val="22"/>
        </w:rPr>
        <w:t>.</w:t>
      </w:r>
    </w:p>
    <w:p w14:paraId="36F2EB88" w14:textId="77777777" w:rsidR="00E63B4F" w:rsidRPr="007C67CC" w:rsidRDefault="00E63B4F" w:rsidP="00E63B4F">
      <w:pPr>
        <w:pStyle w:val="Rationale"/>
        <w:rPr>
          <w:rFonts w:asciiTheme="minorHAnsi" w:hAnsiTheme="minorHAnsi" w:cstheme="minorHAnsi"/>
          <w:sz w:val="22"/>
          <w:szCs w:val="22"/>
        </w:rPr>
      </w:pPr>
      <w:bookmarkStart w:id="39" w:name="_Hlk520477770"/>
      <w:r w:rsidRPr="007C67CC">
        <w:rPr>
          <w:rFonts w:asciiTheme="minorHAnsi" w:hAnsiTheme="minorHAnsi" w:cstheme="minorHAnsi"/>
          <w:i/>
          <w:sz w:val="22"/>
          <w:szCs w:val="22"/>
        </w:rPr>
        <w:t>Data source</w:t>
      </w:r>
      <w:r w:rsidRPr="007C67CC">
        <w:rPr>
          <w:rFonts w:asciiTheme="minorHAnsi" w:hAnsiTheme="minorHAnsi" w:cstheme="minorHAnsi"/>
          <w:sz w:val="22"/>
          <w:szCs w:val="22"/>
        </w:rPr>
        <w:t>: Inpatient SAF claims, EDB and denominator files</w:t>
      </w:r>
    </w:p>
    <w:bookmarkEnd w:id="38"/>
    <w:bookmarkEnd w:id="39"/>
    <w:p w14:paraId="20427FDF" w14:textId="77777777" w:rsidR="00E63B4F" w:rsidRPr="007C67CC" w:rsidRDefault="00E63B4F" w:rsidP="00E63B4F">
      <w:pPr>
        <w:pStyle w:val="NumberedListItal"/>
        <w:numPr>
          <w:ilvl w:val="0"/>
          <w:numId w:val="18"/>
        </w:numPr>
        <w:rPr>
          <w:rFonts w:asciiTheme="minorHAnsi" w:hAnsiTheme="minorHAnsi" w:cstheme="minorHAnsi"/>
          <w:sz w:val="22"/>
          <w:szCs w:val="22"/>
        </w:rPr>
      </w:pPr>
      <w:r w:rsidRPr="007C67CC">
        <w:rPr>
          <w:rFonts w:asciiTheme="minorHAnsi" w:hAnsiTheme="minorHAnsi" w:cstheme="minorHAnsi"/>
          <w:sz w:val="22"/>
          <w:szCs w:val="22"/>
        </w:rPr>
        <w:t xml:space="preserve">Medicare Part A benefits exhausted </w:t>
      </w:r>
    </w:p>
    <w:p w14:paraId="32306215" w14:textId="77777777" w:rsidR="00E63B4F" w:rsidRPr="007C67CC" w:rsidRDefault="00E63B4F" w:rsidP="00E63B4F">
      <w:pPr>
        <w:pStyle w:val="Rationale"/>
        <w:rPr>
          <w:rFonts w:asciiTheme="minorHAnsi" w:hAnsiTheme="minorHAnsi" w:cstheme="minorHAnsi"/>
          <w:sz w:val="22"/>
          <w:szCs w:val="22"/>
        </w:rPr>
      </w:pPr>
      <w:r w:rsidRPr="007C67CC">
        <w:rPr>
          <w:rFonts w:asciiTheme="minorHAnsi" w:hAnsiTheme="minorHAnsi" w:cstheme="minorHAnsi"/>
          <w:i/>
          <w:iCs/>
          <w:sz w:val="22"/>
          <w:szCs w:val="22"/>
        </w:rPr>
        <w:t xml:space="preserve">Rationale: </w:t>
      </w:r>
      <w:r w:rsidRPr="007C67CC">
        <w:rPr>
          <w:rFonts w:asciiTheme="minorHAnsi" w:hAnsiTheme="minorHAnsi" w:cstheme="minorHAnsi"/>
          <w:sz w:val="22"/>
          <w:szCs w:val="22"/>
        </w:rPr>
        <w:t>Patient stays that have exhausted Medicare Part A coverage during the IRF stay are excluded because the discharge destination decision may be related to exhaustion of benefits.</w:t>
      </w:r>
    </w:p>
    <w:p w14:paraId="052F91D4" w14:textId="77777777" w:rsidR="00E63B4F" w:rsidRDefault="00E63B4F" w:rsidP="00E63B4F">
      <w:pPr>
        <w:pStyle w:val="Rationale"/>
        <w:rPr>
          <w:rFonts w:cstheme="minorHAnsi"/>
          <w:i/>
        </w:rPr>
      </w:pPr>
      <w:bookmarkStart w:id="40" w:name="_Hlk520477782"/>
      <w:r w:rsidRPr="007C67CC">
        <w:rPr>
          <w:rFonts w:asciiTheme="minorHAnsi" w:hAnsiTheme="minorHAnsi" w:cstheme="minorHAnsi"/>
          <w:i/>
          <w:sz w:val="22"/>
          <w:szCs w:val="22"/>
        </w:rPr>
        <w:t>Data source</w:t>
      </w:r>
      <w:r w:rsidRPr="007C67CC">
        <w:rPr>
          <w:rFonts w:asciiTheme="minorHAnsi" w:hAnsiTheme="minorHAnsi" w:cstheme="minorHAnsi"/>
          <w:sz w:val="22"/>
          <w:szCs w:val="22"/>
        </w:rPr>
        <w:t>: Inpatient SAF IRF claim</w:t>
      </w:r>
      <w:bookmarkEnd w:id="40"/>
    </w:p>
    <w:p w14:paraId="0CFA2F76" w14:textId="77777777" w:rsidR="00E63B4F" w:rsidRPr="007C67CC" w:rsidRDefault="00E63B4F" w:rsidP="00E63B4F">
      <w:pPr>
        <w:pStyle w:val="NumberedListItal"/>
        <w:numPr>
          <w:ilvl w:val="0"/>
          <w:numId w:val="18"/>
        </w:numPr>
        <w:rPr>
          <w:rFonts w:asciiTheme="minorHAnsi" w:hAnsiTheme="minorHAnsi" w:cstheme="minorHAnsi"/>
          <w:sz w:val="22"/>
          <w:szCs w:val="22"/>
        </w:rPr>
      </w:pPr>
      <w:r w:rsidRPr="007C67CC">
        <w:rPr>
          <w:rFonts w:asciiTheme="minorHAnsi" w:hAnsiTheme="minorHAnsi" w:cstheme="minorHAnsi"/>
          <w:sz w:val="22"/>
          <w:szCs w:val="22"/>
        </w:rPr>
        <w:t>Patient stays from facilities located outside of the United States, Puerto Rico or a U.S. territory</w:t>
      </w:r>
    </w:p>
    <w:p w14:paraId="74FB733E" w14:textId="77777777" w:rsidR="00E63B4F" w:rsidRPr="007C67CC" w:rsidRDefault="00E63B4F" w:rsidP="00E63B4F">
      <w:pPr>
        <w:pStyle w:val="Rationale"/>
        <w:rPr>
          <w:rFonts w:asciiTheme="minorHAnsi" w:hAnsiTheme="minorHAnsi" w:cstheme="minorHAnsi"/>
          <w:sz w:val="22"/>
          <w:szCs w:val="22"/>
        </w:rPr>
      </w:pPr>
      <w:r w:rsidRPr="007C67CC">
        <w:rPr>
          <w:rFonts w:asciiTheme="minorHAnsi" w:hAnsiTheme="minorHAnsi" w:cstheme="minorHAnsi"/>
          <w:i/>
          <w:iCs/>
          <w:sz w:val="22"/>
          <w:szCs w:val="22"/>
        </w:rPr>
        <w:t xml:space="preserve">Rationale: </w:t>
      </w:r>
      <w:r w:rsidRPr="007C67CC">
        <w:rPr>
          <w:rFonts w:asciiTheme="minorHAnsi" w:hAnsiTheme="minorHAnsi" w:cstheme="minorHAnsi"/>
          <w:sz w:val="22"/>
          <w:szCs w:val="22"/>
        </w:rPr>
        <w:t>Patient stays from foreign facilities may not have complete inpatient claims in the system, and these facilities may not be subject to policy decisions related to this quality measure nor included in the IRF Quality Reporting Program.</w:t>
      </w:r>
    </w:p>
    <w:p w14:paraId="6D810642" w14:textId="77777777" w:rsidR="00E63B4F" w:rsidRPr="007C67CC" w:rsidRDefault="00E63B4F" w:rsidP="00E63B4F">
      <w:pPr>
        <w:pStyle w:val="Rationale"/>
        <w:rPr>
          <w:rFonts w:asciiTheme="minorHAnsi" w:hAnsiTheme="minorHAnsi" w:cstheme="minorHAnsi"/>
          <w:sz w:val="22"/>
          <w:szCs w:val="22"/>
        </w:rPr>
      </w:pPr>
      <w:bookmarkStart w:id="41" w:name="_Hlk520477804"/>
      <w:r w:rsidRPr="007C67CC">
        <w:rPr>
          <w:rFonts w:asciiTheme="minorHAnsi" w:hAnsiTheme="minorHAnsi" w:cstheme="minorHAnsi"/>
          <w:i/>
          <w:sz w:val="22"/>
          <w:szCs w:val="22"/>
        </w:rPr>
        <w:t>Data source</w:t>
      </w:r>
      <w:r w:rsidRPr="007C67CC">
        <w:rPr>
          <w:rFonts w:asciiTheme="minorHAnsi" w:hAnsiTheme="minorHAnsi" w:cstheme="minorHAnsi"/>
          <w:sz w:val="22"/>
          <w:szCs w:val="22"/>
        </w:rPr>
        <w:t>: CMS Certification Number from the Inpatient SAF IRF claim</w:t>
      </w:r>
      <w:bookmarkEnd w:id="41"/>
    </w:p>
    <w:p w14:paraId="09DA122F" w14:textId="77777777" w:rsidR="00E63B4F" w:rsidRPr="0039502E" w:rsidRDefault="00E63B4F" w:rsidP="00E63B4F">
      <w:pPr>
        <w:rPr>
          <w:rFonts w:eastAsia="Trebuchet MS" w:cstheme="minorHAnsi"/>
          <w:i/>
          <w:iCs/>
          <w:color w:val="333333"/>
          <w:lang w:val="en"/>
        </w:rPr>
      </w:pPr>
      <w:r w:rsidRPr="0039502E">
        <w:rPr>
          <w:rFonts w:eastAsia="Trebuchet MS" w:cstheme="minorHAnsi"/>
          <w:b/>
          <w:bCs/>
          <w:color w:val="333333"/>
          <w:lang w:val="en"/>
        </w:rPr>
        <w:t xml:space="preserve">S.10. Stratification Information </w:t>
      </w:r>
      <w:r w:rsidRPr="0039502E">
        <w:rPr>
          <w:rFonts w:eastAsia="Trebuchet MS" w:cstheme="minorHAnsi"/>
          <w:i/>
          <w:iCs/>
          <w:color w:val="333333"/>
          <w:lang w:val="en"/>
        </w:rPr>
        <w:t>(Provide all information required to stratify the measure results, if necessary, including the stratification variables, definitions, specific data collection items/responses, code/value sets, and the risk-model covariates and coefficients for the clinically-adjusted version of the measure when appropriate – Note: lists of individual codes with descriptors that exceed 1 page should be provided in an Excel or csv file in required format with at S.2b)</w:t>
      </w:r>
    </w:p>
    <w:p w14:paraId="0DF84076" w14:textId="77777777" w:rsidR="00E63B4F" w:rsidRPr="007C67CC" w:rsidRDefault="00E63B4F" w:rsidP="00E63B4F">
      <w:pPr>
        <w:rPr>
          <w:rFonts w:eastAsia="Trebuchet MS" w:cstheme="minorHAnsi"/>
          <w:shd w:val="clear" w:color="auto" w:fill="FFFFFF"/>
        </w:rPr>
      </w:pPr>
      <w:r w:rsidRPr="007C67CC">
        <w:rPr>
          <w:rFonts w:eastAsia="Trebuchet MS" w:cstheme="minorHAnsi"/>
          <w:shd w:val="clear" w:color="auto" w:fill="FFFFFF"/>
        </w:rPr>
        <w:t>Not applicable.</w:t>
      </w:r>
      <w:r>
        <w:rPr>
          <w:rFonts w:eastAsia="Trebuchet MS" w:cstheme="minorHAnsi"/>
          <w:shd w:val="clear" w:color="auto" w:fill="FFFFFF"/>
        </w:rPr>
        <w:t xml:space="preserve"> Measure is not stratified.</w:t>
      </w:r>
    </w:p>
    <w:p w14:paraId="07CDA8DE" w14:textId="77777777" w:rsidR="00E63B4F" w:rsidRPr="0039502E" w:rsidRDefault="00E63B4F" w:rsidP="00E63B4F">
      <w:pPr>
        <w:rPr>
          <w:rFonts w:eastAsia="Trebuchet MS" w:cstheme="minorHAnsi"/>
          <w:color w:val="333333"/>
          <w:lang w:val="en"/>
        </w:rPr>
      </w:pPr>
      <w:r w:rsidRPr="0039502E">
        <w:rPr>
          <w:rFonts w:eastAsia="Trebuchet MS" w:cstheme="minorHAnsi"/>
          <w:b/>
          <w:bCs/>
          <w:color w:val="333333"/>
          <w:shd w:val="clear" w:color="auto" w:fill="FFFFFF"/>
        </w:rPr>
        <w:t xml:space="preserve">S11. </w:t>
      </w:r>
      <w:r>
        <w:rPr>
          <w:rFonts w:eastAsia="Trebuchet MS" w:cstheme="minorHAnsi"/>
          <w:b/>
          <w:bCs/>
          <w:color w:val="333333"/>
          <w:lang w:val="en"/>
        </w:rPr>
        <w:t>Risk-adjustment</w:t>
      </w:r>
      <w:r w:rsidRPr="0039502E">
        <w:rPr>
          <w:rFonts w:eastAsia="Trebuchet MS" w:cstheme="minorHAnsi"/>
          <w:b/>
          <w:bCs/>
          <w:color w:val="333333"/>
          <w:lang w:val="en"/>
        </w:rPr>
        <w:t xml:space="preserve"> Type </w:t>
      </w:r>
      <w:r w:rsidRPr="0039502E">
        <w:rPr>
          <w:rFonts w:eastAsia="Trebuchet MS" w:cstheme="minorHAnsi"/>
          <w:color w:val="333333"/>
          <w:lang w:val="en"/>
        </w:rPr>
        <w:t>(Select type. Provide specifications for risk stratification in measure testing attachment)</w:t>
      </w:r>
    </w:p>
    <w:p w14:paraId="77D3F063" w14:textId="77777777" w:rsidR="00E63B4F" w:rsidRPr="007C67CC" w:rsidRDefault="00E63B4F" w:rsidP="00E63B4F">
      <w:pPr>
        <w:rPr>
          <w:rFonts w:eastAsia="Trebuchet MS" w:cstheme="minorHAnsi"/>
          <w:b/>
          <w:bCs/>
        </w:rPr>
      </w:pPr>
      <w:r w:rsidRPr="007C67CC">
        <w:rPr>
          <w:rFonts w:eastAsia="Trebuchet MS" w:cstheme="minorHAnsi"/>
          <w:shd w:val="clear" w:color="auto" w:fill="FFFFFF"/>
        </w:rPr>
        <w:t>Statistical risk model</w:t>
      </w:r>
    </w:p>
    <w:p w14:paraId="18B9F875" w14:textId="77777777" w:rsidR="00E63B4F" w:rsidRPr="0039502E" w:rsidRDefault="00E63B4F" w:rsidP="00E63B4F">
      <w:pPr>
        <w:rPr>
          <w:rFonts w:eastAsia="Trebuchet MS" w:cstheme="minorHAnsi"/>
          <w:b/>
          <w:bCs/>
          <w:color w:val="333333"/>
          <w:lang w:val="en"/>
        </w:rPr>
      </w:pPr>
      <w:r w:rsidRPr="0039502E">
        <w:rPr>
          <w:rFonts w:eastAsia="Trebuchet MS" w:cstheme="minorHAnsi"/>
          <w:b/>
          <w:bCs/>
          <w:color w:val="333333"/>
          <w:lang w:val="en"/>
        </w:rPr>
        <w:t>S.12. Type of score:</w:t>
      </w:r>
    </w:p>
    <w:p w14:paraId="317D68F6" w14:textId="77777777" w:rsidR="00E63B4F" w:rsidRPr="007C67CC" w:rsidRDefault="00E63B4F" w:rsidP="00E63B4F">
      <w:pPr>
        <w:rPr>
          <w:rFonts w:eastAsia="Trebuchet MS" w:cstheme="minorHAnsi"/>
          <w:shd w:val="clear" w:color="auto" w:fill="FFFFFF"/>
        </w:rPr>
      </w:pPr>
      <w:r w:rsidRPr="007C67CC">
        <w:rPr>
          <w:rFonts w:eastAsia="Trebuchet MS" w:cstheme="minorHAnsi"/>
          <w:shd w:val="clear" w:color="auto" w:fill="FFFFFF"/>
        </w:rPr>
        <w:t>Rate/proportion</w:t>
      </w:r>
    </w:p>
    <w:p w14:paraId="333071A5" w14:textId="77777777" w:rsidR="00E63B4F" w:rsidRPr="0039502E" w:rsidRDefault="00E63B4F" w:rsidP="00E63B4F">
      <w:pPr>
        <w:rPr>
          <w:rFonts w:eastAsia="Trebuchet MS" w:cstheme="minorHAnsi"/>
          <w:i/>
          <w:iCs/>
          <w:color w:val="333333"/>
          <w:lang w:val="en"/>
        </w:rPr>
      </w:pPr>
      <w:r w:rsidRPr="0039502E">
        <w:rPr>
          <w:rFonts w:eastAsia="Trebuchet MS" w:cstheme="minorHAnsi"/>
          <w:b/>
          <w:bCs/>
          <w:color w:val="333333"/>
          <w:lang w:val="en"/>
        </w:rPr>
        <w:t xml:space="preserve">S.13. Interpretation of Score </w:t>
      </w:r>
      <w:r w:rsidRPr="0039502E">
        <w:rPr>
          <w:rFonts w:eastAsia="Trebuchet MS" w:cstheme="minorHAnsi"/>
          <w:i/>
          <w:iCs/>
          <w:color w:val="333333"/>
          <w:lang w:val="en"/>
        </w:rPr>
        <w:t>(Classifies interpretation of score according to whether better quality is associated with a higher score, a lower score, a score falling within a defined interval, or a passing score)</w:t>
      </w:r>
    </w:p>
    <w:p w14:paraId="64849D55" w14:textId="77777777" w:rsidR="00E63B4F" w:rsidRDefault="00E63B4F" w:rsidP="00E63B4F">
      <w:pPr>
        <w:rPr>
          <w:rFonts w:eastAsia="Trebuchet MS" w:cstheme="minorHAnsi"/>
          <w:lang w:val="en"/>
        </w:rPr>
      </w:pPr>
      <w:r w:rsidRPr="00EE5379">
        <w:rPr>
          <w:rFonts w:eastAsia="Trebuchet MS" w:cstheme="minorHAnsi"/>
          <w:lang w:val="en"/>
        </w:rPr>
        <w:t xml:space="preserve">Better quality </w:t>
      </w:r>
      <w:r>
        <w:rPr>
          <w:rFonts w:eastAsia="Trebuchet MS" w:cstheme="minorHAnsi"/>
          <w:lang w:val="en"/>
        </w:rPr>
        <w:t>=</w:t>
      </w:r>
      <w:r w:rsidRPr="00EE5379">
        <w:rPr>
          <w:rFonts w:eastAsia="Trebuchet MS" w:cstheme="minorHAnsi"/>
          <w:lang w:val="en"/>
        </w:rPr>
        <w:t xml:space="preserve"> higher score.</w:t>
      </w:r>
    </w:p>
    <w:p w14:paraId="4E94B047" w14:textId="77777777" w:rsidR="00E63B4F" w:rsidRPr="0039502E" w:rsidRDefault="00E63B4F" w:rsidP="00E63B4F">
      <w:pPr>
        <w:rPr>
          <w:rFonts w:eastAsia="Trebuchet MS" w:cstheme="minorHAnsi"/>
          <w:b/>
          <w:bCs/>
          <w:color w:val="333333"/>
          <w:shd w:val="clear" w:color="auto" w:fill="FFFFFF"/>
        </w:rPr>
      </w:pPr>
      <w:r w:rsidRPr="0039502E">
        <w:rPr>
          <w:rFonts w:eastAsia="Trebuchet MS" w:cstheme="minorHAnsi"/>
          <w:b/>
          <w:bCs/>
          <w:color w:val="333333"/>
          <w:lang w:val="en"/>
        </w:rPr>
        <w:t xml:space="preserve">S.14. Calculation Algorithm/Measure Logic </w:t>
      </w:r>
      <w:r w:rsidRPr="0039502E">
        <w:rPr>
          <w:rFonts w:eastAsia="Trebuchet MS" w:cstheme="minorHAnsi"/>
          <w:i/>
          <w:iCs/>
          <w:color w:val="333333"/>
          <w:lang w:val="en"/>
        </w:rPr>
        <w:t xml:space="preserve">(Diagram or describe the calculation of the measure score as an ordered sequence of steps including identifying the target population; exclusions; cases meeting the target process, condition, event, or outcome; time period of data, aggregating data; </w:t>
      </w:r>
      <w:r>
        <w:rPr>
          <w:rFonts w:eastAsia="Trebuchet MS" w:cstheme="minorHAnsi"/>
          <w:i/>
          <w:iCs/>
          <w:color w:val="333333"/>
          <w:lang w:val="en"/>
        </w:rPr>
        <w:t>risk-adjustment</w:t>
      </w:r>
      <w:r w:rsidRPr="0039502E">
        <w:rPr>
          <w:rFonts w:eastAsia="Trebuchet MS" w:cstheme="minorHAnsi"/>
          <w:i/>
          <w:iCs/>
          <w:color w:val="333333"/>
          <w:lang w:val="en"/>
        </w:rPr>
        <w:t>; etc.)</w:t>
      </w:r>
    </w:p>
    <w:p w14:paraId="393B6AEF" w14:textId="77777777" w:rsidR="00E63B4F" w:rsidRDefault="00E63B4F" w:rsidP="00E63B4F">
      <w:pPr>
        <w:rPr>
          <w:rFonts w:eastAsia="Calibri" w:cstheme="minorHAnsi"/>
        </w:rPr>
      </w:pPr>
      <w:bookmarkStart w:id="42" w:name="_Hlk518896208"/>
      <w:bookmarkEnd w:id="25"/>
      <w:r w:rsidRPr="007C67CC">
        <w:rPr>
          <w:rFonts w:eastAsia="Trebuchet MS" w:cstheme="minorHAnsi"/>
        </w:rPr>
        <w:lastRenderedPageBreak/>
        <w:t xml:space="preserve">The DTC-PAC IRF measure is risk-adjusted. </w:t>
      </w:r>
      <w:r w:rsidRPr="007C67CC">
        <w:rPr>
          <w:rFonts w:eastAsia="Calibri" w:cstheme="minorHAnsi"/>
        </w:rPr>
        <w:t xml:space="preserve">To develop the </w:t>
      </w:r>
      <w:r>
        <w:rPr>
          <w:rFonts w:eastAsia="Calibri" w:cstheme="minorHAnsi"/>
        </w:rPr>
        <w:t>risk-adjustment</w:t>
      </w:r>
      <w:r w:rsidRPr="007C67CC">
        <w:rPr>
          <w:rFonts w:eastAsia="Calibri" w:cstheme="minorHAnsi"/>
        </w:rPr>
        <w:t xml:space="preserve"> model for this measure, we analyzed Medicare inpatient SAF claims, Denominator, and EDB files, identifying FY 2016-2017 IRF Medicare FFS discharges preceded by an acute care hospitalization (IPPS, CAH, or psychiatric hospital) within 30 days before IRF admission date. We applied the measure exclusion criteria to determine the sample included in the </w:t>
      </w:r>
      <w:r>
        <w:rPr>
          <w:rFonts w:eastAsia="Calibri" w:cstheme="minorHAnsi"/>
        </w:rPr>
        <w:t>risk-adjustment</w:t>
      </w:r>
      <w:r w:rsidRPr="007C67CC">
        <w:rPr>
          <w:rFonts w:eastAsia="Calibri" w:cstheme="minorHAnsi"/>
        </w:rPr>
        <w:t xml:space="preserve"> model. The measure is based on two consecutive fiscal years of data (FY 2016-2017</w:t>
      </w:r>
      <w:bookmarkStart w:id="43" w:name="_Hlk520627806"/>
      <w:r w:rsidRPr="007C67CC">
        <w:rPr>
          <w:rFonts w:eastAsia="Calibri" w:cstheme="minorHAnsi"/>
        </w:rPr>
        <w:t xml:space="preserve"> IRF Medicare FFS discharges</w:t>
      </w:r>
      <w:bookmarkEnd w:id="43"/>
      <w:r w:rsidRPr="007C67CC">
        <w:rPr>
          <w:rFonts w:eastAsia="Calibri" w:cstheme="minorHAnsi"/>
        </w:rPr>
        <w:t xml:space="preserve">).  </w:t>
      </w:r>
    </w:p>
    <w:p w14:paraId="5FC7A877" w14:textId="77777777" w:rsidR="00E63B4F" w:rsidRPr="004F2A75" w:rsidRDefault="00E63B4F" w:rsidP="00E63B4F">
      <w:pPr>
        <w:rPr>
          <w:rFonts w:cstheme="minorHAnsi"/>
          <w:b/>
        </w:rPr>
      </w:pPr>
      <w:r w:rsidRPr="004F2A75">
        <w:rPr>
          <w:rFonts w:cstheme="minorHAnsi"/>
          <w:b/>
        </w:rPr>
        <w:t>Risk Adjustment Variables</w:t>
      </w:r>
    </w:p>
    <w:p w14:paraId="0996B4AD" w14:textId="77777777" w:rsidR="00E63B4F" w:rsidRDefault="00E63B4F" w:rsidP="00E63B4F">
      <w:pPr>
        <w:rPr>
          <w:rFonts w:cstheme="minorHAnsi"/>
        </w:rPr>
      </w:pPr>
      <w:bookmarkStart w:id="44" w:name="_Hlk520550752"/>
      <w:r>
        <w:rPr>
          <w:rFonts w:cstheme="minorHAnsi"/>
        </w:rPr>
        <w:t>Risk-adjustment</w:t>
      </w:r>
      <w:r w:rsidRPr="007C67CC">
        <w:rPr>
          <w:rFonts w:cstheme="minorHAnsi"/>
        </w:rPr>
        <w:t xml:space="preserve"> variables include demographic and eligibility characteristics; </w:t>
      </w:r>
      <w:bookmarkStart w:id="45" w:name="_Hlk520645634"/>
      <w:r w:rsidRPr="007C67CC">
        <w:rPr>
          <w:rFonts w:cstheme="minorHAnsi"/>
        </w:rPr>
        <w:t>principal diagnoses</w:t>
      </w:r>
      <w:bookmarkStart w:id="46" w:name="_Hlk520627826"/>
      <w:r w:rsidRPr="007C67CC">
        <w:rPr>
          <w:rFonts w:cstheme="minorHAnsi"/>
        </w:rPr>
        <w:t xml:space="preserve"> from the prior short-term acute care stay</w:t>
      </w:r>
      <w:bookmarkEnd w:id="46"/>
      <w:r w:rsidRPr="007C67CC">
        <w:rPr>
          <w:rFonts w:cstheme="minorHAnsi"/>
        </w:rPr>
        <w:t xml:space="preserve">; IRF case-mix groups (CMG); </w:t>
      </w:r>
      <w:bookmarkStart w:id="47" w:name="_Hlk520627839"/>
      <w:r w:rsidRPr="007C67CC">
        <w:rPr>
          <w:rFonts w:cstheme="minorHAnsi"/>
        </w:rPr>
        <w:t>length of stay, types of surgery or procedures, and dialysis from the prior short-term acute care stay</w:t>
      </w:r>
      <w:bookmarkEnd w:id="47"/>
      <w:r w:rsidRPr="007C67CC">
        <w:rPr>
          <w:rFonts w:cstheme="minorHAnsi"/>
        </w:rPr>
        <w:t>; comorbidities; and number of prior hospitalizations in the year preceding the IRF admission</w:t>
      </w:r>
      <w:bookmarkEnd w:id="45"/>
      <w:r w:rsidRPr="007C67CC">
        <w:rPr>
          <w:rFonts w:cstheme="minorHAnsi"/>
        </w:rPr>
        <w:t>. See the attached Excel document for the full list of risk-adjusters.</w:t>
      </w:r>
      <w:bookmarkEnd w:id="44"/>
    </w:p>
    <w:p w14:paraId="759E0359" w14:textId="77777777" w:rsidR="00E63B4F" w:rsidRPr="009F2D00" w:rsidRDefault="00E63B4F" w:rsidP="00E63B4F">
      <w:pPr>
        <w:rPr>
          <w:rFonts w:cstheme="minorHAnsi"/>
          <w:b/>
        </w:rPr>
      </w:pPr>
      <w:r w:rsidRPr="009F2D00">
        <w:rPr>
          <w:rFonts w:cstheme="minorHAnsi"/>
          <w:b/>
        </w:rPr>
        <w:t xml:space="preserve">Risk Adjustment Modeling </w:t>
      </w:r>
      <w:r>
        <w:rPr>
          <w:rFonts w:cstheme="minorHAnsi"/>
          <w:b/>
        </w:rPr>
        <w:t>a</w:t>
      </w:r>
      <w:r w:rsidRPr="009F2D00">
        <w:rPr>
          <w:rFonts w:cstheme="minorHAnsi"/>
          <w:b/>
        </w:rPr>
        <w:t>nd Measure Calculation Algorithm</w:t>
      </w:r>
    </w:p>
    <w:p w14:paraId="49F35781" w14:textId="77777777" w:rsidR="00E63B4F" w:rsidRPr="007C67CC" w:rsidRDefault="00E63B4F" w:rsidP="00E63B4F">
      <w:pPr>
        <w:rPr>
          <w:rFonts w:cstheme="minorHAnsi"/>
        </w:rPr>
      </w:pPr>
      <w:bookmarkStart w:id="48" w:name="_Hlk520550182"/>
      <w:r w:rsidRPr="007C67CC">
        <w:rPr>
          <w:rFonts w:cstheme="minorHAnsi"/>
        </w:rPr>
        <w:t xml:space="preserve">We used a hierarchical logistic regression model to predict the probability of discharge to community.  </w:t>
      </w:r>
      <w:bookmarkStart w:id="49" w:name="_Hlk520627913"/>
      <w:r w:rsidRPr="007C67CC">
        <w:rPr>
          <w:rFonts w:cstheme="minorHAnsi"/>
        </w:rPr>
        <w:t xml:space="preserve">Baseline patient characteristics related to the discharge to community outcome and a marker for the </w:t>
      </w:r>
      <w:bookmarkEnd w:id="49"/>
      <w:r w:rsidRPr="007C67CC">
        <w:rPr>
          <w:rFonts w:cstheme="minorHAnsi"/>
        </w:rPr>
        <w:t xml:space="preserve">specific discharging facility are included in the equation. The equation is hierarchical in that both individual patient characteristics are accounted for, as well as the clustering of patient characteristics by facility. The statistical model estimates both the average predictive effect of the patient characteristics across all facilities, and the degree to which each facility has an effect on discharge to community that differs from that of the average facility. The facility effects are assumed to be randomly distributed around the average (according to a normal distribution). </w:t>
      </w:r>
    </w:p>
    <w:p w14:paraId="1770D88A" w14:textId="77777777" w:rsidR="00E63B4F" w:rsidRPr="007C67CC" w:rsidRDefault="00E63B4F" w:rsidP="00E63B4F">
      <w:pPr>
        <w:rPr>
          <w:rFonts w:cstheme="minorHAnsi"/>
          <w:b/>
          <w:bCs/>
          <w:i/>
          <w:iCs/>
        </w:rPr>
      </w:pPr>
      <w:bookmarkStart w:id="50" w:name="_Hlk520550412"/>
      <w:bookmarkEnd w:id="48"/>
      <w:r w:rsidRPr="007C67CC">
        <w:rPr>
          <w:rFonts w:cstheme="minorHAnsi"/>
        </w:rPr>
        <w:t xml:space="preserve">When computing the facility effect, hierarchical modeling accounts for the known predictors of discharge to community, on average, such as </w:t>
      </w:r>
      <w:bookmarkStart w:id="51" w:name="_Hlk520627937"/>
      <w:r w:rsidRPr="007C67CC">
        <w:rPr>
          <w:rFonts w:cstheme="minorHAnsi"/>
        </w:rPr>
        <w:t xml:space="preserve">baseline/admission </w:t>
      </w:r>
      <w:bookmarkEnd w:id="51"/>
      <w:r w:rsidRPr="007C67CC">
        <w:rPr>
          <w:rFonts w:cstheme="minorHAnsi"/>
        </w:rPr>
        <w:t xml:space="preserve">patient characteristics, the observed facility rate, and the number of </w:t>
      </w:r>
      <w:proofErr w:type="gramStart"/>
      <w:r w:rsidRPr="007C67CC">
        <w:rPr>
          <w:rFonts w:cstheme="minorHAnsi"/>
        </w:rPr>
        <w:t>facility</w:t>
      </w:r>
      <w:proofErr w:type="gramEnd"/>
      <w:r w:rsidRPr="007C67CC">
        <w:rPr>
          <w:rFonts w:cstheme="minorHAnsi"/>
        </w:rPr>
        <w:t xml:space="preserve"> stays eligible for inclusion in the measure. The estimated facility effect is determined mostly by the facility’s own data if the number of patient stays is relatively large (as the estimate would be relatively precise) but is adjusted toward the average if the number of stays is small (as that would yield a less precise estimate).</w:t>
      </w:r>
    </w:p>
    <w:bookmarkEnd w:id="50"/>
    <w:p w14:paraId="5F2FF674" w14:textId="77777777" w:rsidR="00E63B4F" w:rsidRPr="007C67CC" w:rsidRDefault="00E63B4F" w:rsidP="00E63B4F">
      <w:pPr>
        <w:rPr>
          <w:rFonts w:cstheme="minorHAnsi"/>
        </w:rPr>
      </w:pPr>
      <w:r w:rsidRPr="007C67CC">
        <w:rPr>
          <w:rFonts w:cstheme="minorHAnsi"/>
        </w:rPr>
        <w:t xml:space="preserve">We used the following model:  </w:t>
      </w:r>
    </w:p>
    <w:p w14:paraId="4E0EB58D" w14:textId="77777777" w:rsidR="00E63B4F" w:rsidRPr="007C67CC" w:rsidRDefault="00E63B4F" w:rsidP="00E63B4F">
      <w:pPr>
        <w:rPr>
          <w:rFonts w:cstheme="minorHAnsi"/>
        </w:rPr>
      </w:pPr>
      <w:bookmarkStart w:id="52" w:name="_Hlk520550620"/>
      <w:r w:rsidRPr="007C67CC">
        <w:rPr>
          <w:rFonts w:cstheme="minorHAnsi"/>
        </w:rPr>
        <w:t xml:space="preserve">Let </w:t>
      </w:r>
      <w:proofErr w:type="spellStart"/>
      <w:r w:rsidRPr="007C67CC">
        <w:rPr>
          <w:rFonts w:cstheme="minorHAnsi"/>
        </w:rPr>
        <w:t>Y</w:t>
      </w:r>
      <w:r w:rsidRPr="007C67CC">
        <w:rPr>
          <w:rFonts w:cstheme="minorHAnsi"/>
          <w:vertAlign w:val="subscript"/>
        </w:rPr>
        <w:t>ij</w:t>
      </w:r>
      <w:proofErr w:type="spellEnd"/>
      <w:r w:rsidRPr="007C67CC">
        <w:rPr>
          <w:rFonts w:cstheme="minorHAnsi"/>
        </w:rPr>
        <w:t>, denote the outcome (equal to 1 if patient i is discharged to community, 0 otherwise) for a patient i at facility j; Z</w:t>
      </w:r>
      <w:r w:rsidRPr="007C67CC">
        <w:rPr>
          <w:rFonts w:cstheme="minorHAnsi"/>
          <w:vertAlign w:val="subscript"/>
        </w:rPr>
        <w:t>ij</w:t>
      </w:r>
      <w:r w:rsidRPr="007C67CC">
        <w:rPr>
          <w:rFonts w:cstheme="minorHAnsi"/>
        </w:rPr>
        <w:t xml:space="preserve"> denotes a set of </w:t>
      </w:r>
      <w:r>
        <w:rPr>
          <w:rFonts w:cstheme="minorHAnsi"/>
        </w:rPr>
        <w:t>risk-adjustment</w:t>
      </w:r>
      <w:r w:rsidRPr="007C67CC">
        <w:rPr>
          <w:rFonts w:cstheme="minorHAnsi"/>
        </w:rPr>
        <w:t xml:space="preserve"> variables. We assume the outcome is related to the risk adjusters via a logit function with dispersion: </w:t>
      </w:r>
    </w:p>
    <w:p w14:paraId="2557D444" w14:textId="77777777" w:rsidR="00E63B4F" w:rsidRPr="007C67CC" w:rsidRDefault="00E63B4F" w:rsidP="00E63B4F">
      <w:pPr>
        <w:rPr>
          <w:rFonts w:cstheme="minorHAnsi"/>
        </w:rPr>
      </w:pPr>
      <w:r w:rsidRPr="007C67CC">
        <w:rPr>
          <w:rFonts w:cstheme="minorHAnsi"/>
        </w:rPr>
        <w:t xml:space="preserve">                                                 logit(Prob(</w:t>
      </w:r>
      <w:proofErr w:type="spellStart"/>
      <w:r w:rsidRPr="007C67CC">
        <w:rPr>
          <w:rFonts w:cstheme="minorHAnsi"/>
        </w:rPr>
        <w:t>Y</w:t>
      </w:r>
      <w:r w:rsidRPr="007C67CC">
        <w:rPr>
          <w:rFonts w:cstheme="minorHAnsi"/>
          <w:vertAlign w:val="subscript"/>
        </w:rPr>
        <w:t>ij</w:t>
      </w:r>
      <w:proofErr w:type="spellEnd"/>
      <w:r w:rsidRPr="007C67CC">
        <w:rPr>
          <w:rFonts w:cstheme="minorHAnsi"/>
        </w:rPr>
        <w:t xml:space="preserve"> =1)) = α</w:t>
      </w:r>
      <w:r w:rsidRPr="007C67CC">
        <w:rPr>
          <w:rFonts w:cstheme="minorHAnsi"/>
          <w:vertAlign w:val="subscript"/>
        </w:rPr>
        <w:t>j</w:t>
      </w:r>
      <w:r w:rsidRPr="007C67CC">
        <w:rPr>
          <w:rFonts w:cstheme="minorHAnsi"/>
        </w:rPr>
        <w:t xml:space="preserve">  + β*Z</w:t>
      </w:r>
      <w:r w:rsidRPr="007C67CC">
        <w:rPr>
          <w:rFonts w:cstheme="minorHAnsi"/>
          <w:vertAlign w:val="subscript"/>
        </w:rPr>
        <w:t>ij</w:t>
      </w:r>
      <w:r w:rsidRPr="007C67CC">
        <w:rPr>
          <w:rFonts w:cstheme="minorHAnsi"/>
        </w:rPr>
        <w:t xml:space="preserve">  +  </w:t>
      </w:r>
      <w:proofErr w:type="spellStart"/>
      <w:r w:rsidRPr="007C67CC">
        <w:rPr>
          <w:rFonts w:cstheme="minorHAnsi"/>
        </w:rPr>
        <w:t>ε</w:t>
      </w:r>
      <w:r w:rsidRPr="007C67CC">
        <w:rPr>
          <w:rFonts w:cstheme="minorHAnsi"/>
          <w:vertAlign w:val="subscript"/>
        </w:rPr>
        <w:t>ij</w:t>
      </w:r>
      <w:proofErr w:type="spellEnd"/>
      <w:r w:rsidRPr="007C67CC">
        <w:rPr>
          <w:rFonts w:cstheme="minorHAnsi"/>
          <w:vertAlign w:val="subscript"/>
        </w:rPr>
        <w:t xml:space="preserve">  </w:t>
      </w:r>
      <w:r w:rsidRPr="007C67CC">
        <w:rPr>
          <w:rFonts w:cstheme="minorHAnsi"/>
        </w:rPr>
        <w:t xml:space="preserve">                                          (1)</w:t>
      </w:r>
      <w:r w:rsidRPr="007C67CC">
        <w:rPr>
          <w:rFonts w:cstheme="minorHAnsi"/>
        </w:rPr>
        <w:br/>
        <w:t xml:space="preserve">                                                           α</w:t>
      </w:r>
      <w:r w:rsidRPr="007C67CC">
        <w:rPr>
          <w:rFonts w:cstheme="minorHAnsi"/>
          <w:vertAlign w:val="subscript"/>
        </w:rPr>
        <w:t>j</w:t>
      </w:r>
      <w:r w:rsidRPr="007C67CC">
        <w:rPr>
          <w:rFonts w:cstheme="minorHAnsi"/>
        </w:rPr>
        <w:t xml:space="preserve"> = μ + </w:t>
      </w:r>
      <w:proofErr w:type="spellStart"/>
      <w:r w:rsidRPr="007C67CC">
        <w:rPr>
          <w:rFonts w:cstheme="minorHAnsi"/>
        </w:rPr>
        <w:t>ω</w:t>
      </w:r>
      <w:r w:rsidRPr="007C67CC">
        <w:rPr>
          <w:rFonts w:cstheme="minorHAnsi"/>
          <w:vertAlign w:val="subscript"/>
        </w:rPr>
        <w:t>j</w:t>
      </w:r>
      <w:proofErr w:type="spellEnd"/>
      <w:r w:rsidRPr="007C67CC">
        <w:rPr>
          <w:rFonts w:cstheme="minorHAnsi"/>
          <w:vertAlign w:val="subscript"/>
        </w:rPr>
        <w:t xml:space="preserve"> </w:t>
      </w:r>
      <w:r w:rsidRPr="007C67CC">
        <w:rPr>
          <w:rFonts w:cstheme="minorHAnsi"/>
        </w:rPr>
        <w:t xml:space="preserve">;  </w:t>
      </w:r>
      <w:proofErr w:type="spellStart"/>
      <w:r w:rsidRPr="007C67CC">
        <w:rPr>
          <w:rFonts w:cstheme="minorHAnsi"/>
        </w:rPr>
        <w:t>ω</w:t>
      </w:r>
      <w:r w:rsidRPr="007C67CC">
        <w:rPr>
          <w:rFonts w:cstheme="minorHAnsi"/>
          <w:vertAlign w:val="subscript"/>
        </w:rPr>
        <w:t>j</w:t>
      </w:r>
      <w:proofErr w:type="spellEnd"/>
      <w:r w:rsidRPr="007C67CC">
        <w:rPr>
          <w:rFonts w:cstheme="minorHAnsi"/>
        </w:rPr>
        <w:t xml:space="preserve"> ~ N(0, τ</w:t>
      </w:r>
      <w:r w:rsidRPr="007C67CC">
        <w:rPr>
          <w:rFonts w:cstheme="minorHAnsi"/>
          <w:vertAlign w:val="superscript"/>
        </w:rPr>
        <w:t>2</w:t>
      </w:r>
      <w:r w:rsidRPr="007C67CC">
        <w:rPr>
          <w:rFonts w:cstheme="minorHAnsi"/>
        </w:rPr>
        <w:t>)</w:t>
      </w:r>
    </w:p>
    <w:p w14:paraId="3576F9B7" w14:textId="77777777" w:rsidR="00E63B4F" w:rsidRPr="007C67CC" w:rsidRDefault="00E63B4F" w:rsidP="00E63B4F">
      <w:pPr>
        <w:rPr>
          <w:rFonts w:cstheme="minorHAnsi"/>
        </w:rPr>
      </w:pPr>
      <w:r w:rsidRPr="007C67CC">
        <w:rPr>
          <w:rFonts w:cstheme="minorHAnsi"/>
        </w:rPr>
        <w:t>where Z</w:t>
      </w:r>
      <w:r w:rsidRPr="007C67CC">
        <w:rPr>
          <w:rFonts w:cstheme="minorHAnsi"/>
          <w:vertAlign w:val="subscript"/>
        </w:rPr>
        <w:t>ij</w:t>
      </w:r>
      <w:r w:rsidRPr="007C67CC">
        <w:rPr>
          <w:rFonts w:cstheme="minorHAnsi"/>
        </w:rPr>
        <w:t xml:space="preserve"> = (Z</w:t>
      </w:r>
      <w:r w:rsidRPr="007C67CC">
        <w:rPr>
          <w:rFonts w:cstheme="minorHAnsi"/>
          <w:vertAlign w:val="subscript"/>
        </w:rPr>
        <w:t>1j</w:t>
      </w:r>
      <w:r w:rsidRPr="007C67CC">
        <w:rPr>
          <w:rFonts w:cstheme="minorHAnsi"/>
        </w:rPr>
        <w:t>, Z</w:t>
      </w:r>
      <w:r w:rsidRPr="007C67CC">
        <w:rPr>
          <w:rFonts w:cstheme="minorHAnsi"/>
          <w:vertAlign w:val="subscript"/>
        </w:rPr>
        <w:t>2j</w:t>
      </w:r>
      <w:r w:rsidRPr="007C67CC">
        <w:rPr>
          <w:rFonts w:cstheme="minorHAnsi"/>
        </w:rPr>
        <w:t xml:space="preserve">, ... </w:t>
      </w:r>
      <w:proofErr w:type="spellStart"/>
      <w:r w:rsidRPr="007C67CC">
        <w:rPr>
          <w:rFonts w:cstheme="minorHAnsi"/>
        </w:rPr>
        <w:t>Z</w:t>
      </w:r>
      <w:r w:rsidRPr="007C67CC">
        <w:rPr>
          <w:rFonts w:cstheme="minorHAnsi"/>
          <w:vertAlign w:val="subscript"/>
        </w:rPr>
        <w:t>kj</w:t>
      </w:r>
      <w:proofErr w:type="spellEnd"/>
      <w:r w:rsidRPr="007C67CC">
        <w:rPr>
          <w:rFonts w:cstheme="minorHAnsi"/>
        </w:rPr>
        <w:t xml:space="preserve">) is a set of k patient-level </w:t>
      </w:r>
      <w:r>
        <w:rPr>
          <w:rFonts w:cstheme="minorHAnsi"/>
        </w:rPr>
        <w:t>risk-adjustment</w:t>
      </w:r>
      <w:r w:rsidRPr="007C67CC">
        <w:rPr>
          <w:rFonts w:cstheme="minorHAnsi"/>
        </w:rPr>
        <w:t xml:space="preserve"> variables; α</w:t>
      </w:r>
      <w:r w:rsidRPr="007C67CC">
        <w:rPr>
          <w:rFonts w:cstheme="minorHAnsi"/>
          <w:vertAlign w:val="subscript"/>
        </w:rPr>
        <w:t>j</w:t>
      </w:r>
      <w:r w:rsidRPr="007C67CC">
        <w:rPr>
          <w:rFonts w:cstheme="minorHAnsi"/>
        </w:rPr>
        <w:t xml:space="preserve"> represents the facility-specific intercept; μ</w:t>
      </w:r>
      <w:r w:rsidRPr="007C67CC" w:rsidDel="0018196F">
        <w:rPr>
          <w:rFonts w:cstheme="minorHAnsi"/>
        </w:rPr>
        <w:t xml:space="preserve"> </w:t>
      </w:r>
      <w:r w:rsidRPr="007C67CC">
        <w:rPr>
          <w:rFonts w:cstheme="minorHAnsi"/>
        </w:rPr>
        <w:t>is the adjusted average outcome across all facilities; τ</w:t>
      </w:r>
      <w:r w:rsidRPr="007C67CC">
        <w:rPr>
          <w:rFonts w:cstheme="minorHAnsi"/>
          <w:vertAlign w:val="superscript"/>
        </w:rPr>
        <w:t>2</w:t>
      </w:r>
      <w:r w:rsidRPr="007C67CC">
        <w:rPr>
          <w:rFonts w:cstheme="minorHAnsi"/>
        </w:rPr>
        <w:t xml:space="preserve"> is the between-facility variance component; and ε</w:t>
      </w:r>
      <w:r w:rsidRPr="007C67CC">
        <w:rPr>
          <w:rFonts w:cstheme="minorHAnsi" w:hint="eastAsia"/>
        </w:rPr>
        <w:t xml:space="preserve"> </w:t>
      </w:r>
      <w:r w:rsidRPr="007C67CC">
        <w:rPr>
          <w:rFonts w:cstheme="minorHAnsi"/>
        </w:rPr>
        <w:t xml:space="preserve"> ~N(0, σ</w:t>
      </w:r>
      <w:r w:rsidRPr="007C67CC">
        <w:rPr>
          <w:rFonts w:cstheme="minorHAnsi"/>
          <w:vertAlign w:val="superscript"/>
        </w:rPr>
        <w:t>2</w:t>
      </w:r>
      <w:r w:rsidRPr="007C67CC">
        <w:rPr>
          <w:rFonts w:cstheme="minorHAnsi"/>
        </w:rPr>
        <w:t xml:space="preserve">) is the error term. </w:t>
      </w:r>
    </w:p>
    <w:p w14:paraId="3056A01F" w14:textId="77777777" w:rsidR="00E63B4F" w:rsidRPr="007C67CC" w:rsidRDefault="00E63B4F" w:rsidP="00E63B4F">
      <w:pPr>
        <w:rPr>
          <w:rFonts w:cstheme="minorHAnsi"/>
        </w:rPr>
      </w:pPr>
      <w:r w:rsidRPr="007C67CC">
        <w:rPr>
          <w:rFonts w:cstheme="minorHAnsi"/>
        </w:rPr>
        <w:lastRenderedPageBreak/>
        <w:t xml:space="preserve">The hierarchical logistic regression model is estimated using SAS software (PROC GLIMMIX: SAS/STAT User’s Guide, SAS Institute Inc.). </w:t>
      </w:r>
    </w:p>
    <w:p w14:paraId="06499969" w14:textId="77777777" w:rsidR="00E63B4F" w:rsidRPr="007C67CC" w:rsidRDefault="00E63B4F" w:rsidP="00E63B4F">
      <w:pPr>
        <w:rPr>
          <w:rFonts w:cstheme="minorHAnsi"/>
        </w:rPr>
      </w:pPr>
      <w:r w:rsidRPr="007C67CC">
        <w:rPr>
          <w:rFonts w:cstheme="minorHAnsi"/>
        </w:rPr>
        <w:t xml:space="preserve">The estimated equation is used twice in the measure. The sum of the probabilities of discharge to community of all patients in the facility measure, including both the effects of patient characteristics and the facility, is the “predicted number” of discharges to community after adjusting for the facility’s case mix. The same equation is used without the facility effect to compute the “expected number” of discharges to community for the same patients at the average facility. </w:t>
      </w:r>
    </w:p>
    <w:p w14:paraId="508F03F2" w14:textId="77777777" w:rsidR="00E63B4F" w:rsidRPr="007C67CC" w:rsidRDefault="00E63B4F" w:rsidP="00E63B4F">
      <w:pPr>
        <w:rPr>
          <w:rFonts w:cstheme="minorHAnsi"/>
        </w:rPr>
      </w:pPr>
      <w:r w:rsidRPr="007C67CC">
        <w:rPr>
          <w:rFonts w:cstheme="minorHAnsi"/>
        </w:rPr>
        <w:t xml:space="preserve">The ratio of the predicted-to-expected number of discharges to community (i.e., standardized risk ratio (SRR)) is a measure of the degree to which discharges to community are higher or lower than what would otherwise be expected. The SRR is then multiplied by the </w:t>
      </w:r>
      <w:bookmarkStart w:id="53" w:name="_Hlk520627984"/>
      <w:r w:rsidRPr="007C67CC">
        <w:rPr>
          <w:rFonts w:cstheme="minorHAnsi"/>
        </w:rPr>
        <w:t xml:space="preserve">national stay-level observed </w:t>
      </w:r>
      <w:bookmarkEnd w:id="53"/>
      <w:r w:rsidRPr="007C67CC">
        <w:rPr>
          <w:rFonts w:cstheme="minorHAnsi"/>
        </w:rPr>
        <w:t xml:space="preserve">discharge to community rate for all facility stays in the measure, yielding the risk-standardized discharge to community rate for each facility. </w:t>
      </w:r>
    </w:p>
    <w:p w14:paraId="19973A9A" w14:textId="77777777" w:rsidR="00E63B4F" w:rsidRPr="007C67CC" w:rsidRDefault="00E63B4F" w:rsidP="00E63B4F">
      <w:pPr>
        <w:rPr>
          <w:rFonts w:cstheme="minorHAnsi"/>
        </w:rPr>
      </w:pPr>
      <w:r w:rsidRPr="007C67CC">
        <w:rPr>
          <w:rFonts w:cstheme="minorHAnsi"/>
        </w:rPr>
        <w:t xml:space="preserve">The estimation procedure is recalculated for each measurement period. Re-estimating the models for each measurement period allows the estimated effects of the patient characteristics to vary over time as patient case-mix and medical treatment patterns change. </w:t>
      </w:r>
    </w:p>
    <w:p w14:paraId="59AFD7B2" w14:textId="77777777" w:rsidR="00E63B4F" w:rsidRPr="007C67CC" w:rsidRDefault="00E63B4F" w:rsidP="00E63B4F">
      <w:pPr>
        <w:pStyle w:val="BodyText"/>
        <w:spacing w:line="276" w:lineRule="auto"/>
        <w:ind w:firstLine="0"/>
        <w:rPr>
          <w:rFonts w:asciiTheme="minorHAnsi" w:eastAsia="Trebuchet MS" w:hAnsiTheme="minorHAnsi" w:cstheme="minorHAnsi"/>
          <w:sz w:val="22"/>
          <w:szCs w:val="22"/>
        </w:rPr>
      </w:pPr>
      <w:bookmarkStart w:id="54" w:name="_Hlk520552363"/>
      <w:bookmarkEnd w:id="52"/>
      <w:r w:rsidRPr="007C67CC">
        <w:rPr>
          <w:rFonts w:asciiTheme="minorHAnsi" w:eastAsia="Trebuchet MS" w:hAnsiTheme="minorHAnsi" w:cstheme="minorHAnsi"/>
          <w:sz w:val="22"/>
          <w:szCs w:val="22"/>
        </w:rPr>
        <w:t xml:space="preserve">The following steps describe the calculation algorithm/measure logic for the DTC-PAC IRF measure: </w:t>
      </w:r>
    </w:p>
    <w:p w14:paraId="49F2B8E1" w14:textId="77777777" w:rsidR="00E63B4F" w:rsidRPr="007C67CC" w:rsidRDefault="00E63B4F" w:rsidP="00E63B4F">
      <w:pPr>
        <w:pStyle w:val="Steps"/>
        <w:spacing w:line="276" w:lineRule="auto"/>
        <w:rPr>
          <w:rFonts w:asciiTheme="minorHAnsi" w:eastAsia="Trebuchet MS" w:hAnsiTheme="minorHAnsi" w:cstheme="minorHAnsi"/>
          <w:sz w:val="22"/>
          <w:szCs w:val="22"/>
        </w:rPr>
      </w:pPr>
      <w:r w:rsidRPr="007C67CC">
        <w:rPr>
          <w:rFonts w:asciiTheme="minorHAnsi" w:eastAsia="Trebuchet MS" w:hAnsiTheme="minorHAnsi" w:cstheme="minorHAnsi"/>
          <w:i/>
          <w:iCs/>
          <w:sz w:val="22"/>
          <w:szCs w:val="22"/>
        </w:rPr>
        <w:t xml:space="preserve">Step 1: </w:t>
      </w:r>
      <w:r w:rsidRPr="007C67CC">
        <w:rPr>
          <w:rFonts w:asciiTheme="minorHAnsi" w:hAnsiTheme="minorHAnsi" w:cstheme="minorHAnsi"/>
          <w:i/>
          <w:iCs/>
          <w:sz w:val="22"/>
          <w:szCs w:val="22"/>
        </w:rPr>
        <w:tab/>
      </w:r>
      <w:r w:rsidRPr="007C67CC">
        <w:rPr>
          <w:rFonts w:asciiTheme="minorHAnsi" w:eastAsia="Trebuchet MS" w:hAnsiTheme="minorHAnsi" w:cstheme="minorHAnsi"/>
          <w:sz w:val="22"/>
          <w:szCs w:val="22"/>
        </w:rPr>
        <w:t xml:space="preserve">Identify stays meeting the criteria for the target population, after applying measure exclusions. </w:t>
      </w:r>
    </w:p>
    <w:p w14:paraId="7FAB7B2F" w14:textId="77777777" w:rsidR="00E63B4F" w:rsidRPr="007C67CC" w:rsidRDefault="00E63B4F" w:rsidP="00E63B4F">
      <w:pPr>
        <w:pStyle w:val="Steps"/>
        <w:spacing w:line="276" w:lineRule="auto"/>
        <w:rPr>
          <w:rFonts w:asciiTheme="minorHAnsi" w:eastAsia="Trebuchet MS" w:hAnsiTheme="minorHAnsi" w:cstheme="minorHAnsi"/>
          <w:sz w:val="22"/>
          <w:szCs w:val="22"/>
        </w:rPr>
      </w:pPr>
      <w:r w:rsidRPr="007C67CC">
        <w:rPr>
          <w:rFonts w:asciiTheme="minorHAnsi" w:eastAsia="Trebuchet MS" w:hAnsiTheme="minorHAnsi" w:cstheme="minorHAnsi"/>
          <w:i/>
          <w:iCs/>
          <w:sz w:val="22"/>
          <w:szCs w:val="22"/>
        </w:rPr>
        <w:t xml:space="preserve">Step 2: </w:t>
      </w:r>
      <w:r w:rsidRPr="007C67CC">
        <w:rPr>
          <w:rFonts w:asciiTheme="minorHAnsi" w:hAnsiTheme="minorHAnsi" w:cstheme="minorHAnsi"/>
          <w:i/>
          <w:iCs/>
          <w:sz w:val="22"/>
          <w:szCs w:val="22"/>
        </w:rPr>
        <w:tab/>
      </w:r>
      <w:r w:rsidRPr="007C67CC">
        <w:rPr>
          <w:rFonts w:asciiTheme="minorHAnsi" w:eastAsia="Trebuchet MS" w:hAnsiTheme="minorHAnsi" w:cstheme="minorHAnsi"/>
          <w:sz w:val="22"/>
          <w:szCs w:val="22"/>
        </w:rPr>
        <w:t>Identify stays meeting the discharge to community criteria, i.e., discharge to community, no unplanned readmissions on the day of discharge or in the 31 days following discharge, and no death on the day of discharge or in the 31 days following discharge.</w:t>
      </w:r>
    </w:p>
    <w:p w14:paraId="70A1A60B" w14:textId="77777777" w:rsidR="00E63B4F" w:rsidRPr="007C67CC" w:rsidRDefault="00E63B4F" w:rsidP="00E63B4F">
      <w:pPr>
        <w:pStyle w:val="Steps"/>
        <w:spacing w:line="276" w:lineRule="auto"/>
        <w:rPr>
          <w:rFonts w:asciiTheme="minorHAnsi" w:eastAsia="Trebuchet MS" w:hAnsiTheme="minorHAnsi" w:cstheme="minorHAnsi"/>
          <w:sz w:val="22"/>
          <w:szCs w:val="22"/>
        </w:rPr>
      </w:pPr>
      <w:r w:rsidRPr="007C67CC">
        <w:rPr>
          <w:rFonts w:asciiTheme="minorHAnsi" w:eastAsia="Trebuchet MS" w:hAnsiTheme="minorHAnsi" w:cstheme="minorHAnsi"/>
          <w:i/>
          <w:iCs/>
          <w:sz w:val="22"/>
          <w:szCs w:val="22"/>
        </w:rPr>
        <w:t>Step 3:</w:t>
      </w:r>
      <w:r w:rsidRPr="007C67CC">
        <w:rPr>
          <w:rFonts w:asciiTheme="minorHAnsi" w:hAnsiTheme="minorHAnsi" w:cstheme="minorHAnsi"/>
          <w:i/>
          <w:iCs/>
          <w:sz w:val="22"/>
          <w:szCs w:val="22"/>
        </w:rPr>
        <w:tab/>
      </w:r>
      <w:r w:rsidRPr="007C67CC">
        <w:rPr>
          <w:rFonts w:asciiTheme="minorHAnsi" w:eastAsia="Trebuchet MS" w:hAnsiTheme="minorHAnsi" w:cstheme="minorHAnsi"/>
          <w:sz w:val="22"/>
          <w:szCs w:val="22"/>
        </w:rPr>
        <w:t xml:space="preserve">Identify presence or value of </w:t>
      </w:r>
      <w:r>
        <w:rPr>
          <w:rFonts w:asciiTheme="minorHAnsi" w:eastAsia="Trebuchet MS" w:hAnsiTheme="minorHAnsi" w:cstheme="minorHAnsi"/>
          <w:sz w:val="22"/>
          <w:szCs w:val="22"/>
        </w:rPr>
        <w:t>risk-adjustment</w:t>
      </w:r>
      <w:r w:rsidRPr="007C67CC">
        <w:rPr>
          <w:rFonts w:asciiTheme="minorHAnsi" w:eastAsia="Trebuchet MS" w:hAnsiTheme="minorHAnsi" w:cstheme="minorHAnsi"/>
          <w:sz w:val="22"/>
          <w:szCs w:val="22"/>
        </w:rPr>
        <w:t xml:space="preserve"> variables for each patient stay.</w:t>
      </w:r>
    </w:p>
    <w:p w14:paraId="046BEA76" w14:textId="77777777" w:rsidR="00E63B4F" w:rsidRPr="007C67CC" w:rsidRDefault="00E63B4F" w:rsidP="00E63B4F">
      <w:pPr>
        <w:pStyle w:val="Steps"/>
        <w:spacing w:line="276" w:lineRule="auto"/>
        <w:rPr>
          <w:rFonts w:asciiTheme="minorHAnsi" w:eastAsia="Trebuchet MS" w:hAnsiTheme="minorHAnsi" w:cstheme="minorHAnsi"/>
          <w:sz w:val="22"/>
          <w:szCs w:val="22"/>
        </w:rPr>
      </w:pPr>
      <w:r w:rsidRPr="007C67CC">
        <w:rPr>
          <w:rFonts w:asciiTheme="minorHAnsi" w:eastAsia="Trebuchet MS" w:hAnsiTheme="minorHAnsi" w:cstheme="minorHAnsi"/>
          <w:i/>
          <w:iCs/>
          <w:sz w:val="22"/>
          <w:szCs w:val="22"/>
        </w:rPr>
        <w:t xml:space="preserve">Step 4: </w:t>
      </w:r>
      <w:r w:rsidRPr="007C67CC">
        <w:rPr>
          <w:rFonts w:asciiTheme="minorHAnsi" w:hAnsiTheme="minorHAnsi" w:cstheme="minorHAnsi"/>
          <w:i/>
          <w:iCs/>
          <w:sz w:val="22"/>
          <w:szCs w:val="22"/>
        </w:rPr>
        <w:tab/>
      </w:r>
      <w:r w:rsidRPr="007C67CC">
        <w:rPr>
          <w:rFonts w:asciiTheme="minorHAnsi" w:eastAsia="Trebuchet MS" w:hAnsiTheme="minorHAnsi" w:cstheme="minorHAnsi"/>
          <w:sz w:val="22"/>
          <w:szCs w:val="22"/>
        </w:rPr>
        <w:t>Calculate the predicted and expected number of discharges to community for each facility using the hierarchical logistic regression model.</w:t>
      </w:r>
    </w:p>
    <w:p w14:paraId="3B0E6B16" w14:textId="77777777" w:rsidR="00E63B4F" w:rsidRPr="007C67CC" w:rsidRDefault="00E63B4F" w:rsidP="00E63B4F">
      <w:pPr>
        <w:pStyle w:val="StepsIndent"/>
        <w:spacing w:line="276" w:lineRule="auto"/>
        <w:rPr>
          <w:rFonts w:asciiTheme="minorHAnsi" w:eastAsia="Trebuchet MS" w:hAnsiTheme="minorHAnsi" w:cstheme="minorHAnsi"/>
          <w:sz w:val="22"/>
          <w:szCs w:val="22"/>
        </w:rPr>
      </w:pPr>
      <w:r w:rsidRPr="007C67CC">
        <w:rPr>
          <w:rFonts w:asciiTheme="minorHAnsi" w:eastAsia="Trebuchet MS" w:hAnsiTheme="minorHAnsi" w:cstheme="minorHAnsi"/>
          <w:sz w:val="22"/>
          <w:szCs w:val="22"/>
        </w:rPr>
        <w:t xml:space="preserve">The predicted number of discharges to community for each facility (i.e., numerator) is calculated as the sum of the predicted probability of discharge to community for each patient discharged from the facility and included in the measure, including the facility-specific effect.  </w:t>
      </w:r>
    </w:p>
    <w:p w14:paraId="332F0A01" w14:textId="77777777" w:rsidR="00E63B4F" w:rsidRPr="007C67CC" w:rsidRDefault="00E63B4F" w:rsidP="00E63B4F">
      <w:pPr>
        <w:pStyle w:val="StepsIndent"/>
        <w:spacing w:after="0" w:line="276" w:lineRule="auto"/>
        <w:rPr>
          <w:rFonts w:asciiTheme="minorHAnsi" w:hAnsiTheme="minorHAnsi" w:cstheme="minorHAnsi"/>
          <w:sz w:val="22"/>
          <w:szCs w:val="22"/>
        </w:rPr>
      </w:pPr>
      <w:r w:rsidRPr="007C67CC">
        <w:rPr>
          <w:rFonts w:asciiTheme="minorHAnsi" w:hAnsiTheme="minorHAnsi" w:cstheme="minorHAnsi"/>
          <w:sz w:val="22"/>
          <w:szCs w:val="22"/>
        </w:rPr>
        <w:t xml:space="preserve">To calculate the predicted number of discharges to community, </w:t>
      </w:r>
      <w:proofErr w:type="spellStart"/>
      <w:r w:rsidRPr="007C67CC">
        <w:rPr>
          <w:rFonts w:asciiTheme="minorHAnsi" w:hAnsiTheme="minorHAnsi" w:cstheme="minorHAnsi"/>
          <w:sz w:val="22"/>
          <w:szCs w:val="22"/>
        </w:rPr>
        <w:t>pred</w:t>
      </w:r>
      <w:r w:rsidRPr="007C67CC">
        <w:rPr>
          <w:rFonts w:asciiTheme="minorHAnsi" w:hAnsiTheme="minorHAnsi" w:cstheme="minorHAnsi"/>
          <w:sz w:val="22"/>
          <w:szCs w:val="22"/>
          <w:vertAlign w:val="subscript"/>
        </w:rPr>
        <w:t>j</w:t>
      </w:r>
      <w:proofErr w:type="spellEnd"/>
      <w:r w:rsidRPr="007C67CC">
        <w:rPr>
          <w:rFonts w:asciiTheme="minorHAnsi" w:hAnsiTheme="minorHAnsi" w:cstheme="minorHAnsi"/>
          <w:sz w:val="22"/>
          <w:szCs w:val="22"/>
        </w:rPr>
        <w:t xml:space="preserve">, for index stays at </w:t>
      </w:r>
      <w:proofErr w:type="spellStart"/>
      <w:r w:rsidRPr="007C67CC">
        <w:rPr>
          <w:rFonts w:asciiTheme="minorHAnsi" w:hAnsiTheme="minorHAnsi" w:cstheme="minorHAnsi"/>
          <w:sz w:val="22"/>
          <w:szCs w:val="22"/>
        </w:rPr>
        <w:t>facility</w:t>
      </w:r>
      <w:r w:rsidRPr="007C67CC">
        <w:rPr>
          <w:rFonts w:asciiTheme="minorHAnsi" w:hAnsiTheme="minorHAnsi" w:cstheme="minorHAnsi"/>
          <w:sz w:val="22"/>
          <w:szCs w:val="22"/>
          <w:vertAlign w:val="subscript"/>
        </w:rPr>
        <w:t>j</w:t>
      </w:r>
      <w:proofErr w:type="spellEnd"/>
      <w:r w:rsidRPr="007C67CC">
        <w:rPr>
          <w:rFonts w:asciiTheme="minorHAnsi" w:hAnsiTheme="minorHAnsi" w:cstheme="minorHAnsi"/>
          <w:sz w:val="22"/>
          <w:szCs w:val="22"/>
        </w:rPr>
        <w:t>, we used the following equation:</w:t>
      </w:r>
    </w:p>
    <w:p w14:paraId="2E9F8821" w14:textId="77777777" w:rsidR="00E63B4F" w:rsidRPr="007C67CC" w:rsidRDefault="00E63B4F" w:rsidP="00E63B4F">
      <w:pPr>
        <w:pStyle w:val="equation"/>
        <w:spacing w:line="276" w:lineRule="auto"/>
        <w:rPr>
          <w:rFonts w:asciiTheme="minorHAnsi" w:hAnsiTheme="minorHAnsi" w:cstheme="minorHAnsi"/>
          <w:sz w:val="22"/>
          <w:szCs w:val="22"/>
        </w:rPr>
      </w:pPr>
      <w:r w:rsidRPr="007C67CC">
        <w:rPr>
          <w:rFonts w:asciiTheme="minorHAnsi" w:hAnsiTheme="minorHAnsi" w:cstheme="minorHAnsi"/>
          <w:sz w:val="22"/>
          <w:szCs w:val="22"/>
        </w:rPr>
        <w:tab/>
      </w:r>
      <w:proofErr w:type="spellStart"/>
      <w:r w:rsidRPr="007C67CC">
        <w:rPr>
          <w:rFonts w:asciiTheme="minorHAnsi" w:hAnsiTheme="minorHAnsi" w:cstheme="minorHAnsi"/>
          <w:sz w:val="22"/>
          <w:szCs w:val="22"/>
        </w:rPr>
        <w:t>pred</w:t>
      </w:r>
      <w:r w:rsidRPr="007C67CC">
        <w:rPr>
          <w:rFonts w:asciiTheme="minorHAnsi" w:hAnsiTheme="minorHAnsi" w:cstheme="minorHAnsi"/>
          <w:sz w:val="22"/>
          <w:szCs w:val="22"/>
          <w:vertAlign w:val="subscript"/>
        </w:rPr>
        <w:t>j</w:t>
      </w:r>
      <w:proofErr w:type="spellEnd"/>
      <w:r w:rsidRPr="007C67CC">
        <w:rPr>
          <w:rFonts w:asciiTheme="minorHAnsi" w:hAnsiTheme="minorHAnsi" w:cstheme="minorHAnsi"/>
          <w:sz w:val="22"/>
          <w:szCs w:val="22"/>
        </w:rPr>
        <w:t xml:space="preserve"> = Σlogit</w:t>
      </w:r>
      <w:r w:rsidRPr="007C67CC">
        <w:rPr>
          <w:rFonts w:asciiTheme="minorHAnsi" w:hAnsiTheme="minorHAnsi" w:cstheme="minorHAnsi"/>
          <w:sz w:val="22"/>
          <w:szCs w:val="22"/>
          <w:vertAlign w:val="superscript"/>
        </w:rPr>
        <w:t>-1</w:t>
      </w:r>
      <w:r w:rsidRPr="007C67CC">
        <w:rPr>
          <w:rFonts w:asciiTheme="minorHAnsi" w:hAnsiTheme="minorHAnsi" w:cstheme="minorHAnsi"/>
          <w:sz w:val="22"/>
          <w:szCs w:val="22"/>
        </w:rPr>
        <w:t>(</w:t>
      </w:r>
      <w:r w:rsidRPr="007C67CC">
        <w:rPr>
          <w:rFonts w:asciiTheme="minorHAnsi" w:hAnsiTheme="minorHAnsi" w:cstheme="minorHAnsi"/>
          <w:spacing w:val="4"/>
          <w:sz w:val="22"/>
          <w:szCs w:val="22"/>
        </w:rPr>
        <w:sym w:font="Symbol" w:char="F06D"/>
      </w:r>
      <w:r w:rsidRPr="007C67CC">
        <w:rPr>
          <w:rFonts w:asciiTheme="minorHAnsi" w:hAnsiTheme="minorHAnsi" w:cstheme="minorHAnsi"/>
          <w:spacing w:val="4"/>
          <w:sz w:val="22"/>
          <w:szCs w:val="22"/>
        </w:rPr>
        <w:t xml:space="preserve"> + </w:t>
      </w:r>
      <w:r w:rsidRPr="007C67CC">
        <w:rPr>
          <w:rFonts w:asciiTheme="minorHAnsi" w:hAnsiTheme="minorHAnsi" w:cstheme="minorHAnsi"/>
          <w:spacing w:val="4"/>
          <w:sz w:val="22"/>
          <w:szCs w:val="22"/>
        </w:rPr>
        <w:sym w:font="Symbol" w:char="F077"/>
      </w:r>
      <w:r w:rsidRPr="007C67CC">
        <w:rPr>
          <w:rFonts w:asciiTheme="minorHAnsi" w:hAnsiTheme="minorHAnsi" w:cstheme="minorHAnsi"/>
          <w:spacing w:val="4"/>
          <w:sz w:val="22"/>
          <w:szCs w:val="22"/>
          <w:vertAlign w:val="subscript"/>
        </w:rPr>
        <w:t>i</w:t>
      </w:r>
      <w:r w:rsidRPr="007C67CC">
        <w:rPr>
          <w:rFonts w:asciiTheme="minorHAnsi" w:hAnsiTheme="minorHAnsi" w:cstheme="minorHAnsi"/>
          <w:sz w:val="22"/>
          <w:szCs w:val="22"/>
        </w:rPr>
        <w:t xml:space="preserve">  + </w:t>
      </w:r>
      <w:r w:rsidRPr="007C67CC">
        <w:rPr>
          <w:rFonts w:asciiTheme="minorHAnsi" w:hAnsiTheme="minorHAnsi" w:cstheme="minorHAnsi"/>
          <w:spacing w:val="-1"/>
          <w:sz w:val="22"/>
          <w:szCs w:val="22"/>
        </w:rPr>
        <w:sym w:font="Symbol" w:char="F062"/>
      </w:r>
      <w:r w:rsidRPr="007C67CC">
        <w:rPr>
          <w:rFonts w:asciiTheme="minorHAnsi" w:hAnsiTheme="minorHAnsi" w:cstheme="minorHAnsi"/>
          <w:spacing w:val="-1"/>
          <w:sz w:val="22"/>
          <w:szCs w:val="22"/>
        </w:rPr>
        <w:t>*Z</w:t>
      </w:r>
      <w:r w:rsidRPr="007C67CC">
        <w:rPr>
          <w:rFonts w:asciiTheme="minorHAnsi" w:hAnsiTheme="minorHAnsi" w:cstheme="minorHAnsi"/>
          <w:spacing w:val="-1"/>
          <w:sz w:val="22"/>
          <w:szCs w:val="22"/>
          <w:vertAlign w:val="subscript"/>
        </w:rPr>
        <w:t>ij</w:t>
      </w:r>
      <w:r w:rsidRPr="007C67CC">
        <w:rPr>
          <w:rFonts w:asciiTheme="minorHAnsi" w:hAnsiTheme="minorHAnsi" w:cstheme="minorHAnsi"/>
          <w:sz w:val="22"/>
          <w:szCs w:val="22"/>
        </w:rPr>
        <w:t xml:space="preserve">) </w:t>
      </w:r>
      <w:r w:rsidRPr="007C67CC">
        <w:rPr>
          <w:rFonts w:asciiTheme="minorHAnsi" w:hAnsiTheme="minorHAnsi" w:cstheme="minorHAnsi"/>
          <w:spacing w:val="-9"/>
          <w:sz w:val="22"/>
          <w:szCs w:val="22"/>
        </w:rPr>
        <w:tab/>
      </w:r>
      <w:r w:rsidRPr="007C67CC">
        <w:rPr>
          <w:rFonts w:asciiTheme="minorHAnsi" w:hAnsiTheme="minorHAnsi" w:cstheme="minorHAnsi"/>
          <w:sz w:val="22"/>
          <w:szCs w:val="22"/>
        </w:rPr>
        <w:t>(</w:t>
      </w:r>
      <w:r w:rsidRPr="007C67CC">
        <w:rPr>
          <w:rFonts w:asciiTheme="minorHAnsi" w:hAnsiTheme="minorHAnsi" w:cstheme="minorHAnsi"/>
          <w:sz w:val="22"/>
          <w:szCs w:val="22"/>
        </w:rPr>
        <w:fldChar w:fldCharType="begin"/>
      </w:r>
      <w:r w:rsidRPr="007C67CC">
        <w:rPr>
          <w:rFonts w:asciiTheme="minorHAnsi" w:hAnsiTheme="minorHAnsi" w:cstheme="minorHAnsi"/>
          <w:sz w:val="22"/>
          <w:szCs w:val="22"/>
        </w:rPr>
        <w:instrText xml:space="preserve"> SEQ Equation \* ARABIC </w:instrText>
      </w:r>
      <w:r w:rsidRPr="007C67CC">
        <w:rPr>
          <w:rFonts w:asciiTheme="minorHAnsi" w:hAnsiTheme="minorHAnsi" w:cstheme="minorHAnsi"/>
          <w:sz w:val="22"/>
          <w:szCs w:val="22"/>
        </w:rPr>
        <w:fldChar w:fldCharType="separate"/>
      </w:r>
      <w:r w:rsidRPr="007C67CC">
        <w:rPr>
          <w:rFonts w:asciiTheme="minorHAnsi" w:hAnsiTheme="minorHAnsi" w:cstheme="minorHAnsi"/>
          <w:noProof/>
          <w:sz w:val="22"/>
          <w:szCs w:val="22"/>
        </w:rPr>
        <w:t>2</w:t>
      </w:r>
      <w:r w:rsidRPr="007C67CC">
        <w:rPr>
          <w:rFonts w:asciiTheme="minorHAnsi" w:hAnsiTheme="minorHAnsi" w:cstheme="minorHAnsi"/>
          <w:sz w:val="22"/>
          <w:szCs w:val="22"/>
        </w:rPr>
        <w:fldChar w:fldCharType="end"/>
      </w:r>
      <w:r w:rsidRPr="007C67CC">
        <w:rPr>
          <w:rFonts w:asciiTheme="minorHAnsi" w:hAnsiTheme="minorHAnsi" w:cstheme="minorHAnsi"/>
          <w:sz w:val="22"/>
          <w:szCs w:val="22"/>
        </w:rPr>
        <w:t xml:space="preserve">) </w:t>
      </w:r>
    </w:p>
    <w:p w14:paraId="39362392" w14:textId="77777777" w:rsidR="00E63B4F" w:rsidRPr="007C67CC" w:rsidRDefault="00E63B4F" w:rsidP="00E63B4F">
      <w:pPr>
        <w:pStyle w:val="StepsIndent"/>
        <w:spacing w:after="0" w:line="276" w:lineRule="auto"/>
        <w:rPr>
          <w:rFonts w:asciiTheme="minorHAnsi" w:hAnsiTheme="minorHAnsi" w:cstheme="minorHAnsi"/>
          <w:sz w:val="22"/>
          <w:szCs w:val="22"/>
        </w:rPr>
      </w:pPr>
      <w:r w:rsidRPr="007C67CC">
        <w:rPr>
          <w:rFonts w:asciiTheme="minorHAnsi" w:hAnsiTheme="minorHAnsi" w:cstheme="minorHAnsi"/>
          <w:sz w:val="22"/>
          <w:szCs w:val="22"/>
        </w:rPr>
        <w:t xml:space="preserve">where the sum is over all stays in </w:t>
      </w:r>
      <w:proofErr w:type="spellStart"/>
      <w:r w:rsidRPr="007C67CC">
        <w:rPr>
          <w:rFonts w:asciiTheme="minorHAnsi" w:hAnsiTheme="minorHAnsi" w:cstheme="minorHAnsi"/>
          <w:sz w:val="22"/>
          <w:szCs w:val="22"/>
        </w:rPr>
        <w:t>facility</w:t>
      </w:r>
      <w:r w:rsidRPr="007C67CC">
        <w:rPr>
          <w:rFonts w:asciiTheme="minorHAnsi" w:hAnsiTheme="minorHAnsi" w:cstheme="minorHAnsi"/>
          <w:sz w:val="22"/>
          <w:szCs w:val="22"/>
          <w:vertAlign w:val="subscript"/>
        </w:rPr>
        <w:t>j</w:t>
      </w:r>
      <w:proofErr w:type="spellEnd"/>
      <w:r w:rsidRPr="007C67CC">
        <w:rPr>
          <w:rFonts w:asciiTheme="minorHAnsi" w:hAnsiTheme="minorHAnsi" w:cstheme="minorHAnsi"/>
          <w:sz w:val="22"/>
          <w:szCs w:val="22"/>
        </w:rPr>
        <w:t xml:space="preserve">, and </w:t>
      </w:r>
      <w:r w:rsidRPr="007C67CC">
        <w:rPr>
          <w:rFonts w:asciiTheme="minorHAnsi" w:hAnsiTheme="minorHAnsi" w:cstheme="minorHAnsi"/>
          <w:sz w:val="22"/>
          <w:szCs w:val="22"/>
        </w:rPr>
        <w:sym w:font="Symbol" w:char="F077"/>
      </w:r>
      <w:r w:rsidRPr="007C67CC">
        <w:rPr>
          <w:rFonts w:asciiTheme="minorHAnsi" w:hAnsiTheme="minorHAnsi" w:cstheme="minorHAnsi"/>
          <w:sz w:val="22"/>
          <w:szCs w:val="22"/>
          <w:vertAlign w:val="subscript"/>
        </w:rPr>
        <w:t>i</w:t>
      </w:r>
      <w:r w:rsidRPr="007C67CC">
        <w:rPr>
          <w:rFonts w:asciiTheme="minorHAnsi" w:hAnsiTheme="minorHAnsi" w:cstheme="minorHAnsi"/>
          <w:sz w:val="22"/>
          <w:szCs w:val="22"/>
        </w:rPr>
        <w:t xml:space="preserve"> is the facility effect. </w:t>
      </w:r>
    </w:p>
    <w:p w14:paraId="6CFF59C0" w14:textId="77777777" w:rsidR="00E63B4F" w:rsidRPr="007C67CC" w:rsidRDefault="00E63B4F" w:rsidP="00E63B4F">
      <w:pPr>
        <w:pStyle w:val="StepsIndent"/>
        <w:spacing w:after="0" w:line="276" w:lineRule="auto"/>
        <w:rPr>
          <w:rFonts w:asciiTheme="minorHAnsi" w:hAnsiTheme="minorHAnsi" w:cstheme="minorHAnsi"/>
          <w:sz w:val="22"/>
          <w:szCs w:val="22"/>
        </w:rPr>
      </w:pPr>
    </w:p>
    <w:p w14:paraId="1B23000E" w14:textId="77777777" w:rsidR="00E63B4F" w:rsidRPr="007C67CC" w:rsidRDefault="00E63B4F" w:rsidP="00E63B4F">
      <w:pPr>
        <w:pStyle w:val="StepsIndent"/>
        <w:spacing w:after="0" w:line="276" w:lineRule="auto"/>
        <w:rPr>
          <w:rFonts w:asciiTheme="minorHAnsi" w:hAnsiTheme="minorHAnsi" w:cstheme="minorHAnsi"/>
          <w:sz w:val="22"/>
          <w:szCs w:val="22"/>
        </w:rPr>
      </w:pPr>
      <w:r w:rsidRPr="007C67CC">
        <w:rPr>
          <w:rStyle w:val="Style1"/>
          <w:rFonts w:eastAsia="Trebuchet MS" w:cstheme="minorHAnsi"/>
          <w:szCs w:val="22"/>
        </w:rPr>
        <w:t xml:space="preserve">The expected number of discharges to community </w:t>
      </w:r>
      <w:r w:rsidRPr="007C67CC">
        <w:rPr>
          <w:rFonts w:asciiTheme="minorHAnsi" w:hAnsiTheme="minorHAnsi" w:cstheme="minorHAnsi"/>
          <w:sz w:val="22"/>
          <w:szCs w:val="22"/>
        </w:rPr>
        <w:t xml:space="preserve">(i.e., denominator) </w:t>
      </w:r>
      <w:r w:rsidRPr="007C67CC">
        <w:rPr>
          <w:rStyle w:val="Style1"/>
          <w:rFonts w:eastAsia="Trebuchet MS" w:cstheme="minorHAnsi"/>
          <w:szCs w:val="22"/>
        </w:rPr>
        <w:t xml:space="preserve">is calculated as the sum of the predicted probability of discharges to community, but without the facility-specific effect </w:t>
      </w:r>
      <w:r w:rsidRPr="007C67CC">
        <w:rPr>
          <w:rStyle w:val="Style1"/>
          <w:rFonts w:eastAsiaTheme="minorEastAsia" w:cstheme="minorHAnsi"/>
          <w:szCs w:val="22"/>
        </w:rPr>
        <w:t>included in the predictions</w:t>
      </w:r>
      <w:r w:rsidRPr="007C67CC">
        <w:rPr>
          <w:rStyle w:val="Style1"/>
          <w:rFonts w:eastAsia="Trebuchet MS" w:cstheme="minorHAnsi"/>
          <w:szCs w:val="22"/>
        </w:rPr>
        <w:t>.</w:t>
      </w:r>
      <w:r w:rsidRPr="007C67CC">
        <w:rPr>
          <w:rFonts w:asciiTheme="minorHAnsi" w:hAnsiTheme="minorHAnsi" w:cstheme="minorHAnsi"/>
          <w:sz w:val="22"/>
          <w:szCs w:val="22"/>
        </w:rPr>
        <w:t xml:space="preserve"> </w:t>
      </w:r>
      <w:r w:rsidRPr="007C67CC">
        <w:rPr>
          <w:rStyle w:val="Style1"/>
          <w:rFonts w:eastAsiaTheme="minorEastAsia" w:cstheme="minorHAnsi"/>
          <w:szCs w:val="22"/>
        </w:rPr>
        <w:t xml:space="preserve">This produces the expected number of discharges at the average facility. </w:t>
      </w:r>
      <w:r w:rsidRPr="007C67CC">
        <w:rPr>
          <w:rFonts w:asciiTheme="minorHAnsi" w:hAnsiTheme="minorHAnsi" w:cstheme="minorHAnsi"/>
          <w:sz w:val="22"/>
          <w:szCs w:val="22"/>
        </w:rPr>
        <w:t xml:space="preserve">To calculate the expected number </w:t>
      </w:r>
      <w:proofErr w:type="spellStart"/>
      <w:r w:rsidRPr="007C67CC">
        <w:rPr>
          <w:rFonts w:asciiTheme="minorHAnsi" w:hAnsiTheme="minorHAnsi" w:cstheme="minorHAnsi"/>
          <w:sz w:val="22"/>
          <w:szCs w:val="22"/>
        </w:rPr>
        <w:t>exp</w:t>
      </w:r>
      <w:r w:rsidRPr="007C67CC">
        <w:rPr>
          <w:rFonts w:asciiTheme="minorHAnsi" w:hAnsiTheme="minorHAnsi" w:cstheme="minorHAnsi"/>
          <w:sz w:val="22"/>
          <w:szCs w:val="22"/>
          <w:vertAlign w:val="subscript"/>
        </w:rPr>
        <w:t>j</w:t>
      </w:r>
      <w:proofErr w:type="spellEnd"/>
      <w:r w:rsidRPr="007C67CC">
        <w:rPr>
          <w:rFonts w:asciiTheme="minorHAnsi" w:hAnsiTheme="minorHAnsi" w:cstheme="minorHAnsi"/>
          <w:sz w:val="22"/>
          <w:szCs w:val="22"/>
        </w:rPr>
        <w:t>, we used the following equation:</w:t>
      </w:r>
    </w:p>
    <w:p w14:paraId="28C5E2BE" w14:textId="77777777" w:rsidR="00E63B4F" w:rsidRPr="007C67CC" w:rsidRDefault="00E63B4F" w:rsidP="00E63B4F">
      <w:pPr>
        <w:pStyle w:val="equation"/>
        <w:spacing w:line="276" w:lineRule="auto"/>
        <w:rPr>
          <w:rFonts w:asciiTheme="minorHAnsi" w:eastAsia="Calibri" w:hAnsiTheme="minorHAnsi" w:cstheme="minorHAnsi"/>
          <w:spacing w:val="-1"/>
          <w:sz w:val="22"/>
          <w:szCs w:val="22"/>
        </w:rPr>
      </w:pPr>
      <w:r w:rsidRPr="007C67CC">
        <w:rPr>
          <w:rFonts w:asciiTheme="minorHAnsi" w:hAnsiTheme="minorHAnsi" w:cstheme="minorHAnsi"/>
          <w:sz w:val="22"/>
          <w:szCs w:val="22"/>
        </w:rPr>
        <w:tab/>
      </w:r>
      <w:proofErr w:type="spellStart"/>
      <w:r w:rsidRPr="007C67CC">
        <w:rPr>
          <w:rFonts w:asciiTheme="minorHAnsi" w:hAnsiTheme="minorHAnsi" w:cstheme="minorHAnsi"/>
          <w:sz w:val="22"/>
          <w:szCs w:val="22"/>
        </w:rPr>
        <w:t>exp</w:t>
      </w:r>
      <w:r w:rsidRPr="007C67CC">
        <w:rPr>
          <w:rFonts w:asciiTheme="minorHAnsi" w:hAnsiTheme="minorHAnsi" w:cstheme="minorHAnsi"/>
          <w:sz w:val="22"/>
          <w:szCs w:val="22"/>
          <w:vertAlign w:val="subscript"/>
        </w:rPr>
        <w:t>j</w:t>
      </w:r>
      <w:proofErr w:type="spellEnd"/>
      <w:r w:rsidRPr="007C67CC">
        <w:rPr>
          <w:rFonts w:asciiTheme="minorHAnsi" w:hAnsiTheme="minorHAnsi" w:cstheme="minorHAnsi"/>
          <w:sz w:val="22"/>
          <w:szCs w:val="22"/>
        </w:rPr>
        <w:t xml:space="preserve"> = Σlogit</w:t>
      </w:r>
      <w:r w:rsidRPr="007C67CC">
        <w:rPr>
          <w:rFonts w:asciiTheme="minorHAnsi" w:hAnsiTheme="minorHAnsi" w:cstheme="minorHAnsi"/>
          <w:sz w:val="22"/>
          <w:szCs w:val="22"/>
          <w:vertAlign w:val="superscript"/>
        </w:rPr>
        <w:t>-1</w:t>
      </w:r>
      <w:r w:rsidRPr="007C67CC">
        <w:rPr>
          <w:rFonts w:asciiTheme="minorHAnsi" w:hAnsiTheme="minorHAnsi" w:cstheme="minorHAnsi"/>
          <w:sz w:val="22"/>
          <w:szCs w:val="22"/>
        </w:rPr>
        <w:t xml:space="preserve"> (</w:t>
      </w:r>
      <w:r w:rsidRPr="007C67CC">
        <w:rPr>
          <w:rFonts w:asciiTheme="minorHAnsi" w:hAnsiTheme="minorHAnsi" w:cstheme="minorHAnsi"/>
          <w:spacing w:val="4"/>
          <w:sz w:val="22"/>
          <w:szCs w:val="22"/>
        </w:rPr>
        <w:sym w:font="Symbol" w:char="F06D"/>
      </w:r>
      <w:r w:rsidRPr="007C67CC">
        <w:rPr>
          <w:rFonts w:asciiTheme="minorHAnsi" w:eastAsia="SymbolMT" w:hAnsiTheme="minorHAnsi" w:cstheme="minorHAnsi"/>
          <w:sz w:val="22"/>
          <w:szCs w:val="22"/>
        </w:rPr>
        <w:t xml:space="preserve"> </w:t>
      </w:r>
      <w:r w:rsidRPr="007C67CC">
        <w:rPr>
          <w:rFonts w:asciiTheme="minorHAnsi" w:hAnsiTheme="minorHAnsi" w:cstheme="minorHAnsi"/>
          <w:sz w:val="22"/>
          <w:szCs w:val="22"/>
        </w:rPr>
        <w:t xml:space="preserve">+ </w:t>
      </w:r>
      <w:r w:rsidRPr="007C67CC">
        <w:rPr>
          <w:rFonts w:asciiTheme="minorHAnsi" w:hAnsiTheme="minorHAnsi" w:cstheme="minorHAnsi"/>
          <w:spacing w:val="-1"/>
          <w:sz w:val="22"/>
          <w:szCs w:val="22"/>
        </w:rPr>
        <w:sym w:font="Symbol" w:char="F062"/>
      </w:r>
      <w:r w:rsidRPr="007C67CC">
        <w:rPr>
          <w:rFonts w:asciiTheme="minorHAnsi" w:hAnsiTheme="minorHAnsi" w:cstheme="minorHAnsi"/>
          <w:spacing w:val="-1"/>
          <w:sz w:val="22"/>
          <w:szCs w:val="22"/>
        </w:rPr>
        <w:t>*Z</w:t>
      </w:r>
      <w:r w:rsidRPr="007C67CC">
        <w:rPr>
          <w:rFonts w:asciiTheme="minorHAnsi" w:hAnsiTheme="minorHAnsi" w:cstheme="minorHAnsi"/>
          <w:spacing w:val="-1"/>
          <w:sz w:val="22"/>
          <w:szCs w:val="22"/>
          <w:vertAlign w:val="subscript"/>
        </w:rPr>
        <w:t>ij</w:t>
      </w:r>
      <w:r w:rsidRPr="007C67CC">
        <w:rPr>
          <w:rFonts w:asciiTheme="minorHAnsi" w:hAnsiTheme="minorHAnsi" w:cstheme="minorHAnsi"/>
          <w:sz w:val="22"/>
          <w:szCs w:val="22"/>
        </w:rPr>
        <w:t>)</w:t>
      </w:r>
      <w:r w:rsidRPr="007C67CC">
        <w:rPr>
          <w:rFonts w:asciiTheme="minorHAnsi" w:hAnsiTheme="minorHAnsi" w:cstheme="minorHAnsi"/>
          <w:spacing w:val="-9"/>
          <w:sz w:val="22"/>
          <w:szCs w:val="22"/>
        </w:rPr>
        <w:tab/>
      </w:r>
      <w:r w:rsidRPr="007C67CC">
        <w:rPr>
          <w:rFonts w:asciiTheme="minorHAnsi" w:hAnsiTheme="minorHAnsi" w:cstheme="minorHAnsi"/>
          <w:sz w:val="22"/>
          <w:szCs w:val="22"/>
        </w:rPr>
        <w:t>(</w:t>
      </w:r>
      <w:r w:rsidRPr="007C67CC">
        <w:rPr>
          <w:rFonts w:asciiTheme="minorHAnsi" w:hAnsiTheme="minorHAnsi" w:cstheme="minorHAnsi"/>
          <w:sz w:val="22"/>
          <w:szCs w:val="22"/>
        </w:rPr>
        <w:fldChar w:fldCharType="begin"/>
      </w:r>
      <w:r w:rsidRPr="007C67CC">
        <w:rPr>
          <w:rFonts w:asciiTheme="minorHAnsi" w:hAnsiTheme="minorHAnsi" w:cstheme="minorHAnsi"/>
          <w:sz w:val="22"/>
          <w:szCs w:val="22"/>
        </w:rPr>
        <w:instrText xml:space="preserve"> SEQ Equation \* ARABIC </w:instrText>
      </w:r>
      <w:r w:rsidRPr="007C67CC">
        <w:rPr>
          <w:rFonts w:asciiTheme="minorHAnsi" w:hAnsiTheme="minorHAnsi" w:cstheme="minorHAnsi"/>
          <w:sz w:val="22"/>
          <w:szCs w:val="22"/>
        </w:rPr>
        <w:fldChar w:fldCharType="separate"/>
      </w:r>
      <w:r w:rsidRPr="007C67CC">
        <w:rPr>
          <w:rFonts w:asciiTheme="minorHAnsi" w:hAnsiTheme="minorHAnsi" w:cstheme="minorHAnsi"/>
          <w:noProof/>
          <w:sz w:val="22"/>
          <w:szCs w:val="22"/>
        </w:rPr>
        <w:t>3</w:t>
      </w:r>
      <w:r w:rsidRPr="007C67CC">
        <w:rPr>
          <w:rFonts w:asciiTheme="minorHAnsi" w:hAnsiTheme="minorHAnsi" w:cstheme="minorHAnsi"/>
          <w:sz w:val="22"/>
          <w:szCs w:val="22"/>
        </w:rPr>
        <w:fldChar w:fldCharType="end"/>
      </w:r>
      <w:r w:rsidRPr="007C67CC">
        <w:rPr>
          <w:rFonts w:asciiTheme="minorHAnsi" w:hAnsiTheme="minorHAnsi" w:cstheme="minorHAnsi"/>
          <w:sz w:val="22"/>
          <w:szCs w:val="22"/>
        </w:rPr>
        <w:t>)</w:t>
      </w:r>
    </w:p>
    <w:p w14:paraId="4A985BB4" w14:textId="77777777" w:rsidR="00E63B4F" w:rsidRPr="007C67CC" w:rsidRDefault="00E63B4F" w:rsidP="00E63B4F">
      <w:pPr>
        <w:pStyle w:val="Steps"/>
        <w:spacing w:line="276" w:lineRule="auto"/>
        <w:rPr>
          <w:rFonts w:asciiTheme="minorHAnsi" w:eastAsia="Trebuchet MS" w:hAnsiTheme="minorHAnsi" w:cstheme="minorHAnsi"/>
          <w:sz w:val="22"/>
          <w:szCs w:val="22"/>
        </w:rPr>
      </w:pPr>
      <w:r w:rsidRPr="007C67CC">
        <w:rPr>
          <w:rFonts w:asciiTheme="minorHAnsi" w:eastAsia="Trebuchet MS" w:hAnsiTheme="minorHAnsi" w:cstheme="minorHAnsi"/>
          <w:i/>
          <w:iCs/>
          <w:sz w:val="22"/>
          <w:szCs w:val="22"/>
        </w:rPr>
        <w:t xml:space="preserve">Step 5: </w:t>
      </w:r>
      <w:r w:rsidRPr="007C67CC">
        <w:rPr>
          <w:rFonts w:asciiTheme="minorHAnsi" w:hAnsiTheme="minorHAnsi" w:cstheme="minorHAnsi"/>
          <w:i/>
          <w:iCs/>
          <w:sz w:val="22"/>
          <w:szCs w:val="22"/>
        </w:rPr>
        <w:tab/>
      </w:r>
      <w:r w:rsidRPr="007C67CC">
        <w:rPr>
          <w:rFonts w:asciiTheme="minorHAnsi" w:eastAsia="Trebuchet MS" w:hAnsiTheme="minorHAnsi" w:cstheme="minorHAnsi"/>
          <w:sz w:val="22"/>
          <w:szCs w:val="22"/>
        </w:rPr>
        <w:t>Calculate the SRR for each facility, as the ratio of the predicted-to-expected number of discharges to community.</w:t>
      </w:r>
    </w:p>
    <w:p w14:paraId="5202E992" w14:textId="77777777" w:rsidR="00E63B4F" w:rsidRPr="007C67CC" w:rsidRDefault="00E63B4F" w:rsidP="00E63B4F">
      <w:pPr>
        <w:pStyle w:val="StepsIndent"/>
        <w:spacing w:after="0" w:line="276" w:lineRule="auto"/>
        <w:rPr>
          <w:rFonts w:asciiTheme="minorHAnsi" w:hAnsiTheme="minorHAnsi" w:cstheme="minorHAnsi"/>
          <w:sz w:val="22"/>
          <w:szCs w:val="22"/>
        </w:rPr>
      </w:pPr>
      <w:r w:rsidRPr="007C67CC">
        <w:rPr>
          <w:rFonts w:asciiTheme="minorHAnsi" w:hAnsiTheme="minorHAnsi" w:cstheme="minorHAnsi"/>
          <w:sz w:val="22"/>
          <w:szCs w:val="22"/>
        </w:rPr>
        <w:t xml:space="preserve">To calculate the facility-level SRR, </w:t>
      </w:r>
      <w:proofErr w:type="spellStart"/>
      <w:r w:rsidRPr="007C67CC">
        <w:rPr>
          <w:rFonts w:asciiTheme="minorHAnsi" w:hAnsiTheme="minorHAnsi" w:cstheme="minorHAnsi"/>
          <w:sz w:val="22"/>
          <w:szCs w:val="22"/>
        </w:rPr>
        <w:t>SRR</w:t>
      </w:r>
      <w:r w:rsidRPr="007C67CC">
        <w:rPr>
          <w:rFonts w:asciiTheme="minorHAnsi" w:hAnsiTheme="minorHAnsi" w:cstheme="minorHAnsi"/>
          <w:sz w:val="22"/>
          <w:szCs w:val="22"/>
          <w:vertAlign w:val="subscript"/>
        </w:rPr>
        <w:t>j</w:t>
      </w:r>
      <w:proofErr w:type="spellEnd"/>
      <w:r w:rsidRPr="007C67CC">
        <w:rPr>
          <w:rFonts w:asciiTheme="minorHAnsi" w:hAnsiTheme="minorHAnsi" w:cstheme="minorHAnsi"/>
          <w:sz w:val="22"/>
          <w:szCs w:val="22"/>
        </w:rPr>
        <w:t>, we used the following equation:</w:t>
      </w:r>
    </w:p>
    <w:p w14:paraId="54C7766E" w14:textId="77777777" w:rsidR="00E63B4F" w:rsidRPr="007C67CC" w:rsidRDefault="00E63B4F" w:rsidP="00E63B4F">
      <w:pPr>
        <w:pStyle w:val="equation"/>
        <w:spacing w:line="276" w:lineRule="auto"/>
        <w:rPr>
          <w:rFonts w:asciiTheme="minorHAnsi" w:hAnsiTheme="minorHAnsi" w:cstheme="minorHAnsi"/>
          <w:sz w:val="22"/>
          <w:szCs w:val="22"/>
        </w:rPr>
      </w:pPr>
      <w:r w:rsidRPr="007C67CC">
        <w:rPr>
          <w:rFonts w:asciiTheme="minorHAnsi" w:hAnsiTheme="minorHAnsi" w:cstheme="minorHAnsi"/>
          <w:sz w:val="22"/>
          <w:szCs w:val="22"/>
        </w:rPr>
        <w:tab/>
      </w:r>
      <w:proofErr w:type="spellStart"/>
      <w:r w:rsidRPr="007C67CC">
        <w:rPr>
          <w:rFonts w:asciiTheme="minorHAnsi" w:hAnsiTheme="minorHAnsi" w:cstheme="minorHAnsi"/>
          <w:sz w:val="22"/>
          <w:szCs w:val="22"/>
        </w:rPr>
        <w:t>SRR</w:t>
      </w:r>
      <w:r w:rsidRPr="007C67CC">
        <w:rPr>
          <w:rFonts w:asciiTheme="minorHAnsi" w:hAnsiTheme="minorHAnsi" w:cstheme="minorHAnsi"/>
          <w:sz w:val="22"/>
          <w:szCs w:val="22"/>
          <w:vertAlign w:val="subscript"/>
        </w:rPr>
        <w:t>j</w:t>
      </w:r>
      <w:proofErr w:type="spellEnd"/>
      <w:r w:rsidRPr="007C67CC">
        <w:rPr>
          <w:rFonts w:asciiTheme="minorHAnsi" w:hAnsiTheme="minorHAnsi" w:cstheme="minorHAnsi"/>
          <w:sz w:val="22"/>
          <w:szCs w:val="22"/>
        </w:rPr>
        <w:t xml:space="preserve"> = </w:t>
      </w:r>
      <w:proofErr w:type="spellStart"/>
      <w:r w:rsidRPr="007C67CC">
        <w:rPr>
          <w:rFonts w:asciiTheme="minorHAnsi" w:hAnsiTheme="minorHAnsi" w:cstheme="minorHAnsi"/>
          <w:sz w:val="22"/>
          <w:szCs w:val="22"/>
        </w:rPr>
        <w:t>pred</w:t>
      </w:r>
      <w:r w:rsidRPr="007C67CC">
        <w:rPr>
          <w:rFonts w:asciiTheme="minorHAnsi" w:hAnsiTheme="minorHAnsi" w:cstheme="minorHAnsi"/>
          <w:sz w:val="22"/>
          <w:szCs w:val="22"/>
          <w:vertAlign w:val="subscript"/>
        </w:rPr>
        <w:t>j</w:t>
      </w:r>
      <w:proofErr w:type="spellEnd"/>
      <w:r w:rsidRPr="007C67CC">
        <w:rPr>
          <w:rFonts w:asciiTheme="minorHAnsi" w:hAnsiTheme="minorHAnsi" w:cstheme="minorHAnsi"/>
          <w:sz w:val="22"/>
          <w:szCs w:val="22"/>
        </w:rPr>
        <w:t>/</w:t>
      </w:r>
      <w:proofErr w:type="spellStart"/>
      <w:r w:rsidRPr="007C67CC">
        <w:rPr>
          <w:rFonts w:asciiTheme="minorHAnsi" w:hAnsiTheme="minorHAnsi" w:cstheme="minorHAnsi"/>
          <w:sz w:val="22"/>
          <w:szCs w:val="22"/>
        </w:rPr>
        <w:t>exp</w:t>
      </w:r>
      <w:r w:rsidRPr="007C67CC">
        <w:rPr>
          <w:rFonts w:asciiTheme="minorHAnsi" w:hAnsiTheme="minorHAnsi" w:cstheme="minorHAnsi"/>
          <w:sz w:val="22"/>
          <w:szCs w:val="22"/>
          <w:vertAlign w:val="subscript"/>
        </w:rPr>
        <w:t>j</w:t>
      </w:r>
      <w:proofErr w:type="spellEnd"/>
      <w:r w:rsidRPr="007C67CC">
        <w:rPr>
          <w:rFonts w:asciiTheme="minorHAnsi" w:hAnsiTheme="minorHAnsi" w:cstheme="minorHAnsi"/>
          <w:sz w:val="22"/>
          <w:szCs w:val="22"/>
        </w:rPr>
        <w:tab/>
        <w:t>(</w:t>
      </w:r>
      <w:r w:rsidRPr="007C67CC">
        <w:rPr>
          <w:rFonts w:asciiTheme="minorHAnsi" w:hAnsiTheme="minorHAnsi" w:cstheme="minorHAnsi"/>
          <w:sz w:val="22"/>
          <w:szCs w:val="22"/>
        </w:rPr>
        <w:fldChar w:fldCharType="begin"/>
      </w:r>
      <w:r w:rsidRPr="007C67CC">
        <w:rPr>
          <w:rFonts w:asciiTheme="minorHAnsi" w:hAnsiTheme="minorHAnsi" w:cstheme="minorHAnsi"/>
          <w:sz w:val="22"/>
          <w:szCs w:val="22"/>
        </w:rPr>
        <w:instrText xml:space="preserve"> SEQ Equation \* ARABIC </w:instrText>
      </w:r>
      <w:r w:rsidRPr="007C67CC">
        <w:rPr>
          <w:rFonts w:asciiTheme="minorHAnsi" w:hAnsiTheme="minorHAnsi" w:cstheme="minorHAnsi"/>
          <w:sz w:val="22"/>
          <w:szCs w:val="22"/>
        </w:rPr>
        <w:fldChar w:fldCharType="separate"/>
      </w:r>
      <w:r w:rsidRPr="007C67CC">
        <w:rPr>
          <w:rFonts w:asciiTheme="minorHAnsi" w:hAnsiTheme="minorHAnsi" w:cstheme="minorHAnsi"/>
          <w:noProof/>
          <w:sz w:val="22"/>
          <w:szCs w:val="22"/>
        </w:rPr>
        <w:t>4</w:t>
      </w:r>
      <w:r w:rsidRPr="007C67CC">
        <w:rPr>
          <w:rFonts w:asciiTheme="minorHAnsi" w:hAnsiTheme="minorHAnsi" w:cstheme="minorHAnsi"/>
          <w:sz w:val="22"/>
          <w:szCs w:val="22"/>
        </w:rPr>
        <w:fldChar w:fldCharType="end"/>
      </w:r>
      <w:r w:rsidRPr="007C67CC">
        <w:rPr>
          <w:rFonts w:asciiTheme="minorHAnsi" w:hAnsiTheme="minorHAnsi" w:cstheme="minorHAnsi"/>
          <w:sz w:val="22"/>
          <w:szCs w:val="22"/>
        </w:rPr>
        <w:t>)</w:t>
      </w:r>
    </w:p>
    <w:p w14:paraId="0317457D" w14:textId="77777777" w:rsidR="00E63B4F" w:rsidRPr="007C67CC" w:rsidRDefault="00E63B4F" w:rsidP="00E63B4F">
      <w:pPr>
        <w:pStyle w:val="Steps"/>
        <w:spacing w:line="276" w:lineRule="auto"/>
        <w:rPr>
          <w:rFonts w:asciiTheme="minorHAnsi" w:eastAsia="Trebuchet MS" w:hAnsiTheme="minorHAnsi" w:cstheme="minorHAnsi"/>
          <w:sz w:val="22"/>
          <w:szCs w:val="22"/>
        </w:rPr>
      </w:pPr>
      <w:r w:rsidRPr="007C67CC">
        <w:rPr>
          <w:rFonts w:asciiTheme="minorHAnsi" w:eastAsia="Trebuchet MS" w:hAnsiTheme="minorHAnsi" w:cstheme="minorHAnsi"/>
          <w:i/>
          <w:iCs/>
          <w:sz w:val="22"/>
          <w:szCs w:val="22"/>
        </w:rPr>
        <w:t xml:space="preserve">Step 6: </w:t>
      </w:r>
      <w:r w:rsidRPr="007C67CC">
        <w:rPr>
          <w:rFonts w:asciiTheme="minorHAnsi" w:hAnsiTheme="minorHAnsi" w:cstheme="minorHAnsi"/>
          <w:i/>
          <w:iCs/>
          <w:sz w:val="22"/>
          <w:szCs w:val="22"/>
        </w:rPr>
        <w:tab/>
      </w:r>
      <w:r w:rsidRPr="007C67CC">
        <w:rPr>
          <w:rFonts w:asciiTheme="minorHAnsi" w:eastAsia="Trebuchet MS" w:hAnsiTheme="minorHAnsi" w:cstheme="minorHAnsi"/>
          <w:sz w:val="22"/>
          <w:szCs w:val="22"/>
        </w:rPr>
        <w:t>Calculate the risk-standardized discharge to community rate for each facility.</w:t>
      </w:r>
    </w:p>
    <w:p w14:paraId="2ED172A0" w14:textId="77777777" w:rsidR="00E63B4F" w:rsidRPr="007C67CC" w:rsidRDefault="00E63B4F" w:rsidP="00E63B4F">
      <w:pPr>
        <w:pStyle w:val="StepsIndent"/>
        <w:spacing w:line="276" w:lineRule="auto"/>
        <w:rPr>
          <w:rFonts w:asciiTheme="minorHAnsi" w:hAnsiTheme="minorHAnsi" w:cstheme="minorHAnsi"/>
          <w:bCs/>
          <w:sz w:val="22"/>
          <w:szCs w:val="22"/>
        </w:rPr>
      </w:pPr>
      <w:r w:rsidRPr="007C67CC">
        <w:rPr>
          <w:rFonts w:asciiTheme="minorHAnsi" w:hAnsiTheme="minorHAnsi" w:cstheme="minorHAnsi"/>
          <w:sz w:val="22"/>
          <w:szCs w:val="22"/>
        </w:rPr>
        <w:t xml:space="preserve">To aid interpretation, the facility-level SRR, </w:t>
      </w:r>
      <w:proofErr w:type="spellStart"/>
      <w:r w:rsidRPr="007C67CC">
        <w:rPr>
          <w:rFonts w:asciiTheme="minorHAnsi" w:hAnsiTheme="minorHAnsi" w:cstheme="minorHAnsi"/>
          <w:sz w:val="22"/>
          <w:szCs w:val="22"/>
        </w:rPr>
        <w:t>SRR</w:t>
      </w:r>
      <w:r w:rsidRPr="007C67CC">
        <w:rPr>
          <w:rFonts w:asciiTheme="minorHAnsi" w:hAnsiTheme="minorHAnsi" w:cstheme="minorHAnsi"/>
          <w:sz w:val="22"/>
          <w:szCs w:val="22"/>
          <w:vertAlign w:val="subscript"/>
        </w:rPr>
        <w:t>j</w:t>
      </w:r>
      <w:proofErr w:type="spellEnd"/>
      <w:r w:rsidRPr="007C67CC">
        <w:rPr>
          <w:rFonts w:asciiTheme="minorHAnsi" w:hAnsiTheme="minorHAnsi" w:cstheme="minorHAnsi"/>
          <w:sz w:val="22"/>
          <w:szCs w:val="22"/>
        </w:rPr>
        <w:t xml:space="preserve">, obtained from equation (4) is then multiplied by the overall national </w:t>
      </w:r>
      <w:bookmarkStart w:id="55" w:name="_Hlk520628019"/>
      <w:r w:rsidRPr="007C67CC">
        <w:rPr>
          <w:rFonts w:asciiTheme="minorHAnsi" w:hAnsiTheme="minorHAnsi" w:cstheme="minorHAnsi"/>
          <w:sz w:val="22"/>
          <w:szCs w:val="22"/>
        </w:rPr>
        <w:t xml:space="preserve">stay-level </w:t>
      </w:r>
      <w:bookmarkEnd w:id="55"/>
      <w:r w:rsidRPr="007C67CC">
        <w:rPr>
          <w:rFonts w:asciiTheme="minorHAnsi" w:hAnsiTheme="minorHAnsi" w:cstheme="minorHAnsi"/>
          <w:sz w:val="22"/>
          <w:szCs w:val="22"/>
        </w:rPr>
        <w:t>observed discharge to community rate for all facility stays, Ῡ, to produce the facility-level risk-standardized discharge to community rate (</w:t>
      </w:r>
      <w:proofErr w:type="spellStart"/>
      <w:r w:rsidRPr="007C67CC">
        <w:rPr>
          <w:rFonts w:asciiTheme="minorHAnsi" w:hAnsiTheme="minorHAnsi" w:cstheme="minorHAnsi"/>
          <w:sz w:val="22"/>
          <w:szCs w:val="22"/>
        </w:rPr>
        <w:t>RSR</w:t>
      </w:r>
      <w:r w:rsidRPr="007C67CC">
        <w:rPr>
          <w:rFonts w:asciiTheme="minorHAnsi" w:hAnsiTheme="minorHAnsi" w:cstheme="minorHAnsi"/>
          <w:sz w:val="22"/>
          <w:szCs w:val="22"/>
          <w:vertAlign w:val="subscript"/>
        </w:rPr>
        <w:t>j</w:t>
      </w:r>
      <w:proofErr w:type="spellEnd"/>
      <w:r w:rsidRPr="007C67CC">
        <w:rPr>
          <w:rFonts w:asciiTheme="minorHAnsi" w:hAnsiTheme="minorHAnsi" w:cstheme="minorHAnsi"/>
          <w:sz w:val="22"/>
          <w:szCs w:val="22"/>
        </w:rPr>
        <w:t>).</w:t>
      </w:r>
    </w:p>
    <w:p w14:paraId="34273008" w14:textId="77777777" w:rsidR="00E63B4F" w:rsidRPr="007C67CC" w:rsidRDefault="00E63B4F" w:rsidP="00E63B4F">
      <w:pPr>
        <w:pStyle w:val="StepsIndent"/>
        <w:spacing w:after="0" w:line="276" w:lineRule="auto"/>
        <w:rPr>
          <w:rFonts w:asciiTheme="minorHAnsi" w:eastAsia="Trebuchet MS" w:hAnsiTheme="minorHAnsi" w:cstheme="minorHAnsi"/>
          <w:sz w:val="22"/>
          <w:szCs w:val="22"/>
        </w:rPr>
      </w:pPr>
      <w:r w:rsidRPr="007C67CC">
        <w:rPr>
          <w:rFonts w:asciiTheme="minorHAnsi" w:eastAsia="Trebuchet MS" w:hAnsiTheme="minorHAnsi" w:cstheme="minorHAnsi"/>
          <w:sz w:val="22"/>
          <w:szCs w:val="22"/>
        </w:rPr>
        <w:t>To calculate the risk-standardized discharge to community rate for each facility, we used the following equation:</w:t>
      </w:r>
    </w:p>
    <w:p w14:paraId="5E6A6D75" w14:textId="77777777" w:rsidR="00E63B4F" w:rsidRPr="007C67CC" w:rsidRDefault="00E63B4F" w:rsidP="00E63B4F">
      <w:pPr>
        <w:pStyle w:val="equation"/>
        <w:spacing w:line="276" w:lineRule="auto"/>
        <w:rPr>
          <w:rFonts w:asciiTheme="minorHAnsi" w:hAnsiTheme="minorHAnsi" w:cstheme="minorHAnsi"/>
          <w:spacing w:val="-9"/>
          <w:sz w:val="22"/>
          <w:szCs w:val="22"/>
        </w:rPr>
      </w:pPr>
      <w:r w:rsidRPr="007C67CC">
        <w:rPr>
          <w:rFonts w:asciiTheme="minorHAnsi" w:hAnsiTheme="minorHAnsi" w:cstheme="minorHAnsi"/>
          <w:sz w:val="22"/>
          <w:szCs w:val="22"/>
        </w:rPr>
        <w:tab/>
      </w:r>
      <w:proofErr w:type="spellStart"/>
      <w:r w:rsidRPr="007C67CC">
        <w:rPr>
          <w:rFonts w:asciiTheme="minorHAnsi" w:hAnsiTheme="minorHAnsi" w:cstheme="minorHAnsi"/>
          <w:sz w:val="22"/>
          <w:szCs w:val="22"/>
        </w:rPr>
        <w:t>RSR</w:t>
      </w:r>
      <w:r w:rsidRPr="007C67CC">
        <w:rPr>
          <w:rFonts w:asciiTheme="minorHAnsi" w:hAnsiTheme="minorHAnsi" w:cstheme="minorHAnsi"/>
          <w:sz w:val="22"/>
          <w:szCs w:val="22"/>
          <w:vertAlign w:val="subscript"/>
        </w:rPr>
        <w:t>j</w:t>
      </w:r>
      <w:proofErr w:type="spellEnd"/>
      <w:r w:rsidRPr="007C67CC">
        <w:rPr>
          <w:rFonts w:asciiTheme="minorHAnsi" w:hAnsiTheme="minorHAnsi" w:cstheme="minorHAnsi"/>
          <w:sz w:val="22"/>
          <w:szCs w:val="22"/>
        </w:rPr>
        <w:t xml:space="preserve"> = </w:t>
      </w:r>
      <w:proofErr w:type="spellStart"/>
      <w:r w:rsidRPr="007C67CC">
        <w:rPr>
          <w:rFonts w:asciiTheme="minorHAnsi" w:hAnsiTheme="minorHAnsi" w:cstheme="minorHAnsi"/>
          <w:sz w:val="22"/>
          <w:szCs w:val="22"/>
        </w:rPr>
        <w:t>SRR</w:t>
      </w:r>
      <w:r w:rsidRPr="007C67CC">
        <w:rPr>
          <w:rFonts w:asciiTheme="minorHAnsi" w:hAnsiTheme="minorHAnsi" w:cstheme="minorHAnsi"/>
          <w:sz w:val="22"/>
          <w:szCs w:val="22"/>
          <w:vertAlign w:val="subscript"/>
        </w:rPr>
        <w:t>j</w:t>
      </w:r>
      <w:proofErr w:type="spellEnd"/>
      <w:r w:rsidRPr="007C67CC">
        <w:rPr>
          <w:rFonts w:asciiTheme="minorHAnsi" w:hAnsiTheme="minorHAnsi" w:cstheme="minorHAnsi"/>
          <w:sz w:val="22"/>
          <w:szCs w:val="22"/>
        </w:rPr>
        <w:t>*</w:t>
      </w:r>
      <w:r w:rsidRPr="007C67CC">
        <w:rPr>
          <w:rFonts w:asciiTheme="minorHAnsi" w:hAnsiTheme="minorHAnsi" w:cstheme="minorHAnsi"/>
          <w:spacing w:val="-1"/>
          <w:sz w:val="22"/>
          <w:szCs w:val="22"/>
        </w:rPr>
        <w:t>Ῡ</w:t>
      </w:r>
      <w:r w:rsidRPr="007C67CC">
        <w:rPr>
          <w:rFonts w:asciiTheme="minorHAnsi" w:hAnsiTheme="minorHAnsi" w:cstheme="minorHAnsi"/>
          <w:spacing w:val="-1"/>
          <w:sz w:val="22"/>
          <w:szCs w:val="22"/>
        </w:rPr>
        <w:tab/>
      </w:r>
      <w:r w:rsidRPr="007C67CC">
        <w:rPr>
          <w:rFonts w:asciiTheme="minorHAnsi" w:hAnsiTheme="minorHAnsi" w:cstheme="minorHAnsi"/>
          <w:sz w:val="22"/>
          <w:szCs w:val="22"/>
        </w:rPr>
        <w:t>(</w:t>
      </w:r>
      <w:r w:rsidRPr="007C67CC">
        <w:rPr>
          <w:rFonts w:asciiTheme="minorHAnsi" w:hAnsiTheme="minorHAnsi" w:cstheme="minorHAnsi"/>
          <w:sz w:val="22"/>
          <w:szCs w:val="22"/>
        </w:rPr>
        <w:fldChar w:fldCharType="begin"/>
      </w:r>
      <w:r w:rsidRPr="007C67CC">
        <w:rPr>
          <w:rFonts w:asciiTheme="minorHAnsi" w:hAnsiTheme="minorHAnsi" w:cstheme="minorHAnsi"/>
          <w:sz w:val="22"/>
          <w:szCs w:val="22"/>
        </w:rPr>
        <w:instrText xml:space="preserve"> SEQ Equation \* ARABIC </w:instrText>
      </w:r>
      <w:r w:rsidRPr="007C67CC">
        <w:rPr>
          <w:rFonts w:asciiTheme="minorHAnsi" w:hAnsiTheme="minorHAnsi" w:cstheme="minorHAnsi"/>
          <w:sz w:val="22"/>
          <w:szCs w:val="22"/>
        </w:rPr>
        <w:fldChar w:fldCharType="separate"/>
      </w:r>
      <w:r w:rsidRPr="007C67CC">
        <w:rPr>
          <w:rFonts w:asciiTheme="minorHAnsi" w:hAnsiTheme="minorHAnsi" w:cstheme="minorHAnsi"/>
          <w:noProof/>
          <w:sz w:val="22"/>
          <w:szCs w:val="22"/>
        </w:rPr>
        <w:t>5</w:t>
      </w:r>
      <w:r w:rsidRPr="007C67CC">
        <w:rPr>
          <w:rFonts w:asciiTheme="minorHAnsi" w:hAnsiTheme="minorHAnsi" w:cstheme="minorHAnsi"/>
          <w:sz w:val="22"/>
          <w:szCs w:val="22"/>
        </w:rPr>
        <w:fldChar w:fldCharType="end"/>
      </w:r>
      <w:r w:rsidRPr="007C67CC">
        <w:rPr>
          <w:rFonts w:asciiTheme="minorHAnsi" w:hAnsiTheme="minorHAnsi" w:cstheme="minorHAnsi"/>
          <w:sz w:val="22"/>
          <w:szCs w:val="22"/>
        </w:rPr>
        <w:t>)</w:t>
      </w:r>
    </w:p>
    <w:p w14:paraId="33F61771" w14:textId="77777777" w:rsidR="00E63B4F" w:rsidRPr="007C67CC" w:rsidRDefault="00E63B4F" w:rsidP="00E63B4F">
      <w:pPr>
        <w:pStyle w:val="NOTE"/>
        <w:spacing w:line="276" w:lineRule="auto"/>
        <w:rPr>
          <w:rFonts w:asciiTheme="minorHAnsi" w:eastAsia="Trebuchet MS" w:hAnsiTheme="minorHAnsi" w:cstheme="minorHAnsi"/>
          <w:sz w:val="22"/>
          <w:szCs w:val="22"/>
        </w:rPr>
      </w:pPr>
      <w:r w:rsidRPr="007C67CC">
        <w:rPr>
          <w:rFonts w:asciiTheme="minorHAnsi" w:eastAsia="Trebuchet MS" w:hAnsiTheme="minorHAnsi" w:cstheme="minorHAnsi"/>
          <w:sz w:val="22"/>
          <w:szCs w:val="22"/>
        </w:rPr>
        <w:t>The DTC-PAC IRF measure is specific to IRF providers only.</w:t>
      </w:r>
    </w:p>
    <w:bookmarkEnd w:id="26"/>
    <w:bookmarkEnd w:id="42"/>
    <w:bookmarkEnd w:id="54"/>
    <w:p w14:paraId="02EE2026" w14:textId="77777777" w:rsidR="00E63B4F" w:rsidRDefault="00E63B4F" w:rsidP="00E63B4F">
      <w:pPr>
        <w:rPr>
          <w:rStyle w:val="requiredfield"/>
          <w:rFonts w:eastAsia="Trebuchet MS" w:cstheme="minorHAnsi"/>
          <w:b/>
          <w:bCs/>
          <w:color w:val="FF0000"/>
          <w:shd w:val="clear" w:color="auto" w:fill="FFFFFF"/>
        </w:rPr>
      </w:pPr>
      <w:r w:rsidRPr="0039502E">
        <w:rPr>
          <w:rFonts w:eastAsia="Trebuchet MS" w:cstheme="minorHAnsi"/>
          <w:b/>
          <w:bCs/>
          <w:color w:val="333333"/>
          <w:shd w:val="clear" w:color="auto" w:fill="FFFFFF"/>
        </w:rPr>
        <w:t>S.17. Data Source </w:t>
      </w:r>
      <w:r w:rsidRPr="0014571D">
        <w:rPr>
          <w:rStyle w:val="requiredfield"/>
          <w:rFonts w:eastAsia="Trebuchet MS" w:cstheme="minorHAnsi"/>
          <w:b/>
          <w:bCs/>
          <w:color w:val="000000" w:themeColor="text1"/>
          <w:shd w:val="clear" w:color="auto" w:fill="FFFFFF"/>
        </w:rPr>
        <w:t>*</w:t>
      </w:r>
    </w:p>
    <w:p w14:paraId="0453F9F8" w14:textId="77777777" w:rsidR="00E63B4F" w:rsidRPr="00392A6A" w:rsidRDefault="00E63B4F" w:rsidP="00E63B4F">
      <w:pPr>
        <w:pStyle w:val="ListParagraph"/>
        <w:numPr>
          <w:ilvl w:val="0"/>
          <w:numId w:val="25"/>
        </w:numPr>
        <w:spacing w:after="0" w:line="240" w:lineRule="auto"/>
        <w:rPr>
          <w:rStyle w:val="requiredfield"/>
          <w:rFonts w:eastAsia="Trebuchet MS" w:cstheme="minorHAnsi"/>
          <w:bCs/>
          <w:color w:val="000000" w:themeColor="text1"/>
        </w:rPr>
      </w:pPr>
      <w:bookmarkStart w:id="56" w:name="_Hlk520905947"/>
      <w:r w:rsidRPr="00392A6A">
        <w:rPr>
          <w:rStyle w:val="requiredfield"/>
          <w:rFonts w:eastAsia="Trebuchet MS" w:cstheme="minorHAnsi"/>
          <w:bCs/>
          <w:color w:val="000000" w:themeColor="text1"/>
        </w:rPr>
        <w:t>Claims</w:t>
      </w:r>
      <w:r>
        <w:rPr>
          <w:rStyle w:val="requiredfield"/>
          <w:rFonts w:eastAsia="Trebuchet MS" w:cstheme="minorHAnsi"/>
          <w:bCs/>
          <w:color w:val="000000" w:themeColor="text1"/>
        </w:rPr>
        <w:t xml:space="preserve"> (for measure specification and testing)</w:t>
      </w:r>
    </w:p>
    <w:p w14:paraId="24A9605C" w14:textId="77777777" w:rsidR="00E63B4F" w:rsidRPr="00392A6A" w:rsidRDefault="00E63B4F" w:rsidP="00E63B4F">
      <w:pPr>
        <w:pStyle w:val="ListParagraph"/>
        <w:numPr>
          <w:ilvl w:val="0"/>
          <w:numId w:val="25"/>
        </w:numPr>
        <w:spacing w:after="0" w:line="240" w:lineRule="auto"/>
        <w:rPr>
          <w:rStyle w:val="requiredfield"/>
          <w:rFonts w:eastAsia="Trebuchet MS" w:cstheme="minorHAnsi"/>
          <w:bCs/>
          <w:color w:val="000000" w:themeColor="text1"/>
        </w:rPr>
      </w:pPr>
      <w:r w:rsidRPr="00392A6A">
        <w:rPr>
          <w:rStyle w:val="requiredfield"/>
          <w:rFonts w:eastAsia="Trebuchet MS" w:cstheme="minorHAnsi"/>
          <w:bCs/>
          <w:color w:val="000000" w:themeColor="text1"/>
        </w:rPr>
        <w:t>Management data</w:t>
      </w:r>
      <w:r>
        <w:rPr>
          <w:rStyle w:val="requiredfield"/>
          <w:rFonts w:eastAsia="Trebuchet MS" w:cstheme="minorHAnsi"/>
          <w:bCs/>
          <w:color w:val="000000" w:themeColor="text1"/>
        </w:rPr>
        <w:t xml:space="preserve"> (for measure specification and testing)</w:t>
      </w:r>
    </w:p>
    <w:p w14:paraId="10E27BE9" w14:textId="77777777" w:rsidR="00E63B4F" w:rsidRDefault="00E63B4F" w:rsidP="00E63B4F">
      <w:pPr>
        <w:pStyle w:val="ListParagraph"/>
        <w:numPr>
          <w:ilvl w:val="0"/>
          <w:numId w:val="25"/>
        </w:numPr>
        <w:spacing w:after="0" w:line="240" w:lineRule="auto"/>
        <w:rPr>
          <w:rStyle w:val="requiredfield"/>
          <w:rFonts w:eastAsia="Trebuchet MS" w:cstheme="minorHAnsi"/>
          <w:bCs/>
          <w:color w:val="000000" w:themeColor="text1"/>
        </w:rPr>
      </w:pPr>
      <w:r w:rsidRPr="00392A6A">
        <w:rPr>
          <w:rStyle w:val="requiredfield"/>
          <w:rFonts w:eastAsia="Trebuchet MS" w:cstheme="minorHAnsi"/>
          <w:bCs/>
          <w:color w:val="000000" w:themeColor="text1"/>
        </w:rPr>
        <w:t>Assessment data</w:t>
      </w:r>
      <w:r>
        <w:rPr>
          <w:rStyle w:val="requiredfield"/>
          <w:rFonts w:eastAsia="Trebuchet MS" w:cstheme="minorHAnsi"/>
          <w:bCs/>
          <w:color w:val="000000" w:themeColor="text1"/>
        </w:rPr>
        <w:t xml:space="preserve"> (for measure testing)</w:t>
      </w:r>
    </w:p>
    <w:p w14:paraId="5BB863B6" w14:textId="77777777" w:rsidR="00E63B4F" w:rsidRPr="005030DB" w:rsidRDefault="00E63B4F" w:rsidP="00E63B4F">
      <w:pPr>
        <w:pStyle w:val="ListParagraph"/>
        <w:numPr>
          <w:ilvl w:val="0"/>
          <w:numId w:val="25"/>
        </w:numPr>
        <w:spacing w:after="0" w:line="240" w:lineRule="auto"/>
        <w:rPr>
          <w:rStyle w:val="requiredfield"/>
          <w:rFonts w:eastAsia="Trebuchet MS" w:cstheme="minorHAnsi"/>
          <w:bCs/>
          <w:color w:val="000000" w:themeColor="text1"/>
        </w:rPr>
      </w:pPr>
      <w:r>
        <w:rPr>
          <w:rStyle w:val="requiredfield"/>
          <w:rFonts w:eastAsia="Trebuchet MS" w:cstheme="minorHAnsi"/>
          <w:bCs/>
          <w:color w:val="000000" w:themeColor="text1"/>
        </w:rPr>
        <w:t xml:space="preserve">Other: Provider of Services File and </w:t>
      </w:r>
      <w:r w:rsidRPr="005030DB">
        <w:rPr>
          <w:rFonts w:cstheme="minorHAnsi"/>
        </w:rPr>
        <w:t>Beneficiary Fact table from the Integrated Data Repository (IDR)</w:t>
      </w:r>
      <w:r>
        <w:rPr>
          <w:rFonts w:cstheme="minorHAnsi"/>
        </w:rPr>
        <w:t xml:space="preserve"> </w:t>
      </w:r>
      <w:r>
        <w:rPr>
          <w:rStyle w:val="requiredfield"/>
          <w:rFonts w:eastAsia="Trebuchet MS" w:cstheme="minorHAnsi"/>
          <w:bCs/>
          <w:color w:val="000000" w:themeColor="text1"/>
        </w:rPr>
        <w:t>(for measure testing)</w:t>
      </w:r>
    </w:p>
    <w:bookmarkEnd w:id="56"/>
    <w:p w14:paraId="4BD618F1" w14:textId="77777777" w:rsidR="00E63B4F" w:rsidRPr="00392A6A" w:rsidRDefault="00E63B4F" w:rsidP="00E63B4F">
      <w:pPr>
        <w:spacing w:after="0" w:line="240" w:lineRule="auto"/>
        <w:rPr>
          <w:rStyle w:val="requiredfield"/>
          <w:rFonts w:eastAsia="Trebuchet MS" w:cstheme="minorHAnsi"/>
          <w:bCs/>
          <w:color w:val="000000" w:themeColor="text1"/>
        </w:rPr>
      </w:pPr>
    </w:p>
    <w:p w14:paraId="6F87B335" w14:textId="77777777" w:rsidR="00E63B4F" w:rsidRPr="0039502E" w:rsidRDefault="00E63B4F" w:rsidP="00E63B4F">
      <w:pPr>
        <w:rPr>
          <w:rFonts w:eastAsia="Trebuchet MS" w:cstheme="minorHAnsi"/>
          <w:color w:val="333333"/>
          <w:lang w:val="en"/>
        </w:rPr>
      </w:pPr>
      <w:bookmarkStart w:id="57" w:name="_Hlk518901908"/>
      <w:bookmarkStart w:id="58" w:name="_Hlk518896861"/>
      <w:r w:rsidRPr="0039502E">
        <w:rPr>
          <w:rFonts w:eastAsia="Trebuchet MS" w:cstheme="minorHAnsi"/>
          <w:b/>
          <w:bCs/>
          <w:color w:val="333333"/>
          <w:lang w:val="en"/>
        </w:rPr>
        <w:t xml:space="preserve">S.18. Data Source or Collection Instrument </w:t>
      </w:r>
      <w:r w:rsidRPr="0039502E">
        <w:rPr>
          <w:rFonts w:eastAsia="Trebuchet MS" w:cstheme="minorHAnsi"/>
          <w:i/>
          <w:iCs/>
          <w:color w:val="333333"/>
          <w:lang w:val="en"/>
        </w:rPr>
        <w:t xml:space="preserve">(Identify the specific data source/data collection instrument e.g. name of database, clinical </w:t>
      </w:r>
      <w:r w:rsidRPr="00392A6A">
        <w:rPr>
          <w:rFonts w:eastAsia="Trebuchet MS" w:cstheme="minorHAnsi"/>
          <w:i/>
          <w:iCs/>
          <w:color w:val="333333"/>
          <w:lang w:val="en"/>
        </w:rPr>
        <w:t>registry, collection instrument, etc., and describe how data are collected.)</w:t>
      </w:r>
      <w:r w:rsidRPr="00392A6A">
        <w:rPr>
          <w:rFonts w:cstheme="minorHAnsi"/>
          <w:i/>
          <w:color w:val="333333"/>
          <w:lang w:val="en"/>
        </w:rPr>
        <w:br/>
      </w:r>
      <w:r w:rsidRPr="00392A6A">
        <w:rPr>
          <w:rStyle w:val="underlinecls"/>
          <w:rFonts w:eastAsia="Trebuchet MS" w:cstheme="minorHAnsi"/>
          <w:i/>
          <w:color w:val="333333"/>
          <w:lang w:val="en"/>
        </w:rPr>
        <w:t>IF instrument-based</w:t>
      </w:r>
      <w:r w:rsidRPr="00392A6A">
        <w:rPr>
          <w:rFonts w:eastAsia="Trebuchet MS" w:cstheme="minorHAnsi"/>
          <w:i/>
          <w:color w:val="333333"/>
          <w:lang w:val="en"/>
        </w:rPr>
        <w:t>, identify the specific instrument(s) and standard methods, modes, and languages of administration.</w:t>
      </w:r>
    </w:p>
    <w:p w14:paraId="43F2FA68" w14:textId="77777777" w:rsidR="00E63B4F" w:rsidRPr="0039502E" w:rsidRDefault="00E63B4F" w:rsidP="00E63B4F">
      <w:pPr>
        <w:rPr>
          <w:rStyle w:val="Style1"/>
          <w:rFonts w:eastAsia="Trebuchet MS," w:cstheme="minorHAnsi"/>
        </w:rPr>
      </w:pPr>
      <w:bookmarkStart w:id="59" w:name="_Hlk518901773"/>
      <w:bookmarkEnd w:id="57"/>
      <w:r w:rsidRPr="0039502E">
        <w:rPr>
          <w:rStyle w:val="Style1"/>
          <w:rFonts w:eastAsia="Trebuchet MS" w:cstheme="minorHAnsi"/>
        </w:rPr>
        <w:t xml:space="preserve">This measure is based on IRF Medicare FFS administrative claims and uses data in the Medicare eligibility and inpatient claims files. The eligibility files provide information such as date of birth, date of death, sex, reasons for Medicare eligibility, periods of Part A coverage, and periods in the Medicare FFS program. The data elements from the Medicare FFS claims are those basic to the operation of the </w:t>
      </w:r>
      <w:r w:rsidRPr="0039502E">
        <w:rPr>
          <w:rStyle w:val="Style1"/>
          <w:rFonts w:eastAsia="Trebuchet MS" w:cstheme="minorHAnsi"/>
        </w:rPr>
        <w:lastRenderedPageBreak/>
        <w:t>Medicare payment systems and include data such as date of admission, date of discharge, diagnoses, procedures, indicators for use of dialysis services, and indicators of whether the Part A benefit was exhausted. The inpatient claims data files contain patient-level IRF and other hospital records. No data beyond the bills submitted in the normal course of business are required from providers for the calculation of this measure.</w:t>
      </w:r>
    </w:p>
    <w:p w14:paraId="5B7D2EE3" w14:textId="77777777" w:rsidR="00E63B4F" w:rsidRPr="007C67CC" w:rsidRDefault="00E63B4F" w:rsidP="00E63B4F">
      <w:pPr>
        <w:pStyle w:val="Default"/>
        <w:spacing w:after="160" w:line="276" w:lineRule="auto"/>
        <w:rPr>
          <w:rFonts w:asciiTheme="minorHAnsi" w:eastAsia="Trebuchet MS" w:hAnsiTheme="minorHAnsi" w:cstheme="minorHAnsi"/>
          <w:color w:val="auto"/>
          <w:sz w:val="22"/>
          <w:szCs w:val="22"/>
        </w:rPr>
      </w:pPr>
      <w:r w:rsidRPr="007C67CC">
        <w:rPr>
          <w:rFonts w:asciiTheme="minorHAnsi" w:eastAsia="Trebuchet MS" w:hAnsiTheme="minorHAnsi" w:cstheme="minorHAnsi"/>
          <w:color w:val="auto"/>
          <w:sz w:val="22"/>
          <w:szCs w:val="22"/>
        </w:rPr>
        <w:t xml:space="preserve">The following files are used for specification of the DTC-PAC IRF measure: </w:t>
      </w:r>
    </w:p>
    <w:p w14:paraId="6C7CA2C3" w14:textId="77777777" w:rsidR="00E63B4F" w:rsidRPr="0040500E" w:rsidRDefault="00E63B4F" w:rsidP="00E63B4F">
      <w:pPr>
        <w:pStyle w:val="Default"/>
        <w:numPr>
          <w:ilvl w:val="0"/>
          <w:numId w:val="26"/>
        </w:numPr>
        <w:spacing w:after="160" w:line="276" w:lineRule="auto"/>
        <w:rPr>
          <w:rFonts w:asciiTheme="minorHAnsi" w:eastAsia="Trebuchet MS" w:hAnsiTheme="minorHAnsi" w:cstheme="minorHAnsi"/>
          <w:b/>
          <w:color w:val="auto"/>
          <w:sz w:val="22"/>
          <w:szCs w:val="22"/>
        </w:rPr>
      </w:pPr>
      <w:bookmarkStart w:id="60" w:name="_Hlk518896965"/>
      <w:bookmarkEnd w:id="59"/>
      <w:r w:rsidRPr="0040500E">
        <w:rPr>
          <w:rFonts w:asciiTheme="minorHAnsi" w:eastAsia="Trebuchet MS" w:hAnsiTheme="minorHAnsi" w:cstheme="minorHAnsi"/>
          <w:b/>
          <w:color w:val="auto"/>
          <w:sz w:val="22"/>
          <w:szCs w:val="22"/>
        </w:rPr>
        <w:t xml:space="preserve">Medicare Inpatient SAF for hospital claims, including index IRF claims: </w:t>
      </w:r>
    </w:p>
    <w:p w14:paraId="047D0D0D" w14:textId="77777777" w:rsidR="00E63B4F" w:rsidRPr="007C67CC" w:rsidRDefault="00E63B4F" w:rsidP="00E63B4F">
      <w:pPr>
        <w:pStyle w:val="Default"/>
        <w:spacing w:after="160" w:line="276" w:lineRule="auto"/>
        <w:ind w:left="720"/>
        <w:rPr>
          <w:rFonts w:asciiTheme="minorHAnsi" w:hAnsiTheme="minorHAnsi" w:cstheme="minorHAnsi"/>
          <w:color w:val="auto"/>
          <w:sz w:val="22"/>
          <w:szCs w:val="22"/>
        </w:rPr>
      </w:pPr>
      <w:r w:rsidRPr="007C67CC">
        <w:rPr>
          <w:rFonts w:asciiTheme="minorHAnsi" w:hAnsiTheme="minorHAnsi" w:cstheme="minorHAnsi"/>
          <w:color w:val="auto"/>
          <w:sz w:val="22"/>
          <w:szCs w:val="22"/>
        </w:rPr>
        <w:t xml:space="preserve">Documentation for the Medicare claims data is provided online by the CMS contractor, Research Data Assistance Center (ResDAC), at the University of Minnesota. </w:t>
      </w:r>
      <w:r w:rsidRPr="007C67CC">
        <w:rPr>
          <w:rFonts w:asciiTheme="minorHAnsi" w:eastAsia="Calibri" w:hAnsiTheme="minorHAnsi" w:cstheme="minorHAnsi"/>
          <w:color w:val="auto"/>
          <w:sz w:val="22"/>
          <w:szCs w:val="22"/>
        </w:rPr>
        <w:t>The data dictionary for the SAF (also know</w:t>
      </w:r>
      <w:r>
        <w:rPr>
          <w:rFonts w:asciiTheme="minorHAnsi" w:eastAsia="Calibri" w:hAnsiTheme="minorHAnsi" w:cstheme="minorHAnsi"/>
          <w:color w:val="auto"/>
          <w:sz w:val="22"/>
          <w:szCs w:val="22"/>
        </w:rPr>
        <w:t xml:space="preserve">n </w:t>
      </w:r>
      <w:r w:rsidRPr="007C67CC">
        <w:rPr>
          <w:rFonts w:asciiTheme="minorHAnsi" w:eastAsia="Calibri" w:hAnsiTheme="minorHAnsi" w:cstheme="minorHAnsi"/>
          <w:color w:val="auto"/>
          <w:sz w:val="22"/>
          <w:szCs w:val="22"/>
        </w:rPr>
        <w:t xml:space="preserve">as Inpatient Research Identifiable File (RIF)) is available at: </w:t>
      </w:r>
      <w:hyperlink r:id="rId19">
        <w:r w:rsidRPr="00974F0E">
          <w:rPr>
            <w:rStyle w:val="Hyperlink"/>
          </w:rPr>
          <w:t>http://www.resdac.org/cms-data/files/ip-rif/data-documentation</w:t>
        </w:r>
      </w:hyperlink>
      <w:r w:rsidRPr="00974F0E">
        <w:rPr>
          <w:rStyle w:val="Hyperlink"/>
        </w:rPr>
        <w:t>.</w:t>
      </w:r>
      <w:r w:rsidRPr="007C67CC">
        <w:rPr>
          <w:rStyle w:val="Hyperlink"/>
          <w:rFonts w:eastAsia="Calibri" w:cstheme="minorHAnsi"/>
          <w:color w:val="auto"/>
          <w:szCs w:val="22"/>
        </w:rPr>
        <w:t xml:space="preserve"> </w:t>
      </w:r>
    </w:p>
    <w:p w14:paraId="4C6A6917" w14:textId="77777777" w:rsidR="00E63B4F" w:rsidRDefault="00E63B4F" w:rsidP="00E63B4F">
      <w:pPr>
        <w:pStyle w:val="Default"/>
        <w:numPr>
          <w:ilvl w:val="0"/>
          <w:numId w:val="26"/>
        </w:numPr>
        <w:spacing w:after="160" w:line="276" w:lineRule="auto"/>
        <w:rPr>
          <w:rFonts w:asciiTheme="minorHAnsi" w:eastAsia="Trebuchet MS" w:hAnsiTheme="minorHAnsi" w:cstheme="minorHAnsi"/>
          <w:b/>
          <w:color w:val="auto"/>
          <w:sz w:val="22"/>
          <w:szCs w:val="22"/>
        </w:rPr>
      </w:pPr>
      <w:r w:rsidRPr="0040500E">
        <w:rPr>
          <w:rFonts w:asciiTheme="minorHAnsi" w:eastAsia="Trebuchet MS" w:hAnsiTheme="minorHAnsi" w:cstheme="minorHAnsi"/>
          <w:b/>
          <w:color w:val="auto"/>
          <w:sz w:val="22"/>
          <w:szCs w:val="22"/>
        </w:rPr>
        <w:t xml:space="preserve">Medicare Enrollment Database: </w:t>
      </w:r>
    </w:p>
    <w:p w14:paraId="294E6821" w14:textId="77777777" w:rsidR="00E63B4F" w:rsidRPr="00534A8B" w:rsidRDefault="00E63B4F" w:rsidP="00E63B4F">
      <w:pPr>
        <w:pStyle w:val="Default"/>
        <w:spacing w:after="160" w:line="276" w:lineRule="auto"/>
        <w:ind w:left="720"/>
        <w:rPr>
          <w:rFonts w:asciiTheme="minorHAnsi" w:eastAsia="Trebuchet MS" w:hAnsiTheme="minorHAnsi" w:cstheme="minorHAnsi"/>
          <w:b/>
          <w:color w:val="auto"/>
          <w:sz w:val="22"/>
          <w:szCs w:val="22"/>
        </w:rPr>
      </w:pPr>
      <w:r w:rsidRPr="00534A8B">
        <w:rPr>
          <w:rFonts w:asciiTheme="minorHAnsi" w:eastAsia="Trebuchet MS" w:hAnsiTheme="minorHAnsi" w:cstheme="minorHAnsi"/>
          <w:color w:val="auto"/>
          <w:sz w:val="22"/>
          <w:szCs w:val="22"/>
        </w:rPr>
        <w:t xml:space="preserve">Information about the EDB may be found at: </w:t>
      </w:r>
      <w:hyperlink r:id="rId20" w:history="1">
        <w:r w:rsidRPr="00974F0E">
          <w:rPr>
            <w:rStyle w:val="Hyperlink"/>
          </w:rPr>
          <w:t>http://aspe.hhs.gov/datacncl/datadir/cms.htm</w:t>
        </w:r>
      </w:hyperlink>
      <w:r w:rsidRPr="00534A8B">
        <w:rPr>
          <w:rFonts w:asciiTheme="minorHAnsi" w:hAnsiTheme="minorHAnsi" w:cstheme="minorHAnsi"/>
          <w:color w:val="auto"/>
          <w:sz w:val="22"/>
          <w:szCs w:val="22"/>
        </w:rPr>
        <w:t xml:space="preserve"> </w:t>
      </w:r>
      <w:r w:rsidRPr="00534A8B">
        <w:rPr>
          <w:rStyle w:val="Hyperlink"/>
          <w:rFonts w:eastAsia="Trebuchet MS" w:cstheme="minorHAnsi"/>
          <w:color w:val="auto"/>
          <w:szCs w:val="22"/>
        </w:rPr>
        <w:t xml:space="preserve"> </w:t>
      </w:r>
    </w:p>
    <w:p w14:paraId="3FFD8C7C" w14:textId="77777777" w:rsidR="00E63B4F" w:rsidRPr="0040500E" w:rsidRDefault="00E63B4F" w:rsidP="00E63B4F">
      <w:pPr>
        <w:pStyle w:val="ListParagraph"/>
        <w:numPr>
          <w:ilvl w:val="0"/>
          <w:numId w:val="26"/>
        </w:numPr>
        <w:autoSpaceDE w:val="0"/>
        <w:autoSpaceDN w:val="0"/>
        <w:adjustRightInd w:val="0"/>
        <w:spacing w:after="160"/>
        <w:rPr>
          <w:rFonts w:eastAsia="Calibri" w:cstheme="minorHAnsi"/>
          <w:b/>
        </w:rPr>
      </w:pPr>
      <w:r w:rsidRPr="0040500E">
        <w:rPr>
          <w:rFonts w:eastAsia="Calibri" w:cstheme="minorHAnsi"/>
          <w:b/>
        </w:rPr>
        <w:t xml:space="preserve">Medicare Denominator Files: </w:t>
      </w:r>
    </w:p>
    <w:p w14:paraId="7D034A5C" w14:textId="77777777" w:rsidR="00E63B4F" w:rsidRPr="0040500E" w:rsidRDefault="00E63B4F" w:rsidP="00E63B4F">
      <w:pPr>
        <w:pStyle w:val="ListParagraph"/>
        <w:autoSpaceDE w:val="0"/>
        <w:autoSpaceDN w:val="0"/>
        <w:adjustRightInd w:val="0"/>
        <w:rPr>
          <w:rFonts w:cstheme="minorHAnsi"/>
        </w:rPr>
      </w:pPr>
      <w:r w:rsidRPr="0040500E">
        <w:rPr>
          <w:rFonts w:eastAsia="Calibri" w:cstheme="minorHAnsi"/>
        </w:rPr>
        <w:t xml:space="preserve">Information and documentation are available at: </w:t>
      </w:r>
      <w:hyperlink r:id="rId21" w:history="1">
        <w:r w:rsidRPr="00974F0E">
          <w:rPr>
            <w:rStyle w:val="Hyperlink"/>
          </w:rPr>
          <w:t>https://aspe.hhs.gov/report/data-health-and-well-being-american-indians-alaska-natives-and-other-native-americans-data-catalog/medicare-denominator-file</w:t>
        </w:r>
      </w:hyperlink>
      <w:r w:rsidRPr="0040500E">
        <w:rPr>
          <w:rFonts w:cstheme="minorHAnsi"/>
        </w:rPr>
        <w:t xml:space="preserve"> and </w:t>
      </w:r>
      <w:hyperlink r:id="rId22" w:history="1">
        <w:r w:rsidRPr="00DF446B">
          <w:rPr>
            <w:rStyle w:val="Hyperlink"/>
          </w:rPr>
          <w:t>ftp://ftp.cdc.gov/pub/health_statistics/nchs/datalinkage/Denominator%20(edited).pdf</w:t>
        </w:r>
      </w:hyperlink>
      <w:r w:rsidRPr="00DF446B">
        <w:rPr>
          <w:rStyle w:val="Hyperlink"/>
        </w:rPr>
        <w:t xml:space="preserve"> </w:t>
      </w:r>
      <w:hyperlink w:history="1"/>
    </w:p>
    <w:p w14:paraId="0248990C" w14:textId="77777777" w:rsidR="00E63B4F" w:rsidRDefault="00E63B4F" w:rsidP="00E63B4F">
      <w:pPr>
        <w:pStyle w:val="ListParagraph"/>
        <w:autoSpaceDE w:val="0"/>
        <w:autoSpaceDN w:val="0"/>
        <w:adjustRightInd w:val="0"/>
        <w:rPr>
          <w:rFonts w:cstheme="minorHAnsi"/>
        </w:rPr>
      </w:pPr>
      <w:bookmarkStart w:id="61" w:name="_Hlk520551290"/>
      <w:bookmarkStart w:id="62" w:name="_Hlk520628079"/>
    </w:p>
    <w:p w14:paraId="36240AF2" w14:textId="77777777" w:rsidR="00E63B4F" w:rsidRPr="0040500E" w:rsidRDefault="00E63B4F" w:rsidP="00E63B4F">
      <w:pPr>
        <w:pStyle w:val="ListParagraph"/>
        <w:numPr>
          <w:ilvl w:val="0"/>
          <w:numId w:val="26"/>
        </w:numPr>
        <w:autoSpaceDE w:val="0"/>
        <w:autoSpaceDN w:val="0"/>
        <w:adjustRightInd w:val="0"/>
        <w:spacing w:after="160"/>
        <w:rPr>
          <w:rFonts w:cstheme="minorHAnsi"/>
          <w:b/>
        </w:rPr>
      </w:pPr>
      <w:r w:rsidRPr="0040500E">
        <w:rPr>
          <w:rFonts w:cstheme="minorHAnsi"/>
          <w:b/>
        </w:rPr>
        <w:t xml:space="preserve">Agency </w:t>
      </w:r>
      <w:r>
        <w:rPr>
          <w:rFonts w:cstheme="minorHAnsi"/>
          <w:b/>
        </w:rPr>
        <w:t>f</w:t>
      </w:r>
      <w:r w:rsidRPr="0040500E">
        <w:rPr>
          <w:rFonts w:cstheme="minorHAnsi"/>
          <w:b/>
        </w:rPr>
        <w:t xml:space="preserve">or Healthcare Research </w:t>
      </w:r>
      <w:r>
        <w:rPr>
          <w:rFonts w:cstheme="minorHAnsi"/>
          <w:b/>
        </w:rPr>
        <w:t>a</w:t>
      </w:r>
      <w:r w:rsidRPr="0040500E">
        <w:rPr>
          <w:rFonts w:cstheme="minorHAnsi"/>
          <w:b/>
        </w:rPr>
        <w:t>nd Quality (A</w:t>
      </w:r>
      <w:r>
        <w:rPr>
          <w:rFonts w:cstheme="minorHAnsi"/>
          <w:b/>
        </w:rPr>
        <w:t>HRQ</w:t>
      </w:r>
      <w:r w:rsidRPr="0040500E">
        <w:rPr>
          <w:rFonts w:cstheme="minorHAnsi"/>
          <w:b/>
        </w:rPr>
        <w:t>) Clinical Classifications Software (C</w:t>
      </w:r>
      <w:r>
        <w:rPr>
          <w:rFonts w:cstheme="minorHAnsi"/>
          <w:b/>
        </w:rPr>
        <w:t>CS</w:t>
      </w:r>
      <w:r w:rsidRPr="0040500E">
        <w:rPr>
          <w:rFonts w:cstheme="minorHAnsi"/>
          <w:b/>
        </w:rPr>
        <w:t>)</w:t>
      </w:r>
      <w:bookmarkEnd w:id="61"/>
      <w:r w:rsidRPr="0040500E">
        <w:rPr>
          <w:rFonts w:cstheme="minorHAnsi"/>
          <w:b/>
        </w:rPr>
        <w:t xml:space="preserve"> </w:t>
      </w:r>
      <w:bookmarkEnd w:id="62"/>
      <w:r w:rsidRPr="0040500E">
        <w:rPr>
          <w:rFonts w:cstheme="minorHAnsi"/>
          <w:b/>
        </w:rPr>
        <w:t>Groupings Of I</w:t>
      </w:r>
      <w:r>
        <w:rPr>
          <w:rFonts w:cstheme="minorHAnsi"/>
          <w:b/>
        </w:rPr>
        <w:t>CD</w:t>
      </w:r>
      <w:r w:rsidRPr="0040500E">
        <w:rPr>
          <w:rFonts w:cstheme="minorHAnsi"/>
          <w:b/>
        </w:rPr>
        <w:t xml:space="preserve">-9 </w:t>
      </w:r>
      <w:r>
        <w:rPr>
          <w:rFonts w:cstheme="minorHAnsi"/>
          <w:b/>
        </w:rPr>
        <w:t>a</w:t>
      </w:r>
      <w:r w:rsidRPr="0040500E">
        <w:rPr>
          <w:rFonts w:cstheme="minorHAnsi"/>
          <w:b/>
        </w:rPr>
        <w:t>nd I</w:t>
      </w:r>
      <w:r>
        <w:rPr>
          <w:rFonts w:cstheme="minorHAnsi"/>
          <w:b/>
        </w:rPr>
        <w:t>CD</w:t>
      </w:r>
      <w:r w:rsidRPr="0040500E">
        <w:rPr>
          <w:rFonts w:cstheme="minorHAnsi"/>
          <w:b/>
        </w:rPr>
        <w:t xml:space="preserve">-10 Codes: </w:t>
      </w:r>
    </w:p>
    <w:p w14:paraId="1FC4B87D" w14:textId="77777777" w:rsidR="00E63B4F" w:rsidRPr="0040500E" w:rsidRDefault="00E63B4F" w:rsidP="00E63B4F">
      <w:pPr>
        <w:pStyle w:val="ListParagraph"/>
        <w:autoSpaceDE w:val="0"/>
        <w:autoSpaceDN w:val="0"/>
        <w:adjustRightInd w:val="0"/>
        <w:rPr>
          <w:rFonts w:cstheme="minorHAnsi"/>
          <w:color w:val="0000FF"/>
        </w:rPr>
      </w:pPr>
      <w:r w:rsidRPr="0040500E">
        <w:rPr>
          <w:rFonts w:cstheme="minorHAnsi"/>
        </w:rPr>
        <w:t xml:space="preserve">Software </w:t>
      </w:r>
      <w:bookmarkStart w:id="63" w:name="_Hlk520628093"/>
      <w:r w:rsidRPr="0040500E">
        <w:rPr>
          <w:rFonts w:cstheme="minorHAnsi"/>
        </w:rPr>
        <w:t xml:space="preserve">for AHRQ CCS groupings is </w:t>
      </w:r>
      <w:bookmarkEnd w:id="63"/>
      <w:r w:rsidRPr="0040500E">
        <w:rPr>
          <w:rFonts w:cstheme="minorHAnsi"/>
        </w:rPr>
        <w:t>available at</w:t>
      </w:r>
      <w:r w:rsidRPr="0040500E">
        <w:rPr>
          <w:rFonts w:cstheme="minorHAnsi"/>
          <w:color w:val="0000FF"/>
        </w:rPr>
        <w:t xml:space="preserve"> </w:t>
      </w:r>
      <w:hyperlink r:id="rId23" w:history="1">
        <w:r w:rsidRPr="0040500E">
          <w:rPr>
            <w:rStyle w:val="Hyperlink"/>
            <w:rFonts w:cstheme="minorHAnsi"/>
          </w:rPr>
          <w:t>https://www.hcup-us.ahrq.gov/toolssoftware/ccs/ccs.jsp</w:t>
        </w:r>
      </w:hyperlink>
      <w:r w:rsidRPr="0040500E">
        <w:rPr>
          <w:rStyle w:val="Hyperlink"/>
          <w:rFonts w:cstheme="minorHAnsi"/>
        </w:rPr>
        <w:t xml:space="preserve"> </w:t>
      </w:r>
      <w:r w:rsidRPr="00534A8B">
        <w:rPr>
          <w:rStyle w:val="Hyperlink"/>
          <w:rFonts w:cstheme="minorHAnsi"/>
          <w:color w:val="000000" w:themeColor="text1"/>
        </w:rPr>
        <w:t xml:space="preserve">(ICD-9) </w:t>
      </w:r>
      <w:r w:rsidRPr="00534A8B">
        <w:rPr>
          <w:rStyle w:val="Style1"/>
          <w:color w:val="000000" w:themeColor="text1"/>
        </w:rPr>
        <w:t xml:space="preserve">and </w:t>
      </w:r>
      <w:hyperlink r:id="rId24" w:history="1">
        <w:r w:rsidRPr="0040500E">
          <w:rPr>
            <w:rStyle w:val="Hyperlink"/>
            <w:rFonts w:cstheme="minorHAnsi"/>
          </w:rPr>
          <w:t>https://www.hcup-us.ahrq.gov/toolssoftware/ccs10/ccs10.jsp</w:t>
        </w:r>
      </w:hyperlink>
      <w:hyperlink w:history="1"/>
      <w:r w:rsidRPr="00534A8B">
        <w:rPr>
          <w:rFonts w:cstheme="minorHAnsi"/>
          <w:color w:val="000000" w:themeColor="text1"/>
        </w:rPr>
        <w:t xml:space="preserve"> (ICD-10).</w:t>
      </w:r>
    </w:p>
    <w:p w14:paraId="58E66455" w14:textId="77777777" w:rsidR="00E63B4F" w:rsidRDefault="00E63B4F" w:rsidP="00E63B4F">
      <w:pPr>
        <w:pStyle w:val="ListParagraph"/>
        <w:autoSpaceDE w:val="0"/>
        <w:autoSpaceDN w:val="0"/>
        <w:adjustRightInd w:val="0"/>
        <w:rPr>
          <w:rFonts w:cstheme="minorHAnsi"/>
        </w:rPr>
      </w:pPr>
      <w:bookmarkStart w:id="64" w:name="_Hlk520628105"/>
    </w:p>
    <w:p w14:paraId="19A3F150" w14:textId="77777777" w:rsidR="00E63B4F" w:rsidRPr="001058AA" w:rsidRDefault="00E63B4F" w:rsidP="00E63B4F">
      <w:pPr>
        <w:pStyle w:val="ListParagraph"/>
        <w:numPr>
          <w:ilvl w:val="0"/>
          <w:numId w:val="26"/>
        </w:numPr>
        <w:autoSpaceDE w:val="0"/>
        <w:autoSpaceDN w:val="0"/>
        <w:adjustRightInd w:val="0"/>
        <w:spacing w:afterLines="160" w:after="384"/>
        <w:rPr>
          <w:rFonts w:cstheme="minorHAnsi"/>
        </w:rPr>
      </w:pPr>
      <w:r w:rsidRPr="001058AA">
        <w:rPr>
          <w:rFonts w:cstheme="minorHAnsi"/>
          <w:b/>
        </w:rPr>
        <w:t>AHRQ Surgical Procedure Categories:</w:t>
      </w:r>
    </w:p>
    <w:p w14:paraId="416D5B23" w14:textId="77777777" w:rsidR="00E63B4F" w:rsidRPr="0040500E" w:rsidRDefault="00E63B4F" w:rsidP="00E63B4F">
      <w:pPr>
        <w:pStyle w:val="ListParagraph"/>
        <w:autoSpaceDE w:val="0"/>
        <w:autoSpaceDN w:val="0"/>
        <w:adjustRightInd w:val="0"/>
        <w:spacing w:afterLines="160" w:after="384"/>
        <w:rPr>
          <w:rFonts w:cstheme="minorHAnsi"/>
        </w:rPr>
      </w:pPr>
      <w:r w:rsidRPr="0040500E">
        <w:rPr>
          <w:rFonts w:cstheme="minorHAnsi"/>
        </w:rPr>
        <w:t xml:space="preserve">These were developed for the HWR measure and are available in SAS programs that are maintained and available upon request. </w:t>
      </w:r>
    </w:p>
    <w:bookmarkEnd w:id="64"/>
    <w:p w14:paraId="1B4E15B9" w14:textId="77777777" w:rsidR="00E63B4F" w:rsidRDefault="00E63B4F" w:rsidP="00E63B4F">
      <w:pPr>
        <w:pStyle w:val="ListParagraph"/>
        <w:autoSpaceDE w:val="0"/>
        <w:autoSpaceDN w:val="0"/>
        <w:adjustRightInd w:val="0"/>
        <w:spacing w:afterLines="160" w:after="384"/>
        <w:rPr>
          <w:rFonts w:cstheme="minorHAnsi"/>
        </w:rPr>
      </w:pPr>
    </w:p>
    <w:p w14:paraId="1DA4230A" w14:textId="77777777" w:rsidR="00E63B4F" w:rsidRPr="0040500E" w:rsidRDefault="00E63B4F" w:rsidP="00E63B4F">
      <w:pPr>
        <w:pStyle w:val="ListParagraph"/>
        <w:numPr>
          <w:ilvl w:val="0"/>
          <w:numId w:val="26"/>
        </w:numPr>
        <w:autoSpaceDE w:val="0"/>
        <w:autoSpaceDN w:val="0"/>
        <w:adjustRightInd w:val="0"/>
        <w:spacing w:afterLines="160" w:after="384"/>
        <w:rPr>
          <w:rFonts w:cstheme="minorHAnsi"/>
          <w:b/>
        </w:rPr>
      </w:pPr>
      <w:r w:rsidRPr="0040500E">
        <w:rPr>
          <w:rFonts w:cstheme="minorHAnsi"/>
          <w:b/>
        </w:rPr>
        <w:t>CMS-</w:t>
      </w:r>
      <w:bookmarkStart w:id="65" w:name="_Hlk520551307"/>
      <w:r w:rsidRPr="0040500E">
        <w:rPr>
          <w:rFonts w:cstheme="minorHAnsi"/>
          <w:b/>
        </w:rPr>
        <w:t>H</w:t>
      </w:r>
      <w:bookmarkStart w:id="66" w:name="_Hlk520628119"/>
      <w:r w:rsidRPr="0040500E">
        <w:rPr>
          <w:rFonts w:cstheme="minorHAnsi"/>
          <w:b/>
        </w:rPr>
        <w:t>ierarchical Condition Category (H</w:t>
      </w:r>
      <w:bookmarkEnd w:id="66"/>
      <w:r w:rsidRPr="0040500E">
        <w:rPr>
          <w:rFonts w:cstheme="minorHAnsi"/>
          <w:b/>
        </w:rPr>
        <w:t xml:space="preserve">CC) </w:t>
      </w:r>
      <w:bookmarkEnd w:id="65"/>
      <w:r w:rsidRPr="0040500E">
        <w:rPr>
          <w:rFonts w:cstheme="minorHAnsi"/>
          <w:b/>
        </w:rPr>
        <w:t xml:space="preserve">Mappings of ICD-9 And ICD-10 Codes: </w:t>
      </w:r>
    </w:p>
    <w:p w14:paraId="3CE0FF64" w14:textId="77777777" w:rsidR="00E63B4F" w:rsidRPr="0040500E" w:rsidRDefault="00E63B4F" w:rsidP="00E63B4F">
      <w:pPr>
        <w:pStyle w:val="ListParagraph"/>
        <w:autoSpaceDE w:val="0"/>
        <w:autoSpaceDN w:val="0"/>
        <w:adjustRightInd w:val="0"/>
        <w:spacing w:afterLines="160" w:after="384"/>
        <w:rPr>
          <w:rFonts w:cstheme="minorHAnsi"/>
          <w:color w:val="0000FF"/>
        </w:rPr>
      </w:pPr>
      <w:r w:rsidRPr="0040500E">
        <w:rPr>
          <w:rFonts w:cstheme="minorHAnsi"/>
        </w:rPr>
        <w:t>The full set of CMS-HCC mappings is not currently available publicly. A subset of mappings is included in the software available at:</w:t>
      </w:r>
      <w:r w:rsidRPr="0040500E">
        <w:rPr>
          <w:rFonts w:cstheme="minorHAnsi"/>
          <w:color w:val="0000FF"/>
        </w:rPr>
        <w:t xml:space="preserve"> </w:t>
      </w:r>
      <w:hyperlink r:id="rId25" w:history="1">
        <w:r w:rsidRPr="0040500E">
          <w:rPr>
            <w:rStyle w:val="Hyperlink"/>
            <w:rFonts w:cstheme="minorHAnsi"/>
          </w:rPr>
          <w:t>https://www.cms.gov/Medicare/Health-Plans/MedicareAdvtgSpecRateStats/Risk-Adjustors.html</w:t>
        </w:r>
      </w:hyperlink>
    </w:p>
    <w:p w14:paraId="1EB2611E" w14:textId="77777777" w:rsidR="00E63B4F" w:rsidRPr="0039502E" w:rsidRDefault="00E63B4F" w:rsidP="00E63B4F">
      <w:pPr>
        <w:rPr>
          <w:rFonts w:eastAsia="Trebuchet MS" w:cstheme="minorHAnsi"/>
          <w:i/>
          <w:iCs/>
          <w:color w:val="333333"/>
          <w:lang w:val="en"/>
        </w:rPr>
      </w:pPr>
      <w:bookmarkStart w:id="67" w:name="_Hlk518901754"/>
      <w:bookmarkEnd w:id="60"/>
      <w:r w:rsidRPr="0039502E">
        <w:rPr>
          <w:rFonts w:eastAsia="Trebuchet MS" w:cstheme="minorHAnsi"/>
          <w:b/>
          <w:bCs/>
          <w:color w:val="333333"/>
          <w:lang w:val="en"/>
        </w:rPr>
        <w:t xml:space="preserve">S.19. Data Source or Collection Instrument </w:t>
      </w:r>
      <w:r w:rsidRPr="0039502E">
        <w:rPr>
          <w:rFonts w:eastAsia="Trebuchet MS" w:cstheme="minorHAnsi"/>
          <w:i/>
          <w:iCs/>
          <w:color w:val="333333"/>
          <w:lang w:val="en"/>
        </w:rPr>
        <w:t>(available at measure-specific Web page URL identified in S.1 OR in attached appendix)</w:t>
      </w:r>
    </w:p>
    <w:p w14:paraId="3C4481CF" w14:textId="77777777" w:rsidR="00E63B4F" w:rsidRPr="0014571D" w:rsidRDefault="00E63B4F" w:rsidP="00E63B4F">
      <w:pPr>
        <w:shd w:val="clear" w:color="auto" w:fill="FFFFFF"/>
        <w:rPr>
          <w:rFonts w:eastAsia="Times New Roman" w:cstheme="minorHAnsi"/>
          <w:lang w:val="en"/>
        </w:rPr>
      </w:pPr>
      <w:r w:rsidRPr="0014571D">
        <w:rPr>
          <w:rFonts w:cstheme="minorHAnsi"/>
          <w:lang w:val="en"/>
        </w:rPr>
        <w:t>No data collection instrument provided</w:t>
      </w:r>
    </w:p>
    <w:p w14:paraId="2B34A7BC" w14:textId="77777777" w:rsidR="00E63B4F" w:rsidRPr="0039502E" w:rsidRDefault="00E63B4F" w:rsidP="00E63B4F">
      <w:pPr>
        <w:rPr>
          <w:rStyle w:val="requiredfield"/>
          <w:rFonts w:eastAsia="Trebuchet MS" w:cstheme="minorHAnsi"/>
          <w:b/>
          <w:bCs/>
          <w:color w:val="FF0000"/>
        </w:rPr>
      </w:pPr>
      <w:bookmarkStart w:id="68" w:name="_Hlk518896974"/>
      <w:bookmarkStart w:id="69" w:name="_Hlk518901878"/>
      <w:bookmarkStart w:id="70" w:name="_Hlk518901853"/>
      <w:bookmarkEnd w:id="58"/>
      <w:bookmarkEnd w:id="67"/>
      <w:r w:rsidRPr="0039502E">
        <w:rPr>
          <w:rFonts w:eastAsia="Trebuchet MS" w:cstheme="minorHAnsi"/>
          <w:b/>
          <w:bCs/>
          <w:color w:val="333333"/>
          <w:shd w:val="clear" w:color="auto" w:fill="FFFFFF"/>
        </w:rPr>
        <w:lastRenderedPageBreak/>
        <w:t>S.20. Level of Analysis </w:t>
      </w:r>
      <w:r w:rsidRPr="0039502E">
        <w:rPr>
          <w:rStyle w:val="requiredfield"/>
          <w:rFonts w:eastAsia="Trebuchet MS" w:cstheme="minorHAnsi"/>
          <w:b/>
          <w:bCs/>
          <w:color w:val="FF0000"/>
          <w:shd w:val="clear" w:color="auto" w:fill="FFFFFF"/>
        </w:rPr>
        <w:t>*</w:t>
      </w:r>
    </w:p>
    <w:p w14:paraId="1E13A05B" w14:textId="77777777" w:rsidR="00E63B4F" w:rsidRPr="0039502E" w:rsidRDefault="00E63B4F" w:rsidP="00E63B4F">
      <w:pPr>
        <w:rPr>
          <w:rStyle w:val="Style1"/>
          <w:rFonts w:cstheme="minorHAnsi"/>
        </w:rPr>
      </w:pPr>
      <w:r w:rsidRPr="0039502E">
        <w:rPr>
          <w:rStyle w:val="Style1"/>
          <w:rFonts w:cstheme="minorHAnsi"/>
        </w:rPr>
        <w:t xml:space="preserve">Facility. </w:t>
      </w:r>
    </w:p>
    <w:p w14:paraId="71FB7A5A" w14:textId="77777777" w:rsidR="00E63B4F" w:rsidRPr="0039502E" w:rsidRDefault="00E63B4F" w:rsidP="00E63B4F">
      <w:pPr>
        <w:tabs>
          <w:tab w:val="right" w:pos="9360"/>
        </w:tabs>
        <w:rPr>
          <w:rFonts w:eastAsia="Trebuchet MS" w:cstheme="minorHAnsi"/>
          <w:i/>
          <w:iCs/>
          <w:color w:val="333333"/>
          <w:lang w:val="en"/>
        </w:rPr>
      </w:pPr>
      <w:r w:rsidRPr="0039502E">
        <w:rPr>
          <w:rFonts w:eastAsia="Trebuchet MS" w:cstheme="minorHAnsi"/>
          <w:b/>
          <w:bCs/>
          <w:color w:val="333333"/>
          <w:lang w:val="en"/>
        </w:rPr>
        <w:t xml:space="preserve">S.21. Care Setting </w:t>
      </w:r>
      <w:r w:rsidRPr="0039502E">
        <w:rPr>
          <w:rFonts w:eastAsia="Trebuchet MS" w:cstheme="minorHAnsi"/>
          <w:i/>
          <w:iCs/>
          <w:color w:val="333333"/>
          <w:lang w:val="en"/>
        </w:rPr>
        <w:t>(Check ONLY the settings for which the measure is SPECIFIED AND TESTED)</w:t>
      </w:r>
    </w:p>
    <w:p w14:paraId="5791D0D8" w14:textId="77777777" w:rsidR="00E63B4F" w:rsidRDefault="00E63B4F" w:rsidP="00E63B4F">
      <w:pPr>
        <w:rPr>
          <w:rStyle w:val="Style1"/>
          <w:rFonts w:cstheme="minorHAnsi"/>
        </w:rPr>
      </w:pPr>
      <w:r w:rsidRPr="0039502E">
        <w:rPr>
          <w:rStyle w:val="Style1"/>
          <w:rFonts w:cstheme="minorHAnsi"/>
        </w:rPr>
        <w:t>Post-acute care</w:t>
      </w:r>
      <w:bookmarkEnd w:id="68"/>
    </w:p>
    <w:p w14:paraId="1005DBF1" w14:textId="77777777" w:rsidR="00E63B4F" w:rsidRPr="0039502E" w:rsidRDefault="00E63B4F" w:rsidP="00E63B4F">
      <w:pPr>
        <w:rPr>
          <w:rFonts w:eastAsia="Trebuchet MS" w:cstheme="minorHAnsi"/>
          <w:i/>
          <w:iCs/>
          <w:color w:val="333333"/>
        </w:rPr>
      </w:pPr>
      <w:r w:rsidRPr="0039502E">
        <w:rPr>
          <w:rFonts w:eastAsia="Trebuchet MS" w:cstheme="minorHAnsi"/>
          <w:b/>
          <w:bCs/>
          <w:color w:val="333333"/>
          <w:shd w:val="clear" w:color="auto" w:fill="FFFFFF"/>
        </w:rPr>
        <w:t>Planned Submission Date</w:t>
      </w:r>
      <w:r w:rsidRPr="0039502E">
        <w:rPr>
          <w:rFonts w:eastAsia="Trebuchet MS" w:cstheme="minorHAnsi"/>
          <w:i/>
          <w:iCs/>
          <w:color w:val="333333"/>
          <w:shd w:val="clear" w:color="auto" w:fill="FFFFFF"/>
        </w:rPr>
        <w:t xml:space="preserve"> Indicate cycle and year when all testing is </w:t>
      </w:r>
      <w:proofErr w:type="gramStart"/>
      <w:r w:rsidRPr="0039502E">
        <w:rPr>
          <w:rFonts w:eastAsia="Trebuchet MS" w:cstheme="minorHAnsi"/>
          <w:i/>
          <w:iCs/>
          <w:color w:val="333333"/>
          <w:shd w:val="clear" w:color="auto" w:fill="FFFFFF"/>
        </w:rPr>
        <w:t>completed</w:t>
      </w:r>
      <w:proofErr w:type="gramEnd"/>
      <w:r w:rsidRPr="0039502E">
        <w:rPr>
          <w:rFonts w:eastAsia="Trebuchet MS" w:cstheme="minorHAnsi"/>
          <w:i/>
          <w:iCs/>
          <w:color w:val="333333"/>
          <w:shd w:val="clear" w:color="auto" w:fill="FFFFFF"/>
        </w:rPr>
        <w:t xml:space="preserve"> and final submission is anticipated.</w:t>
      </w:r>
      <w:r w:rsidRPr="0039502E">
        <w:rPr>
          <w:rFonts w:cstheme="minorHAnsi"/>
          <w:color w:val="333333"/>
        </w:rPr>
        <w:br/>
      </w:r>
      <w:r w:rsidRPr="0039502E">
        <w:rPr>
          <w:rFonts w:eastAsia="Trebuchet MS" w:cstheme="minorHAnsi"/>
          <w:i/>
          <w:iCs/>
          <w:color w:val="333333"/>
          <w:shd w:val="clear" w:color="auto" w:fill="FFFFFF"/>
        </w:rPr>
        <w:t>Cycle 1 (Fall) typically starts in November. Cycle 2 (Spring) typically starts in April.</w:t>
      </w:r>
      <w:r w:rsidRPr="0039502E">
        <w:rPr>
          <w:rFonts w:cstheme="minorHAnsi"/>
          <w:color w:val="333333"/>
        </w:rPr>
        <w:br/>
      </w:r>
      <w:r w:rsidRPr="0039502E">
        <w:rPr>
          <w:rFonts w:eastAsia="Trebuchet MS" w:cstheme="minorHAnsi"/>
          <w:i/>
          <w:iCs/>
          <w:color w:val="333333"/>
          <w:shd w:val="clear" w:color="auto" w:fill="FFFFFF"/>
        </w:rPr>
        <w:t>A cycle period will be unavailable 3 months prior to the cycle start date (i.e. for a November or fall cycle, the ‘cycle 1’ selection will be unavailable after August).</w:t>
      </w:r>
    </w:p>
    <w:p w14:paraId="391C0D71" w14:textId="14B2EA4D" w:rsidR="00E63B4F" w:rsidRPr="00B10DD4" w:rsidRDefault="00E63B4F" w:rsidP="00E63B4F">
      <w:pPr>
        <w:rPr>
          <w:rFonts w:eastAsia="Calibri" w:cstheme="minorHAnsi"/>
          <w:b/>
        </w:rPr>
      </w:pPr>
      <w:r w:rsidRPr="004B2964">
        <w:rPr>
          <w:rFonts w:cstheme="minorHAnsi"/>
          <w:b/>
          <w:shd w:val="clear" w:color="auto" w:fill="FFFFFF"/>
        </w:rPr>
        <w:t>Fall 2018</w:t>
      </w:r>
      <w:bookmarkEnd w:id="69"/>
      <w:bookmarkEnd w:id="70"/>
    </w:p>
    <w:p w14:paraId="7B994987" w14:textId="77777777" w:rsidR="00D11DB7" w:rsidRDefault="00D11DB7" w:rsidP="00D11DB7">
      <w:pPr>
        <w:spacing w:after="0" w:line="240" w:lineRule="auto"/>
        <w:jc w:val="center"/>
        <w:rPr>
          <w:rFonts w:eastAsia="Calibri" w:cstheme="minorHAnsi"/>
        </w:rPr>
      </w:pPr>
    </w:p>
    <w:p w14:paraId="4884D842" w14:textId="784438C7" w:rsidR="00D11DB7" w:rsidRDefault="00D11DB7" w:rsidP="00D11DB7">
      <w:pPr>
        <w:spacing w:after="160" w:line="259" w:lineRule="auto"/>
        <w:rPr>
          <w:rFonts w:eastAsia="Calibri" w:cstheme="minorHAnsi"/>
          <w:b/>
          <w:bCs/>
        </w:rPr>
      </w:pPr>
    </w:p>
    <w:sectPr w:rsidR="00D11DB7" w:rsidSect="00544850">
      <w:footerReference w:type="default" r:id="rId26"/>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A2F17" w14:textId="77777777" w:rsidR="000E6E5F" w:rsidRDefault="000E6E5F" w:rsidP="00DF6260">
      <w:pPr>
        <w:spacing w:after="0" w:line="240" w:lineRule="auto"/>
      </w:pPr>
      <w:r>
        <w:separator/>
      </w:r>
    </w:p>
  </w:endnote>
  <w:endnote w:type="continuationSeparator" w:id="0">
    <w:p w14:paraId="430FDF32" w14:textId="77777777" w:rsidR="000E6E5F" w:rsidRDefault="000E6E5F" w:rsidP="00DF62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Albany AMT">
    <w:altName w:val="Arial"/>
    <w:charset w:val="00"/>
    <w:family w:val="swiss"/>
    <w:pitch w:val="variable"/>
    <w:sig w:usb0="00000A87" w:usb1="40000000" w:usb2="00000000" w:usb3="00000000" w:csb0="000000BF" w:csb1="00000000"/>
  </w:font>
  <w:font w:name="Trebuchet MS">
    <w:panose1 w:val="020B0603020202020204"/>
    <w:charset w:val="00"/>
    <w:family w:val="swiss"/>
    <w:pitch w:val="variable"/>
    <w:sig w:usb0="00000687" w:usb1="00000000" w:usb2="00000000" w:usb3="00000000" w:csb0="0000009F" w:csb1="00000000"/>
  </w:font>
  <w:font w:name="Trebuchet MS,">
    <w:altName w:val="Trebuchet MS"/>
    <w:panose1 w:val="00000000000000000000"/>
    <w:charset w:val="00"/>
    <w:family w:val="roman"/>
    <w:notTrueType/>
    <w:pitch w:val="default"/>
  </w:font>
  <w:font w:name="Trebuchet MS,Calibri">
    <w:altName w:val="Trebuchet MS"/>
    <w:panose1 w:val="00000000000000000000"/>
    <w:charset w:val="00"/>
    <w:family w:val="roman"/>
    <w:notTrueType/>
    <w:pitch w:val="default"/>
  </w:font>
  <w:font w:name="Trebuchet MS,Times New Roman">
    <w:altName w:val="Times New Roman"/>
    <w:panose1 w:val="00000000000000000000"/>
    <w:charset w:val="00"/>
    <w:family w:val="roman"/>
    <w:notTrueType/>
    <w:pitch w:val="default"/>
  </w:font>
  <w:font w:name="Symbo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4756165"/>
      <w:docPartObj>
        <w:docPartGallery w:val="Page Numbers (Bottom of Page)"/>
        <w:docPartUnique/>
      </w:docPartObj>
    </w:sdtPr>
    <w:sdtEndPr>
      <w:rPr>
        <w:rFonts w:asciiTheme="majorHAnsi" w:hAnsiTheme="majorHAnsi" w:cstheme="majorHAnsi"/>
        <w:noProof/>
        <w:sz w:val="20"/>
        <w:szCs w:val="20"/>
      </w:rPr>
    </w:sdtEndPr>
    <w:sdtContent>
      <w:p w14:paraId="43AB7EE5" w14:textId="382BA57B" w:rsidR="000E6E5F" w:rsidRPr="00544850" w:rsidRDefault="000E6E5F" w:rsidP="00623BF7">
        <w:pPr>
          <w:pStyle w:val="Footer"/>
          <w:jc w:val="both"/>
          <w:rPr>
            <w:rFonts w:asciiTheme="majorHAnsi" w:hAnsiTheme="majorHAnsi" w:cstheme="majorHAnsi"/>
            <w:sz w:val="20"/>
            <w:szCs w:val="20"/>
          </w:rPr>
        </w:pPr>
        <w:r w:rsidRPr="00544850">
          <w:rPr>
            <w:rFonts w:asciiTheme="majorHAnsi" w:hAnsiTheme="majorHAnsi" w:cstheme="majorHAnsi"/>
            <w:sz w:val="20"/>
            <w:szCs w:val="20"/>
          </w:rPr>
          <w:t>Appendix. DTC-PAC IRF Measure</w:t>
        </w:r>
        <w:r>
          <w:rPr>
            <w:rFonts w:asciiTheme="majorHAnsi" w:hAnsiTheme="majorHAnsi" w:cstheme="majorHAnsi"/>
            <w:sz w:val="20"/>
            <w:szCs w:val="20"/>
          </w:rPr>
          <w:t xml:space="preserve">                                                                           </w:t>
        </w:r>
        <w:r>
          <w:rPr>
            <w:rFonts w:asciiTheme="majorHAnsi" w:hAnsiTheme="majorHAnsi" w:cstheme="majorHAnsi"/>
            <w:sz w:val="20"/>
            <w:szCs w:val="20"/>
          </w:rPr>
          <w:tab/>
        </w:r>
        <w:r w:rsidRPr="00544850">
          <w:rPr>
            <w:rFonts w:asciiTheme="majorHAnsi" w:hAnsiTheme="majorHAnsi" w:cstheme="majorHAnsi"/>
            <w:sz w:val="20"/>
            <w:szCs w:val="20"/>
          </w:rPr>
          <w:t xml:space="preserve"> </w:t>
        </w:r>
        <w:r>
          <w:rPr>
            <w:rFonts w:asciiTheme="majorHAnsi" w:hAnsiTheme="majorHAnsi" w:cstheme="majorHAnsi"/>
            <w:sz w:val="20"/>
            <w:szCs w:val="20"/>
          </w:rPr>
          <w:t xml:space="preserve">     </w:t>
        </w:r>
        <w:r w:rsidRPr="00544850">
          <w:rPr>
            <w:rFonts w:asciiTheme="majorHAnsi" w:hAnsiTheme="majorHAnsi" w:cstheme="majorHAnsi"/>
            <w:sz w:val="20"/>
            <w:szCs w:val="20"/>
          </w:rPr>
          <w:fldChar w:fldCharType="begin"/>
        </w:r>
        <w:r w:rsidRPr="00544850">
          <w:rPr>
            <w:rFonts w:asciiTheme="majorHAnsi" w:hAnsiTheme="majorHAnsi" w:cstheme="majorHAnsi"/>
            <w:sz w:val="20"/>
            <w:szCs w:val="20"/>
          </w:rPr>
          <w:instrText xml:space="preserve"> PAGE   \* MERGEFORMAT </w:instrText>
        </w:r>
        <w:r w:rsidRPr="00544850">
          <w:rPr>
            <w:rFonts w:asciiTheme="majorHAnsi" w:hAnsiTheme="majorHAnsi" w:cstheme="majorHAnsi"/>
            <w:sz w:val="20"/>
            <w:szCs w:val="20"/>
          </w:rPr>
          <w:fldChar w:fldCharType="separate"/>
        </w:r>
        <w:r w:rsidRPr="00544850">
          <w:rPr>
            <w:rFonts w:asciiTheme="majorHAnsi" w:hAnsiTheme="majorHAnsi" w:cstheme="majorHAnsi"/>
            <w:noProof/>
            <w:sz w:val="20"/>
            <w:szCs w:val="20"/>
          </w:rPr>
          <w:t>2</w:t>
        </w:r>
        <w:r w:rsidRPr="00544850">
          <w:rPr>
            <w:rFonts w:asciiTheme="majorHAnsi" w:hAnsiTheme="majorHAnsi" w:cstheme="majorHAnsi"/>
            <w:noProof/>
            <w:sz w:val="20"/>
            <w:szCs w:val="20"/>
          </w:rPr>
          <w:fldChar w:fldCharType="end"/>
        </w:r>
      </w:p>
    </w:sdtContent>
  </w:sdt>
  <w:p w14:paraId="60DAA48E" w14:textId="2085AF87" w:rsidR="000E6E5F" w:rsidRPr="0043167F" w:rsidRDefault="000E6E5F" w:rsidP="0043167F">
    <w:pPr>
      <w:pStyle w:val="Footer"/>
      <w:jc w:val="both"/>
      <w:rPr>
        <w:rFonts w:asciiTheme="majorHAnsi" w:hAnsiTheme="majorHAnsi" w:cstheme="majorHAnsi"/>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B9116" w14:textId="77777777" w:rsidR="000E6E5F" w:rsidRDefault="000E6E5F" w:rsidP="00DF6260">
      <w:pPr>
        <w:spacing w:after="0" w:line="240" w:lineRule="auto"/>
      </w:pPr>
      <w:r>
        <w:separator/>
      </w:r>
    </w:p>
  </w:footnote>
  <w:footnote w:type="continuationSeparator" w:id="0">
    <w:p w14:paraId="114E7D2B" w14:textId="77777777" w:rsidR="000E6E5F" w:rsidRDefault="000E6E5F" w:rsidP="00DF6260">
      <w:pPr>
        <w:spacing w:after="0" w:line="240" w:lineRule="auto"/>
      </w:pPr>
      <w:r>
        <w:continuationSeparator/>
      </w:r>
    </w:p>
  </w:footnote>
  <w:footnote w:id="1">
    <w:p w14:paraId="47979EFF" w14:textId="2484AE80" w:rsidR="000E6E5F" w:rsidRDefault="000E6E5F">
      <w:pPr>
        <w:pStyle w:val="FootnoteText"/>
      </w:pPr>
      <w:r w:rsidRPr="00721108">
        <w:rPr>
          <w:rStyle w:val="FootnoteReference"/>
          <w:rFonts w:asciiTheme="minorHAnsi" w:hAnsiTheme="minorHAnsi" w:cstheme="minorHAnsi"/>
          <w:sz w:val="18"/>
        </w:rPr>
        <w:footnoteRef/>
      </w:r>
      <w:r w:rsidRPr="00721108">
        <w:rPr>
          <w:rFonts w:asciiTheme="minorHAnsi" w:hAnsiTheme="minorHAnsi" w:cstheme="minorHAnsi"/>
          <w:sz w:val="18"/>
        </w:rPr>
        <w:t xml:space="preserve"> For more information, see </w:t>
      </w:r>
      <w:hyperlink r:id="rId1" w:history="1">
        <w:r w:rsidRPr="00721108">
          <w:rPr>
            <w:rStyle w:val="Hyperlink"/>
            <w:rFonts w:asciiTheme="minorHAnsi" w:hAnsiTheme="minorHAnsi" w:cstheme="minorHAnsi"/>
            <w:sz w:val="18"/>
          </w:rPr>
          <w:t>https://www.cms.gov/Medicare/Quality-Initiatives-Patient-Assessment-Instruments/IRF-Quality-Reporting/Downloads/IRF-Measure-Calculations-and-Reporting-Users-Manual-V30.pdf</w:t>
        </w:r>
      </w:hyperlink>
      <w:r w:rsidRPr="00721108">
        <w:rPr>
          <w:rFonts w:asciiTheme="minorHAnsi" w:hAnsiTheme="minorHAnsi" w:cstheme="minorHAnsi"/>
          <w:sz w:val="18"/>
        </w:rPr>
        <w:t xml:space="preserve">. Note: the incomplete stay definition includes </w:t>
      </w:r>
      <w:r w:rsidRPr="00721108">
        <w:rPr>
          <w:rFonts w:asciiTheme="minorHAnsi" w:hAnsiTheme="minorHAnsi" w:cstheme="minorHAnsi"/>
          <w:bCs/>
          <w:sz w:val="18"/>
        </w:rPr>
        <w:t>discharges directly to another IRF and discharges against medical advice based upon IRF-PAI discharge destination, these exclusions were already applied as part of the DTC-PAC IRF measure</w:t>
      </w:r>
      <w:r w:rsidRPr="00721108">
        <w:rPr>
          <w:rFonts w:asciiTheme="minorHAnsi" w:hAnsiTheme="minorHAnsi" w:cstheme="minorHAnsi"/>
          <w:sz w:val="18"/>
        </w:rPr>
        <w:t xml:space="preserve"> specifications.</w:t>
      </w:r>
    </w:p>
  </w:footnote>
  <w:footnote w:id="2">
    <w:p w14:paraId="67BF7FF6" w14:textId="77777777" w:rsidR="000E6E5F" w:rsidRPr="00E92F71" w:rsidRDefault="000E6E5F" w:rsidP="00E547E2">
      <w:pPr>
        <w:pStyle w:val="FootnoteText"/>
        <w:rPr>
          <w:rFonts w:asciiTheme="minorHAnsi" w:hAnsiTheme="minorHAnsi" w:cstheme="minorHAnsi"/>
          <w:sz w:val="22"/>
        </w:rPr>
      </w:pPr>
      <w:r w:rsidRPr="00E92F71">
        <w:rPr>
          <w:rStyle w:val="FootnoteReference"/>
          <w:rFonts w:asciiTheme="minorHAnsi" w:hAnsiTheme="minorHAnsi" w:cstheme="minorHAnsi"/>
          <w:sz w:val="18"/>
        </w:rPr>
        <w:footnoteRef/>
      </w:r>
      <w:r w:rsidRPr="00E92F71">
        <w:rPr>
          <w:rFonts w:asciiTheme="minorHAnsi" w:hAnsiTheme="minorHAnsi" w:cstheme="minorHAnsi"/>
          <w:sz w:val="18"/>
        </w:rPr>
        <w:t xml:space="preserve"> </w:t>
      </w:r>
      <w:hyperlink r:id="rId2" w:history="1">
        <w:r w:rsidRPr="00E92F71">
          <w:rPr>
            <w:rStyle w:val="Hyperlink"/>
            <w:rFonts w:asciiTheme="minorHAnsi" w:hAnsiTheme="minorHAnsi" w:cstheme="minorHAnsi"/>
            <w:sz w:val="18"/>
          </w:rPr>
          <w:t>https://www.huduser.gov/portal/datasets/usps_crosswalk.html</w:t>
        </w:r>
      </w:hyperlink>
      <w:r w:rsidRPr="00E92F71">
        <w:rPr>
          <w:rFonts w:asciiTheme="minorHAnsi" w:hAnsiTheme="minorHAnsi" w:cstheme="minorHAnsi"/>
          <w:sz w:val="18"/>
        </w:rPr>
        <w:t xml:space="preserve"> </w:t>
      </w:r>
    </w:p>
  </w:footnote>
  <w:footnote w:id="3">
    <w:p w14:paraId="389CF28F" w14:textId="195C9600" w:rsidR="000E6E5F" w:rsidRPr="00E92F71" w:rsidRDefault="000E6E5F" w:rsidP="00E547E2">
      <w:pPr>
        <w:pStyle w:val="FootnoteText"/>
        <w:rPr>
          <w:rFonts w:asciiTheme="minorHAnsi" w:hAnsiTheme="minorHAnsi" w:cstheme="minorHAnsi"/>
          <w:sz w:val="22"/>
        </w:rPr>
      </w:pPr>
      <w:r w:rsidRPr="00E92F71">
        <w:rPr>
          <w:rStyle w:val="FootnoteReference"/>
          <w:rFonts w:asciiTheme="minorHAnsi" w:hAnsiTheme="minorHAnsi" w:cstheme="minorHAnsi"/>
          <w:sz w:val="18"/>
        </w:rPr>
        <w:footnoteRef/>
      </w:r>
      <w:r w:rsidRPr="00E92F71">
        <w:rPr>
          <w:rFonts w:asciiTheme="minorHAnsi" w:hAnsiTheme="minorHAnsi" w:cstheme="minorHAnsi"/>
          <w:sz w:val="18"/>
        </w:rPr>
        <w:t xml:space="preserve"> </w:t>
      </w:r>
      <w:hyperlink r:id="rId3" w:history="1">
        <w:r w:rsidRPr="0033546A">
          <w:rPr>
            <w:rStyle w:val="Hyperlink"/>
            <w:rFonts w:asciiTheme="minorHAnsi" w:hAnsiTheme="minorHAnsi" w:cstheme="minorHAnsi"/>
            <w:sz w:val="18"/>
          </w:rPr>
          <w:t>https://www.ers.usda.gov/data-products/rural-urban-continuum-codes/documentation/</w:t>
        </w:r>
      </w:hyperlink>
      <w:r>
        <w:rPr>
          <w:rStyle w:val="Hyperlink"/>
          <w:rFonts w:asciiTheme="minorHAnsi" w:hAnsiTheme="minorHAnsi" w:cstheme="minorHAnsi"/>
          <w:sz w:val="18"/>
        </w:rPr>
        <w:t xml:space="preserve"> </w:t>
      </w:r>
    </w:p>
  </w:footnote>
  <w:footnote w:id="4">
    <w:p w14:paraId="4C91113C" w14:textId="77777777" w:rsidR="000E6E5F" w:rsidRPr="00423371" w:rsidRDefault="000E6E5F" w:rsidP="00CB1A56">
      <w:pPr>
        <w:pStyle w:val="FootnoteText"/>
        <w:rPr>
          <w:rFonts w:asciiTheme="minorHAnsi" w:hAnsiTheme="minorHAnsi" w:cstheme="minorHAnsi"/>
        </w:rPr>
      </w:pPr>
      <w:r w:rsidRPr="00E92F71">
        <w:rPr>
          <w:rStyle w:val="FootnoteReference"/>
          <w:rFonts w:asciiTheme="minorHAnsi" w:hAnsiTheme="minorHAnsi" w:cstheme="minorHAnsi"/>
          <w:sz w:val="18"/>
        </w:rPr>
        <w:footnoteRef/>
      </w:r>
      <w:r w:rsidRPr="00E92F71">
        <w:rPr>
          <w:rFonts w:asciiTheme="minorHAnsi" w:hAnsiTheme="minorHAnsi" w:cstheme="minorHAnsi"/>
          <w:sz w:val="18"/>
        </w:rPr>
        <w:t xml:space="preserve"> Creation of New Race-Ethnicity Codes and Socioeconomic Status (SES) Indicators for Medicare Beneficiaries. Final Report. Available at: </w:t>
      </w:r>
      <w:hyperlink r:id="rId4" w:history="1">
        <w:r w:rsidRPr="00E92F71">
          <w:rPr>
            <w:rStyle w:val="Hyperlink"/>
            <w:rFonts w:asciiTheme="minorHAnsi" w:hAnsiTheme="minorHAnsi" w:cstheme="minorHAnsi"/>
            <w:sz w:val="18"/>
          </w:rPr>
          <w:t>https://archive.ahrq.gov/research/findings/final-reports/medicareindicators/medicareindicators.pdf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55F29"/>
    <w:multiLevelType w:val="hybridMultilevel"/>
    <w:tmpl w:val="767A8F2A"/>
    <w:lvl w:ilvl="0" w:tplc="2A8A45C8">
      <w:start w:val="1"/>
      <w:numFmt w:val="bullet"/>
      <w:lvlText w:val=""/>
      <w:lvlJc w:val="left"/>
      <w:pPr>
        <w:ind w:left="720" w:hanging="360"/>
      </w:pPr>
      <w:rPr>
        <w:rFonts w:ascii="Symbol" w:hAnsi="Symbol" w:hint="default"/>
      </w:rPr>
    </w:lvl>
    <w:lvl w:ilvl="1" w:tplc="637E3E0C">
      <w:start w:val="1"/>
      <w:numFmt w:val="bullet"/>
      <w:lvlText w:val="o"/>
      <w:lvlJc w:val="left"/>
      <w:pPr>
        <w:ind w:left="1440" w:hanging="360"/>
      </w:pPr>
      <w:rPr>
        <w:rFonts w:ascii="Courier New" w:hAnsi="Courier New" w:hint="default"/>
      </w:rPr>
    </w:lvl>
    <w:lvl w:ilvl="2" w:tplc="A33CE3C8">
      <w:start w:val="1"/>
      <w:numFmt w:val="bullet"/>
      <w:lvlText w:val=""/>
      <w:lvlJc w:val="left"/>
      <w:pPr>
        <w:ind w:left="2160" w:hanging="360"/>
      </w:pPr>
      <w:rPr>
        <w:rFonts w:ascii="Wingdings" w:hAnsi="Wingdings" w:hint="default"/>
      </w:rPr>
    </w:lvl>
    <w:lvl w:ilvl="3" w:tplc="FE8E1D0A">
      <w:start w:val="1"/>
      <w:numFmt w:val="bullet"/>
      <w:lvlText w:val=""/>
      <w:lvlJc w:val="left"/>
      <w:pPr>
        <w:ind w:left="2880" w:hanging="360"/>
      </w:pPr>
      <w:rPr>
        <w:rFonts w:ascii="Symbol" w:hAnsi="Symbol" w:hint="default"/>
      </w:rPr>
    </w:lvl>
    <w:lvl w:ilvl="4" w:tplc="86DE8B18">
      <w:start w:val="1"/>
      <w:numFmt w:val="bullet"/>
      <w:lvlText w:val="o"/>
      <w:lvlJc w:val="left"/>
      <w:pPr>
        <w:ind w:left="3600" w:hanging="360"/>
      </w:pPr>
      <w:rPr>
        <w:rFonts w:ascii="Courier New" w:hAnsi="Courier New" w:hint="default"/>
      </w:rPr>
    </w:lvl>
    <w:lvl w:ilvl="5" w:tplc="B074E386">
      <w:start w:val="1"/>
      <w:numFmt w:val="bullet"/>
      <w:lvlText w:val=""/>
      <w:lvlJc w:val="left"/>
      <w:pPr>
        <w:ind w:left="4320" w:hanging="360"/>
      </w:pPr>
      <w:rPr>
        <w:rFonts w:ascii="Wingdings" w:hAnsi="Wingdings" w:hint="default"/>
      </w:rPr>
    </w:lvl>
    <w:lvl w:ilvl="6" w:tplc="3DF2D60E">
      <w:start w:val="1"/>
      <w:numFmt w:val="bullet"/>
      <w:lvlText w:val=""/>
      <w:lvlJc w:val="left"/>
      <w:pPr>
        <w:ind w:left="5040" w:hanging="360"/>
      </w:pPr>
      <w:rPr>
        <w:rFonts w:ascii="Symbol" w:hAnsi="Symbol" w:hint="default"/>
      </w:rPr>
    </w:lvl>
    <w:lvl w:ilvl="7" w:tplc="913E6476">
      <w:start w:val="1"/>
      <w:numFmt w:val="bullet"/>
      <w:lvlText w:val="o"/>
      <w:lvlJc w:val="left"/>
      <w:pPr>
        <w:ind w:left="5760" w:hanging="360"/>
      </w:pPr>
      <w:rPr>
        <w:rFonts w:ascii="Courier New" w:hAnsi="Courier New" w:hint="default"/>
      </w:rPr>
    </w:lvl>
    <w:lvl w:ilvl="8" w:tplc="5FCA2330">
      <w:start w:val="1"/>
      <w:numFmt w:val="bullet"/>
      <w:lvlText w:val=""/>
      <w:lvlJc w:val="left"/>
      <w:pPr>
        <w:ind w:left="6480" w:hanging="360"/>
      </w:pPr>
      <w:rPr>
        <w:rFonts w:ascii="Wingdings" w:hAnsi="Wingdings" w:hint="default"/>
      </w:rPr>
    </w:lvl>
  </w:abstractNum>
  <w:abstractNum w:abstractNumId="1" w15:restartNumberingAfterBreak="0">
    <w:nsid w:val="14566980"/>
    <w:multiLevelType w:val="hybridMultilevel"/>
    <w:tmpl w:val="7F5C6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BD4834"/>
    <w:multiLevelType w:val="hybridMultilevel"/>
    <w:tmpl w:val="3A74C2F8"/>
    <w:lvl w:ilvl="0" w:tplc="BAD06730">
      <w:start w:val="1"/>
      <w:numFmt w:val="decimalZero"/>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1F2103"/>
    <w:multiLevelType w:val="hybridMultilevel"/>
    <w:tmpl w:val="6060B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BB6B50"/>
    <w:multiLevelType w:val="hybridMultilevel"/>
    <w:tmpl w:val="61FEA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C43A53"/>
    <w:multiLevelType w:val="hybridMultilevel"/>
    <w:tmpl w:val="9C666E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2B0422"/>
    <w:multiLevelType w:val="hybridMultilevel"/>
    <w:tmpl w:val="70B414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4E40F1"/>
    <w:multiLevelType w:val="hybridMultilevel"/>
    <w:tmpl w:val="228CD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C62097"/>
    <w:multiLevelType w:val="hybridMultilevel"/>
    <w:tmpl w:val="D50A83A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DA1906"/>
    <w:multiLevelType w:val="multilevel"/>
    <w:tmpl w:val="811ED86A"/>
    <w:lvl w:ilvl="0">
      <w:start w:val="1"/>
      <w:numFmt w:val="decimal"/>
      <w:pStyle w:val="NumberedList"/>
      <w:lvlText w:val="%1)"/>
      <w:lvlJc w:val="left"/>
      <w:pPr>
        <w:tabs>
          <w:tab w:val="num" w:pos="1260"/>
        </w:tabs>
        <w:ind w:left="126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3ECB3A13"/>
    <w:multiLevelType w:val="hybridMultilevel"/>
    <w:tmpl w:val="4DD67040"/>
    <w:lvl w:ilvl="0" w:tplc="6C600D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3B1A4E"/>
    <w:multiLevelType w:val="hybridMultilevel"/>
    <w:tmpl w:val="0F244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D64C1C"/>
    <w:multiLevelType w:val="hybridMultilevel"/>
    <w:tmpl w:val="4672D212"/>
    <w:lvl w:ilvl="0" w:tplc="7462496C">
      <w:start w:val="1"/>
      <w:numFmt w:val="bullet"/>
      <w:lvlText w:val=""/>
      <w:lvlJc w:val="left"/>
      <w:pPr>
        <w:ind w:left="720" w:hanging="360"/>
      </w:pPr>
      <w:rPr>
        <w:rFonts w:ascii="Symbol" w:hAnsi="Symbol" w:hint="default"/>
      </w:rPr>
    </w:lvl>
    <w:lvl w:ilvl="1" w:tplc="3B2EC934">
      <w:start w:val="1"/>
      <w:numFmt w:val="bullet"/>
      <w:lvlText w:val="o"/>
      <w:lvlJc w:val="left"/>
      <w:pPr>
        <w:ind w:left="1440" w:hanging="360"/>
      </w:pPr>
      <w:rPr>
        <w:rFonts w:ascii="Courier New" w:hAnsi="Courier New" w:hint="default"/>
      </w:rPr>
    </w:lvl>
    <w:lvl w:ilvl="2" w:tplc="762AC7F4">
      <w:start w:val="1"/>
      <w:numFmt w:val="bullet"/>
      <w:lvlText w:val=""/>
      <w:lvlJc w:val="left"/>
      <w:pPr>
        <w:ind w:left="2160" w:hanging="360"/>
      </w:pPr>
      <w:rPr>
        <w:rFonts w:ascii="Wingdings" w:hAnsi="Wingdings" w:hint="default"/>
      </w:rPr>
    </w:lvl>
    <w:lvl w:ilvl="3" w:tplc="61D81958">
      <w:start w:val="1"/>
      <w:numFmt w:val="bullet"/>
      <w:lvlText w:val=""/>
      <w:lvlJc w:val="left"/>
      <w:pPr>
        <w:ind w:left="2880" w:hanging="360"/>
      </w:pPr>
      <w:rPr>
        <w:rFonts w:ascii="Symbol" w:hAnsi="Symbol" w:hint="default"/>
      </w:rPr>
    </w:lvl>
    <w:lvl w:ilvl="4" w:tplc="B4163B58">
      <w:start w:val="1"/>
      <w:numFmt w:val="bullet"/>
      <w:lvlText w:val="o"/>
      <w:lvlJc w:val="left"/>
      <w:pPr>
        <w:ind w:left="3600" w:hanging="360"/>
      </w:pPr>
      <w:rPr>
        <w:rFonts w:ascii="Courier New" w:hAnsi="Courier New" w:hint="default"/>
      </w:rPr>
    </w:lvl>
    <w:lvl w:ilvl="5" w:tplc="FBE67098">
      <w:start w:val="1"/>
      <w:numFmt w:val="bullet"/>
      <w:lvlText w:val=""/>
      <w:lvlJc w:val="left"/>
      <w:pPr>
        <w:ind w:left="4320" w:hanging="360"/>
      </w:pPr>
      <w:rPr>
        <w:rFonts w:ascii="Wingdings" w:hAnsi="Wingdings" w:hint="default"/>
      </w:rPr>
    </w:lvl>
    <w:lvl w:ilvl="6" w:tplc="F7342F5A">
      <w:start w:val="1"/>
      <w:numFmt w:val="bullet"/>
      <w:lvlText w:val=""/>
      <w:lvlJc w:val="left"/>
      <w:pPr>
        <w:ind w:left="5040" w:hanging="360"/>
      </w:pPr>
      <w:rPr>
        <w:rFonts w:ascii="Symbol" w:hAnsi="Symbol" w:hint="default"/>
      </w:rPr>
    </w:lvl>
    <w:lvl w:ilvl="7" w:tplc="01A4412C">
      <w:start w:val="1"/>
      <w:numFmt w:val="bullet"/>
      <w:lvlText w:val="o"/>
      <w:lvlJc w:val="left"/>
      <w:pPr>
        <w:ind w:left="5760" w:hanging="360"/>
      </w:pPr>
      <w:rPr>
        <w:rFonts w:ascii="Courier New" w:hAnsi="Courier New" w:hint="default"/>
      </w:rPr>
    </w:lvl>
    <w:lvl w:ilvl="8" w:tplc="AF92EB1E">
      <w:start w:val="1"/>
      <w:numFmt w:val="bullet"/>
      <w:lvlText w:val=""/>
      <w:lvlJc w:val="left"/>
      <w:pPr>
        <w:ind w:left="6480" w:hanging="360"/>
      </w:pPr>
      <w:rPr>
        <w:rFonts w:ascii="Wingdings" w:hAnsi="Wingdings" w:hint="default"/>
      </w:rPr>
    </w:lvl>
  </w:abstractNum>
  <w:abstractNum w:abstractNumId="13" w15:restartNumberingAfterBreak="0">
    <w:nsid w:val="51C532C0"/>
    <w:multiLevelType w:val="hybridMultilevel"/>
    <w:tmpl w:val="7D9C498C"/>
    <w:lvl w:ilvl="0" w:tplc="D4D8EC84">
      <w:start w:val="1"/>
      <w:numFmt w:val="bullet"/>
      <w:lvlText w:val=""/>
      <w:lvlJc w:val="left"/>
      <w:pPr>
        <w:ind w:left="720" w:hanging="360"/>
      </w:pPr>
      <w:rPr>
        <w:rFonts w:ascii="Symbol" w:hAnsi="Symbol" w:hint="default"/>
      </w:rPr>
    </w:lvl>
    <w:lvl w:ilvl="1" w:tplc="192E3B92">
      <w:start w:val="1"/>
      <w:numFmt w:val="bullet"/>
      <w:lvlText w:val="o"/>
      <w:lvlJc w:val="left"/>
      <w:pPr>
        <w:ind w:left="1440" w:hanging="360"/>
      </w:pPr>
      <w:rPr>
        <w:rFonts w:ascii="Courier New" w:hAnsi="Courier New" w:hint="default"/>
      </w:rPr>
    </w:lvl>
    <w:lvl w:ilvl="2" w:tplc="C00C43E4">
      <w:start w:val="1"/>
      <w:numFmt w:val="bullet"/>
      <w:lvlText w:val=""/>
      <w:lvlJc w:val="left"/>
      <w:pPr>
        <w:ind w:left="2160" w:hanging="360"/>
      </w:pPr>
      <w:rPr>
        <w:rFonts w:ascii="Wingdings" w:hAnsi="Wingdings" w:hint="default"/>
      </w:rPr>
    </w:lvl>
    <w:lvl w:ilvl="3" w:tplc="17BE3B76">
      <w:start w:val="1"/>
      <w:numFmt w:val="bullet"/>
      <w:lvlText w:val=""/>
      <w:lvlJc w:val="left"/>
      <w:pPr>
        <w:ind w:left="2880" w:hanging="360"/>
      </w:pPr>
      <w:rPr>
        <w:rFonts w:ascii="Symbol" w:hAnsi="Symbol" w:hint="default"/>
      </w:rPr>
    </w:lvl>
    <w:lvl w:ilvl="4" w:tplc="68CA8EF8">
      <w:start w:val="1"/>
      <w:numFmt w:val="bullet"/>
      <w:lvlText w:val="o"/>
      <w:lvlJc w:val="left"/>
      <w:pPr>
        <w:ind w:left="3600" w:hanging="360"/>
      </w:pPr>
      <w:rPr>
        <w:rFonts w:ascii="Courier New" w:hAnsi="Courier New" w:hint="default"/>
      </w:rPr>
    </w:lvl>
    <w:lvl w:ilvl="5" w:tplc="57060D0A">
      <w:start w:val="1"/>
      <w:numFmt w:val="bullet"/>
      <w:lvlText w:val=""/>
      <w:lvlJc w:val="left"/>
      <w:pPr>
        <w:ind w:left="4320" w:hanging="360"/>
      </w:pPr>
      <w:rPr>
        <w:rFonts w:ascii="Wingdings" w:hAnsi="Wingdings" w:hint="default"/>
      </w:rPr>
    </w:lvl>
    <w:lvl w:ilvl="6" w:tplc="9AAA0B44">
      <w:start w:val="1"/>
      <w:numFmt w:val="bullet"/>
      <w:lvlText w:val=""/>
      <w:lvlJc w:val="left"/>
      <w:pPr>
        <w:ind w:left="5040" w:hanging="360"/>
      </w:pPr>
      <w:rPr>
        <w:rFonts w:ascii="Symbol" w:hAnsi="Symbol" w:hint="default"/>
      </w:rPr>
    </w:lvl>
    <w:lvl w:ilvl="7" w:tplc="93720F22">
      <w:start w:val="1"/>
      <w:numFmt w:val="bullet"/>
      <w:lvlText w:val="o"/>
      <w:lvlJc w:val="left"/>
      <w:pPr>
        <w:ind w:left="5760" w:hanging="360"/>
      </w:pPr>
      <w:rPr>
        <w:rFonts w:ascii="Courier New" w:hAnsi="Courier New" w:hint="default"/>
      </w:rPr>
    </w:lvl>
    <w:lvl w:ilvl="8" w:tplc="F2869B26">
      <w:start w:val="1"/>
      <w:numFmt w:val="bullet"/>
      <w:lvlText w:val=""/>
      <w:lvlJc w:val="left"/>
      <w:pPr>
        <w:ind w:left="6480" w:hanging="360"/>
      </w:pPr>
      <w:rPr>
        <w:rFonts w:ascii="Wingdings" w:hAnsi="Wingdings" w:hint="default"/>
      </w:rPr>
    </w:lvl>
  </w:abstractNum>
  <w:abstractNum w:abstractNumId="14" w15:restartNumberingAfterBreak="0">
    <w:nsid w:val="53647CE4"/>
    <w:multiLevelType w:val="hybridMultilevel"/>
    <w:tmpl w:val="074A0986"/>
    <w:lvl w:ilvl="0" w:tplc="CE8ED35E">
      <w:start w:val="1"/>
      <w:numFmt w:val="bullet"/>
      <w:lvlText w:val=""/>
      <w:lvlJc w:val="left"/>
      <w:pPr>
        <w:ind w:left="720" w:hanging="360"/>
      </w:pPr>
      <w:rPr>
        <w:rFonts w:ascii="Symbol" w:hAnsi="Symbol" w:hint="default"/>
      </w:rPr>
    </w:lvl>
    <w:lvl w:ilvl="1" w:tplc="3F7264C6">
      <w:start w:val="1"/>
      <w:numFmt w:val="bullet"/>
      <w:lvlText w:val="o"/>
      <w:lvlJc w:val="left"/>
      <w:pPr>
        <w:ind w:left="1440" w:hanging="360"/>
      </w:pPr>
      <w:rPr>
        <w:rFonts w:ascii="Courier New" w:hAnsi="Courier New" w:hint="default"/>
      </w:rPr>
    </w:lvl>
    <w:lvl w:ilvl="2" w:tplc="8D185D7E">
      <w:start w:val="1"/>
      <w:numFmt w:val="bullet"/>
      <w:lvlText w:val=""/>
      <w:lvlJc w:val="left"/>
      <w:pPr>
        <w:ind w:left="2160" w:hanging="360"/>
      </w:pPr>
      <w:rPr>
        <w:rFonts w:ascii="Wingdings" w:hAnsi="Wingdings" w:hint="default"/>
      </w:rPr>
    </w:lvl>
    <w:lvl w:ilvl="3" w:tplc="460C892E">
      <w:start w:val="1"/>
      <w:numFmt w:val="bullet"/>
      <w:lvlText w:val=""/>
      <w:lvlJc w:val="left"/>
      <w:pPr>
        <w:ind w:left="2880" w:hanging="360"/>
      </w:pPr>
      <w:rPr>
        <w:rFonts w:ascii="Symbol" w:hAnsi="Symbol" w:hint="default"/>
      </w:rPr>
    </w:lvl>
    <w:lvl w:ilvl="4" w:tplc="42F62708">
      <w:start w:val="1"/>
      <w:numFmt w:val="bullet"/>
      <w:lvlText w:val="o"/>
      <w:lvlJc w:val="left"/>
      <w:pPr>
        <w:ind w:left="3600" w:hanging="360"/>
      </w:pPr>
      <w:rPr>
        <w:rFonts w:ascii="Courier New" w:hAnsi="Courier New" w:hint="default"/>
      </w:rPr>
    </w:lvl>
    <w:lvl w:ilvl="5" w:tplc="E508ED1E">
      <w:start w:val="1"/>
      <w:numFmt w:val="bullet"/>
      <w:lvlText w:val=""/>
      <w:lvlJc w:val="left"/>
      <w:pPr>
        <w:ind w:left="4320" w:hanging="360"/>
      </w:pPr>
      <w:rPr>
        <w:rFonts w:ascii="Wingdings" w:hAnsi="Wingdings" w:hint="default"/>
      </w:rPr>
    </w:lvl>
    <w:lvl w:ilvl="6" w:tplc="59AEDE32">
      <w:start w:val="1"/>
      <w:numFmt w:val="bullet"/>
      <w:lvlText w:val=""/>
      <w:lvlJc w:val="left"/>
      <w:pPr>
        <w:ind w:left="5040" w:hanging="360"/>
      </w:pPr>
      <w:rPr>
        <w:rFonts w:ascii="Symbol" w:hAnsi="Symbol" w:hint="default"/>
      </w:rPr>
    </w:lvl>
    <w:lvl w:ilvl="7" w:tplc="AF189AA6">
      <w:start w:val="1"/>
      <w:numFmt w:val="bullet"/>
      <w:lvlText w:val="o"/>
      <w:lvlJc w:val="left"/>
      <w:pPr>
        <w:ind w:left="5760" w:hanging="360"/>
      </w:pPr>
      <w:rPr>
        <w:rFonts w:ascii="Courier New" w:hAnsi="Courier New" w:hint="default"/>
      </w:rPr>
    </w:lvl>
    <w:lvl w:ilvl="8" w:tplc="835E2CA6">
      <w:start w:val="1"/>
      <w:numFmt w:val="bullet"/>
      <w:lvlText w:val=""/>
      <w:lvlJc w:val="left"/>
      <w:pPr>
        <w:ind w:left="6480" w:hanging="360"/>
      </w:pPr>
      <w:rPr>
        <w:rFonts w:ascii="Wingdings" w:hAnsi="Wingdings" w:hint="default"/>
      </w:rPr>
    </w:lvl>
  </w:abstractNum>
  <w:abstractNum w:abstractNumId="15" w15:restartNumberingAfterBreak="0">
    <w:nsid w:val="5B662722"/>
    <w:multiLevelType w:val="multilevel"/>
    <w:tmpl w:val="FD7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1C609E"/>
    <w:multiLevelType w:val="hybridMultilevel"/>
    <w:tmpl w:val="794A79FC"/>
    <w:lvl w:ilvl="0" w:tplc="9AB0D8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62F65E9"/>
    <w:multiLevelType w:val="hybridMultilevel"/>
    <w:tmpl w:val="B84E0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247096"/>
    <w:multiLevelType w:val="hybridMultilevel"/>
    <w:tmpl w:val="ED186F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151086"/>
    <w:multiLevelType w:val="hybridMultilevel"/>
    <w:tmpl w:val="424A7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996E29"/>
    <w:multiLevelType w:val="hybridMultilevel"/>
    <w:tmpl w:val="3620D0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433AE3"/>
    <w:multiLevelType w:val="hybridMultilevel"/>
    <w:tmpl w:val="9D08A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436E0"/>
    <w:multiLevelType w:val="hybridMultilevel"/>
    <w:tmpl w:val="FD2AB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44008D"/>
    <w:multiLevelType w:val="hybridMultilevel"/>
    <w:tmpl w:val="6C184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17780C"/>
    <w:multiLevelType w:val="hybridMultilevel"/>
    <w:tmpl w:val="0F2443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B455671"/>
    <w:multiLevelType w:val="hybridMultilevel"/>
    <w:tmpl w:val="C5E67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1"/>
  </w:num>
  <w:num w:numId="4">
    <w:abstractNumId w:val="3"/>
  </w:num>
  <w:num w:numId="5">
    <w:abstractNumId w:val="24"/>
  </w:num>
  <w:num w:numId="6">
    <w:abstractNumId w:val="18"/>
  </w:num>
  <w:num w:numId="7">
    <w:abstractNumId w:val="6"/>
  </w:num>
  <w:num w:numId="8">
    <w:abstractNumId w:val="12"/>
  </w:num>
  <w:num w:numId="9">
    <w:abstractNumId w:val="13"/>
  </w:num>
  <w:num w:numId="10">
    <w:abstractNumId w:val="14"/>
  </w:num>
  <w:num w:numId="11">
    <w:abstractNumId w:val="4"/>
  </w:num>
  <w:num w:numId="12">
    <w:abstractNumId w:val="5"/>
  </w:num>
  <w:num w:numId="13">
    <w:abstractNumId w:val="25"/>
  </w:num>
  <w:num w:numId="14">
    <w:abstractNumId w:val="1"/>
  </w:num>
  <w:num w:numId="15">
    <w:abstractNumId w:val="9"/>
  </w:num>
  <w:num w:numId="16">
    <w:abstractNumId w:val="16"/>
  </w:num>
  <w:num w:numId="17">
    <w:abstractNumId w:val="23"/>
  </w:num>
  <w:num w:numId="18">
    <w:abstractNumId w:val="17"/>
  </w:num>
  <w:num w:numId="19">
    <w:abstractNumId w:val="20"/>
  </w:num>
  <w:num w:numId="20">
    <w:abstractNumId w:val="0"/>
  </w:num>
  <w:num w:numId="21">
    <w:abstractNumId w:val="22"/>
  </w:num>
  <w:num w:numId="22">
    <w:abstractNumId w:val="19"/>
  </w:num>
  <w:num w:numId="23">
    <w:abstractNumId w:val="2"/>
  </w:num>
  <w:num w:numId="24">
    <w:abstractNumId w:val="21"/>
  </w:num>
  <w:num w:numId="25">
    <w:abstractNumId w:val="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481"/>
    <w:rsid w:val="00003C41"/>
    <w:rsid w:val="00004533"/>
    <w:rsid w:val="000045E4"/>
    <w:rsid w:val="0001113E"/>
    <w:rsid w:val="00012C4A"/>
    <w:rsid w:val="00013D17"/>
    <w:rsid w:val="00014459"/>
    <w:rsid w:val="0002040B"/>
    <w:rsid w:val="00030828"/>
    <w:rsid w:val="0003258E"/>
    <w:rsid w:val="000326DC"/>
    <w:rsid w:val="000337CD"/>
    <w:rsid w:val="00036121"/>
    <w:rsid w:val="00046D43"/>
    <w:rsid w:val="00050EAB"/>
    <w:rsid w:val="00051B47"/>
    <w:rsid w:val="00064176"/>
    <w:rsid w:val="00066F81"/>
    <w:rsid w:val="0007464C"/>
    <w:rsid w:val="00076FBA"/>
    <w:rsid w:val="000805C7"/>
    <w:rsid w:val="00085CE8"/>
    <w:rsid w:val="000A101C"/>
    <w:rsid w:val="000A3EAD"/>
    <w:rsid w:val="000B2BCA"/>
    <w:rsid w:val="000B66B2"/>
    <w:rsid w:val="000C0DD5"/>
    <w:rsid w:val="000C31D8"/>
    <w:rsid w:val="000C3B51"/>
    <w:rsid w:val="000C54EE"/>
    <w:rsid w:val="000D44B8"/>
    <w:rsid w:val="000D6D3D"/>
    <w:rsid w:val="000E3C7D"/>
    <w:rsid w:val="000E3CAF"/>
    <w:rsid w:val="000E5502"/>
    <w:rsid w:val="000E6E5F"/>
    <w:rsid w:val="000F4E1C"/>
    <w:rsid w:val="000F6E9F"/>
    <w:rsid w:val="000F7900"/>
    <w:rsid w:val="00100681"/>
    <w:rsid w:val="001060DA"/>
    <w:rsid w:val="00112A5A"/>
    <w:rsid w:val="0011448D"/>
    <w:rsid w:val="00136056"/>
    <w:rsid w:val="001423A1"/>
    <w:rsid w:val="00142CB6"/>
    <w:rsid w:val="00147189"/>
    <w:rsid w:val="001541E7"/>
    <w:rsid w:val="0015491D"/>
    <w:rsid w:val="00161942"/>
    <w:rsid w:val="00172FBB"/>
    <w:rsid w:val="00173113"/>
    <w:rsid w:val="00176025"/>
    <w:rsid w:val="0018095A"/>
    <w:rsid w:val="00181D5E"/>
    <w:rsid w:val="00181D82"/>
    <w:rsid w:val="00183CF8"/>
    <w:rsid w:val="001875B2"/>
    <w:rsid w:val="00191392"/>
    <w:rsid w:val="001930E6"/>
    <w:rsid w:val="001966D5"/>
    <w:rsid w:val="0019712F"/>
    <w:rsid w:val="00197178"/>
    <w:rsid w:val="001A0896"/>
    <w:rsid w:val="001A1E8B"/>
    <w:rsid w:val="001A761B"/>
    <w:rsid w:val="001B2891"/>
    <w:rsid w:val="001B36BA"/>
    <w:rsid w:val="001B663E"/>
    <w:rsid w:val="001C48D5"/>
    <w:rsid w:val="001C5930"/>
    <w:rsid w:val="001D01C8"/>
    <w:rsid w:val="001D1D27"/>
    <w:rsid w:val="001D3613"/>
    <w:rsid w:val="001E38E7"/>
    <w:rsid w:val="001E4121"/>
    <w:rsid w:val="00202912"/>
    <w:rsid w:val="00214DC1"/>
    <w:rsid w:val="00215641"/>
    <w:rsid w:val="002169EE"/>
    <w:rsid w:val="00217616"/>
    <w:rsid w:val="00221782"/>
    <w:rsid w:val="0022364E"/>
    <w:rsid w:val="00232145"/>
    <w:rsid w:val="00234EC6"/>
    <w:rsid w:val="00235D60"/>
    <w:rsid w:val="00236FCC"/>
    <w:rsid w:val="00237B6F"/>
    <w:rsid w:val="00244A6C"/>
    <w:rsid w:val="00246B08"/>
    <w:rsid w:val="0025772A"/>
    <w:rsid w:val="0025795E"/>
    <w:rsid w:val="002613D7"/>
    <w:rsid w:val="002669E2"/>
    <w:rsid w:val="002707D0"/>
    <w:rsid w:val="002718E1"/>
    <w:rsid w:val="00282F64"/>
    <w:rsid w:val="00284A72"/>
    <w:rsid w:val="0028597B"/>
    <w:rsid w:val="00291DB9"/>
    <w:rsid w:val="00291EB9"/>
    <w:rsid w:val="0029236D"/>
    <w:rsid w:val="002973EC"/>
    <w:rsid w:val="002B08B3"/>
    <w:rsid w:val="002B1A13"/>
    <w:rsid w:val="002C098A"/>
    <w:rsid w:val="002C23D5"/>
    <w:rsid w:val="002C622C"/>
    <w:rsid w:val="002D1BF7"/>
    <w:rsid w:val="002D5741"/>
    <w:rsid w:val="002E3CAF"/>
    <w:rsid w:val="002E4099"/>
    <w:rsid w:val="002E73B1"/>
    <w:rsid w:val="0030204F"/>
    <w:rsid w:val="00304F82"/>
    <w:rsid w:val="003206CE"/>
    <w:rsid w:val="00322736"/>
    <w:rsid w:val="00324C8D"/>
    <w:rsid w:val="003271AA"/>
    <w:rsid w:val="003272D2"/>
    <w:rsid w:val="00330D81"/>
    <w:rsid w:val="003319CE"/>
    <w:rsid w:val="003351B8"/>
    <w:rsid w:val="00360502"/>
    <w:rsid w:val="003721D6"/>
    <w:rsid w:val="00372CA4"/>
    <w:rsid w:val="00373E47"/>
    <w:rsid w:val="00375378"/>
    <w:rsid w:val="00375F97"/>
    <w:rsid w:val="00381265"/>
    <w:rsid w:val="0038199B"/>
    <w:rsid w:val="00382B2A"/>
    <w:rsid w:val="00386BD1"/>
    <w:rsid w:val="003918C6"/>
    <w:rsid w:val="0039391A"/>
    <w:rsid w:val="00393ABF"/>
    <w:rsid w:val="003A387F"/>
    <w:rsid w:val="003A6C1A"/>
    <w:rsid w:val="003A6CCA"/>
    <w:rsid w:val="003A79DA"/>
    <w:rsid w:val="003B1050"/>
    <w:rsid w:val="003B246D"/>
    <w:rsid w:val="003B4778"/>
    <w:rsid w:val="003B7A24"/>
    <w:rsid w:val="003C0B70"/>
    <w:rsid w:val="003C200D"/>
    <w:rsid w:val="003C3F8E"/>
    <w:rsid w:val="003C7048"/>
    <w:rsid w:val="003D09D8"/>
    <w:rsid w:val="003D1B98"/>
    <w:rsid w:val="003D2E4A"/>
    <w:rsid w:val="003D4DEE"/>
    <w:rsid w:val="003D545D"/>
    <w:rsid w:val="003E7280"/>
    <w:rsid w:val="003F094B"/>
    <w:rsid w:val="003F0CDE"/>
    <w:rsid w:val="003F4EC2"/>
    <w:rsid w:val="00402605"/>
    <w:rsid w:val="00406AC3"/>
    <w:rsid w:val="00415076"/>
    <w:rsid w:val="0041747B"/>
    <w:rsid w:val="004176C2"/>
    <w:rsid w:val="00423371"/>
    <w:rsid w:val="0043167F"/>
    <w:rsid w:val="00433295"/>
    <w:rsid w:val="00436B82"/>
    <w:rsid w:val="00437242"/>
    <w:rsid w:val="00443B9B"/>
    <w:rsid w:val="00447B40"/>
    <w:rsid w:val="00452E99"/>
    <w:rsid w:val="00466953"/>
    <w:rsid w:val="004734AC"/>
    <w:rsid w:val="0047459C"/>
    <w:rsid w:val="00476AE1"/>
    <w:rsid w:val="00480BC2"/>
    <w:rsid w:val="00485CE7"/>
    <w:rsid w:val="00485ED3"/>
    <w:rsid w:val="00487949"/>
    <w:rsid w:val="00487C99"/>
    <w:rsid w:val="00496549"/>
    <w:rsid w:val="004A32E1"/>
    <w:rsid w:val="004A4105"/>
    <w:rsid w:val="004A47D3"/>
    <w:rsid w:val="004A7632"/>
    <w:rsid w:val="004B1105"/>
    <w:rsid w:val="004B173F"/>
    <w:rsid w:val="004B77EE"/>
    <w:rsid w:val="004C0FA6"/>
    <w:rsid w:val="004C1659"/>
    <w:rsid w:val="004D7FA0"/>
    <w:rsid w:val="004E41CA"/>
    <w:rsid w:val="004E7877"/>
    <w:rsid w:val="004F131E"/>
    <w:rsid w:val="004F1F42"/>
    <w:rsid w:val="004F44EC"/>
    <w:rsid w:val="0050132B"/>
    <w:rsid w:val="00503A0F"/>
    <w:rsid w:val="0050406F"/>
    <w:rsid w:val="005111DE"/>
    <w:rsid w:val="00515842"/>
    <w:rsid w:val="00523929"/>
    <w:rsid w:val="005239AF"/>
    <w:rsid w:val="00531769"/>
    <w:rsid w:val="0053200F"/>
    <w:rsid w:val="00542945"/>
    <w:rsid w:val="00544760"/>
    <w:rsid w:val="00544850"/>
    <w:rsid w:val="005525F4"/>
    <w:rsid w:val="00555450"/>
    <w:rsid w:val="005555B2"/>
    <w:rsid w:val="00555B44"/>
    <w:rsid w:val="0056118E"/>
    <w:rsid w:val="00566E2E"/>
    <w:rsid w:val="00566F71"/>
    <w:rsid w:val="005670DE"/>
    <w:rsid w:val="00570AD4"/>
    <w:rsid w:val="00575FD2"/>
    <w:rsid w:val="005823F4"/>
    <w:rsid w:val="00586DEC"/>
    <w:rsid w:val="00587A85"/>
    <w:rsid w:val="005946D5"/>
    <w:rsid w:val="005B0488"/>
    <w:rsid w:val="005B0A55"/>
    <w:rsid w:val="005B396C"/>
    <w:rsid w:val="005C26E9"/>
    <w:rsid w:val="005C33A7"/>
    <w:rsid w:val="005D30B8"/>
    <w:rsid w:val="005D369E"/>
    <w:rsid w:val="005D4185"/>
    <w:rsid w:val="005D4986"/>
    <w:rsid w:val="005D5AF5"/>
    <w:rsid w:val="005D7721"/>
    <w:rsid w:val="005D7804"/>
    <w:rsid w:val="005E235F"/>
    <w:rsid w:val="005E3F5F"/>
    <w:rsid w:val="005E682C"/>
    <w:rsid w:val="005F14FC"/>
    <w:rsid w:val="005F2E3C"/>
    <w:rsid w:val="005F7F2D"/>
    <w:rsid w:val="00604EAD"/>
    <w:rsid w:val="00612328"/>
    <w:rsid w:val="00612DCF"/>
    <w:rsid w:val="00616A7D"/>
    <w:rsid w:val="006209A0"/>
    <w:rsid w:val="00623BF7"/>
    <w:rsid w:val="006276B3"/>
    <w:rsid w:val="00640DEE"/>
    <w:rsid w:val="0064256C"/>
    <w:rsid w:val="00644149"/>
    <w:rsid w:val="00646563"/>
    <w:rsid w:val="006522CF"/>
    <w:rsid w:val="00652B50"/>
    <w:rsid w:val="00653F47"/>
    <w:rsid w:val="00660737"/>
    <w:rsid w:val="0066296F"/>
    <w:rsid w:val="00663A99"/>
    <w:rsid w:val="00670133"/>
    <w:rsid w:val="006837C3"/>
    <w:rsid w:val="00685BC0"/>
    <w:rsid w:val="00687405"/>
    <w:rsid w:val="0068742B"/>
    <w:rsid w:val="0068746F"/>
    <w:rsid w:val="00691B3B"/>
    <w:rsid w:val="006963ED"/>
    <w:rsid w:val="006970BA"/>
    <w:rsid w:val="006A2E9A"/>
    <w:rsid w:val="006B1415"/>
    <w:rsid w:val="006B524C"/>
    <w:rsid w:val="006C185F"/>
    <w:rsid w:val="006C459D"/>
    <w:rsid w:val="006D0B31"/>
    <w:rsid w:val="006E176C"/>
    <w:rsid w:val="006E1867"/>
    <w:rsid w:val="006E36D6"/>
    <w:rsid w:val="006E4279"/>
    <w:rsid w:val="006E4FC1"/>
    <w:rsid w:val="006E5331"/>
    <w:rsid w:val="006F2BA2"/>
    <w:rsid w:val="006F7920"/>
    <w:rsid w:val="0070122E"/>
    <w:rsid w:val="00702534"/>
    <w:rsid w:val="00702CF3"/>
    <w:rsid w:val="0070600A"/>
    <w:rsid w:val="00711079"/>
    <w:rsid w:val="00712C76"/>
    <w:rsid w:val="0071486F"/>
    <w:rsid w:val="00721108"/>
    <w:rsid w:val="007219C0"/>
    <w:rsid w:val="00721AA0"/>
    <w:rsid w:val="00725F9F"/>
    <w:rsid w:val="00726422"/>
    <w:rsid w:val="00735F24"/>
    <w:rsid w:val="00741846"/>
    <w:rsid w:val="007422F5"/>
    <w:rsid w:val="00742488"/>
    <w:rsid w:val="00744B54"/>
    <w:rsid w:val="007533D8"/>
    <w:rsid w:val="00762BBB"/>
    <w:rsid w:val="0076394D"/>
    <w:rsid w:val="007668B9"/>
    <w:rsid w:val="00770C1A"/>
    <w:rsid w:val="0078282C"/>
    <w:rsid w:val="007922F0"/>
    <w:rsid w:val="007926BD"/>
    <w:rsid w:val="007A2248"/>
    <w:rsid w:val="007A760A"/>
    <w:rsid w:val="007B058E"/>
    <w:rsid w:val="007B5A26"/>
    <w:rsid w:val="007B6AFE"/>
    <w:rsid w:val="007C08D2"/>
    <w:rsid w:val="007C1441"/>
    <w:rsid w:val="007C192C"/>
    <w:rsid w:val="007C5973"/>
    <w:rsid w:val="007D0793"/>
    <w:rsid w:val="007D2738"/>
    <w:rsid w:val="007D3CC6"/>
    <w:rsid w:val="007D772C"/>
    <w:rsid w:val="007E0BFD"/>
    <w:rsid w:val="007E635B"/>
    <w:rsid w:val="007F38BC"/>
    <w:rsid w:val="008005B3"/>
    <w:rsid w:val="0080442D"/>
    <w:rsid w:val="00812776"/>
    <w:rsid w:val="00815A9E"/>
    <w:rsid w:val="00816510"/>
    <w:rsid w:val="00820B94"/>
    <w:rsid w:val="00823410"/>
    <w:rsid w:val="008401BD"/>
    <w:rsid w:val="00842968"/>
    <w:rsid w:val="00845E21"/>
    <w:rsid w:val="00853124"/>
    <w:rsid w:val="00856C0B"/>
    <w:rsid w:val="008628E0"/>
    <w:rsid w:val="00864143"/>
    <w:rsid w:val="00870B12"/>
    <w:rsid w:val="00873E95"/>
    <w:rsid w:val="00885BA2"/>
    <w:rsid w:val="008878EE"/>
    <w:rsid w:val="0089081F"/>
    <w:rsid w:val="00890AAD"/>
    <w:rsid w:val="00891B35"/>
    <w:rsid w:val="00891BFD"/>
    <w:rsid w:val="00897E5F"/>
    <w:rsid w:val="008A21DE"/>
    <w:rsid w:val="008A42F2"/>
    <w:rsid w:val="008A5C65"/>
    <w:rsid w:val="008A700D"/>
    <w:rsid w:val="008B079C"/>
    <w:rsid w:val="008C0EF1"/>
    <w:rsid w:val="008C4E0B"/>
    <w:rsid w:val="008C5404"/>
    <w:rsid w:val="008D0628"/>
    <w:rsid w:val="008D2C11"/>
    <w:rsid w:val="008D3470"/>
    <w:rsid w:val="008E2E3A"/>
    <w:rsid w:val="008E7237"/>
    <w:rsid w:val="008F3A11"/>
    <w:rsid w:val="008F4E4E"/>
    <w:rsid w:val="008F7BDC"/>
    <w:rsid w:val="00902D20"/>
    <w:rsid w:val="00917903"/>
    <w:rsid w:val="00917904"/>
    <w:rsid w:val="00920F61"/>
    <w:rsid w:val="00924503"/>
    <w:rsid w:val="00925038"/>
    <w:rsid w:val="0092661C"/>
    <w:rsid w:val="009276FB"/>
    <w:rsid w:val="00934487"/>
    <w:rsid w:val="00937288"/>
    <w:rsid w:val="0094582F"/>
    <w:rsid w:val="009477B9"/>
    <w:rsid w:val="009506EE"/>
    <w:rsid w:val="009521C2"/>
    <w:rsid w:val="009540AC"/>
    <w:rsid w:val="00955962"/>
    <w:rsid w:val="00970EF9"/>
    <w:rsid w:val="00972599"/>
    <w:rsid w:val="009744B8"/>
    <w:rsid w:val="00975C06"/>
    <w:rsid w:val="00982C74"/>
    <w:rsid w:val="00987968"/>
    <w:rsid w:val="00992942"/>
    <w:rsid w:val="009946C2"/>
    <w:rsid w:val="0099679B"/>
    <w:rsid w:val="00996D8F"/>
    <w:rsid w:val="00997128"/>
    <w:rsid w:val="009A436E"/>
    <w:rsid w:val="009B2028"/>
    <w:rsid w:val="009B581B"/>
    <w:rsid w:val="009C371C"/>
    <w:rsid w:val="009C5107"/>
    <w:rsid w:val="009D19F2"/>
    <w:rsid w:val="009D5629"/>
    <w:rsid w:val="009D5C7F"/>
    <w:rsid w:val="009D73EF"/>
    <w:rsid w:val="009D74EF"/>
    <w:rsid w:val="009E7A99"/>
    <w:rsid w:val="009F18C3"/>
    <w:rsid w:val="009F2B1F"/>
    <w:rsid w:val="009F2C3F"/>
    <w:rsid w:val="009F3382"/>
    <w:rsid w:val="009F42A1"/>
    <w:rsid w:val="009F7D5E"/>
    <w:rsid w:val="00A073F4"/>
    <w:rsid w:val="00A1069A"/>
    <w:rsid w:val="00A1574B"/>
    <w:rsid w:val="00A2047B"/>
    <w:rsid w:val="00A21249"/>
    <w:rsid w:val="00A329E2"/>
    <w:rsid w:val="00A33593"/>
    <w:rsid w:val="00A34C9B"/>
    <w:rsid w:val="00A35073"/>
    <w:rsid w:val="00A40819"/>
    <w:rsid w:val="00A40A94"/>
    <w:rsid w:val="00A50776"/>
    <w:rsid w:val="00A518FF"/>
    <w:rsid w:val="00A55498"/>
    <w:rsid w:val="00A5607E"/>
    <w:rsid w:val="00A60E62"/>
    <w:rsid w:val="00A6703B"/>
    <w:rsid w:val="00A7644B"/>
    <w:rsid w:val="00A82576"/>
    <w:rsid w:val="00A9585C"/>
    <w:rsid w:val="00A95CED"/>
    <w:rsid w:val="00A961C9"/>
    <w:rsid w:val="00A96D9D"/>
    <w:rsid w:val="00AA051F"/>
    <w:rsid w:val="00AA0E9A"/>
    <w:rsid w:val="00AA6BFC"/>
    <w:rsid w:val="00AA6D36"/>
    <w:rsid w:val="00AB6EBA"/>
    <w:rsid w:val="00AD0F85"/>
    <w:rsid w:val="00AD3247"/>
    <w:rsid w:val="00AD34DC"/>
    <w:rsid w:val="00AD4013"/>
    <w:rsid w:val="00AD4E66"/>
    <w:rsid w:val="00AF1491"/>
    <w:rsid w:val="00AF14D8"/>
    <w:rsid w:val="00AF1EEB"/>
    <w:rsid w:val="00B0296B"/>
    <w:rsid w:val="00B03890"/>
    <w:rsid w:val="00B04937"/>
    <w:rsid w:val="00B10DD4"/>
    <w:rsid w:val="00B10E6B"/>
    <w:rsid w:val="00B10F88"/>
    <w:rsid w:val="00B112CA"/>
    <w:rsid w:val="00B11A3F"/>
    <w:rsid w:val="00B1638E"/>
    <w:rsid w:val="00B171FE"/>
    <w:rsid w:val="00B179A1"/>
    <w:rsid w:val="00B2034F"/>
    <w:rsid w:val="00B2110F"/>
    <w:rsid w:val="00B2383A"/>
    <w:rsid w:val="00B23B1F"/>
    <w:rsid w:val="00B33B6A"/>
    <w:rsid w:val="00B366C4"/>
    <w:rsid w:val="00B43F8B"/>
    <w:rsid w:val="00B5297B"/>
    <w:rsid w:val="00B52EAF"/>
    <w:rsid w:val="00B5357C"/>
    <w:rsid w:val="00B55A29"/>
    <w:rsid w:val="00B5661F"/>
    <w:rsid w:val="00B569C5"/>
    <w:rsid w:val="00B576DF"/>
    <w:rsid w:val="00B602D3"/>
    <w:rsid w:val="00B60EA9"/>
    <w:rsid w:val="00B60F5D"/>
    <w:rsid w:val="00B61580"/>
    <w:rsid w:val="00B72A4D"/>
    <w:rsid w:val="00B7380A"/>
    <w:rsid w:val="00B764DF"/>
    <w:rsid w:val="00B81421"/>
    <w:rsid w:val="00B83F4B"/>
    <w:rsid w:val="00B9081E"/>
    <w:rsid w:val="00B952AB"/>
    <w:rsid w:val="00B961E2"/>
    <w:rsid w:val="00BA01A2"/>
    <w:rsid w:val="00BA1392"/>
    <w:rsid w:val="00BA1D93"/>
    <w:rsid w:val="00BA5DDA"/>
    <w:rsid w:val="00BA6606"/>
    <w:rsid w:val="00BB4A37"/>
    <w:rsid w:val="00BB4B20"/>
    <w:rsid w:val="00BC55F5"/>
    <w:rsid w:val="00BC5BF4"/>
    <w:rsid w:val="00BC7DD1"/>
    <w:rsid w:val="00BD07FC"/>
    <w:rsid w:val="00BD2B13"/>
    <w:rsid w:val="00BD5638"/>
    <w:rsid w:val="00BF0A8F"/>
    <w:rsid w:val="00BF700F"/>
    <w:rsid w:val="00C07251"/>
    <w:rsid w:val="00C10708"/>
    <w:rsid w:val="00C11032"/>
    <w:rsid w:val="00C24749"/>
    <w:rsid w:val="00C2587C"/>
    <w:rsid w:val="00C270AC"/>
    <w:rsid w:val="00C31CB4"/>
    <w:rsid w:val="00C335A2"/>
    <w:rsid w:val="00C3457E"/>
    <w:rsid w:val="00C34D93"/>
    <w:rsid w:val="00C42847"/>
    <w:rsid w:val="00C4571B"/>
    <w:rsid w:val="00C467AF"/>
    <w:rsid w:val="00C54C6D"/>
    <w:rsid w:val="00C563E0"/>
    <w:rsid w:val="00C5737C"/>
    <w:rsid w:val="00C62CF8"/>
    <w:rsid w:val="00C65A6D"/>
    <w:rsid w:val="00C70E50"/>
    <w:rsid w:val="00C73666"/>
    <w:rsid w:val="00C7375D"/>
    <w:rsid w:val="00C747ED"/>
    <w:rsid w:val="00C76525"/>
    <w:rsid w:val="00C77D8A"/>
    <w:rsid w:val="00C83371"/>
    <w:rsid w:val="00C83631"/>
    <w:rsid w:val="00C90678"/>
    <w:rsid w:val="00C90EDA"/>
    <w:rsid w:val="00C90EF7"/>
    <w:rsid w:val="00C941E9"/>
    <w:rsid w:val="00C9616E"/>
    <w:rsid w:val="00C96913"/>
    <w:rsid w:val="00CA0760"/>
    <w:rsid w:val="00CA1089"/>
    <w:rsid w:val="00CA5715"/>
    <w:rsid w:val="00CB0670"/>
    <w:rsid w:val="00CB127D"/>
    <w:rsid w:val="00CB1A56"/>
    <w:rsid w:val="00CB7AEE"/>
    <w:rsid w:val="00CC530D"/>
    <w:rsid w:val="00CC76DB"/>
    <w:rsid w:val="00CD1A9F"/>
    <w:rsid w:val="00CD1E13"/>
    <w:rsid w:val="00CD2B09"/>
    <w:rsid w:val="00CD4366"/>
    <w:rsid w:val="00CD4BC3"/>
    <w:rsid w:val="00CE03D8"/>
    <w:rsid w:val="00CE166B"/>
    <w:rsid w:val="00CE638D"/>
    <w:rsid w:val="00CF119A"/>
    <w:rsid w:val="00CF127E"/>
    <w:rsid w:val="00CF39E6"/>
    <w:rsid w:val="00D008AE"/>
    <w:rsid w:val="00D02FA7"/>
    <w:rsid w:val="00D050EC"/>
    <w:rsid w:val="00D05481"/>
    <w:rsid w:val="00D055F6"/>
    <w:rsid w:val="00D0577F"/>
    <w:rsid w:val="00D11DB7"/>
    <w:rsid w:val="00D1597E"/>
    <w:rsid w:val="00D16C77"/>
    <w:rsid w:val="00D17370"/>
    <w:rsid w:val="00D2268D"/>
    <w:rsid w:val="00D27D03"/>
    <w:rsid w:val="00D31CF1"/>
    <w:rsid w:val="00D33310"/>
    <w:rsid w:val="00D33FEF"/>
    <w:rsid w:val="00D533D3"/>
    <w:rsid w:val="00D535F6"/>
    <w:rsid w:val="00D567CB"/>
    <w:rsid w:val="00D60774"/>
    <w:rsid w:val="00D608E2"/>
    <w:rsid w:val="00D66E4E"/>
    <w:rsid w:val="00D7465B"/>
    <w:rsid w:val="00D82A1B"/>
    <w:rsid w:val="00D845C4"/>
    <w:rsid w:val="00D859F2"/>
    <w:rsid w:val="00D91BF3"/>
    <w:rsid w:val="00D91FE1"/>
    <w:rsid w:val="00D92591"/>
    <w:rsid w:val="00D929B3"/>
    <w:rsid w:val="00D936B7"/>
    <w:rsid w:val="00D95DA6"/>
    <w:rsid w:val="00DA0928"/>
    <w:rsid w:val="00DA162D"/>
    <w:rsid w:val="00DA4DD6"/>
    <w:rsid w:val="00DA5FF4"/>
    <w:rsid w:val="00DA7EC1"/>
    <w:rsid w:val="00DB1825"/>
    <w:rsid w:val="00DB29A9"/>
    <w:rsid w:val="00DB4BD6"/>
    <w:rsid w:val="00DB600F"/>
    <w:rsid w:val="00DB7DC7"/>
    <w:rsid w:val="00DC0932"/>
    <w:rsid w:val="00DC1942"/>
    <w:rsid w:val="00DC1D23"/>
    <w:rsid w:val="00DC5388"/>
    <w:rsid w:val="00DC7556"/>
    <w:rsid w:val="00DE4DE9"/>
    <w:rsid w:val="00DF0331"/>
    <w:rsid w:val="00DF6260"/>
    <w:rsid w:val="00E04E2B"/>
    <w:rsid w:val="00E052F9"/>
    <w:rsid w:val="00E169E3"/>
    <w:rsid w:val="00E16A79"/>
    <w:rsid w:val="00E22DD5"/>
    <w:rsid w:val="00E23FF9"/>
    <w:rsid w:val="00E25518"/>
    <w:rsid w:val="00E31EBA"/>
    <w:rsid w:val="00E323A6"/>
    <w:rsid w:val="00E32945"/>
    <w:rsid w:val="00E329E2"/>
    <w:rsid w:val="00E47766"/>
    <w:rsid w:val="00E52D6B"/>
    <w:rsid w:val="00E52F18"/>
    <w:rsid w:val="00E547E2"/>
    <w:rsid w:val="00E60E47"/>
    <w:rsid w:val="00E60EF5"/>
    <w:rsid w:val="00E63B4F"/>
    <w:rsid w:val="00E63F48"/>
    <w:rsid w:val="00E652A3"/>
    <w:rsid w:val="00E65535"/>
    <w:rsid w:val="00E65E3E"/>
    <w:rsid w:val="00E6679E"/>
    <w:rsid w:val="00E71BE4"/>
    <w:rsid w:val="00E72ACC"/>
    <w:rsid w:val="00E74160"/>
    <w:rsid w:val="00E92331"/>
    <w:rsid w:val="00E92F71"/>
    <w:rsid w:val="00EA350A"/>
    <w:rsid w:val="00EA3920"/>
    <w:rsid w:val="00EB2046"/>
    <w:rsid w:val="00EB526A"/>
    <w:rsid w:val="00EC1C29"/>
    <w:rsid w:val="00EC5EF0"/>
    <w:rsid w:val="00EC664B"/>
    <w:rsid w:val="00ED4FF2"/>
    <w:rsid w:val="00EF1C5C"/>
    <w:rsid w:val="00EF46CF"/>
    <w:rsid w:val="00EF5804"/>
    <w:rsid w:val="00F00D4E"/>
    <w:rsid w:val="00F03BF8"/>
    <w:rsid w:val="00F04553"/>
    <w:rsid w:val="00F05343"/>
    <w:rsid w:val="00F06B54"/>
    <w:rsid w:val="00F108E0"/>
    <w:rsid w:val="00F141EB"/>
    <w:rsid w:val="00F23B75"/>
    <w:rsid w:val="00F25FCE"/>
    <w:rsid w:val="00F262E9"/>
    <w:rsid w:val="00F304D6"/>
    <w:rsid w:val="00F3278B"/>
    <w:rsid w:val="00F332D4"/>
    <w:rsid w:val="00F36A82"/>
    <w:rsid w:val="00F50292"/>
    <w:rsid w:val="00F5528C"/>
    <w:rsid w:val="00F57FC5"/>
    <w:rsid w:val="00F603C7"/>
    <w:rsid w:val="00F708E9"/>
    <w:rsid w:val="00F7166E"/>
    <w:rsid w:val="00F74403"/>
    <w:rsid w:val="00F81F2D"/>
    <w:rsid w:val="00F85705"/>
    <w:rsid w:val="00F92E34"/>
    <w:rsid w:val="00F92EA6"/>
    <w:rsid w:val="00FA0AE3"/>
    <w:rsid w:val="00FA165A"/>
    <w:rsid w:val="00FA33B4"/>
    <w:rsid w:val="00FA5790"/>
    <w:rsid w:val="00FA66FC"/>
    <w:rsid w:val="00FA7DF3"/>
    <w:rsid w:val="00FC45AA"/>
    <w:rsid w:val="00FC5CAC"/>
    <w:rsid w:val="00FC6477"/>
    <w:rsid w:val="00FD2359"/>
    <w:rsid w:val="00FD2742"/>
    <w:rsid w:val="00FD2B60"/>
    <w:rsid w:val="00FD35B7"/>
    <w:rsid w:val="00FD7214"/>
    <w:rsid w:val="00FF00FD"/>
    <w:rsid w:val="00FF03D3"/>
    <w:rsid w:val="00FF0D45"/>
    <w:rsid w:val="00FF1D38"/>
    <w:rsid w:val="00FF3B05"/>
    <w:rsid w:val="00FF458A"/>
    <w:rsid w:val="00FF4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AB918ED"/>
  <w15:chartTrackingRefBased/>
  <w15:docId w15:val="{E839E85A-5DD8-4351-8BCD-280CD3F04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5481"/>
    <w:pPr>
      <w:spacing w:after="200" w:line="276" w:lineRule="auto"/>
    </w:pPr>
    <w:rPr>
      <w:rFonts w:eastAsiaTheme="minorEastAsia"/>
    </w:rPr>
  </w:style>
  <w:style w:type="paragraph" w:styleId="Heading4">
    <w:name w:val="heading 4"/>
    <w:basedOn w:val="Normal"/>
    <w:next w:val="Normal"/>
    <w:link w:val="Heading4Char"/>
    <w:uiPriority w:val="9"/>
    <w:semiHidden/>
    <w:unhideWhenUsed/>
    <w:qFormat/>
    <w:rsid w:val="00E63B4F"/>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qFormat/>
    <w:rsid w:val="00E63B4F"/>
    <w:pPr>
      <w:spacing w:after="240" w:line="240" w:lineRule="auto"/>
      <w:outlineLvl w:val="4"/>
    </w:pPr>
    <w:rPr>
      <w:rFonts w:ascii="Times New Roman" w:eastAsia="Times New Roman" w:hAnsi="Times New Roman" w:cs="Times New Roman"/>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E63B4F"/>
    <w:rPr>
      <w:rFonts w:ascii="Times New Roman" w:eastAsia="Times New Roman" w:hAnsi="Times New Roman" w:cs="Times New Roman"/>
      <w:i/>
      <w:sz w:val="24"/>
      <w:szCs w:val="24"/>
    </w:rPr>
  </w:style>
  <w:style w:type="table" w:customStyle="1" w:styleId="CMSTable1">
    <w:name w:val="CMS_Table1"/>
    <w:basedOn w:val="TableNormal"/>
    <w:uiPriority w:val="99"/>
    <w:rsid w:val="00D05481"/>
    <w:pPr>
      <w:spacing w:after="0" w:line="240" w:lineRule="auto"/>
    </w:pPr>
    <w:rPr>
      <w:rFonts w:ascii="Times New Roman" w:eastAsia="Times New Roman" w:hAnsi="Times New Roman" w:cs="Times New Roman"/>
      <w:sz w:val="20"/>
      <w:szCs w:val="20"/>
    </w:rPr>
    <w:tblPr>
      <w:tblInd w:w="0" w:type="nil"/>
      <w:tblBorders>
        <w:top w:val="single" w:sz="12" w:space="0" w:color="auto"/>
        <w:bottom w:val="single" w:sz="12" w:space="0" w:color="auto"/>
      </w:tblBorders>
      <w:tblCellMar>
        <w:left w:w="58" w:type="dxa"/>
        <w:right w:w="58" w:type="dxa"/>
      </w:tblCellMar>
    </w:tblPr>
    <w:tblStylePr w:type="firstRow">
      <w:pPr>
        <w:jc w:val="center"/>
      </w:pPr>
      <w:tblPr/>
      <w:tcPr>
        <w:tcBorders>
          <w:top w:val="single" w:sz="12" w:space="0" w:color="auto"/>
          <w:bottom w:val="single" w:sz="6" w:space="0" w:color="auto"/>
        </w:tcBorders>
        <w:vAlign w:val="bottom"/>
      </w:tcPr>
    </w:tblStylePr>
    <w:tblStylePr w:type="lastRow">
      <w:tblPr/>
      <w:tcPr>
        <w:tcBorders>
          <w:bottom w:val="single" w:sz="12" w:space="0" w:color="auto"/>
        </w:tcBorders>
      </w:tcPr>
    </w:tblStylePr>
  </w:style>
  <w:style w:type="paragraph" w:styleId="BalloonText">
    <w:name w:val="Balloon Text"/>
    <w:basedOn w:val="Normal"/>
    <w:link w:val="BalloonTextChar"/>
    <w:uiPriority w:val="99"/>
    <w:semiHidden/>
    <w:unhideWhenUsed/>
    <w:rsid w:val="00604E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EAD"/>
    <w:rPr>
      <w:rFonts w:ascii="Segoe UI" w:eastAsiaTheme="minorEastAsia" w:hAnsi="Segoe UI" w:cs="Segoe UI"/>
      <w:sz w:val="18"/>
      <w:szCs w:val="18"/>
    </w:rPr>
  </w:style>
  <w:style w:type="table" w:customStyle="1" w:styleId="CMSTable">
    <w:name w:val="CMS_Table"/>
    <w:basedOn w:val="TableNormal"/>
    <w:uiPriority w:val="99"/>
    <w:rsid w:val="008C4E0B"/>
    <w:pPr>
      <w:spacing w:after="0" w:line="240" w:lineRule="auto"/>
    </w:pPr>
    <w:rPr>
      <w:rFonts w:ascii="Times New Roman" w:eastAsia="Times New Roman" w:hAnsi="Times New Roman" w:cs="Times New Roman"/>
      <w:szCs w:val="20"/>
    </w:rPr>
    <w:tblPr>
      <w:tblCellMar>
        <w:left w:w="58" w:type="dxa"/>
        <w:right w:w="58" w:type="dxa"/>
      </w:tblCellMar>
    </w:tblPr>
    <w:tblStylePr w:type="firstRow">
      <w:pPr>
        <w:jc w:val="center"/>
      </w:pPr>
      <w:tblPr/>
      <w:tcPr>
        <w:tcBorders>
          <w:top w:val="single" w:sz="12" w:space="0" w:color="auto"/>
          <w:bottom w:val="single" w:sz="6" w:space="0" w:color="auto"/>
        </w:tcBorders>
        <w:vAlign w:val="bottom"/>
      </w:tcPr>
    </w:tblStylePr>
    <w:tblStylePr w:type="lastRow">
      <w:tblPr/>
      <w:tcPr>
        <w:tcBorders>
          <w:bottom w:val="single" w:sz="12" w:space="0" w:color="auto"/>
        </w:tcBorders>
      </w:tcPr>
    </w:tblStylePr>
  </w:style>
  <w:style w:type="character" w:styleId="CommentReference">
    <w:name w:val="annotation reference"/>
    <w:basedOn w:val="DefaultParagraphFont"/>
    <w:uiPriority w:val="99"/>
    <w:semiHidden/>
    <w:unhideWhenUsed/>
    <w:rsid w:val="00A21249"/>
    <w:rPr>
      <w:sz w:val="16"/>
      <w:szCs w:val="16"/>
    </w:rPr>
  </w:style>
  <w:style w:type="paragraph" w:styleId="CommentText">
    <w:name w:val="annotation text"/>
    <w:basedOn w:val="Normal"/>
    <w:link w:val="CommentTextChar"/>
    <w:uiPriority w:val="99"/>
    <w:semiHidden/>
    <w:unhideWhenUsed/>
    <w:rsid w:val="00A21249"/>
    <w:pPr>
      <w:spacing w:line="240" w:lineRule="auto"/>
    </w:pPr>
    <w:rPr>
      <w:sz w:val="20"/>
      <w:szCs w:val="20"/>
    </w:rPr>
  </w:style>
  <w:style w:type="character" w:customStyle="1" w:styleId="CommentTextChar">
    <w:name w:val="Comment Text Char"/>
    <w:basedOn w:val="DefaultParagraphFont"/>
    <w:link w:val="CommentText"/>
    <w:uiPriority w:val="99"/>
    <w:semiHidden/>
    <w:rsid w:val="00A21249"/>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A21249"/>
    <w:rPr>
      <w:b/>
      <w:bCs/>
    </w:rPr>
  </w:style>
  <w:style w:type="character" w:customStyle="1" w:styleId="CommentSubjectChar">
    <w:name w:val="Comment Subject Char"/>
    <w:basedOn w:val="CommentTextChar"/>
    <w:link w:val="CommentSubject"/>
    <w:uiPriority w:val="99"/>
    <w:semiHidden/>
    <w:rsid w:val="00A21249"/>
    <w:rPr>
      <w:rFonts w:eastAsiaTheme="minorEastAsia"/>
      <w:b/>
      <w:bCs/>
      <w:sz w:val="20"/>
      <w:szCs w:val="20"/>
    </w:rPr>
  </w:style>
  <w:style w:type="character" w:styleId="Hyperlink">
    <w:name w:val="Hyperlink"/>
    <w:basedOn w:val="DefaultParagraphFont"/>
    <w:uiPriority w:val="99"/>
    <w:unhideWhenUsed/>
    <w:rsid w:val="00DF6260"/>
    <w:rPr>
      <w:color w:val="0563C1" w:themeColor="hyperlink"/>
      <w:u w:val="single"/>
    </w:rPr>
  </w:style>
  <w:style w:type="paragraph" w:styleId="FootnoteText">
    <w:name w:val="footnote text"/>
    <w:aliases w:val="Char18"/>
    <w:basedOn w:val="Normal"/>
    <w:link w:val="FootnoteTextChar"/>
    <w:uiPriority w:val="99"/>
    <w:qFormat/>
    <w:rsid w:val="00DF6260"/>
    <w:pPr>
      <w:spacing w:after="0" w:line="240" w:lineRule="auto"/>
    </w:pPr>
    <w:rPr>
      <w:rFonts w:ascii="Times New Roman" w:eastAsia="Calibri" w:hAnsi="Times New Roman" w:cs="Times New Roman"/>
      <w:sz w:val="20"/>
      <w:szCs w:val="20"/>
    </w:rPr>
  </w:style>
  <w:style w:type="character" w:customStyle="1" w:styleId="FootnoteTextChar">
    <w:name w:val="Footnote Text Char"/>
    <w:aliases w:val="Char18 Char"/>
    <w:basedOn w:val="DefaultParagraphFont"/>
    <w:link w:val="FootnoteText"/>
    <w:uiPriority w:val="99"/>
    <w:rsid w:val="00DF6260"/>
    <w:rPr>
      <w:rFonts w:ascii="Times New Roman" w:eastAsia="Calibri" w:hAnsi="Times New Roman" w:cs="Times New Roman"/>
      <w:sz w:val="20"/>
      <w:szCs w:val="20"/>
    </w:rPr>
  </w:style>
  <w:style w:type="character" w:styleId="FootnoteReference">
    <w:name w:val="footnote reference"/>
    <w:basedOn w:val="DefaultParagraphFont"/>
    <w:uiPriority w:val="99"/>
    <w:qFormat/>
    <w:rsid w:val="00DF6260"/>
    <w:rPr>
      <w:rFonts w:cs="Times New Roman"/>
      <w:vertAlign w:val="superscript"/>
    </w:rPr>
  </w:style>
  <w:style w:type="character" w:customStyle="1" w:styleId="normaltextrun">
    <w:name w:val="normaltextrun"/>
    <w:basedOn w:val="DefaultParagraphFont"/>
    <w:rsid w:val="00C54C6D"/>
  </w:style>
  <w:style w:type="character" w:customStyle="1" w:styleId="eop">
    <w:name w:val="eop"/>
    <w:basedOn w:val="DefaultParagraphFont"/>
    <w:rsid w:val="00C54C6D"/>
  </w:style>
  <w:style w:type="paragraph" w:customStyle="1" w:styleId="paragraph">
    <w:name w:val="paragraph"/>
    <w:basedOn w:val="Normal"/>
    <w:rsid w:val="00C54C6D"/>
    <w:pPr>
      <w:spacing w:before="100" w:beforeAutospacing="1" w:after="100" w:afterAutospacing="1" w:line="240" w:lineRule="auto"/>
    </w:pPr>
    <w:rPr>
      <w:rFonts w:ascii="Calibri" w:eastAsiaTheme="minorHAnsi" w:hAnsi="Calibri" w:cs="Calibri"/>
    </w:rPr>
  </w:style>
  <w:style w:type="paragraph" w:styleId="ListParagraph">
    <w:name w:val="List Paragraph"/>
    <w:basedOn w:val="Normal"/>
    <w:link w:val="ListParagraphChar"/>
    <w:uiPriority w:val="34"/>
    <w:qFormat/>
    <w:rsid w:val="00485CE7"/>
    <w:pPr>
      <w:ind w:left="720"/>
      <w:contextualSpacing/>
    </w:pPr>
  </w:style>
  <w:style w:type="character" w:customStyle="1" w:styleId="ListParagraphChar">
    <w:name w:val="List Paragraph Char"/>
    <w:basedOn w:val="DefaultParagraphFont"/>
    <w:link w:val="ListParagraph"/>
    <w:uiPriority w:val="34"/>
    <w:locked/>
    <w:rsid w:val="009C5107"/>
    <w:rPr>
      <w:rFonts w:eastAsiaTheme="minorEastAsia"/>
    </w:rPr>
  </w:style>
  <w:style w:type="character" w:styleId="UnresolvedMention">
    <w:name w:val="Unresolved Mention"/>
    <w:basedOn w:val="DefaultParagraphFont"/>
    <w:uiPriority w:val="99"/>
    <w:semiHidden/>
    <w:unhideWhenUsed/>
    <w:rsid w:val="00232145"/>
    <w:rPr>
      <w:color w:val="605E5C"/>
      <w:shd w:val="clear" w:color="auto" w:fill="E1DFDD"/>
    </w:rPr>
  </w:style>
  <w:style w:type="character" w:customStyle="1" w:styleId="st1">
    <w:name w:val="st1"/>
    <w:basedOn w:val="DefaultParagraphFont"/>
    <w:rsid w:val="0068746F"/>
  </w:style>
  <w:style w:type="character" w:customStyle="1" w:styleId="normaltextrun1">
    <w:name w:val="normaltextrun1"/>
    <w:basedOn w:val="DefaultParagraphFont"/>
    <w:rsid w:val="00CD1A9F"/>
  </w:style>
  <w:style w:type="paragraph" w:styleId="Header">
    <w:name w:val="header"/>
    <w:basedOn w:val="Normal"/>
    <w:link w:val="HeaderChar"/>
    <w:uiPriority w:val="99"/>
    <w:unhideWhenUsed/>
    <w:rsid w:val="00683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37C3"/>
    <w:rPr>
      <w:rFonts w:eastAsiaTheme="minorEastAsia"/>
    </w:rPr>
  </w:style>
  <w:style w:type="paragraph" w:styleId="Footer">
    <w:name w:val="footer"/>
    <w:basedOn w:val="Normal"/>
    <w:link w:val="FooterChar"/>
    <w:uiPriority w:val="99"/>
    <w:unhideWhenUsed/>
    <w:rsid w:val="00683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37C3"/>
    <w:rPr>
      <w:rFonts w:eastAsiaTheme="minorEastAsia"/>
    </w:rPr>
  </w:style>
  <w:style w:type="character" w:customStyle="1" w:styleId="Heading4Char">
    <w:name w:val="Heading 4 Char"/>
    <w:basedOn w:val="DefaultParagraphFont"/>
    <w:link w:val="Heading4"/>
    <w:uiPriority w:val="9"/>
    <w:semiHidden/>
    <w:rsid w:val="00E63B4F"/>
    <w:rPr>
      <w:rFonts w:asciiTheme="majorHAnsi" w:eastAsiaTheme="majorEastAsia" w:hAnsiTheme="majorHAnsi" w:cstheme="majorBidi"/>
      <w:i/>
      <w:iCs/>
      <w:color w:val="2F5496" w:themeColor="accent1" w:themeShade="BF"/>
    </w:rPr>
  </w:style>
  <w:style w:type="character" w:customStyle="1" w:styleId="requiredfield">
    <w:name w:val="requiredfield"/>
    <w:basedOn w:val="DefaultParagraphFont"/>
    <w:rsid w:val="00E63B4F"/>
  </w:style>
  <w:style w:type="character" w:customStyle="1" w:styleId="Style1">
    <w:name w:val="Style1"/>
    <w:basedOn w:val="DefaultParagraphFont"/>
    <w:uiPriority w:val="1"/>
    <w:rsid w:val="00E63B4F"/>
    <w:rPr>
      <w:rFonts w:asciiTheme="minorHAnsi" w:hAnsiTheme="minorHAnsi"/>
      <w:color w:val="auto"/>
      <w:sz w:val="22"/>
    </w:rPr>
  </w:style>
  <w:style w:type="paragraph" w:styleId="BodyText">
    <w:name w:val="Body Text"/>
    <w:basedOn w:val="Normal"/>
    <w:link w:val="BodyTextChar"/>
    <w:qFormat/>
    <w:rsid w:val="00E63B4F"/>
    <w:pPr>
      <w:spacing w:after="240" w:line="240" w:lineRule="auto"/>
      <w:ind w:firstLine="720"/>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63B4F"/>
    <w:rPr>
      <w:rFonts w:ascii="Times New Roman" w:eastAsia="Times New Roman" w:hAnsi="Times New Roman" w:cs="Times New Roman"/>
      <w:sz w:val="24"/>
      <w:szCs w:val="20"/>
    </w:rPr>
  </w:style>
  <w:style w:type="character" w:customStyle="1" w:styleId="ui-button-text">
    <w:name w:val="ui-button-text"/>
    <w:basedOn w:val="DefaultParagraphFont"/>
    <w:rsid w:val="00E63B4F"/>
  </w:style>
  <w:style w:type="character" w:customStyle="1" w:styleId="auto-resume-file-uploader-note">
    <w:name w:val="auto-resume-file-uploader-note"/>
    <w:basedOn w:val="DefaultParagraphFont"/>
    <w:rsid w:val="00E63B4F"/>
  </w:style>
  <w:style w:type="character" w:customStyle="1" w:styleId="underlinecls">
    <w:name w:val="underlinecls"/>
    <w:basedOn w:val="DefaultParagraphFont"/>
    <w:rsid w:val="00E63B4F"/>
  </w:style>
  <w:style w:type="paragraph" w:customStyle="1" w:styleId="TableTitle">
    <w:name w:val="Table Title"/>
    <w:basedOn w:val="Caption"/>
    <w:rsid w:val="00E63B4F"/>
    <w:pPr>
      <w:keepNext/>
      <w:keepLines/>
      <w:spacing w:before="240" w:after="240"/>
      <w:jc w:val="center"/>
    </w:pPr>
    <w:rPr>
      <w:rFonts w:ascii="Times New Roman" w:eastAsia="Times New Roman" w:hAnsi="Times New Roman" w:cs="Arial"/>
      <w:b/>
      <w:bCs/>
      <w:i w:val="0"/>
      <w:iCs w:val="0"/>
      <w:color w:val="auto"/>
      <w:sz w:val="24"/>
      <w:szCs w:val="22"/>
    </w:rPr>
  </w:style>
  <w:style w:type="paragraph" w:styleId="Caption">
    <w:name w:val="caption"/>
    <w:basedOn w:val="Normal"/>
    <w:next w:val="Normal"/>
    <w:uiPriority w:val="35"/>
    <w:semiHidden/>
    <w:unhideWhenUsed/>
    <w:qFormat/>
    <w:rsid w:val="00E63B4F"/>
    <w:pPr>
      <w:spacing w:line="240" w:lineRule="auto"/>
    </w:pPr>
    <w:rPr>
      <w:rFonts w:eastAsiaTheme="minorHAnsi"/>
      <w:i/>
      <w:iCs/>
      <w:color w:val="44546A" w:themeColor="text2"/>
      <w:sz w:val="18"/>
      <w:szCs w:val="18"/>
    </w:rPr>
  </w:style>
  <w:style w:type="paragraph" w:customStyle="1" w:styleId="SourceTable">
    <w:name w:val="Source Table"/>
    <w:basedOn w:val="Normal"/>
    <w:rsid w:val="00E63B4F"/>
    <w:pPr>
      <w:keepLines/>
      <w:spacing w:before="120" w:after="120" w:line="240" w:lineRule="auto"/>
    </w:pPr>
    <w:rPr>
      <w:rFonts w:ascii="Times New Roman" w:eastAsia="Times New Roman" w:hAnsi="Times New Roman" w:cs="Times New Roman"/>
      <w:sz w:val="20"/>
      <w:szCs w:val="20"/>
    </w:rPr>
  </w:style>
  <w:style w:type="paragraph" w:customStyle="1" w:styleId="TableHeaders">
    <w:name w:val="Table Headers"/>
    <w:basedOn w:val="Normal"/>
    <w:qFormat/>
    <w:rsid w:val="00E63B4F"/>
    <w:pPr>
      <w:keepNext/>
      <w:spacing w:before="80" w:after="80" w:line="240" w:lineRule="auto"/>
      <w:jc w:val="center"/>
    </w:pPr>
    <w:rPr>
      <w:rFonts w:ascii="Times New Roman" w:eastAsia="Times New Roman" w:hAnsi="Times New Roman" w:cs="Times New Roman"/>
      <w:snapToGrid w:val="0"/>
      <w:sz w:val="24"/>
      <w:szCs w:val="20"/>
    </w:rPr>
  </w:style>
  <w:style w:type="paragraph" w:customStyle="1" w:styleId="TableText">
    <w:name w:val="Table Text"/>
    <w:qFormat/>
    <w:rsid w:val="00E63B4F"/>
    <w:pPr>
      <w:spacing w:before="40" w:after="40" w:line="240" w:lineRule="auto"/>
    </w:pPr>
    <w:rPr>
      <w:rFonts w:ascii="Times New Roman" w:eastAsia="Times New Roman" w:hAnsi="Times New Roman" w:cs="Times New Roman"/>
      <w:sz w:val="24"/>
      <w:szCs w:val="20"/>
    </w:rPr>
  </w:style>
  <w:style w:type="paragraph" w:customStyle="1" w:styleId="TableTextCenter">
    <w:name w:val="Table Text Center"/>
    <w:basedOn w:val="Normal"/>
    <w:qFormat/>
    <w:rsid w:val="00E63B4F"/>
    <w:pPr>
      <w:spacing w:before="40" w:after="40" w:line="240" w:lineRule="auto"/>
      <w:jc w:val="center"/>
    </w:pPr>
    <w:rPr>
      <w:rFonts w:ascii="Times New Roman" w:eastAsia="Times New Roman" w:hAnsi="Times New Roman" w:cs="Times New Roman"/>
      <w:sz w:val="24"/>
      <w:szCs w:val="20"/>
    </w:rPr>
  </w:style>
  <w:style w:type="paragraph" w:customStyle="1" w:styleId="footnotetext0">
    <w:name w:val="footnotetext"/>
    <w:basedOn w:val="Normal"/>
    <w:qFormat/>
    <w:rsid w:val="00E63B4F"/>
    <w:pPr>
      <w:spacing w:after="0" w:line="240" w:lineRule="auto"/>
      <w:ind w:left="270" w:hanging="270"/>
    </w:pPr>
    <w:rPr>
      <w:rFonts w:ascii="Times New Roman" w:eastAsia="Times New Roman" w:hAnsi="Times New Roman" w:cs="Times New Roman"/>
      <w:sz w:val="20"/>
      <w:szCs w:val="20"/>
    </w:rPr>
  </w:style>
  <w:style w:type="paragraph" w:customStyle="1" w:styleId="Rationale">
    <w:name w:val="Rationale"/>
    <w:basedOn w:val="Normal"/>
    <w:qFormat/>
    <w:rsid w:val="00E63B4F"/>
    <w:pPr>
      <w:spacing w:before="240" w:after="240" w:line="240" w:lineRule="auto"/>
      <w:ind w:left="1224"/>
    </w:pPr>
    <w:rPr>
      <w:rFonts w:ascii="Times New Roman" w:eastAsia="Calibri" w:hAnsi="Times New Roman" w:cs="Times New Roman"/>
      <w:sz w:val="24"/>
      <w:szCs w:val="20"/>
    </w:rPr>
  </w:style>
  <w:style w:type="paragraph" w:customStyle="1" w:styleId="NumberedListItal">
    <w:name w:val="NumberedListItal"/>
    <w:basedOn w:val="Normal"/>
    <w:qFormat/>
    <w:rsid w:val="00E63B4F"/>
    <w:pPr>
      <w:spacing w:after="240" w:line="240" w:lineRule="auto"/>
      <w:ind w:left="1260" w:hanging="540"/>
    </w:pPr>
    <w:rPr>
      <w:rFonts w:ascii="Times New Roman" w:eastAsia="Calibri" w:hAnsi="Times New Roman" w:cs="Times New Roman"/>
      <w:i/>
      <w:sz w:val="24"/>
      <w:szCs w:val="20"/>
    </w:rPr>
  </w:style>
  <w:style w:type="paragraph" w:customStyle="1" w:styleId="rationalebullets">
    <w:name w:val="rationalebullets"/>
    <w:basedOn w:val="Normal"/>
    <w:qFormat/>
    <w:rsid w:val="00E63B4F"/>
    <w:pPr>
      <w:tabs>
        <w:tab w:val="left" w:pos="1530"/>
      </w:tabs>
      <w:spacing w:after="120" w:line="240" w:lineRule="auto"/>
      <w:ind w:left="1526" w:hanging="360"/>
    </w:pPr>
    <w:rPr>
      <w:rFonts w:ascii="Times New Roman" w:eastAsia="Times New Roman" w:hAnsi="Times New Roman" w:cs="Times New Roman"/>
      <w:sz w:val="24"/>
      <w:szCs w:val="20"/>
    </w:rPr>
  </w:style>
  <w:style w:type="paragraph" w:customStyle="1" w:styleId="equation">
    <w:name w:val="equation"/>
    <w:rsid w:val="00E63B4F"/>
    <w:pPr>
      <w:tabs>
        <w:tab w:val="center" w:pos="4680"/>
        <w:tab w:val="right" w:pos="9360"/>
      </w:tabs>
      <w:spacing w:after="240" w:line="240" w:lineRule="auto"/>
    </w:pPr>
    <w:rPr>
      <w:rFonts w:ascii="Times New Roman" w:eastAsia="Times New Roman" w:hAnsi="Times New Roman" w:cs="Times New Roman"/>
      <w:sz w:val="24"/>
      <w:szCs w:val="20"/>
    </w:rPr>
  </w:style>
  <w:style w:type="paragraph" w:customStyle="1" w:styleId="BodyTextNoIndent">
    <w:name w:val="Body Text No Indent"/>
    <w:basedOn w:val="BodyText"/>
    <w:qFormat/>
    <w:rsid w:val="00E63B4F"/>
    <w:pPr>
      <w:ind w:firstLine="0"/>
    </w:pPr>
    <w:rPr>
      <w:spacing w:val="-4"/>
    </w:rPr>
  </w:style>
  <w:style w:type="paragraph" w:customStyle="1" w:styleId="NumberedList">
    <w:name w:val="NumberedList"/>
    <w:basedOn w:val="Normal"/>
    <w:qFormat/>
    <w:rsid w:val="00E63B4F"/>
    <w:pPr>
      <w:numPr>
        <w:numId w:val="15"/>
      </w:numPr>
      <w:spacing w:after="240" w:line="240" w:lineRule="auto"/>
      <w:ind w:hanging="540"/>
    </w:pPr>
    <w:rPr>
      <w:rFonts w:ascii="Times New Roman" w:eastAsia="Times New Roman" w:hAnsi="Times New Roman" w:cs="Times New Roman"/>
      <w:sz w:val="24"/>
      <w:szCs w:val="20"/>
    </w:rPr>
  </w:style>
  <w:style w:type="paragraph" w:customStyle="1" w:styleId="Steps">
    <w:name w:val="Steps"/>
    <w:basedOn w:val="Normal"/>
    <w:qFormat/>
    <w:rsid w:val="00E63B4F"/>
    <w:pPr>
      <w:spacing w:after="240" w:line="240" w:lineRule="auto"/>
      <w:ind w:left="2160" w:hanging="1440"/>
    </w:pPr>
    <w:rPr>
      <w:rFonts w:ascii="Times New Roman" w:eastAsia="Times New Roman" w:hAnsi="Times New Roman" w:cs="Times New Roman"/>
      <w:sz w:val="24"/>
      <w:szCs w:val="20"/>
    </w:rPr>
  </w:style>
  <w:style w:type="paragraph" w:customStyle="1" w:styleId="StepsIndent">
    <w:name w:val="StepsIndent"/>
    <w:basedOn w:val="Steps"/>
    <w:qFormat/>
    <w:rsid w:val="00E63B4F"/>
    <w:pPr>
      <w:ind w:firstLine="0"/>
    </w:pPr>
  </w:style>
  <w:style w:type="paragraph" w:customStyle="1" w:styleId="NOTE">
    <w:name w:val="NOTE"/>
    <w:basedOn w:val="Normal"/>
    <w:qFormat/>
    <w:rsid w:val="00E63B4F"/>
    <w:pPr>
      <w:spacing w:after="240" w:line="240" w:lineRule="auto"/>
    </w:pPr>
    <w:rPr>
      <w:rFonts w:ascii="Times New Roman" w:eastAsia="Times New Roman" w:hAnsi="Times New Roman" w:cs="Times New Roman"/>
      <w:sz w:val="24"/>
      <w:szCs w:val="20"/>
    </w:rPr>
  </w:style>
  <w:style w:type="paragraph" w:customStyle="1" w:styleId="Default">
    <w:name w:val="Default"/>
    <w:rsid w:val="00E63B4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gc">
    <w:name w:val="_tgc"/>
    <w:basedOn w:val="DefaultParagraphFont"/>
    <w:rsid w:val="00E63B4F"/>
  </w:style>
  <w:style w:type="character" w:styleId="Emphasis">
    <w:name w:val="Emphasis"/>
    <w:basedOn w:val="DefaultParagraphFont"/>
    <w:uiPriority w:val="20"/>
    <w:qFormat/>
    <w:rsid w:val="00E63B4F"/>
    <w:rPr>
      <w:b/>
      <w:bCs/>
      <w:i w:val="0"/>
      <w:iCs w:val="0"/>
    </w:rPr>
  </w:style>
  <w:style w:type="character" w:styleId="FollowedHyperlink">
    <w:name w:val="FollowedHyperlink"/>
    <w:basedOn w:val="DefaultParagraphFont"/>
    <w:uiPriority w:val="99"/>
    <w:semiHidden/>
    <w:unhideWhenUsed/>
    <w:rsid w:val="00DB7DC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2730">
      <w:bodyDiv w:val="1"/>
      <w:marLeft w:val="0"/>
      <w:marRight w:val="0"/>
      <w:marTop w:val="0"/>
      <w:marBottom w:val="0"/>
      <w:divBdr>
        <w:top w:val="none" w:sz="0" w:space="0" w:color="auto"/>
        <w:left w:val="none" w:sz="0" w:space="0" w:color="auto"/>
        <w:bottom w:val="none" w:sz="0" w:space="0" w:color="auto"/>
        <w:right w:val="none" w:sz="0" w:space="0" w:color="auto"/>
      </w:divBdr>
    </w:div>
    <w:div w:id="64911970">
      <w:bodyDiv w:val="1"/>
      <w:marLeft w:val="0"/>
      <w:marRight w:val="0"/>
      <w:marTop w:val="0"/>
      <w:marBottom w:val="0"/>
      <w:divBdr>
        <w:top w:val="none" w:sz="0" w:space="0" w:color="auto"/>
        <w:left w:val="none" w:sz="0" w:space="0" w:color="auto"/>
        <w:bottom w:val="none" w:sz="0" w:space="0" w:color="auto"/>
        <w:right w:val="none" w:sz="0" w:space="0" w:color="auto"/>
      </w:divBdr>
    </w:div>
    <w:div w:id="69085839">
      <w:bodyDiv w:val="1"/>
      <w:marLeft w:val="0"/>
      <w:marRight w:val="0"/>
      <w:marTop w:val="0"/>
      <w:marBottom w:val="0"/>
      <w:divBdr>
        <w:top w:val="none" w:sz="0" w:space="0" w:color="auto"/>
        <w:left w:val="none" w:sz="0" w:space="0" w:color="auto"/>
        <w:bottom w:val="none" w:sz="0" w:space="0" w:color="auto"/>
        <w:right w:val="none" w:sz="0" w:space="0" w:color="auto"/>
      </w:divBdr>
    </w:div>
    <w:div w:id="78672992">
      <w:bodyDiv w:val="1"/>
      <w:marLeft w:val="0"/>
      <w:marRight w:val="0"/>
      <w:marTop w:val="0"/>
      <w:marBottom w:val="0"/>
      <w:divBdr>
        <w:top w:val="none" w:sz="0" w:space="0" w:color="auto"/>
        <w:left w:val="none" w:sz="0" w:space="0" w:color="auto"/>
        <w:bottom w:val="none" w:sz="0" w:space="0" w:color="auto"/>
        <w:right w:val="none" w:sz="0" w:space="0" w:color="auto"/>
      </w:divBdr>
    </w:div>
    <w:div w:id="197085845">
      <w:bodyDiv w:val="1"/>
      <w:marLeft w:val="0"/>
      <w:marRight w:val="0"/>
      <w:marTop w:val="0"/>
      <w:marBottom w:val="0"/>
      <w:divBdr>
        <w:top w:val="none" w:sz="0" w:space="0" w:color="auto"/>
        <w:left w:val="none" w:sz="0" w:space="0" w:color="auto"/>
        <w:bottom w:val="none" w:sz="0" w:space="0" w:color="auto"/>
        <w:right w:val="none" w:sz="0" w:space="0" w:color="auto"/>
      </w:divBdr>
    </w:div>
    <w:div w:id="238714361">
      <w:bodyDiv w:val="1"/>
      <w:marLeft w:val="0"/>
      <w:marRight w:val="0"/>
      <w:marTop w:val="0"/>
      <w:marBottom w:val="0"/>
      <w:divBdr>
        <w:top w:val="none" w:sz="0" w:space="0" w:color="auto"/>
        <w:left w:val="none" w:sz="0" w:space="0" w:color="auto"/>
        <w:bottom w:val="none" w:sz="0" w:space="0" w:color="auto"/>
        <w:right w:val="none" w:sz="0" w:space="0" w:color="auto"/>
      </w:divBdr>
    </w:div>
    <w:div w:id="342245017">
      <w:bodyDiv w:val="1"/>
      <w:marLeft w:val="0"/>
      <w:marRight w:val="0"/>
      <w:marTop w:val="0"/>
      <w:marBottom w:val="0"/>
      <w:divBdr>
        <w:top w:val="none" w:sz="0" w:space="0" w:color="auto"/>
        <w:left w:val="none" w:sz="0" w:space="0" w:color="auto"/>
        <w:bottom w:val="none" w:sz="0" w:space="0" w:color="auto"/>
        <w:right w:val="none" w:sz="0" w:space="0" w:color="auto"/>
      </w:divBdr>
    </w:div>
    <w:div w:id="375006152">
      <w:bodyDiv w:val="1"/>
      <w:marLeft w:val="0"/>
      <w:marRight w:val="0"/>
      <w:marTop w:val="0"/>
      <w:marBottom w:val="0"/>
      <w:divBdr>
        <w:top w:val="none" w:sz="0" w:space="0" w:color="auto"/>
        <w:left w:val="none" w:sz="0" w:space="0" w:color="auto"/>
        <w:bottom w:val="none" w:sz="0" w:space="0" w:color="auto"/>
        <w:right w:val="none" w:sz="0" w:space="0" w:color="auto"/>
      </w:divBdr>
    </w:div>
    <w:div w:id="406609354">
      <w:bodyDiv w:val="1"/>
      <w:marLeft w:val="0"/>
      <w:marRight w:val="0"/>
      <w:marTop w:val="0"/>
      <w:marBottom w:val="0"/>
      <w:divBdr>
        <w:top w:val="none" w:sz="0" w:space="0" w:color="auto"/>
        <w:left w:val="none" w:sz="0" w:space="0" w:color="auto"/>
        <w:bottom w:val="none" w:sz="0" w:space="0" w:color="auto"/>
        <w:right w:val="none" w:sz="0" w:space="0" w:color="auto"/>
      </w:divBdr>
    </w:div>
    <w:div w:id="431979495">
      <w:bodyDiv w:val="1"/>
      <w:marLeft w:val="0"/>
      <w:marRight w:val="0"/>
      <w:marTop w:val="0"/>
      <w:marBottom w:val="0"/>
      <w:divBdr>
        <w:top w:val="none" w:sz="0" w:space="0" w:color="auto"/>
        <w:left w:val="none" w:sz="0" w:space="0" w:color="auto"/>
        <w:bottom w:val="none" w:sz="0" w:space="0" w:color="auto"/>
        <w:right w:val="none" w:sz="0" w:space="0" w:color="auto"/>
      </w:divBdr>
    </w:div>
    <w:div w:id="596522823">
      <w:bodyDiv w:val="1"/>
      <w:marLeft w:val="0"/>
      <w:marRight w:val="0"/>
      <w:marTop w:val="0"/>
      <w:marBottom w:val="0"/>
      <w:divBdr>
        <w:top w:val="none" w:sz="0" w:space="0" w:color="auto"/>
        <w:left w:val="none" w:sz="0" w:space="0" w:color="auto"/>
        <w:bottom w:val="none" w:sz="0" w:space="0" w:color="auto"/>
        <w:right w:val="none" w:sz="0" w:space="0" w:color="auto"/>
      </w:divBdr>
    </w:div>
    <w:div w:id="661199382">
      <w:bodyDiv w:val="1"/>
      <w:marLeft w:val="0"/>
      <w:marRight w:val="0"/>
      <w:marTop w:val="0"/>
      <w:marBottom w:val="0"/>
      <w:divBdr>
        <w:top w:val="none" w:sz="0" w:space="0" w:color="auto"/>
        <w:left w:val="none" w:sz="0" w:space="0" w:color="auto"/>
        <w:bottom w:val="none" w:sz="0" w:space="0" w:color="auto"/>
        <w:right w:val="none" w:sz="0" w:space="0" w:color="auto"/>
      </w:divBdr>
    </w:div>
    <w:div w:id="680012011">
      <w:bodyDiv w:val="1"/>
      <w:marLeft w:val="0"/>
      <w:marRight w:val="0"/>
      <w:marTop w:val="0"/>
      <w:marBottom w:val="0"/>
      <w:divBdr>
        <w:top w:val="none" w:sz="0" w:space="0" w:color="auto"/>
        <w:left w:val="none" w:sz="0" w:space="0" w:color="auto"/>
        <w:bottom w:val="none" w:sz="0" w:space="0" w:color="auto"/>
        <w:right w:val="none" w:sz="0" w:space="0" w:color="auto"/>
      </w:divBdr>
    </w:div>
    <w:div w:id="746197732">
      <w:bodyDiv w:val="1"/>
      <w:marLeft w:val="0"/>
      <w:marRight w:val="0"/>
      <w:marTop w:val="0"/>
      <w:marBottom w:val="0"/>
      <w:divBdr>
        <w:top w:val="none" w:sz="0" w:space="0" w:color="auto"/>
        <w:left w:val="none" w:sz="0" w:space="0" w:color="auto"/>
        <w:bottom w:val="none" w:sz="0" w:space="0" w:color="auto"/>
        <w:right w:val="none" w:sz="0" w:space="0" w:color="auto"/>
      </w:divBdr>
    </w:div>
    <w:div w:id="765418961">
      <w:bodyDiv w:val="1"/>
      <w:marLeft w:val="0"/>
      <w:marRight w:val="0"/>
      <w:marTop w:val="0"/>
      <w:marBottom w:val="0"/>
      <w:divBdr>
        <w:top w:val="none" w:sz="0" w:space="0" w:color="auto"/>
        <w:left w:val="none" w:sz="0" w:space="0" w:color="auto"/>
        <w:bottom w:val="none" w:sz="0" w:space="0" w:color="auto"/>
        <w:right w:val="none" w:sz="0" w:space="0" w:color="auto"/>
      </w:divBdr>
    </w:div>
    <w:div w:id="1035539584">
      <w:bodyDiv w:val="1"/>
      <w:marLeft w:val="0"/>
      <w:marRight w:val="0"/>
      <w:marTop w:val="0"/>
      <w:marBottom w:val="0"/>
      <w:divBdr>
        <w:top w:val="none" w:sz="0" w:space="0" w:color="auto"/>
        <w:left w:val="none" w:sz="0" w:space="0" w:color="auto"/>
        <w:bottom w:val="none" w:sz="0" w:space="0" w:color="auto"/>
        <w:right w:val="none" w:sz="0" w:space="0" w:color="auto"/>
      </w:divBdr>
    </w:div>
    <w:div w:id="1045787120">
      <w:bodyDiv w:val="1"/>
      <w:marLeft w:val="0"/>
      <w:marRight w:val="0"/>
      <w:marTop w:val="0"/>
      <w:marBottom w:val="0"/>
      <w:divBdr>
        <w:top w:val="none" w:sz="0" w:space="0" w:color="auto"/>
        <w:left w:val="none" w:sz="0" w:space="0" w:color="auto"/>
        <w:bottom w:val="none" w:sz="0" w:space="0" w:color="auto"/>
        <w:right w:val="none" w:sz="0" w:space="0" w:color="auto"/>
      </w:divBdr>
    </w:div>
    <w:div w:id="1073819730">
      <w:bodyDiv w:val="1"/>
      <w:marLeft w:val="0"/>
      <w:marRight w:val="0"/>
      <w:marTop w:val="0"/>
      <w:marBottom w:val="0"/>
      <w:divBdr>
        <w:top w:val="none" w:sz="0" w:space="0" w:color="auto"/>
        <w:left w:val="none" w:sz="0" w:space="0" w:color="auto"/>
        <w:bottom w:val="none" w:sz="0" w:space="0" w:color="auto"/>
        <w:right w:val="none" w:sz="0" w:space="0" w:color="auto"/>
      </w:divBdr>
    </w:div>
    <w:div w:id="1096706773">
      <w:bodyDiv w:val="1"/>
      <w:marLeft w:val="0"/>
      <w:marRight w:val="0"/>
      <w:marTop w:val="0"/>
      <w:marBottom w:val="0"/>
      <w:divBdr>
        <w:top w:val="none" w:sz="0" w:space="0" w:color="auto"/>
        <w:left w:val="none" w:sz="0" w:space="0" w:color="auto"/>
        <w:bottom w:val="none" w:sz="0" w:space="0" w:color="auto"/>
        <w:right w:val="none" w:sz="0" w:space="0" w:color="auto"/>
      </w:divBdr>
    </w:div>
    <w:div w:id="1164391887">
      <w:bodyDiv w:val="1"/>
      <w:marLeft w:val="0"/>
      <w:marRight w:val="0"/>
      <w:marTop w:val="0"/>
      <w:marBottom w:val="0"/>
      <w:divBdr>
        <w:top w:val="none" w:sz="0" w:space="0" w:color="auto"/>
        <w:left w:val="none" w:sz="0" w:space="0" w:color="auto"/>
        <w:bottom w:val="none" w:sz="0" w:space="0" w:color="auto"/>
        <w:right w:val="none" w:sz="0" w:space="0" w:color="auto"/>
      </w:divBdr>
    </w:div>
    <w:div w:id="1169709030">
      <w:bodyDiv w:val="1"/>
      <w:marLeft w:val="0"/>
      <w:marRight w:val="0"/>
      <w:marTop w:val="0"/>
      <w:marBottom w:val="0"/>
      <w:divBdr>
        <w:top w:val="none" w:sz="0" w:space="0" w:color="auto"/>
        <w:left w:val="none" w:sz="0" w:space="0" w:color="auto"/>
        <w:bottom w:val="none" w:sz="0" w:space="0" w:color="auto"/>
        <w:right w:val="none" w:sz="0" w:space="0" w:color="auto"/>
      </w:divBdr>
    </w:div>
    <w:div w:id="1309170347">
      <w:bodyDiv w:val="1"/>
      <w:marLeft w:val="0"/>
      <w:marRight w:val="0"/>
      <w:marTop w:val="0"/>
      <w:marBottom w:val="0"/>
      <w:divBdr>
        <w:top w:val="none" w:sz="0" w:space="0" w:color="auto"/>
        <w:left w:val="none" w:sz="0" w:space="0" w:color="auto"/>
        <w:bottom w:val="none" w:sz="0" w:space="0" w:color="auto"/>
        <w:right w:val="none" w:sz="0" w:space="0" w:color="auto"/>
      </w:divBdr>
    </w:div>
    <w:div w:id="1338652616">
      <w:bodyDiv w:val="1"/>
      <w:marLeft w:val="0"/>
      <w:marRight w:val="0"/>
      <w:marTop w:val="0"/>
      <w:marBottom w:val="0"/>
      <w:divBdr>
        <w:top w:val="none" w:sz="0" w:space="0" w:color="auto"/>
        <w:left w:val="none" w:sz="0" w:space="0" w:color="auto"/>
        <w:bottom w:val="none" w:sz="0" w:space="0" w:color="auto"/>
        <w:right w:val="none" w:sz="0" w:space="0" w:color="auto"/>
      </w:divBdr>
    </w:div>
    <w:div w:id="1365134787">
      <w:bodyDiv w:val="1"/>
      <w:marLeft w:val="0"/>
      <w:marRight w:val="0"/>
      <w:marTop w:val="0"/>
      <w:marBottom w:val="0"/>
      <w:divBdr>
        <w:top w:val="none" w:sz="0" w:space="0" w:color="auto"/>
        <w:left w:val="none" w:sz="0" w:space="0" w:color="auto"/>
        <w:bottom w:val="none" w:sz="0" w:space="0" w:color="auto"/>
        <w:right w:val="none" w:sz="0" w:space="0" w:color="auto"/>
      </w:divBdr>
    </w:div>
    <w:div w:id="1367952584">
      <w:bodyDiv w:val="1"/>
      <w:marLeft w:val="0"/>
      <w:marRight w:val="0"/>
      <w:marTop w:val="0"/>
      <w:marBottom w:val="0"/>
      <w:divBdr>
        <w:top w:val="none" w:sz="0" w:space="0" w:color="auto"/>
        <w:left w:val="none" w:sz="0" w:space="0" w:color="auto"/>
        <w:bottom w:val="none" w:sz="0" w:space="0" w:color="auto"/>
        <w:right w:val="none" w:sz="0" w:space="0" w:color="auto"/>
      </w:divBdr>
    </w:div>
    <w:div w:id="1399353722">
      <w:bodyDiv w:val="1"/>
      <w:marLeft w:val="0"/>
      <w:marRight w:val="0"/>
      <w:marTop w:val="0"/>
      <w:marBottom w:val="0"/>
      <w:divBdr>
        <w:top w:val="none" w:sz="0" w:space="0" w:color="auto"/>
        <w:left w:val="none" w:sz="0" w:space="0" w:color="auto"/>
        <w:bottom w:val="none" w:sz="0" w:space="0" w:color="auto"/>
        <w:right w:val="none" w:sz="0" w:space="0" w:color="auto"/>
      </w:divBdr>
    </w:div>
    <w:div w:id="1506894696">
      <w:bodyDiv w:val="1"/>
      <w:marLeft w:val="0"/>
      <w:marRight w:val="0"/>
      <w:marTop w:val="0"/>
      <w:marBottom w:val="0"/>
      <w:divBdr>
        <w:top w:val="none" w:sz="0" w:space="0" w:color="auto"/>
        <w:left w:val="none" w:sz="0" w:space="0" w:color="auto"/>
        <w:bottom w:val="none" w:sz="0" w:space="0" w:color="auto"/>
        <w:right w:val="none" w:sz="0" w:space="0" w:color="auto"/>
      </w:divBdr>
    </w:div>
    <w:div w:id="1607616727">
      <w:bodyDiv w:val="1"/>
      <w:marLeft w:val="0"/>
      <w:marRight w:val="0"/>
      <w:marTop w:val="0"/>
      <w:marBottom w:val="0"/>
      <w:divBdr>
        <w:top w:val="none" w:sz="0" w:space="0" w:color="auto"/>
        <w:left w:val="none" w:sz="0" w:space="0" w:color="auto"/>
        <w:bottom w:val="none" w:sz="0" w:space="0" w:color="auto"/>
        <w:right w:val="none" w:sz="0" w:space="0" w:color="auto"/>
      </w:divBdr>
    </w:div>
    <w:div w:id="1607807262">
      <w:bodyDiv w:val="1"/>
      <w:marLeft w:val="0"/>
      <w:marRight w:val="0"/>
      <w:marTop w:val="0"/>
      <w:marBottom w:val="0"/>
      <w:divBdr>
        <w:top w:val="none" w:sz="0" w:space="0" w:color="auto"/>
        <w:left w:val="none" w:sz="0" w:space="0" w:color="auto"/>
        <w:bottom w:val="none" w:sz="0" w:space="0" w:color="auto"/>
        <w:right w:val="none" w:sz="0" w:space="0" w:color="auto"/>
      </w:divBdr>
    </w:div>
    <w:div w:id="1624463169">
      <w:bodyDiv w:val="1"/>
      <w:marLeft w:val="0"/>
      <w:marRight w:val="0"/>
      <w:marTop w:val="0"/>
      <w:marBottom w:val="0"/>
      <w:divBdr>
        <w:top w:val="none" w:sz="0" w:space="0" w:color="auto"/>
        <w:left w:val="none" w:sz="0" w:space="0" w:color="auto"/>
        <w:bottom w:val="none" w:sz="0" w:space="0" w:color="auto"/>
        <w:right w:val="none" w:sz="0" w:space="0" w:color="auto"/>
      </w:divBdr>
    </w:div>
    <w:div w:id="1648977735">
      <w:bodyDiv w:val="1"/>
      <w:marLeft w:val="0"/>
      <w:marRight w:val="0"/>
      <w:marTop w:val="0"/>
      <w:marBottom w:val="0"/>
      <w:divBdr>
        <w:top w:val="none" w:sz="0" w:space="0" w:color="auto"/>
        <w:left w:val="none" w:sz="0" w:space="0" w:color="auto"/>
        <w:bottom w:val="none" w:sz="0" w:space="0" w:color="auto"/>
        <w:right w:val="none" w:sz="0" w:space="0" w:color="auto"/>
      </w:divBdr>
    </w:div>
    <w:div w:id="1651443342">
      <w:bodyDiv w:val="1"/>
      <w:marLeft w:val="0"/>
      <w:marRight w:val="0"/>
      <w:marTop w:val="0"/>
      <w:marBottom w:val="0"/>
      <w:divBdr>
        <w:top w:val="none" w:sz="0" w:space="0" w:color="auto"/>
        <w:left w:val="none" w:sz="0" w:space="0" w:color="auto"/>
        <w:bottom w:val="none" w:sz="0" w:space="0" w:color="auto"/>
        <w:right w:val="none" w:sz="0" w:space="0" w:color="auto"/>
      </w:divBdr>
    </w:div>
    <w:div w:id="1880359284">
      <w:bodyDiv w:val="1"/>
      <w:marLeft w:val="0"/>
      <w:marRight w:val="0"/>
      <w:marTop w:val="0"/>
      <w:marBottom w:val="0"/>
      <w:divBdr>
        <w:top w:val="none" w:sz="0" w:space="0" w:color="auto"/>
        <w:left w:val="none" w:sz="0" w:space="0" w:color="auto"/>
        <w:bottom w:val="none" w:sz="0" w:space="0" w:color="auto"/>
        <w:right w:val="none" w:sz="0" w:space="0" w:color="auto"/>
      </w:divBdr>
    </w:div>
    <w:div w:id="197363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dicare.gov/inpatientrehabilitationfacilitycompare/" TargetMode="External"/><Relationship Id="rId13" Type="http://schemas.openxmlformats.org/officeDocument/2006/relationships/hyperlink" Target="http://www.qualityforum.org/QPS/2510" TargetMode="External"/><Relationship Id="rId18" Type="http://schemas.openxmlformats.org/officeDocument/2006/relationships/hyperlink" Target="https://www.cms.gov/Medicare/Quality-Initiatives-Patient-Assessment-Instruments/IRF-Quality-Reporting/Downloads/Measure-Specifications-for-FY17-IRF-QRP-Final-Rule.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aspe.hhs.gov/report/data-health-and-well-being-american-indians-alaska-natives-and-other-native-americans-data-catalog/medicare-denominator-file" TargetMode="External"/><Relationship Id="rId7" Type="http://schemas.openxmlformats.org/officeDocument/2006/relationships/endnotes" Target="endnotes.xml"/><Relationship Id="rId12" Type="http://schemas.openxmlformats.org/officeDocument/2006/relationships/hyperlink" Target="https://www.qualitynet.org/dcs/ContentServer?c=Page&amp;pagename=QnetPublic%2FPage%2FQnetTier4&amp;cid=1219069855841" TargetMode="External"/><Relationship Id="rId17" Type="http://schemas.openxmlformats.org/officeDocument/2006/relationships/hyperlink" Target="http://www.qualityforum.org/QPS/1789" TargetMode="External"/><Relationship Id="rId25" Type="http://schemas.openxmlformats.org/officeDocument/2006/relationships/hyperlink" Target="https://www.cms.gov/Medicare/Health-Plans/MedicareAdvtgSpecRateStats/Risk-Adjustors.html" TargetMode="External"/><Relationship Id="rId2" Type="http://schemas.openxmlformats.org/officeDocument/2006/relationships/numbering" Target="numbering.xml"/><Relationship Id="rId16" Type="http://schemas.openxmlformats.org/officeDocument/2006/relationships/hyperlink" Target="http://www.qualityforum.org/QPS/2380" TargetMode="External"/><Relationship Id="rId20" Type="http://schemas.openxmlformats.org/officeDocument/2006/relationships/hyperlink" Target="http://aspe.hhs.gov/datacncl/datadir/cms.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qualitynet.org/dcs/BlobServer?blobkey=id&amp;blobnocache=true&amp;blobwhere=1228890804653&amp;blobheader=multipart%2Foctet-stream&amp;blobheadername1=Content-Disposition&amp;blobheadervalue1=attachment%3Bfilename%3DHospWide_Readmission_AUS_Report_2018_3-28.pdf&amp;blobcol=urldata&amp;blobtable=MungoBlobs" TargetMode="External"/><Relationship Id="rId24" Type="http://schemas.openxmlformats.org/officeDocument/2006/relationships/hyperlink" Target="https://www.hcup-us.ahrq.gov/toolssoftware/ccs10/ccs10.jsp" TargetMode="External"/><Relationship Id="rId5" Type="http://schemas.openxmlformats.org/officeDocument/2006/relationships/webSettings" Target="webSettings.xml"/><Relationship Id="rId15" Type="http://schemas.openxmlformats.org/officeDocument/2006/relationships/hyperlink" Target="http://www.qualityforum.org/QPS/2512" TargetMode="External"/><Relationship Id="rId23" Type="http://schemas.openxmlformats.org/officeDocument/2006/relationships/hyperlink" Target="https://www.hcup-us.ahrq.gov/toolssoftware/ccs/ccs.jsp" TargetMode="External"/><Relationship Id="rId28" Type="http://schemas.openxmlformats.org/officeDocument/2006/relationships/glossaryDocument" Target="glossary/document.xml"/><Relationship Id="rId10" Type="http://schemas.openxmlformats.org/officeDocument/2006/relationships/hyperlink" Target="https://www.cms.gov/Medicare/Quality-Initiatives-Patient-Assessment-Instruments/IRF-Quality-Reporting/Downloads/Measure-Specifications-for-FY17-IRF-QRP-Final-Rule.pdf" TargetMode="External"/><Relationship Id="rId19" Type="http://schemas.openxmlformats.org/officeDocument/2006/relationships/hyperlink" Target="http://www.resdac.org/cms-data/files/ip-rif/data-documentation" TargetMode="External"/><Relationship Id="rId4" Type="http://schemas.openxmlformats.org/officeDocument/2006/relationships/settings" Target="settings.xml"/><Relationship Id="rId9" Type="http://schemas.openxmlformats.org/officeDocument/2006/relationships/hyperlink" Target="https://www.gpo.gov/fdsys/pkg/FR-2016-08-05/pdf/2016-18196.pdf" TargetMode="External"/><Relationship Id="rId14" Type="http://schemas.openxmlformats.org/officeDocument/2006/relationships/hyperlink" Target="http://www.qualityforum.org/QPS/2502" TargetMode="External"/><Relationship Id="rId22" Type="http://schemas.openxmlformats.org/officeDocument/2006/relationships/hyperlink" Target="ftp://ftp.cdc.gov/pub/health_statistics/nchs/datalinkage/Denominator%20(edited).pdf"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rs.usda.gov/data-products/rural-urban-continuum-codes/documentation/" TargetMode="External"/><Relationship Id="rId2" Type="http://schemas.openxmlformats.org/officeDocument/2006/relationships/hyperlink" Target="https://www.huduser.gov/portal/datasets/usps_crosswalk.html" TargetMode="External"/><Relationship Id="rId1" Type="http://schemas.openxmlformats.org/officeDocument/2006/relationships/hyperlink" Target="https://www.cms.gov/Medicare/Quality-Initiatives-Patient-Assessment-Instruments/IRF-Quality-Reporting/Downloads/IRF-Measure-Calculations-and-Reporting-Users-Manual-V30.pdf" TargetMode="External"/><Relationship Id="rId4" Type="http://schemas.openxmlformats.org/officeDocument/2006/relationships/hyperlink" Target="https://archive.ahrq.gov/research/findings/final-reports/medicareindicators/medicareindicator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9A75850109D468880ABA5644DB51ED9"/>
        <w:category>
          <w:name w:val="General"/>
          <w:gallery w:val="placeholder"/>
        </w:category>
        <w:types>
          <w:type w:val="bbPlcHdr"/>
        </w:types>
        <w:behaviors>
          <w:behavior w:val="content"/>
        </w:behaviors>
        <w:guid w:val="{8D606C19-7DB0-4AA0-A0AA-4AB24391963D}"/>
      </w:docPartPr>
      <w:docPartBody>
        <w:p w:rsidR="00C4063A" w:rsidRDefault="00C4063A" w:rsidP="00C4063A">
          <w:pPr>
            <w:pStyle w:val="09A75850109D468880ABA5644DB51ED9"/>
          </w:pPr>
          <w:r w:rsidRPr="00A25024">
            <w:rPr>
              <w:rStyle w:val="PlaceholderText"/>
              <w:rFonts w:cstheme="minorHAnsi"/>
              <w:color w:val="A6A6A6" w:themeColor="background1" w:themeShade="A6"/>
            </w:rPr>
            <w:t>Click here to enter measure title</w:t>
          </w:r>
        </w:p>
      </w:docPartBody>
    </w:docPart>
    <w:docPart>
      <w:docPartPr>
        <w:name w:val="B082E5586A65473BA74FDEEC247C562D"/>
        <w:category>
          <w:name w:val="General"/>
          <w:gallery w:val="placeholder"/>
        </w:category>
        <w:types>
          <w:type w:val="bbPlcHdr"/>
        </w:types>
        <w:behaviors>
          <w:behavior w:val="content"/>
        </w:behaviors>
        <w:guid w:val="{15377506-5250-44E0-97A1-6F857AB9F162}"/>
      </w:docPartPr>
      <w:docPartBody>
        <w:p w:rsidR="00C4063A" w:rsidRDefault="00C4063A" w:rsidP="00C4063A">
          <w:pPr>
            <w:pStyle w:val="B082E5586A65473BA74FDEEC247C562D"/>
          </w:pPr>
          <w:r w:rsidRPr="00A25024">
            <w:rPr>
              <w:rStyle w:val="PlaceholderText"/>
              <w:rFonts w:cstheme="minorHAnsi"/>
              <w:color w:val="A6A6A6" w:themeColor="background1" w:themeShade="A6"/>
            </w:rPr>
            <w:t>Click here to enter measure title</w:t>
          </w:r>
        </w:p>
      </w:docPartBody>
    </w:docPart>
    <w:docPart>
      <w:docPartPr>
        <w:name w:val="ACBFE6A7C9DF46C197E4189A629FC975"/>
        <w:category>
          <w:name w:val="General"/>
          <w:gallery w:val="placeholder"/>
        </w:category>
        <w:types>
          <w:type w:val="bbPlcHdr"/>
        </w:types>
        <w:behaviors>
          <w:behavior w:val="content"/>
        </w:behaviors>
        <w:guid w:val="{6C8F53C7-2339-433E-A9CE-1410DED470AC}"/>
      </w:docPartPr>
      <w:docPartBody>
        <w:p w:rsidR="00C4063A" w:rsidRDefault="00C4063A" w:rsidP="00C4063A">
          <w:pPr>
            <w:pStyle w:val="ACBFE6A7C9DF46C197E4189A629FC975"/>
          </w:pPr>
          <w:r w:rsidRPr="00A25024">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Albany AMT">
    <w:altName w:val="Arial"/>
    <w:charset w:val="00"/>
    <w:family w:val="swiss"/>
    <w:pitch w:val="variable"/>
    <w:sig w:usb0="00000A87" w:usb1="40000000" w:usb2="00000000" w:usb3="00000000" w:csb0="000000BF" w:csb1="00000000"/>
  </w:font>
  <w:font w:name="Trebuchet MS">
    <w:panose1 w:val="020B0603020202020204"/>
    <w:charset w:val="00"/>
    <w:family w:val="swiss"/>
    <w:pitch w:val="variable"/>
    <w:sig w:usb0="00000687" w:usb1="00000000" w:usb2="00000000" w:usb3="00000000" w:csb0="0000009F" w:csb1="00000000"/>
  </w:font>
  <w:font w:name="Trebuchet MS,">
    <w:altName w:val="Trebuchet MS"/>
    <w:panose1 w:val="00000000000000000000"/>
    <w:charset w:val="00"/>
    <w:family w:val="roman"/>
    <w:notTrueType/>
    <w:pitch w:val="default"/>
  </w:font>
  <w:font w:name="Trebuchet MS,Calibri">
    <w:altName w:val="Trebuchet MS"/>
    <w:panose1 w:val="00000000000000000000"/>
    <w:charset w:val="00"/>
    <w:family w:val="roman"/>
    <w:notTrueType/>
    <w:pitch w:val="default"/>
  </w:font>
  <w:font w:name="Trebuchet MS,Times New Roman">
    <w:altName w:val="Times New Roman"/>
    <w:panose1 w:val="00000000000000000000"/>
    <w:charset w:val="00"/>
    <w:family w:val="roman"/>
    <w:notTrueType/>
    <w:pitch w:val="default"/>
  </w:font>
  <w:font w:name="SymbolMT">
    <w:altName w:val="MS Mincho"/>
    <w:panose1 w:val="00000000000000000000"/>
    <w:charset w:val="80"/>
    <w:family w:val="auto"/>
    <w:notTrueType/>
    <w:pitch w:val="default"/>
    <w:sig w:usb0="00000000"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63A"/>
    <w:rsid w:val="003A265C"/>
    <w:rsid w:val="00472F16"/>
    <w:rsid w:val="004C55EE"/>
    <w:rsid w:val="007237F1"/>
    <w:rsid w:val="008312FD"/>
    <w:rsid w:val="00864503"/>
    <w:rsid w:val="00B80AD4"/>
    <w:rsid w:val="00C4063A"/>
    <w:rsid w:val="00C42FB9"/>
    <w:rsid w:val="00D975F5"/>
    <w:rsid w:val="00F06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4063A"/>
    <w:rPr>
      <w:color w:val="808080"/>
    </w:rPr>
  </w:style>
  <w:style w:type="paragraph" w:customStyle="1" w:styleId="09A75850109D468880ABA5644DB51ED9">
    <w:name w:val="09A75850109D468880ABA5644DB51ED9"/>
    <w:rsid w:val="00C4063A"/>
  </w:style>
  <w:style w:type="paragraph" w:customStyle="1" w:styleId="B082E5586A65473BA74FDEEC247C562D">
    <w:name w:val="B082E5586A65473BA74FDEEC247C562D"/>
    <w:rsid w:val="00C4063A"/>
  </w:style>
  <w:style w:type="paragraph" w:customStyle="1" w:styleId="ACBFE6A7C9DF46C197E4189A629FC975">
    <w:name w:val="ACBFE6A7C9DF46C197E4189A629FC975"/>
    <w:rsid w:val="00C406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929D7-9FD6-43DE-BCB9-168AA18C0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23</Pages>
  <Words>8504</Words>
  <Characters>48475</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Molly Marino</dc:creator>
  <cp:keywords/>
  <dc:description/>
  <cp:lastModifiedBy>Pardasaney, Poonam</cp:lastModifiedBy>
  <cp:revision>40</cp:revision>
  <cp:lastPrinted>2018-10-29T14:46:00Z</cp:lastPrinted>
  <dcterms:created xsi:type="dcterms:W3CDTF">2018-11-03T05:16:00Z</dcterms:created>
  <dcterms:modified xsi:type="dcterms:W3CDTF">2018-11-08T22:10:00Z</dcterms:modified>
</cp:coreProperties>
</file>