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273E4ED2"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bookmarkStart w:id="0" w:name="_GoBack"/>
      <w:bookmarkEnd w:id="0"/>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385549B6" w14:textId="77777777" w:rsidR="009E1029" w:rsidRDefault="00496AF8" w:rsidP="002E2177">
      <w:pPr>
        <w:ind w:left="0" w:firstLine="0"/>
        <w:rPr>
          <w:i/>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Fonts w:eastAsiaTheme="minorEastAsia" w:cstheme="minorHAnsi"/>
              </w:rPr>
              <w:id w:val="-1317345342"/>
              <w:placeholder>
                <w:docPart w:val="12FDC852BACE4C139696272699259650"/>
              </w:placeholder>
            </w:sdtPr>
            <w:sdtEndPr>
              <w:rPr>
                <w:rStyle w:val="DefaultParagraphFont"/>
                <w:noProof/>
                <w:color w:val="auto"/>
              </w:rPr>
            </w:sdtEndPr>
            <w:sdtContent>
              <w:sdt>
                <w:sdtPr>
                  <w:rPr>
                    <w:rStyle w:val="Style1"/>
                    <w:rFonts w:eastAsiaTheme="minorEastAsia" w:cstheme="minorHAnsi"/>
                  </w:rPr>
                  <w:id w:val="-1364206501"/>
                  <w:placeholder>
                    <w:docPart w:val="069E082D769F492AABDC086DE956358E"/>
                  </w:placeholder>
                </w:sdtPr>
                <w:sdtEndPr>
                  <w:rPr>
                    <w:rStyle w:val="DefaultParagraphFont"/>
                    <w:noProof/>
                    <w:color w:val="auto"/>
                  </w:rPr>
                </w:sdtEndPr>
                <w:sdtContent>
                  <w:r w:rsidR="00D41D83" w:rsidRPr="0039502E">
                    <w:rPr>
                      <w:rStyle w:val="Style1"/>
                      <w:rFonts w:eastAsiaTheme="minorEastAsia" w:cstheme="minorHAnsi"/>
                    </w:rPr>
                    <w:t>Discharge to Community-Post Acute Care Measure for Inpatient Rehabilitation Facilities (IRF)</w:t>
                  </w:r>
                </w:sdtContent>
              </w:sdt>
            </w:sdtContent>
          </w:sdt>
          <w:r w:rsidR="00D41D83" w:rsidRPr="0039502E">
            <w:rPr>
              <w:rFonts w:eastAsiaTheme="minorEastAsia" w:cstheme="minorHAnsi"/>
              <w:noProof/>
            </w:rPr>
            <w:t xml:space="preserve"> </w:t>
          </w:r>
          <w:r w:rsidR="00D41D83">
            <w:rPr>
              <w:rFonts w:eastAsiaTheme="minorEastAsia" w:cstheme="minorHAnsi"/>
              <w:noProof/>
            </w:rPr>
            <w:t xml:space="preserve"> </w:t>
          </w:r>
        </w:sdtContent>
      </w:sdt>
      <w:r w:rsidR="00E97E59" w:rsidRPr="003B1CC5">
        <w:rPr>
          <w:i/>
          <w:noProof/>
        </w:rPr>
        <w:t xml:space="preserve"> </w:t>
      </w:r>
    </w:p>
    <w:p w14:paraId="55B8DA30" w14:textId="2904CDBB" w:rsidR="00114848" w:rsidRPr="003B1CC5" w:rsidRDefault="00024526" w:rsidP="002E2177">
      <w:pPr>
        <w:ind w:left="0" w:firstLine="0"/>
        <w:rPr>
          <w:b/>
          <w:noProof/>
        </w:rPr>
      </w:pPr>
      <w:r w:rsidRPr="003B1CC5">
        <w:rPr>
          <w:b/>
          <w:noProof/>
        </w:rPr>
        <w:t xml:space="preserve">IF </w:t>
      </w:r>
      <w:r w:rsidR="00176E60" w:rsidRPr="003B1CC5">
        <w:rPr>
          <w:b/>
          <w:noProof/>
        </w:rPr>
        <w:t xml:space="preserve">the measure is </w:t>
      </w:r>
      <w:r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00E97E59" w:rsidRPr="003B1CC5">
        <w:rPr>
          <w:b/>
          <w:noProof/>
        </w:rPr>
        <w:t>Compo</w:t>
      </w:r>
      <w:r w:rsidR="00736E0F" w:rsidRPr="003B1CC5">
        <w:rPr>
          <w:b/>
          <w:noProof/>
        </w:rPr>
        <w:t>site</w:t>
      </w:r>
      <w:r w:rsidR="00E97E59" w:rsidRPr="003B1CC5">
        <w:rPr>
          <w:b/>
          <w:noProof/>
        </w:rPr>
        <w:t xml:space="preserve"> Measure </w:t>
      </w:r>
      <w:r w:rsidR="00114848" w:rsidRPr="003B1CC5">
        <w:rPr>
          <w:b/>
          <w:noProof/>
        </w:rPr>
        <w:t>here</w:t>
      </w:r>
      <w:r w:rsidR="00E97E59" w:rsidRPr="003B1CC5">
        <w:rPr>
          <w:b/>
          <w:noProof/>
        </w:rPr>
        <w:t>:</w:t>
      </w:r>
      <w:r w:rsidR="00E97E59"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00E97E59"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00E97E59"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00E97E59" w:rsidRPr="003B1CC5">
            <w:rPr>
              <w:rStyle w:val="PlaceholderText"/>
              <w:rFonts w:cstheme="minorHAnsi"/>
              <w:color w:val="A6A6A6" w:themeColor="background1" w:themeShade="A6"/>
            </w:rPr>
            <w:t xml:space="preserve"> title</w:t>
          </w:r>
        </w:sdtContent>
      </w:sdt>
    </w:p>
    <w:p w14:paraId="55B8DA31" w14:textId="13F17C4B"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Fonts w:cs="Calibri"/>
            <w:color w:val="0000FF"/>
            <w:u w:val="single"/>
          </w:rPr>
          <w:id w:val="-1689821638"/>
          <w:placeholder>
            <w:docPart w:val="6A100845774148B09AFD987423307E3B"/>
          </w:placeholder>
          <w:date w:fullDate="2018-12-18T00:00:00Z">
            <w:dateFormat w:val="M/d/yyyy"/>
            <w:lid w:val="en-US"/>
            <w:storeMappedDataAs w:val="dateTime"/>
            <w:calendar w:val="gregorian"/>
          </w:date>
        </w:sdtPr>
        <w:sdtEndPr/>
        <w:sdtContent>
          <w:r w:rsidR="009F2031">
            <w:rPr>
              <w:rFonts w:cs="Calibri"/>
              <w:color w:val="0000FF"/>
              <w:u w:val="single"/>
            </w:rPr>
            <w:t>1</w:t>
          </w:r>
          <w:r w:rsidR="00857965">
            <w:rPr>
              <w:rFonts w:cs="Calibri"/>
              <w:color w:val="0000FF"/>
              <w:u w:val="single"/>
            </w:rPr>
            <w:t>2</w:t>
          </w:r>
          <w:r w:rsidR="009F2031">
            <w:rPr>
              <w:rFonts w:cs="Calibri"/>
              <w:color w:val="0000FF"/>
              <w:u w:val="single"/>
            </w:rPr>
            <w:t>/</w:t>
          </w:r>
          <w:r w:rsidR="00857965">
            <w:rPr>
              <w:rFonts w:cs="Calibri"/>
              <w:color w:val="0000FF"/>
              <w:u w:val="single"/>
            </w:rPr>
            <w:t>1</w:t>
          </w:r>
          <w:r w:rsidR="009F2031">
            <w:rPr>
              <w:rFonts w:cs="Calibri"/>
              <w:color w:val="0000FF"/>
              <w:u w:val="single"/>
            </w:rPr>
            <w:t>8/2018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sidRPr="00EF18B5">
              <w:rPr>
                <w:i/>
                <w:sz w:val="22"/>
                <w:szCs w:val="22"/>
              </w:rPr>
              <w:t xml:space="preserve">Complete 1a.1 </w:t>
            </w:r>
            <w:r w:rsidR="004922E4" w:rsidRPr="00EF18B5">
              <w:rPr>
                <w:i/>
                <w:sz w:val="22"/>
                <w:szCs w:val="22"/>
              </w:rPr>
              <w:t>and 1a.</w:t>
            </w:r>
            <w:r w:rsidRPr="00EF18B5">
              <w:rPr>
                <w:i/>
                <w:sz w:val="22"/>
                <w:szCs w:val="22"/>
              </w:rPr>
              <w:t>2 for all measures</w:t>
            </w:r>
            <w:r>
              <w:rPr>
                <w:i/>
                <w:sz w:val="22"/>
                <w:szCs w:val="22"/>
              </w:rPr>
              <w:t xml:space="preserve">. </w:t>
            </w:r>
            <w:r w:rsidR="004922E4">
              <w:rPr>
                <w:i/>
                <w:sz w:val="22"/>
                <w:szCs w:val="22"/>
              </w:rPr>
              <w:t>If instrument-based measure, complete 1a.3.</w:t>
            </w:r>
          </w:p>
          <w:p w14:paraId="55B8DA35" w14:textId="77777777" w:rsidR="000F4A7F" w:rsidRPr="00EF18B5" w:rsidRDefault="000F4A7F" w:rsidP="00024526">
            <w:pPr>
              <w:pStyle w:val="CommentText"/>
              <w:numPr>
                <w:ilvl w:val="0"/>
                <w:numId w:val="5"/>
              </w:numPr>
              <w:rPr>
                <w:i/>
                <w:sz w:val="22"/>
                <w:szCs w:val="22"/>
              </w:rPr>
            </w:pPr>
            <w:r w:rsidRPr="00EF18B5">
              <w:rPr>
                <w:i/>
                <w:sz w:val="22"/>
                <w:szCs w:val="22"/>
              </w:rPr>
              <w:t xml:space="preserve">Complete </w:t>
            </w:r>
            <w:r w:rsidRPr="00EF18B5">
              <w:rPr>
                <w:b/>
                <w:i/>
                <w:sz w:val="22"/>
                <w:szCs w:val="22"/>
              </w:rPr>
              <w:t xml:space="preserve">EITHER 1a.2, 1a.3 or 1a.4 </w:t>
            </w:r>
            <w:r w:rsidRPr="00EF18B5">
              <w:rPr>
                <w:i/>
                <w:sz w:val="22"/>
                <w:szCs w:val="22"/>
              </w:rPr>
              <w:t>as applicable for the type of 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096604">
        <w:rPr>
          <w:b/>
          <w:bCs/>
        </w:rPr>
        <w:t>1</w:t>
      </w:r>
      <w:r w:rsidR="00773485" w:rsidRPr="00096604">
        <w:rPr>
          <w:b/>
          <w:bCs/>
        </w:rPr>
        <w:t>a</w:t>
      </w:r>
      <w:r w:rsidRPr="00096604">
        <w:rPr>
          <w:b/>
          <w:bCs/>
        </w:rPr>
        <w:t xml:space="preserve">.1.This is a measure </w:t>
      </w:r>
      <w:r w:rsidRPr="003B1CC5">
        <w:rPr>
          <w:b/>
          <w:bCs/>
        </w:rPr>
        <w:t>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15F5CCB0" w:rsidR="00496AF8" w:rsidRPr="003B1CC5" w:rsidRDefault="00857965"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F759BF">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5E5E08">
            <w:rPr>
              <w:rStyle w:val="Style2"/>
              <w:rFonts w:cstheme="minorHAnsi"/>
            </w:rPr>
            <w:t>Successful di</w:t>
          </w:r>
          <w:r w:rsidR="008A658E">
            <w:rPr>
              <w:rStyle w:val="Style2"/>
              <w:rFonts w:cstheme="minorHAnsi"/>
            </w:rPr>
            <w:t>scharge to community</w:t>
          </w:r>
          <w:r w:rsidR="005E5E08">
            <w:rPr>
              <w:rStyle w:val="Style2"/>
              <w:rFonts w:cstheme="minorHAnsi"/>
            </w:rPr>
            <w:t xml:space="preserve"> </w:t>
          </w:r>
        </w:sdtContent>
      </w:sdt>
    </w:p>
    <w:p w14:paraId="55B8DA52" w14:textId="77777777" w:rsidR="00236F87" w:rsidRPr="003B1CC5" w:rsidRDefault="00857965"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857965"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857965"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61D4CB05"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2D2B24">
        <w:rPr>
          <w:rFonts w:eastAsia="MS Gothic"/>
          <w:bCs/>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p>
    <w:p w14:paraId="55B8DA57" w14:textId="77777777" w:rsidR="00496AF8" w:rsidRPr="003B1CC5" w:rsidRDefault="0085796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85796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CA949A7" w:rsidR="002B06BD" w:rsidRDefault="00676BD4" w:rsidP="00087BDA">
      <w:pPr>
        <w:ind w:left="0" w:firstLine="0"/>
        <w:rPr>
          <w:iCs/>
        </w:rPr>
      </w:pPr>
      <w:r w:rsidRPr="00096604">
        <w:rPr>
          <w:b/>
          <w:bCs/>
        </w:rPr>
        <w:t>1a.</w:t>
      </w:r>
      <w:r w:rsidR="00C41794" w:rsidRPr="00096604">
        <w:rPr>
          <w:b/>
          <w:bCs/>
        </w:rPr>
        <w:t>2</w:t>
      </w:r>
      <w:r w:rsidR="002B06BD" w:rsidRPr="00096604">
        <w:rPr>
          <w:bCs/>
        </w:rPr>
        <w:t xml:space="preserve"> </w:t>
      </w:r>
      <w:r w:rsidRPr="00096604">
        <w:rPr>
          <w:b/>
          <w:bCs/>
        </w:rPr>
        <w:t>LOGIC MODEL</w:t>
      </w:r>
      <w:r w:rsidRPr="00096604">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57B7BE9" w14:textId="77777777" w:rsidR="00985795" w:rsidRDefault="00985795" w:rsidP="002B06BD">
      <w:pPr>
        <w:ind w:left="432" w:hanging="432"/>
        <w:rPr>
          <w:iCs/>
        </w:rPr>
      </w:pPr>
    </w:p>
    <w:p w14:paraId="63CA3329" w14:textId="61F712FC" w:rsidR="00E34A94" w:rsidRPr="00737C35" w:rsidRDefault="002913B9" w:rsidP="00087BDA">
      <w:pPr>
        <w:ind w:left="0" w:firstLine="0"/>
      </w:pPr>
      <w:bookmarkStart w:id="6" w:name="_Hlk526487434"/>
      <w:r w:rsidRPr="00737C35">
        <w:t>This claims-based outcome measure assesses successful discharge to community from a</w:t>
      </w:r>
      <w:r w:rsidR="00CD0179" w:rsidRPr="00737C35">
        <w:t>n IRF</w:t>
      </w:r>
      <w:r w:rsidRPr="00737C35">
        <w:t xml:space="preserve"> setting, with successful discharge to community including no unplanned re</w:t>
      </w:r>
      <w:r w:rsidR="006A17BF" w:rsidRPr="00737C35">
        <w:t>admission</w:t>
      </w:r>
      <w:r w:rsidRPr="00737C35">
        <w:t xml:space="preserve">s </w:t>
      </w:r>
      <w:r w:rsidR="00920BC8" w:rsidRPr="00737C35">
        <w:t xml:space="preserve">to an acute hospital or long-term care hospital (LTCH) </w:t>
      </w:r>
      <w:r w:rsidRPr="00737C35">
        <w:t xml:space="preserve">and no death in the 31 days following discharge. </w:t>
      </w:r>
      <w:r w:rsidR="00E34A94" w:rsidRPr="00737C35">
        <w:t>Successful d</w:t>
      </w:r>
      <w:r w:rsidR="00204F68" w:rsidRPr="00737C35">
        <w:t xml:space="preserve">ischarge to a community-based setting is an important goal for patients in </w:t>
      </w:r>
      <w:r w:rsidR="00E34A94" w:rsidRPr="00737C35">
        <w:t xml:space="preserve">IRF settings. </w:t>
      </w:r>
      <w:r w:rsidR="0074432F" w:rsidRPr="00737C35">
        <w:t xml:space="preserve">Section </w:t>
      </w:r>
      <w:r w:rsidR="002639CF" w:rsidRPr="00737C35">
        <w:rPr>
          <w:b/>
        </w:rPr>
        <w:t>1a.</w:t>
      </w:r>
      <w:r w:rsidR="00746377">
        <w:rPr>
          <w:b/>
        </w:rPr>
        <w:t>2</w:t>
      </w:r>
      <w:r w:rsidR="00A63B83" w:rsidRPr="00737C35">
        <w:rPr>
          <w:b/>
        </w:rPr>
        <w:t xml:space="preserve"> </w:t>
      </w:r>
      <w:r w:rsidR="00D12A79" w:rsidRPr="00D12A79">
        <w:t>below</w:t>
      </w:r>
      <w:r w:rsidR="00D12A79">
        <w:rPr>
          <w:b/>
        </w:rPr>
        <w:t xml:space="preserve"> </w:t>
      </w:r>
      <w:r w:rsidR="00A63B83" w:rsidRPr="00737C35">
        <w:t>cites</w:t>
      </w:r>
      <w:r w:rsidR="002639CF" w:rsidRPr="00737C35">
        <w:t xml:space="preserve"> </w:t>
      </w:r>
      <w:r w:rsidR="00A63B83" w:rsidRPr="00737C35">
        <w:t>literature support regarding</w:t>
      </w:r>
      <w:r w:rsidR="002639CF" w:rsidRPr="00737C35">
        <w:t xml:space="preserve"> </w:t>
      </w:r>
      <w:bookmarkStart w:id="7" w:name="_Hlk527038928"/>
      <w:r w:rsidR="00C40CAD" w:rsidRPr="00737C35">
        <w:t xml:space="preserve">provider </w:t>
      </w:r>
      <w:bookmarkEnd w:id="7"/>
      <w:r w:rsidR="002639CF" w:rsidRPr="00737C35">
        <w:t xml:space="preserve">structures and processes </w:t>
      </w:r>
      <w:r w:rsidR="00A63B83" w:rsidRPr="00737C35">
        <w:t>associated with the discharge to community</w:t>
      </w:r>
      <w:r w:rsidR="002639CF" w:rsidRPr="00737C35">
        <w:t xml:space="preserve"> outcome. </w:t>
      </w:r>
      <w:r w:rsidR="001321E0" w:rsidRPr="00737C35">
        <w:t>Interventions that enhance discharge transitions and coordination of care have been associated with i</w:t>
      </w:r>
      <w:r w:rsidR="00EF18B5" w:rsidRPr="00737C35">
        <w:t xml:space="preserve">ncreased discharge to community </w:t>
      </w:r>
      <w:r w:rsidR="00A63B83" w:rsidRPr="00737C35">
        <w:t xml:space="preserve">rates </w:t>
      </w:r>
      <w:r w:rsidR="00EF18B5" w:rsidRPr="00737C35">
        <w:t xml:space="preserve">and </w:t>
      </w:r>
      <w:r w:rsidR="002639CF" w:rsidRPr="00737C35">
        <w:t>reduc</w:t>
      </w:r>
      <w:r w:rsidR="00A63B83" w:rsidRPr="00737C35">
        <w:t>ed</w:t>
      </w:r>
      <w:r w:rsidR="002639CF" w:rsidRPr="00737C35">
        <w:t xml:space="preserve"> </w:t>
      </w:r>
      <w:r w:rsidR="00EF18B5" w:rsidRPr="00737C35">
        <w:t>readmission</w:t>
      </w:r>
      <w:r w:rsidR="00A63B83" w:rsidRPr="00737C35">
        <w:t xml:space="preserve"> rate</w:t>
      </w:r>
      <w:r w:rsidR="00FC0942" w:rsidRPr="00737C35">
        <w:t>s</w:t>
      </w:r>
      <w:r w:rsidR="00EF18B5" w:rsidRPr="00737C35">
        <w:t xml:space="preserve"> </w:t>
      </w:r>
      <w:r w:rsidR="00CB35D0" w:rsidRPr="00737C35">
        <w:t xml:space="preserve">following </w:t>
      </w:r>
      <w:r w:rsidR="00EF18B5" w:rsidRPr="00737C35">
        <w:t xml:space="preserve">community </w:t>
      </w:r>
      <w:r w:rsidR="000E7DE8" w:rsidRPr="00737C35">
        <w:t>discharge</w:t>
      </w:r>
      <w:r w:rsidR="002639CF" w:rsidRPr="00737C35">
        <w:t>.</w:t>
      </w:r>
      <w:r w:rsidR="003B2CE9" w:rsidRPr="00737C35">
        <w:t xml:space="preserve"> </w:t>
      </w:r>
      <w:bookmarkStart w:id="8" w:name="_Hlk524608873"/>
      <w:bookmarkEnd w:id="6"/>
    </w:p>
    <w:p w14:paraId="76C0EEB1" w14:textId="77777777" w:rsidR="00E34A94" w:rsidRPr="00737C35" w:rsidRDefault="00E34A94" w:rsidP="00087BDA">
      <w:pPr>
        <w:ind w:firstLine="0"/>
        <w:rPr>
          <w:b/>
        </w:rPr>
      </w:pPr>
    </w:p>
    <w:p w14:paraId="12131522" w14:textId="6355CF80" w:rsidR="003E3082" w:rsidRDefault="009C0B37" w:rsidP="00087BDA">
      <w:pPr>
        <w:ind w:left="0" w:firstLine="0"/>
      </w:pPr>
      <w:r w:rsidRPr="00737C35">
        <w:rPr>
          <w:b/>
        </w:rPr>
        <w:t>Figure 1</w:t>
      </w:r>
      <w:r w:rsidRPr="00737C35">
        <w:t xml:space="preserve"> illustrates some </w:t>
      </w:r>
      <w:r w:rsidR="000E7DE8" w:rsidRPr="00737C35">
        <w:t xml:space="preserve">key </w:t>
      </w:r>
      <w:r w:rsidRPr="00737C35">
        <w:t xml:space="preserve">IRF structures and processes that influence the </w:t>
      </w:r>
      <w:r w:rsidR="000E7DE8" w:rsidRPr="00737C35">
        <w:t xml:space="preserve">likelihood of a </w:t>
      </w:r>
      <w:r w:rsidRPr="00737C35">
        <w:t xml:space="preserve">patient’s </w:t>
      </w:r>
      <w:r w:rsidR="001321E0" w:rsidRPr="00737C35">
        <w:t xml:space="preserve">successful </w:t>
      </w:r>
      <w:r w:rsidRPr="00737C35">
        <w:t>discharge to community.</w:t>
      </w:r>
      <w:r w:rsidR="002D542C">
        <w:t xml:space="preserve"> </w:t>
      </w:r>
      <w:bookmarkStart w:id="9" w:name="_Hlk527537023"/>
      <w:bookmarkStart w:id="10" w:name="_Hlk527536405"/>
      <w:r w:rsidR="006F027C">
        <w:t xml:space="preserve">The </w:t>
      </w:r>
      <w:r w:rsidR="001D2AA2">
        <w:t xml:space="preserve">structures and </w:t>
      </w:r>
      <w:r w:rsidR="006F027C">
        <w:t xml:space="preserve">processes listed in the figure are not exhaustive </w:t>
      </w:r>
      <w:r w:rsidR="001D2AA2">
        <w:t xml:space="preserve">but are intended as </w:t>
      </w:r>
      <w:r w:rsidR="002207EC">
        <w:t>examples of key structures and processes that could be</w:t>
      </w:r>
      <w:r w:rsidR="002D2B24">
        <w:t xml:space="preserve"> </w:t>
      </w:r>
      <w:r w:rsidR="00573F30">
        <w:t>implemented</w:t>
      </w:r>
      <w:r w:rsidR="002207EC">
        <w:t xml:space="preserve"> </w:t>
      </w:r>
      <w:r w:rsidR="00DA3613">
        <w:t xml:space="preserve">to </w:t>
      </w:r>
      <w:r w:rsidR="002207EC">
        <w:t xml:space="preserve">facilitate </w:t>
      </w:r>
      <w:r w:rsidR="00DA3613">
        <w:t xml:space="preserve">successful </w:t>
      </w:r>
      <w:r w:rsidR="002207EC">
        <w:t>discharge to community</w:t>
      </w:r>
      <w:r w:rsidR="00DA3613">
        <w:t>.</w:t>
      </w:r>
      <w:bookmarkEnd w:id="9"/>
      <w:r w:rsidR="00CD66B6" w:rsidRPr="00CD66B6">
        <w:rPr>
          <w:b/>
        </w:rPr>
        <w:t xml:space="preserve"> </w:t>
      </w:r>
      <w:r w:rsidR="00CD66B6" w:rsidRPr="00120763">
        <w:rPr>
          <w:b/>
        </w:rPr>
        <w:t>Figure 1</w:t>
      </w:r>
      <w:r w:rsidR="00CD66B6">
        <w:t xml:space="preserve"> is based on literature examining the relationship between structures, processes and successful community transitions, as well as the Department of Health and Human Services’ roadmap to better care transitio</w:t>
      </w:r>
      <w:r w:rsidR="00CD66B6" w:rsidRPr="00445D01">
        <w:rPr>
          <w:rFonts w:cstheme="minorHAnsi"/>
        </w:rPr>
        <w:t xml:space="preserve">ns and fewer readmissions, which lists </w:t>
      </w:r>
      <w:r w:rsidR="00CD66B6">
        <w:rPr>
          <w:rFonts w:cstheme="minorHAnsi"/>
        </w:rPr>
        <w:t>e</w:t>
      </w:r>
      <w:r w:rsidR="00CD66B6" w:rsidRPr="00445D01">
        <w:rPr>
          <w:rFonts w:cstheme="minorHAnsi"/>
          <w:bCs/>
        </w:rPr>
        <w:t>lements for safe, effective and efficient care transitions</w:t>
      </w:r>
      <w:r w:rsidR="00CD66B6">
        <w:t>.</w:t>
      </w:r>
      <w:r w:rsidR="00932474">
        <w:t xml:space="preserve"> </w:t>
      </w:r>
      <w:r w:rsidR="001F1B48">
        <w:t>[1]</w:t>
      </w:r>
    </w:p>
    <w:p w14:paraId="3579A2AA" w14:textId="7AB709AA" w:rsidR="001F1B48" w:rsidRDefault="001F1B48" w:rsidP="00087BDA">
      <w:pPr>
        <w:ind w:left="0" w:firstLine="0"/>
        <w:rPr>
          <w:rStyle w:val="Style1"/>
          <w:color w:val="auto"/>
        </w:rPr>
      </w:pPr>
    </w:p>
    <w:p w14:paraId="60B072C9" w14:textId="77777777" w:rsidR="00B1394C" w:rsidRPr="00B1394C" w:rsidRDefault="00B1394C" w:rsidP="00B1394C">
      <w:pPr>
        <w:autoSpaceDE w:val="0"/>
        <w:autoSpaceDN w:val="0"/>
        <w:adjustRightInd w:val="0"/>
        <w:ind w:left="0" w:firstLine="0"/>
        <w:rPr>
          <w:rFonts w:cstheme="minorHAnsi"/>
          <w:b/>
        </w:rPr>
      </w:pPr>
      <w:r w:rsidRPr="00B1394C">
        <w:rPr>
          <w:rFonts w:cstheme="minorHAnsi"/>
          <w:b/>
        </w:rPr>
        <w:t>References</w:t>
      </w:r>
    </w:p>
    <w:p w14:paraId="5AFAC04F" w14:textId="77777777" w:rsidR="00B1394C" w:rsidRDefault="00B1394C" w:rsidP="00087BDA">
      <w:pPr>
        <w:ind w:left="0" w:firstLine="0"/>
        <w:rPr>
          <w:rStyle w:val="Style1"/>
          <w:color w:val="auto"/>
        </w:rPr>
      </w:pPr>
    </w:p>
    <w:p w14:paraId="632BC116" w14:textId="38C22DCD" w:rsidR="001F1B48" w:rsidRDefault="001F1B48" w:rsidP="00780AAB">
      <w:pPr>
        <w:pStyle w:val="ListParagraph"/>
        <w:numPr>
          <w:ilvl w:val="0"/>
          <w:numId w:val="14"/>
        </w:numPr>
        <w:spacing w:line="240" w:lineRule="auto"/>
      </w:pPr>
      <w:r>
        <w:t xml:space="preserve">United States Department of Health and Human Services: Roadmap to better care transitions and fewer readmissions. 2011. Available at: </w:t>
      </w:r>
      <w:hyperlink r:id="rId16" w:history="1">
        <w:r w:rsidRPr="00F918ED">
          <w:rPr>
            <w:rStyle w:val="Hyperlink"/>
          </w:rPr>
          <w:t>https://www.in.gov/isdh/files/improve_care_tran.pdf</w:t>
        </w:r>
      </w:hyperlink>
      <w:r>
        <w:t xml:space="preserve">  </w:t>
      </w:r>
    </w:p>
    <w:p w14:paraId="4E5BF118" w14:textId="16621E77" w:rsidR="001F1B48" w:rsidRPr="00737C35" w:rsidRDefault="001F1B48" w:rsidP="006971D3">
      <w:pPr>
        <w:ind w:left="0" w:firstLine="0"/>
        <w:rPr>
          <w:rStyle w:val="Style1"/>
          <w:color w:val="auto"/>
        </w:rPr>
        <w:sectPr w:rsidR="001F1B48" w:rsidRPr="00737C35" w:rsidSect="003E3082">
          <w:headerReference w:type="default" r:id="rId17"/>
          <w:footerReference w:type="default" r:id="rId18"/>
          <w:pgSz w:w="12240" w:h="15840"/>
          <w:pgMar w:top="1440" w:right="1440" w:bottom="1440" w:left="1440" w:header="720" w:footer="720" w:gutter="0"/>
          <w:cols w:space="720"/>
          <w:docGrid w:linePitch="360"/>
        </w:sectPr>
      </w:pPr>
    </w:p>
    <w:bookmarkEnd w:id="10"/>
    <w:p w14:paraId="07C533E1" w14:textId="1429355C" w:rsidR="00E42DF9" w:rsidRPr="00737C35" w:rsidRDefault="004D75C5" w:rsidP="00BC1F07">
      <w:pPr>
        <w:autoSpaceDE w:val="0"/>
        <w:autoSpaceDN w:val="0"/>
        <w:adjustRightInd w:val="0"/>
        <w:spacing w:before="240"/>
        <w:ind w:left="0" w:firstLine="0"/>
        <w:rPr>
          <w:rStyle w:val="Style1"/>
          <w:rFonts w:eastAsia="Calibri" w:cs="Times New Roman"/>
          <w:noProof/>
          <w:color w:val="auto"/>
          <w:sz w:val="24"/>
        </w:rPr>
      </w:pPr>
      <w:r w:rsidRPr="00737C35">
        <w:rPr>
          <w:rStyle w:val="Style1"/>
          <w:b/>
          <w:color w:val="auto"/>
        </w:rPr>
        <w:lastRenderedPageBreak/>
        <w:t xml:space="preserve">Figure 1. </w:t>
      </w:r>
      <w:bookmarkStart w:id="11" w:name="_Hlk526487490"/>
      <w:r w:rsidR="003675BE">
        <w:rPr>
          <w:rStyle w:val="Style1"/>
          <w:b/>
          <w:color w:val="auto"/>
        </w:rPr>
        <w:t xml:space="preserve">Examples of </w:t>
      </w:r>
      <w:r w:rsidR="000E639B" w:rsidRPr="00737C35">
        <w:rPr>
          <w:rStyle w:val="Style1"/>
          <w:b/>
          <w:color w:val="auto"/>
        </w:rPr>
        <w:t>IRF</w:t>
      </w:r>
      <w:r w:rsidRPr="00737C35">
        <w:rPr>
          <w:rStyle w:val="Style1"/>
          <w:b/>
          <w:color w:val="auto"/>
        </w:rPr>
        <w:t xml:space="preserve"> Structure</w:t>
      </w:r>
      <w:r w:rsidR="00663DA7" w:rsidRPr="00737C35">
        <w:rPr>
          <w:rStyle w:val="Style1"/>
          <w:b/>
          <w:color w:val="auto"/>
        </w:rPr>
        <w:t>s</w:t>
      </w:r>
      <w:r w:rsidRPr="00737C35">
        <w:rPr>
          <w:rStyle w:val="Style1"/>
          <w:b/>
          <w:color w:val="auto"/>
        </w:rPr>
        <w:t xml:space="preserve"> and Process</w:t>
      </w:r>
      <w:r w:rsidR="00663DA7" w:rsidRPr="00737C35">
        <w:rPr>
          <w:rStyle w:val="Style1"/>
          <w:b/>
          <w:color w:val="auto"/>
        </w:rPr>
        <w:t xml:space="preserve">es </w:t>
      </w:r>
      <w:r w:rsidR="00086BF7">
        <w:rPr>
          <w:rStyle w:val="Style1"/>
          <w:b/>
          <w:color w:val="auto"/>
        </w:rPr>
        <w:t xml:space="preserve">that </w:t>
      </w:r>
      <w:r w:rsidR="003E6A49" w:rsidRPr="00737C35">
        <w:rPr>
          <w:rStyle w:val="Style1"/>
          <w:b/>
          <w:color w:val="auto"/>
        </w:rPr>
        <w:t>Influenc</w:t>
      </w:r>
      <w:r w:rsidR="00086BF7">
        <w:rPr>
          <w:rStyle w:val="Style1"/>
          <w:b/>
          <w:color w:val="auto"/>
        </w:rPr>
        <w:t>e</w:t>
      </w:r>
      <w:r w:rsidR="003E6A49" w:rsidRPr="00737C35">
        <w:rPr>
          <w:rStyle w:val="Style1"/>
          <w:b/>
          <w:color w:val="auto"/>
        </w:rPr>
        <w:t xml:space="preserve"> </w:t>
      </w:r>
      <w:r w:rsidR="00663DA7" w:rsidRPr="00737C35">
        <w:rPr>
          <w:rStyle w:val="Style1"/>
          <w:b/>
          <w:color w:val="auto"/>
        </w:rPr>
        <w:t>the Outcome</w:t>
      </w:r>
      <w:bookmarkEnd w:id="11"/>
      <w:r w:rsidR="00AA4B40" w:rsidRPr="00737C35">
        <w:rPr>
          <w:rStyle w:val="Style1"/>
          <w:b/>
          <w:color w:val="auto"/>
        </w:rPr>
        <w:t xml:space="preserve"> of Successful Discharge to Community</w:t>
      </w:r>
      <w:bookmarkStart w:id="12" w:name="_Hlk526487520"/>
    </w:p>
    <w:bookmarkEnd w:id="8"/>
    <w:p w14:paraId="1DA20D8A" w14:textId="4516BDC4" w:rsidR="00F70126" w:rsidRDefault="00791823" w:rsidP="00EB3015">
      <w:pPr>
        <w:ind w:left="432" w:hanging="432"/>
        <w:rPr>
          <w:b/>
          <w:bCs/>
          <w:color w:val="0000FF"/>
        </w:rPr>
        <w:sectPr w:rsidR="00F70126" w:rsidSect="008914B3">
          <w:pgSz w:w="15840" w:h="12240" w:orient="landscape"/>
          <w:pgMar w:top="1440" w:right="1440" w:bottom="1440" w:left="1440" w:header="720" w:footer="720" w:gutter="0"/>
          <w:cols w:space="720"/>
          <w:docGrid w:linePitch="360"/>
        </w:sectPr>
      </w:pPr>
      <w:r>
        <w:rPr>
          <w:noProof/>
        </w:rPr>
        <w:drawing>
          <wp:inline distT="0" distB="0" distL="0" distR="0" wp14:anchorId="63916814" wp14:editId="5C2A189B">
            <wp:extent cx="8253095" cy="5574417"/>
            <wp:effectExtent l="0" t="0" r="52705" b="2667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bookmarkEnd w:id="12"/>
    <w:p w14:paraId="33C7741B" w14:textId="6CC31169" w:rsidR="004922E4" w:rsidRPr="00096604" w:rsidRDefault="004922E4" w:rsidP="00087BDA">
      <w:pPr>
        <w:ind w:left="0" w:right="140" w:firstLine="0"/>
        <w:rPr>
          <w:b/>
          <w:iCs/>
        </w:rPr>
      </w:pPr>
      <w:r w:rsidRPr="00096604">
        <w:rPr>
          <w:b/>
          <w:bCs/>
        </w:rPr>
        <w:lastRenderedPageBreak/>
        <w:t>1a.3</w:t>
      </w:r>
      <w:r w:rsidRPr="00096604">
        <w:rPr>
          <w:bCs/>
        </w:rPr>
        <w:t xml:space="preserve"> </w:t>
      </w:r>
      <w:r w:rsidRPr="00096604">
        <w:rPr>
          <w:b/>
          <w:bCs/>
        </w:rPr>
        <w:t xml:space="preserve">Value and Meaningfulness:  </w:t>
      </w:r>
      <w:r w:rsidRPr="00096604">
        <w:rPr>
          <w:bCs/>
        </w:rPr>
        <w:t xml:space="preserve"> </w:t>
      </w:r>
      <w:r w:rsidRPr="00096604">
        <w:rPr>
          <w:b/>
          <w:iCs/>
        </w:rPr>
        <w:t xml:space="preserve">IF </w:t>
      </w:r>
      <w:r w:rsidRPr="00096604">
        <w:rPr>
          <w:iCs/>
        </w:rPr>
        <w:t xml:space="preserve">this measure is derived from patient report, provide evidence that the target population values the measured </w:t>
      </w:r>
      <w:r w:rsidRPr="00096604">
        <w:rPr>
          <w:b/>
          <w:i/>
          <w:iCs/>
        </w:rPr>
        <w:t>outcome, process, or structure</w:t>
      </w:r>
      <w:r w:rsidRPr="00096604">
        <w:rPr>
          <w:iCs/>
        </w:rPr>
        <w:t xml:space="preserve"> and finds it meaningful. (Describe how and from whom their input was obtained.)</w:t>
      </w:r>
    </w:p>
    <w:p w14:paraId="5BCFDB54" w14:textId="77777777" w:rsidR="004922E4" w:rsidRPr="00096604" w:rsidRDefault="004922E4" w:rsidP="002E2177">
      <w:pPr>
        <w:ind w:left="432" w:hanging="432"/>
        <w:rPr>
          <w:b/>
        </w:rPr>
      </w:pPr>
    </w:p>
    <w:p w14:paraId="55B8DA5E" w14:textId="477B0E88" w:rsidR="00F90F82" w:rsidRPr="00096604" w:rsidRDefault="00096604" w:rsidP="00087BDA">
      <w:r w:rsidRPr="00096604">
        <w:t>Not applicable.</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w:t>
      </w:r>
      <w:r w:rsidRPr="005045A6">
        <w:rPr>
          <w:b/>
          <w:color w:val="0000FF"/>
        </w:rPr>
        <w:t xml:space="preserve">1a.3 or 1a.4) </w:t>
      </w:r>
      <w:r w:rsidR="00AB4ECE" w:rsidRPr="005045A6">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790034">
      <w:pPr>
        <w:ind w:left="0" w:firstLine="0"/>
        <w:rPr>
          <w:b/>
        </w:rPr>
      </w:pPr>
      <w:r w:rsidRPr="00096604">
        <w:rPr>
          <w:b/>
        </w:rPr>
        <w:t>1</w:t>
      </w:r>
      <w:r w:rsidR="00773485" w:rsidRPr="00096604">
        <w:rPr>
          <w:b/>
        </w:rPr>
        <w:t>a</w:t>
      </w:r>
      <w:r w:rsidRPr="00096604">
        <w:rPr>
          <w:b/>
        </w:rPr>
        <w:t>.2</w:t>
      </w:r>
      <w:r w:rsidR="00E41417" w:rsidRPr="00096604">
        <w:rPr>
          <w:iCs/>
        </w:rPr>
        <w:t xml:space="preserve"> </w:t>
      </w:r>
      <w:r w:rsidR="00C41794" w:rsidRPr="00096604">
        <w:rPr>
          <w:b/>
        </w:rPr>
        <w:t xml:space="preserve">FOR </w:t>
      </w:r>
      <w:r w:rsidR="00C41794" w:rsidRPr="00676BD4">
        <w:rPr>
          <w:b/>
        </w:rPr>
        <w:t>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4AEFD1FF" w14:textId="373B23B0" w:rsidR="0095006D" w:rsidRDefault="0095006D" w:rsidP="0095006D">
      <w:pPr>
        <w:ind w:firstLine="0"/>
      </w:pPr>
      <w:bookmarkStart w:id="13" w:name="_Hlk512841462"/>
    </w:p>
    <w:p w14:paraId="2E782A36" w14:textId="177667D2" w:rsidR="00834414" w:rsidRDefault="001F6069" w:rsidP="00790034">
      <w:pPr>
        <w:ind w:left="0" w:firstLine="0"/>
        <w:rPr>
          <w:color w:val="FF0000"/>
        </w:rPr>
      </w:pPr>
      <w:bookmarkStart w:id="14" w:name="_Hlk528699245"/>
      <w:r>
        <w:rPr>
          <w:rFonts w:cstheme="minorHAnsi"/>
        </w:rPr>
        <w:t xml:space="preserve">The empirical evidence provided below comes from IRF-specific literature, as well as literature from other </w:t>
      </w:r>
      <w:r w:rsidR="00A77F78">
        <w:rPr>
          <w:rFonts w:cstheme="minorHAnsi"/>
        </w:rPr>
        <w:t xml:space="preserve">inpatient </w:t>
      </w:r>
      <w:r>
        <w:rPr>
          <w:rFonts w:cstheme="minorHAnsi"/>
        </w:rPr>
        <w:t xml:space="preserve">PAC and hospital settings, </w:t>
      </w:r>
      <w:r w:rsidRPr="006435B9">
        <w:t xml:space="preserve">as evidence related to </w:t>
      </w:r>
      <w:bookmarkStart w:id="15" w:name="_Hlk532898720"/>
      <w:r w:rsidR="006657EA">
        <w:t>healthcare structures</w:t>
      </w:r>
      <w:r w:rsidR="00711C0B">
        <w:t xml:space="preserve"> and </w:t>
      </w:r>
      <w:r w:rsidR="006657EA">
        <w:t>processes</w:t>
      </w:r>
      <w:r w:rsidR="00711C0B" w:rsidRPr="00711C0B">
        <w:t xml:space="preserve"> </w:t>
      </w:r>
      <w:r w:rsidR="00711C0B">
        <w:t>for improving</w:t>
      </w:r>
      <w:bookmarkEnd w:id="15"/>
      <w:r>
        <w:t xml:space="preserve"> </w:t>
      </w:r>
      <w:r w:rsidRPr="006435B9">
        <w:t xml:space="preserve">discharge to community outcomes </w:t>
      </w:r>
      <w:r>
        <w:t xml:space="preserve">is </w:t>
      </w:r>
      <w:r w:rsidR="001E34EE">
        <w:t xml:space="preserve">largely </w:t>
      </w:r>
      <w:r>
        <w:t xml:space="preserve">applicable </w:t>
      </w:r>
      <w:r w:rsidRPr="006435B9">
        <w:t xml:space="preserve">across </w:t>
      </w:r>
      <w:r w:rsidR="00A77F78">
        <w:t xml:space="preserve">inpatient </w:t>
      </w:r>
      <w:r w:rsidRPr="006435B9">
        <w:t xml:space="preserve">PAC </w:t>
      </w:r>
      <w:r>
        <w:t xml:space="preserve">and hospital </w:t>
      </w:r>
      <w:r w:rsidRPr="006435B9">
        <w:t>settings</w:t>
      </w:r>
      <w:r w:rsidRPr="006435B9">
        <w:rPr>
          <w:rFonts w:cstheme="minorHAnsi"/>
        </w:rPr>
        <w:t xml:space="preserve">. </w:t>
      </w:r>
      <w:bookmarkEnd w:id="13"/>
      <w:bookmarkEnd w:id="14"/>
      <w:r w:rsidR="004576DA">
        <w:rPr>
          <w:rFonts w:cstheme="minorHAnsi"/>
        </w:rPr>
        <w:t>T</w:t>
      </w:r>
      <w:r w:rsidR="004576DA" w:rsidRPr="003D699E">
        <w:rPr>
          <w:rFonts w:cstheme="minorHAnsi"/>
        </w:rPr>
        <w:t xml:space="preserve">here is consistent evidence in the literature </w:t>
      </w:r>
      <w:r w:rsidR="004576DA">
        <w:rPr>
          <w:rFonts w:cstheme="minorHAnsi"/>
        </w:rPr>
        <w:t xml:space="preserve">across </w:t>
      </w:r>
      <w:r w:rsidR="004576DA" w:rsidRPr="003D699E">
        <w:rPr>
          <w:rFonts w:cstheme="minorHAnsi"/>
        </w:rPr>
        <w:t>inpatient settings that</w:t>
      </w:r>
      <w:r w:rsidR="004576DA">
        <w:rPr>
          <w:rFonts w:cstheme="minorHAnsi"/>
        </w:rPr>
        <w:t xml:space="preserve"> rehabilitation interventions,</w:t>
      </w:r>
      <w:r w:rsidR="004576DA" w:rsidRPr="003D699E">
        <w:rPr>
          <w:rFonts w:cstheme="minorHAnsi"/>
        </w:rPr>
        <w:t xml:space="preserve"> discharge planning</w:t>
      </w:r>
      <w:r w:rsidR="004576DA">
        <w:rPr>
          <w:rFonts w:cstheme="minorHAnsi"/>
        </w:rPr>
        <w:t>,</w:t>
      </w:r>
      <w:r w:rsidR="004576DA" w:rsidRPr="003D699E">
        <w:rPr>
          <w:rFonts w:cstheme="minorHAnsi"/>
        </w:rPr>
        <w:t xml:space="preserve"> and care coordination can improve discharge to community rates. </w:t>
      </w:r>
      <w:r w:rsidR="00D3264B" w:rsidRPr="003D699E">
        <w:rPr>
          <w:rFonts w:cstheme="minorHAnsi"/>
        </w:rPr>
        <w:t xml:space="preserve">Thus, evidence from other inpatient PAC and hospital settings can be used to support the DTC-PAC </w:t>
      </w:r>
      <w:r w:rsidR="004E3970">
        <w:rPr>
          <w:rFonts w:cstheme="minorHAnsi"/>
        </w:rPr>
        <w:t xml:space="preserve">IRF </w:t>
      </w:r>
      <w:r w:rsidR="00D3264B" w:rsidRPr="003D699E">
        <w:rPr>
          <w:rFonts w:cstheme="minorHAnsi"/>
        </w:rPr>
        <w:t>measure</w:t>
      </w:r>
      <w:r w:rsidR="00D3264B" w:rsidRPr="006435B9">
        <w:rPr>
          <w:rFonts w:cstheme="minorHAnsi"/>
        </w:rPr>
        <w:t xml:space="preserve">. </w:t>
      </w:r>
      <w:r w:rsidR="00585391" w:rsidRPr="006435B9">
        <w:t>Discharge to community is an actionable health care outcome, as targeted interventions have been shown to successfully increase discharge to community rates in a variety of post-acute settings</w:t>
      </w:r>
      <w:r w:rsidR="0032194E">
        <w:t>.</w:t>
      </w:r>
      <w:r w:rsidR="001F1B48">
        <w:t xml:space="preserve"> </w:t>
      </w:r>
      <w:bookmarkStart w:id="16" w:name="_Hlk532833813"/>
      <w:r w:rsidR="00E612A0">
        <w:t>T</w:t>
      </w:r>
      <w:r w:rsidR="00E612A0" w:rsidRPr="00103291">
        <w:t xml:space="preserve">hese interventions </w:t>
      </w:r>
      <w:r w:rsidR="00E612A0">
        <w:t xml:space="preserve">frequently </w:t>
      </w:r>
      <w:r w:rsidR="00E612A0" w:rsidRPr="00103291">
        <w:t>involve specific rehabilitation strategies such as addressing discharge barriers and improving medical and functional status</w:t>
      </w:r>
      <w:r w:rsidR="00E612A0">
        <w:t xml:space="preserve">, </w:t>
      </w:r>
      <w:r w:rsidR="00246C74" w:rsidRPr="00103291">
        <w:t>discharge planning</w:t>
      </w:r>
      <w:r w:rsidR="00246C74">
        <w:t>,</w:t>
      </w:r>
      <w:r w:rsidR="00DC52A7" w:rsidRPr="00DC52A7">
        <w:t xml:space="preserve"> </w:t>
      </w:r>
      <w:bookmarkStart w:id="17" w:name="_Hlk532898686"/>
      <w:r w:rsidR="00DC52A7" w:rsidRPr="006435B9">
        <w:t>communication</w:t>
      </w:r>
      <w:r w:rsidR="00DC52A7">
        <w:t xml:space="preserve"> and</w:t>
      </w:r>
      <w:r w:rsidR="00DC52A7" w:rsidRPr="006435B9">
        <w:t xml:space="preserve"> care coordination</w:t>
      </w:r>
      <w:bookmarkEnd w:id="17"/>
      <w:r w:rsidR="00DC52A7" w:rsidRPr="006435B9">
        <w:t>,</w:t>
      </w:r>
      <w:r w:rsidR="00246C74" w:rsidRPr="00103291">
        <w:t xml:space="preserve"> </w:t>
      </w:r>
      <w:r w:rsidR="00E612A0">
        <w:t>or community-based transition</w:t>
      </w:r>
      <w:r w:rsidR="00FA5D49">
        <w:t>al care</w:t>
      </w:r>
      <w:r w:rsidR="00E612A0">
        <w:t xml:space="preserve"> services and supports</w:t>
      </w:r>
      <w:bookmarkEnd w:id="16"/>
      <w:r w:rsidR="0032194E">
        <w:t>.</w:t>
      </w:r>
      <w:r w:rsidR="00564005">
        <w:t xml:space="preserve"> </w:t>
      </w:r>
      <w:r w:rsidR="00564005">
        <w:br/>
      </w:r>
    </w:p>
    <w:p w14:paraId="58CC356E" w14:textId="13347B32" w:rsidR="006C649E" w:rsidRDefault="006C649E" w:rsidP="006C649E">
      <w:pPr>
        <w:ind w:left="0" w:firstLine="0"/>
        <w:rPr>
          <w:rFonts w:cstheme="minorHAnsi"/>
        </w:rPr>
      </w:pPr>
      <w:r w:rsidRPr="00AC4DCC">
        <w:rPr>
          <w:rFonts w:cstheme="minorHAnsi"/>
        </w:rPr>
        <w:t>In a retrospective observational study, O’Brien and Zhang [</w:t>
      </w:r>
      <w:r>
        <w:rPr>
          <w:rFonts w:cstheme="minorHAnsi"/>
        </w:rPr>
        <w:t>2</w:t>
      </w:r>
      <w:r w:rsidRPr="00AC4DCC">
        <w:rPr>
          <w:rFonts w:cstheme="minorHAnsi"/>
        </w:rPr>
        <w:t xml:space="preserve">] examined the relationship of therapy intensity with discharge destination and time to community discharge (i.e., LOS) among 311,338 </w:t>
      </w:r>
      <w:r w:rsidR="00913ED3" w:rsidRPr="00AC4DCC">
        <w:rPr>
          <w:rFonts w:cstheme="minorHAnsi"/>
        </w:rPr>
        <w:t xml:space="preserve">Medicare </w:t>
      </w:r>
      <w:r w:rsidR="00913ED3">
        <w:rPr>
          <w:rFonts w:cstheme="minorHAnsi"/>
        </w:rPr>
        <w:t>fee-for-service (</w:t>
      </w:r>
      <w:r w:rsidR="00913ED3" w:rsidRPr="00AC4DCC">
        <w:rPr>
          <w:rFonts w:cstheme="minorHAnsi"/>
        </w:rPr>
        <w:t>FFS</w:t>
      </w:r>
      <w:r w:rsidR="00913ED3">
        <w:rPr>
          <w:rFonts w:cstheme="minorHAnsi"/>
        </w:rPr>
        <w:t xml:space="preserve">) </w:t>
      </w:r>
      <w:r w:rsidRPr="00AC4DCC">
        <w:rPr>
          <w:rFonts w:cstheme="minorHAnsi"/>
        </w:rPr>
        <w:t>residents in 3,605 SNFs across five states in 2008. The authors used data from M</w:t>
      </w:r>
      <w:r>
        <w:rPr>
          <w:rFonts w:cstheme="minorHAnsi"/>
        </w:rPr>
        <w:t>inimum Data Set (M</w:t>
      </w:r>
      <w:r w:rsidRPr="00AC4DCC">
        <w:rPr>
          <w:rFonts w:cstheme="minorHAnsi"/>
        </w:rPr>
        <w:t>DS</w:t>
      </w:r>
      <w:r>
        <w:rPr>
          <w:rFonts w:cstheme="minorHAnsi"/>
        </w:rPr>
        <w:t>)</w:t>
      </w:r>
      <w:r w:rsidRPr="00AC4DCC">
        <w:rPr>
          <w:rFonts w:cstheme="minorHAnsi"/>
        </w:rPr>
        <w:t>, Online Survey Certification and Reporting (OSCAR) dataset, and Rural Urban Commuting Area Codes. Therapy intensity was calculated as the total minutes of physical, occupational</w:t>
      </w:r>
      <w:r>
        <w:rPr>
          <w:rFonts w:cstheme="minorHAnsi"/>
        </w:rPr>
        <w:t>,</w:t>
      </w:r>
      <w:r w:rsidRPr="00AC4DCC">
        <w:rPr>
          <w:rFonts w:cstheme="minorHAnsi"/>
        </w:rPr>
        <w:t xml:space="preserve"> and speech therapy in a day, and categorized as high (≥ 60min/day), medium-high (45 to &lt;60 min/day), medium-low (30 to &lt;45min/day), and low (0 to &lt;30min/day).</w:t>
      </w:r>
      <w:r w:rsidRPr="00AC4DCC" w:rsidDel="00E52CD6">
        <w:rPr>
          <w:rFonts w:cstheme="minorHAnsi"/>
        </w:rPr>
        <w:t xml:space="preserve"> </w:t>
      </w:r>
      <w:r w:rsidRPr="00AC4DCC">
        <w:rPr>
          <w:rFonts w:cstheme="minorHAnsi"/>
        </w:rPr>
        <w:t>The authors found a dose-response relationship between therapy intensity and discharge destination, with the proportion of residents discharged to community decreasing with decreasing therapy intensity: 63% (high intensity), 52.9% (medium-high), 45.1% (medium-low), and 27.4% (low). The proportion of residents discharged to long-term care increased as therapy intensity decreased</w:t>
      </w:r>
      <w:r>
        <w:rPr>
          <w:rFonts w:cstheme="minorHAnsi"/>
        </w:rPr>
        <w:t>:</w:t>
      </w:r>
      <w:r w:rsidRPr="00AC4DCC">
        <w:rPr>
          <w:rFonts w:cstheme="minorHAnsi"/>
        </w:rPr>
        <w:t xml:space="preserve"> 8.4% (high), 13.3% (medium-high), 17.1% (medium-low), and 24.4% (low). Risk-adjusted random-effects competing risks regression modeling controlling for patient demographic/clinical characteristics and facility/regional characteristics, showed that compared with the high intensity group, the medium-high, medium-low, and low intensity groups, respectively, had a 15% (</w:t>
      </w:r>
      <w:r>
        <w:rPr>
          <w:rFonts w:cstheme="minorHAnsi"/>
        </w:rPr>
        <w:t>hazard ratio (</w:t>
      </w:r>
      <w:r w:rsidRPr="00AC4DCC">
        <w:rPr>
          <w:rFonts w:cstheme="minorHAnsi"/>
        </w:rPr>
        <w:t>HR</w:t>
      </w:r>
      <w:r>
        <w:rPr>
          <w:rFonts w:cstheme="minorHAnsi"/>
        </w:rPr>
        <w:t xml:space="preserve">) = </w:t>
      </w:r>
      <w:r w:rsidRPr="00AC4DCC">
        <w:rPr>
          <w:rFonts w:cstheme="minorHAnsi"/>
        </w:rPr>
        <w:t>.85</w:t>
      </w:r>
      <w:r>
        <w:rPr>
          <w:rFonts w:cstheme="minorHAnsi"/>
        </w:rPr>
        <w:t>,</w:t>
      </w:r>
      <w:r w:rsidRPr="00AC4DCC">
        <w:rPr>
          <w:rFonts w:cstheme="minorHAnsi"/>
        </w:rPr>
        <w:t xml:space="preserve"> 95% </w:t>
      </w:r>
      <w:r w:rsidR="00CE2AAF">
        <w:rPr>
          <w:rFonts w:cstheme="minorHAnsi"/>
        </w:rPr>
        <w:t>confidence interval (</w:t>
      </w:r>
      <w:r w:rsidR="00CE2AAF" w:rsidRPr="00AC4DCC">
        <w:rPr>
          <w:rFonts w:cstheme="minorHAnsi"/>
        </w:rPr>
        <w:t>CI</w:t>
      </w:r>
      <w:r w:rsidR="00CE2AAF">
        <w:rPr>
          <w:rFonts w:cstheme="minorHAnsi"/>
        </w:rPr>
        <w:t>)</w:t>
      </w:r>
      <w:r>
        <w:rPr>
          <w:rFonts w:cstheme="minorHAnsi"/>
        </w:rPr>
        <w:t xml:space="preserve"> = </w:t>
      </w:r>
      <w:r w:rsidRPr="00AC4DCC">
        <w:rPr>
          <w:rFonts w:cstheme="minorHAnsi"/>
        </w:rPr>
        <w:t>.83</w:t>
      </w:r>
      <w:r>
        <w:rPr>
          <w:rFonts w:cstheme="minorHAnsi"/>
        </w:rPr>
        <w:t>-</w:t>
      </w:r>
      <w:r w:rsidRPr="00AC4DCC">
        <w:rPr>
          <w:rFonts w:cstheme="minorHAnsi"/>
        </w:rPr>
        <w:t>.85), 32% (HR</w:t>
      </w:r>
      <w:r>
        <w:rPr>
          <w:rFonts w:cstheme="minorHAnsi"/>
        </w:rPr>
        <w:t xml:space="preserve"> = </w:t>
      </w:r>
      <w:r w:rsidRPr="00AC4DCC">
        <w:rPr>
          <w:rFonts w:cstheme="minorHAnsi"/>
        </w:rPr>
        <w:t>.68</w:t>
      </w:r>
      <w:r>
        <w:rPr>
          <w:rFonts w:cstheme="minorHAnsi"/>
        </w:rPr>
        <w:t>,</w:t>
      </w:r>
      <w:r w:rsidRPr="00AC4DCC">
        <w:rPr>
          <w:rFonts w:cstheme="minorHAnsi"/>
        </w:rPr>
        <w:t xml:space="preserve"> 95% CI</w:t>
      </w:r>
      <w:r>
        <w:rPr>
          <w:rFonts w:cstheme="minorHAnsi"/>
        </w:rPr>
        <w:t xml:space="preserve"> = </w:t>
      </w:r>
      <w:r w:rsidRPr="00AC4DCC">
        <w:rPr>
          <w:rFonts w:cstheme="minorHAnsi"/>
        </w:rPr>
        <w:t>.67-.69), and 57% (HR</w:t>
      </w:r>
      <w:r>
        <w:rPr>
          <w:rFonts w:cstheme="minorHAnsi"/>
        </w:rPr>
        <w:t xml:space="preserve"> = </w:t>
      </w:r>
      <w:r w:rsidRPr="00AC4DCC">
        <w:rPr>
          <w:rFonts w:cstheme="minorHAnsi"/>
        </w:rPr>
        <w:t>.43</w:t>
      </w:r>
      <w:r>
        <w:rPr>
          <w:rFonts w:cstheme="minorHAnsi"/>
        </w:rPr>
        <w:t>,</w:t>
      </w:r>
      <w:r w:rsidRPr="00AC4DCC">
        <w:rPr>
          <w:rFonts w:cstheme="minorHAnsi"/>
        </w:rPr>
        <w:t xml:space="preserve"> 95% CI</w:t>
      </w:r>
      <w:r>
        <w:rPr>
          <w:rFonts w:cstheme="minorHAnsi"/>
        </w:rPr>
        <w:t xml:space="preserve"> = </w:t>
      </w:r>
      <w:r w:rsidRPr="00AC4DCC">
        <w:rPr>
          <w:rFonts w:cstheme="minorHAnsi"/>
        </w:rPr>
        <w:t>.42-.45) lower likelihood of community discharge than of becoming permanently placed in a nursing home. The hazard of hospital readmission increased with decreased therapy intensity. Compared with the high intensity group, the medium-high, medium-low, and low intensity groups, respectively, had an 8% (HR</w:t>
      </w:r>
      <w:r>
        <w:rPr>
          <w:rFonts w:cstheme="minorHAnsi"/>
        </w:rPr>
        <w:t xml:space="preserve"> = </w:t>
      </w:r>
      <w:r w:rsidRPr="00AC4DCC">
        <w:rPr>
          <w:rFonts w:cstheme="minorHAnsi"/>
        </w:rPr>
        <w:t>1.08</w:t>
      </w:r>
      <w:r>
        <w:rPr>
          <w:rFonts w:cstheme="minorHAnsi"/>
        </w:rPr>
        <w:t>,</w:t>
      </w:r>
      <w:r w:rsidRPr="00AC4DCC">
        <w:rPr>
          <w:rFonts w:cstheme="minorHAnsi"/>
        </w:rPr>
        <w:t xml:space="preserve"> 95% CI</w:t>
      </w:r>
      <w:r>
        <w:rPr>
          <w:rFonts w:cstheme="minorHAnsi"/>
        </w:rPr>
        <w:t xml:space="preserve"> = </w:t>
      </w:r>
      <w:r w:rsidRPr="00AC4DCC">
        <w:rPr>
          <w:rFonts w:cstheme="minorHAnsi"/>
        </w:rPr>
        <w:t>1.06-1.12), 25% (HR</w:t>
      </w:r>
      <w:r>
        <w:rPr>
          <w:rFonts w:cstheme="minorHAnsi"/>
        </w:rPr>
        <w:t xml:space="preserve"> = </w:t>
      </w:r>
      <w:r w:rsidRPr="00AC4DCC">
        <w:rPr>
          <w:rFonts w:cstheme="minorHAnsi"/>
        </w:rPr>
        <w:t>1.25</w:t>
      </w:r>
      <w:r>
        <w:rPr>
          <w:rFonts w:cstheme="minorHAnsi"/>
        </w:rPr>
        <w:t>,</w:t>
      </w:r>
      <w:r w:rsidRPr="00AC4DCC">
        <w:rPr>
          <w:rFonts w:cstheme="minorHAnsi"/>
        </w:rPr>
        <w:t xml:space="preserve"> 95% CI</w:t>
      </w:r>
      <w:r>
        <w:rPr>
          <w:rFonts w:cstheme="minorHAnsi"/>
        </w:rPr>
        <w:t xml:space="preserve"> = </w:t>
      </w:r>
      <w:r w:rsidRPr="00AC4DCC">
        <w:rPr>
          <w:rFonts w:cstheme="minorHAnsi"/>
        </w:rPr>
        <w:t>1.19-1.27), and 29% (HR</w:t>
      </w:r>
      <w:r>
        <w:rPr>
          <w:rFonts w:cstheme="minorHAnsi"/>
        </w:rPr>
        <w:t xml:space="preserve"> = </w:t>
      </w:r>
      <w:r w:rsidRPr="00AC4DCC">
        <w:rPr>
          <w:rFonts w:cstheme="minorHAnsi"/>
        </w:rPr>
        <w:t>1.29</w:t>
      </w:r>
      <w:r>
        <w:rPr>
          <w:rFonts w:cstheme="minorHAnsi"/>
        </w:rPr>
        <w:t>,</w:t>
      </w:r>
      <w:r w:rsidRPr="00AC4DCC">
        <w:rPr>
          <w:rFonts w:cstheme="minorHAnsi"/>
        </w:rPr>
        <w:t xml:space="preserve"> 95% CI</w:t>
      </w:r>
      <w:r>
        <w:rPr>
          <w:rFonts w:cstheme="minorHAnsi"/>
        </w:rPr>
        <w:t xml:space="preserve"> = </w:t>
      </w:r>
      <w:r w:rsidRPr="00AC4DCC">
        <w:rPr>
          <w:rFonts w:cstheme="minorHAnsi"/>
        </w:rPr>
        <w:t>1.19-1.27) higher risk for hospital discharge than for permanent nursing home placement. The risk of death also increased significantly as therapy intensity decreased (HR</w:t>
      </w:r>
      <w:r>
        <w:rPr>
          <w:rFonts w:cstheme="minorHAnsi"/>
        </w:rPr>
        <w:t xml:space="preserve"> = </w:t>
      </w:r>
      <w:r w:rsidRPr="00AC4DCC">
        <w:rPr>
          <w:rFonts w:cstheme="minorHAnsi"/>
        </w:rPr>
        <w:t>1.407</w:t>
      </w:r>
      <w:r>
        <w:rPr>
          <w:rFonts w:cstheme="minorHAnsi"/>
        </w:rPr>
        <w:t>,</w:t>
      </w:r>
      <w:r w:rsidRPr="00AC4DCC">
        <w:rPr>
          <w:rFonts w:cstheme="minorHAnsi"/>
        </w:rPr>
        <w:t xml:space="preserve"> 95% CI</w:t>
      </w:r>
      <w:r>
        <w:rPr>
          <w:rFonts w:cstheme="minorHAnsi"/>
        </w:rPr>
        <w:t xml:space="preserve"> = </w:t>
      </w:r>
      <w:r w:rsidRPr="00AC4DCC">
        <w:rPr>
          <w:rFonts w:cstheme="minorHAnsi"/>
        </w:rPr>
        <w:t>1.32-1.45</w:t>
      </w:r>
      <w:r>
        <w:rPr>
          <w:rFonts w:cstheme="minorHAnsi"/>
        </w:rPr>
        <w:t>;</w:t>
      </w:r>
      <w:r w:rsidRPr="00AC4DCC">
        <w:rPr>
          <w:rFonts w:cstheme="minorHAnsi"/>
        </w:rPr>
        <w:t xml:space="preserve"> HR</w:t>
      </w:r>
      <w:r>
        <w:rPr>
          <w:rFonts w:cstheme="minorHAnsi"/>
        </w:rPr>
        <w:t xml:space="preserve"> = </w:t>
      </w:r>
      <w:r w:rsidRPr="00AC4DCC">
        <w:rPr>
          <w:rFonts w:cstheme="minorHAnsi"/>
        </w:rPr>
        <w:t>2.299</w:t>
      </w:r>
      <w:r>
        <w:rPr>
          <w:rFonts w:cstheme="minorHAnsi"/>
        </w:rPr>
        <w:t>,</w:t>
      </w:r>
      <w:r w:rsidRPr="00AC4DCC">
        <w:rPr>
          <w:rFonts w:cstheme="minorHAnsi"/>
        </w:rPr>
        <w:t xml:space="preserve"> 95% CI</w:t>
      </w:r>
      <w:r>
        <w:rPr>
          <w:rFonts w:cstheme="minorHAnsi"/>
        </w:rPr>
        <w:t xml:space="preserve"> = </w:t>
      </w:r>
      <w:r w:rsidRPr="00AC4DCC">
        <w:rPr>
          <w:rFonts w:cstheme="minorHAnsi"/>
        </w:rPr>
        <w:t>2.15-2.46</w:t>
      </w:r>
      <w:r>
        <w:rPr>
          <w:rFonts w:cstheme="minorHAnsi"/>
        </w:rPr>
        <w:t>;</w:t>
      </w:r>
      <w:r w:rsidRPr="00AC4DCC">
        <w:rPr>
          <w:rFonts w:cstheme="minorHAnsi"/>
        </w:rPr>
        <w:t xml:space="preserve"> and HR</w:t>
      </w:r>
      <w:r>
        <w:rPr>
          <w:rFonts w:cstheme="minorHAnsi"/>
        </w:rPr>
        <w:t xml:space="preserve"> =</w:t>
      </w:r>
      <w:r w:rsidRPr="00AC4DCC">
        <w:rPr>
          <w:rFonts w:cstheme="minorHAnsi"/>
        </w:rPr>
        <w:t xml:space="preserve"> 4.198, 95% CI</w:t>
      </w:r>
      <w:r>
        <w:rPr>
          <w:rFonts w:cstheme="minorHAnsi"/>
        </w:rPr>
        <w:t xml:space="preserve"> =</w:t>
      </w:r>
      <w:r w:rsidRPr="00AC4DCC">
        <w:rPr>
          <w:rFonts w:cstheme="minorHAnsi"/>
        </w:rPr>
        <w:t xml:space="preserve"> 3.89-4.52 for medium-high, medium-low, and low intensity groups, respectively). </w:t>
      </w:r>
      <w:r w:rsidRPr="00AC4DCC">
        <w:rPr>
          <w:rFonts w:cstheme="minorHAnsi"/>
          <w:color w:val="000000"/>
        </w:rPr>
        <w:t xml:space="preserve">For residents discharged home </w:t>
      </w:r>
      <w:r w:rsidRPr="00AC4DCC">
        <w:rPr>
          <w:rFonts w:cstheme="minorHAnsi"/>
        </w:rPr>
        <w:t>(n = 162,792)</w:t>
      </w:r>
      <w:r w:rsidRPr="00AC4DCC">
        <w:rPr>
          <w:rFonts w:cstheme="minorHAnsi"/>
          <w:color w:val="000000"/>
        </w:rPr>
        <w:t xml:space="preserve">, </w:t>
      </w:r>
      <w:r w:rsidRPr="00AC4DCC">
        <w:rPr>
          <w:rFonts w:cstheme="minorHAnsi"/>
        </w:rPr>
        <w:t xml:space="preserve">the mean SNF LOS increased as therapy intensity decreased from 35.6 ± </w:t>
      </w:r>
      <w:r w:rsidRPr="00AC4DCC">
        <w:rPr>
          <w:rFonts w:cstheme="minorHAnsi"/>
        </w:rPr>
        <w:lastRenderedPageBreak/>
        <w:t xml:space="preserve">24.2 days for the high intensity group to 45.3 ± 31.7 days for the low intensity group. Further, </w:t>
      </w:r>
      <w:r w:rsidRPr="00AC4DCC">
        <w:rPr>
          <w:rFonts w:cstheme="minorHAnsi"/>
          <w:color w:val="000000"/>
        </w:rPr>
        <w:t>Poisson regression modeling controlling for covariates and compared with the low intensity group, showed that SNF LOS was 5% shorter for the high intensity group (</w:t>
      </w:r>
      <w:r w:rsidRPr="00AC4DCC">
        <w:rPr>
          <w:rFonts w:cstheme="minorHAnsi"/>
          <w:i/>
          <w:color w:val="000000"/>
        </w:rPr>
        <w:t>p</w:t>
      </w:r>
      <w:r w:rsidRPr="00AC4DCC">
        <w:rPr>
          <w:rFonts w:cstheme="minorHAnsi"/>
          <w:color w:val="000000"/>
        </w:rPr>
        <w:t>&lt;.001), with an i</w:t>
      </w:r>
      <w:r w:rsidRPr="00AC4DCC">
        <w:rPr>
          <w:rFonts w:cstheme="minorHAnsi"/>
        </w:rPr>
        <w:t>ncident rate ratio of 0.95 (95% CI = 0.92-0.97). The high intensity group averaged 2 days less in the SNF compared with other intensity groups</w:t>
      </w:r>
      <w:r w:rsidRPr="00AC4DCC">
        <w:rPr>
          <w:rFonts w:cstheme="minorHAnsi"/>
          <w:color w:val="000000"/>
        </w:rPr>
        <w:t>.</w:t>
      </w:r>
      <w:r w:rsidRPr="00AC4DCC">
        <w:rPr>
          <w:rFonts w:cstheme="minorHAnsi"/>
        </w:rPr>
        <w:t xml:space="preserve"> The authors concluded that high intensity therapy was associated with desirable discharge outcomes and may shorten </w:t>
      </w:r>
      <w:r>
        <w:rPr>
          <w:rFonts w:cstheme="minorHAnsi"/>
        </w:rPr>
        <w:t>PAC</w:t>
      </w:r>
      <w:r w:rsidRPr="00AC4DCC">
        <w:rPr>
          <w:rFonts w:cstheme="minorHAnsi"/>
        </w:rPr>
        <w:t xml:space="preserve"> length of stay. [</w:t>
      </w:r>
      <w:r>
        <w:rPr>
          <w:rFonts w:cstheme="minorHAnsi"/>
        </w:rPr>
        <w:t>2</w:t>
      </w:r>
      <w:r w:rsidRPr="00AC4DCC">
        <w:rPr>
          <w:rFonts w:cstheme="minorHAnsi"/>
        </w:rPr>
        <w:t xml:space="preserve">] </w:t>
      </w:r>
    </w:p>
    <w:p w14:paraId="5DCC10FE" w14:textId="7E2910BA" w:rsidR="00834414" w:rsidRDefault="00834414" w:rsidP="00790034">
      <w:pPr>
        <w:ind w:left="0" w:firstLine="0"/>
      </w:pPr>
    </w:p>
    <w:p w14:paraId="0E858536" w14:textId="50FA02E3" w:rsidR="00D11A6D" w:rsidRDefault="00D11A6D" w:rsidP="00D11A6D">
      <w:pPr>
        <w:ind w:left="0" w:firstLine="0"/>
      </w:pPr>
      <w:r>
        <w:t xml:space="preserve">In another retrospective cohort study, Jung et al. </w:t>
      </w:r>
      <w:r w:rsidR="007F1693" w:rsidRPr="00036F89">
        <w:rPr>
          <w:rFonts w:cstheme="minorHAnsi"/>
        </w:rPr>
        <w:t>[</w:t>
      </w:r>
      <w:r w:rsidR="007F1693">
        <w:rPr>
          <w:rFonts w:cstheme="minorHAnsi"/>
        </w:rPr>
        <w:t>3</w:t>
      </w:r>
      <w:r w:rsidR="007F1693" w:rsidRPr="00036F89">
        <w:rPr>
          <w:rFonts w:cstheme="minorHAnsi"/>
        </w:rPr>
        <w:t>]</w:t>
      </w:r>
      <w:r w:rsidR="007F1693">
        <w:rPr>
          <w:rFonts w:cstheme="minorHAnsi"/>
        </w:rPr>
        <w:t xml:space="preserve"> </w:t>
      </w:r>
      <w:r>
        <w:t xml:space="preserve">examined the relationship between therapy intensity and </w:t>
      </w:r>
      <w:r w:rsidRPr="00036F89">
        <w:t>likelihood of discharge to home</w:t>
      </w:r>
      <w:r>
        <w:t xml:space="preserve"> in </w:t>
      </w:r>
      <w:r>
        <w:rPr>
          <w:rFonts w:ascii="Merriweather" w:hAnsi="Merriweather"/>
          <w:color w:val="2A2A2A"/>
          <w:lang w:val="en"/>
        </w:rPr>
        <w:t xml:space="preserve">481,908 </w:t>
      </w:r>
      <w:r w:rsidRPr="00036F89">
        <w:t xml:space="preserve">Medicare </w:t>
      </w:r>
      <w:r>
        <w:t>FFS residents</w:t>
      </w:r>
      <w:r w:rsidRPr="006A0942">
        <w:rPr>
          <w:rFonts w:ascii="Merriweather" w:hAnsi="Merriweather"/>
          <w:color w:val="2A2A2A"/>
          <w:lang w:val="en"/>
        </w:rPr>
        <w:t xml:space="preserve"> </w:t>
      </w:r>
      <w:r>
        <w:rPr>
          <w:rFonts w:ascii="Merriweather" w:hAnsi="Merriweather"/>
          <w:color w:val="2A2A2A"/>
          <w:lang w:val="en"/>
        </w:rPr>
        <w:t>admitted to 15,496 SNFs</w:t>
      </w:r>
      <w:r w:rsidRPr="00036F89">
        <w:t xml:space="preserve"> </w:t>
      </w:r>
      <w:r>
        <w:t xml:space="preserve">after </w:t>
      </w:r>
      <w:r w:rsidRPr="00036F89">
        <w:t>hip fracture</w:t>
      </w:r>
      <w:r>
        <w:t xml:space="preserve">. Therapy intensity included total physical, occupational, and speech and language therapy minutes, and was calculated as the </w:t>
      </w:r>
      <w:r>
        <w:rPr>
          <w:rFonts w:ascii="Merriweather" w:hAnsi="Merriweather"/>
          <w:color w:val="2A2A2A"/>
          <w:lang w:val="en"/>
        </w:rPr>
        <w:t>average quantity of therapy per week</w:t>
      </w:r>
      <w:r>
        <w:t>. P</w:t>
      </w:r>
      <w:r w:rsidRPr="00036F89">
        <w:t>atient</w:t>
      </w:r>
      <w:r>
        <w:t xml:space="preserve">-level </w:t>
      </w:r>
      <w:r w:rsidRPr="00036F89">
        <w:t xml:space="preserve">data </w:t>
      </w:r>
      <w:r>
        <w:t xml:space="preserve">were taken </w:t>
      </w:r>
      <w:r w:rsidRPr="00036F89">
        <w:t>from MDS and Medicare inpatient claims and facility-level data from OSCAR</w:t>
      </w:r>
      <w:r>
        <w:t>,</w:t>
      </w:r>
      <w:r w:rsidRPr="00036F89">
        <w:t xml:space="preserve"> for years 2000 through 2009. </w:t>
      </w:r>
      <w:r>
        <w:t>Multivariable linear r</w:t>
      </w:r>
      <w:r w:rsidRPr="00036F89">
        <w:t xml:space="preserve">egression </w:t>
      </w:r>
      <w:r>
        <w:rPr>
          <w:rFonts w:ascii="Merriweather" w:hAnsi="Merriweather"/>
          <w:color w:val="2A2A2A"/>
          <w:lang w:val="en"/>
        </w:rPr>
        <w:t>adjusting for patient characteristics and time-varying facility characteristics</w:t>
      </w:r>
      <w:r w:rsidRPr="00036F89">
        <w:t xml:space="preserve"> indicated that each additional hour of therapy per week was associated with a 3.1</w:t>
      </w:r>
      <w:r>
        <w:t xml:space="preserve"> </w:t>
      </w:r>
      <w:r w:rsidRPr="00036F89">
        <w:t>percentage-point (95% CI</w:t>
      </w:r>
      <w:r>
        <w:t xml:space="preserve"> = </w:t>
      </w:r>
      <w:r w:rsidRPr="00036F89">
        <w:t>3.0, 3.1)</w:t>
      </w:r>
      <w:r>
        <w:t xml:space="preserve"> increase in the likelihood</w:t>
      </w:r>
      <w:r w:rsidRPr="00036F89">
        <w:t xml:space="preserve"> of discharge to home. </w:t>
      </w:r>
      <w:r>
        <w:t>A</w:t>
      </w:r>
      <w:r>
        <w:rPr>
          <w:rFonts w:ascii="Merriweather" w:hAnsi="Merriweather"/>
          <w:color w:val="2A2A2A"/>
          <w:lang w:val="en"/>
        </w:rPr>
        <w:t>n additional hour of occupational therapy was associated with a 5.3 percentage-point (95% CI = 5.2, 5.4) increase in the likelihood of discharge to community, while an additional hour of physical therapy was associated with a 5.9 percentage-point (95% CI = 5.8, 6.1) increase in the likelihood of discharge to community. When examined by SNF LOS, an additional hour of therapy per week was associated with increases in the likelihood of discharge to home of 2.9 percentage points (95% CI = 2.8, 2.9), 3.0 percentage points (95% CI = 2.9, 3.1), and 3.0 percentage points (95% CI = 3.0, 3.1) for stays of up to 30, 60, and 90 days, respectively.</w:t>
      </w:r>
      <w:r w:rsidRPr="00036F89">
        <w:t xml:space="preserve"> </w:t>
      </w:r>
      <w:r>
        <w:rPr>
          <w:rFonts w:ascii="Merriweather" w:hAnsi="Merriweather"/>
          <w:color w:val="2A2A2A"/>
          <w:lang w:val="en"/>
        </w:rPr>
        <w:t>The effect of additional therapy decreased as the Resource Utilization Group (RUG) category increased, with additional therapy not benefiting patients in the highest RUG category, who had the highest impairment levels.</w:t>
      </w:r>
      <w:r w:rsidRPr="00080232">
        <w:rPr>
          <w:rFonts w:ascii="Merriweather" w:hAnsi="Merriweather"/>
          <w:color w:val="2A2A2A"/>
          <w:lang w:val="en"/>
        </w:rPr>
        <w:t xml:space="preserve"> </w:t>
      </w:r>
      <w:r>
        <w:t xml:space="preserve">The authors concluded that </w:t>
      </w:r>
      <w:r>
        <w:rPr>
          <w:rFonts w:ascii="Merriweather" w:hAnsi="Merriweather"/>
          <w:color w:val="2A2A2A"/>
          <w:lang w:val="en"/>
        </w:rPr>
        <w:t>increased therapy intensity was associated with a larger proportion of patients being discharged to home, suggesting better post-acute outcomes, except for patients with the highest impairment levels.</w:t>
      </w:r>
      <w:r w:rsidRPr="00036F89" w:rsidDel="00A05002">
        <w:t xml:space="preserve"> </w:t>
      </w:r>
      <w:r w:rsidRPr="00036F89">
        <w:rPr>
          <w:rFonts w:cstheme="minorHAnsi"/>
        </w:rPr>
        <w:t>[</w:t>
      </w:r>
      <w:r>
        <w:rPr>
          <w:rFonts w:cstheme="minorHAnsi"/>
        </w:rPr>
        <w:t>3</w:t>
      </w:r>
      <w:r w:rsidRPr="00036F89">
        <w:rPr>
          <w:rFonts w:cstheme="minorHAnsi"/>
        </w:rPr>
        <w:t>]</w:t>
      </w:r>
    </w:p>
    <w:p w14:paraId="606096DA" w14:textId="77777777" w:rsidR="00CB53AD" w:rsidRDefault="00CB53AD" w:rsidP="00790034">
      <w:pPr>
        <w:ind w:left="0" w:firstLine="0"/>
      </w:pPr>
      <w:bookmarkStart w:id="18" w:name="_Hlk532835123"/>
    </w:p>
    <w:p w14:paraId="34521FA1" w14:textId="77777777" w:rsidR="00D8684D" w:rsidRPr="00120248" w:rsidRDefault="00D8684D" w:rsidP="00D8684D">
      <w:pPr>
        <w:ind w:left="0" w:firstLine="0"/>
        <w:rPr>
          <w:rFonts w:cstheme="minorHAnsi"/>
        </w:rPr>
      </w:pPr>
      <w:proofErr w:type="spellStart"/>
      <w:r w:rsidRPr="00475384">
        <w:rPr>
          <w:rFonts w:cstheme="minorHAnsi"/>
        </w:rPr>
        <w:t>Schweickert</w:t>
      </w:r>
      <w:proofErr w:type="spellEnd"/>
      <w:r w:rsidRPr="00475384">
        <w:rPr>
          <w:rFonts w:cstheme="minorHAnsi"/>
        </w:rPr>
        <w:t xml:space="preserve"> et al. [4] conducted a randomized controlled trial of physical and occupational therapy in 104 patients receiving mechanical ventilation in medical intensive care in two Midwest medical centers. Intervention group patients (n = 49) received </w:t>
      </w:r>
      <w:r w:rsidRPr="00475384">
        <w:rPr>
          <w:rFonts w:cstheme="minorHAnsi"/>
          <w:lang w:val="en"/>
        </w:rPr>
        <w:t xml:space="preserve">early exercise and mobilization (physical and occupational therapy) during periods of daily interruption of sedation, while control group patients (n = 55) received daily interruption of sedation and standard care with physical and occupational therapy as ordered by the primary care team. Blinded therapists </w:t>
      </w:r>
      <w:r w:rsidRPr="00475384">
        <w:rPr>
          <w:rFonts w:cstheme="minorHAnsi"/>
        </w:rPr>
        <w:t xml:space="preserve">functionally assessed patients at discharge based on the ability to perform six activities of daily living and walk independently. Using intention-to-treat analysis, the authors reported </w:t>
      </w:r>
      <w:r w:rsidRPr="00475384">
        <w:rPr>
          <w:rFonts w:eastAsia="ScalaLancetPro" w:cstheme="minorHAnsi"/>
          <w:color w:val="231F20"/>
        </w:rPr>
        <w:t xml:space="preserve">higher discharge to home rates in intervention patients (43%) </w:t>
      </w:r>
      <w:r w:rsidRPr="00475384">
        <w:rPr>
          <w:rFonts w:eastAsia="ScalaLancetPro" w:cstheme="minorHAnsi"/>
          <w:iCs/>
          <w:color w:val="231F20"/>
        </w:rPr>
        <w:t>compared with</w:t>
      </w:r>
      <w:r w:rsidRPr="00475384">
        <w:rPr>
          <w:rFonts w:eastAsia="ScalaLancetPro" w:cstheme="minorHAnsi"/>
          <w:i/>
          <w:iCs/>
          <w:color w:val="231F20"/>
        </w:rPr>
        <w:t xml:space="preserve"> </w:t>
      </w:r>
      <w:r w:rsidRPr="00475384">
        <w:rPr>
          <w:rFonts w:eastAsia="ScalaLancetPro" w:cstheme="minorHAnsi"/>
          <w:color w:val="231F20"/>
        </w:rPr>
        <w:t>controls (24%) for comparison of home discharge to all other possible locations for group comparison</w:t>
      </w:r>
      <w:r>
        <w:rPr>
          <w:rFonts w:eastAsia="ScalaLancetPro" w:cstheme="minorHAnsi"/>
          <w:color w:val="231F20"/>
        </w:rPr>
        <w:t xml:space="preserve"> </w:t>
      </w:r>
      <w:r w:rsidRPr="00475384">
        <w:rPr>
          <w:rFonts w:eastAsia="ScalaLancetPro" w:cstheme="minorHAnsi"/>
          <w:color w:val="231F20"/>
        </w:rPr>
        <w:t>(</w:t>
      </w:r>
      <w:r w:rsidRPr="00475384">
        <w:rPr>
          <w:rFonts w:eastAsia="ScalaLancetPro" w:cstheme="minorHAnsi"/>
          <w:i/>
          <w:color w:val="231F20"/>
        </w:rPr>
        <w:t>p</w:t>
      </w:r>
      <w:r w:rsidRPr="00475384">
        <w:rPr>
          <w:rFonts w:eastAsia="ScalaLancetPro" w:cstheme="minorHAnsi"/>
          <w:color w:val="231F20"/>
        </w:rPr>
        <w:t>=</w:t>
      </w:r>
      <w:r>
        <w:rPr>
          <w:rFonts w:eastAsia="ScalaLancetPro" w:cstheme="minorHAnsi"/>
          <w:color w:val="231F20"/>
        </w:rPr>
        <w:t>0.06</w:t>
      </w:r>
      <w:r w:rsidRPr="00475384">
        <w:rPr>
          <w:rFonts w:eastAsia="ScalaLancetPro" w:cstheme="minorHAnsi"/>
          <w:color w:val="231F20"/>
        </w:rPr>
        <w:t xml:space="preserve">). </w:t>
      </w:r>
      <w:r w:rsidRPr="00475384">
        <w:rPr>
          <w:rFonts w:cstheme="minorHAnsi"/>
          <w:lang w:val="en"/>
        </w:rPr>
        <w:t>Return to independent functional status at hospital discharge occurred in 59% of intervention patients compared with 35% of controls (</w:t>
      </w:r>
      <w:r w:rsidRPr="00475384">
        <w:rPr>
          <w:rFonts w:cstheme="minorHAnsi"/>
          <w:i/>
          <w:lang w:val="en"/>
        </w:rPr>
        <w:t>p</w:t>
      </w:r>
      <w:r w:rsidRPr="00475384">
        <w:rPr>
          <w:rFonts w:cstheme="minorHAnsi"/>
          <w:lang w:val="en"/>
        </w:rPr>
        <w:t>=0.02; odds ratio (OR) = 2.7 [95% CI</w:t>
      </w:r>
      <w:r>
        <w:rPr>
          <w:rFonts w:cstheme="minorHAnsi"/>
          <w:lang w:val="en"/>
        </w:rPr>
        <w:t xml:space="preserve"> =</w:t>
      </w:r>
      <w:r w:rsidRPr="00475384">
        <w:rPr>
          <w:rFonts w:cstheme="minorHAnsi"/>
          <w:lang w:val="en"/>
        </w:rPr>
        <w:t xml:space="preserve"> 1.2-6.1]). </w:t>
      </w:r>
      <w:r>
        <w:rPr>
          <w:rFonts w:cstheme="minorHAnsi"/>
          <w:lang w:val="en"/>
        </w:rPr>
        <w:t>Other important outcomes included</w:t>
      </w:r>
      <w:r w:rsidRPr="00475384">
        <w:rPr>
          <w:rFonts w:cstheme="minorHAnsi"/>
          <w:lang w:val="en"/>
        </w:rPr>
        <w:t xml:space="preserve"> shorter median duration of delirium (2 vs. 4 days; </w:t>
      </w:r>
      <w:r w:rsidRPr="00475384">
        <w:rPr>
          <w:rFonts w:cstheme="minorHAnsi"/>
          <w:i/>
          <w:lang w:val="en"/>
        </w:rPr>
        <w:t>p</w:t>
      </w:r>
      <w:r w:rsidRPr="00475384">
        <w:rPr>
          <w:rFonts w:cstheme="minorHAnsi"/>
          <w:lang w:val="en"/>
        </w:rPr>
        <w:t xml:space="preserve">=0.02), and more median ventilator-free days (23.5 vs. 21.1; </w:t>
      </w:r>
      <w:r w:rsidRPr="00475384">
        <w:rPr>
          <w:rFonts w:cstheme="minorHAnsi"/>
          <w:i/>
          <w:lang w:val="en"/>
        </w:rPr>
        <w:t>p</w:t>
      </w:r>
      <w:r w:rsidRPr="00475384">
        <w:rPr>
          <w:rFonts w:cstheme="minorHAnsi"/>
          <w:lang w:val="en"/>
        </w:rPr>
        <w:t xml:space="preserve">=0.05) during the 28-day follow-up period </w:t>
      </w:r>
      <w:r>
        <w:rPr>
          <w:rFonts w:cstheme="minorHAnsi"/>
          <w:lang w:val="en"/>
        </w:rPr>
        <w:t xml:space="preserve">in intervention patients </w:t>
      </w:r>
      <w:r w:rsidRPr="00475384">
        <w:rPr>
          <w:rFonts w:cstheme="minorHAnsi"/>
          <w:lang w:val="en"/>
        </w:rPr>
        <w:t>than controls. The authors concluded that a strategy for whole-body rehabilitation-consisting of interruption of sedation,</w:t>
      </w:r>
      <w:r w:rsidRPr="00475384">
        <w:rPr>
          <w:rFonts w:eastAsia="ScalaLancetPro" w:cstheme="minorHAnsi"/>
          <w:color w:val="231F20"/>
        </w:rPr>
        <w:t xml:space="preserve"> protocol-driven spontaneous breathing trials,</w:t>
      </w:r>
      <w:r w:rsidRPr="00475384">
        <w:rPr>
          <w:rFonts w:cstheme="minorHAnsi"/>
          <w:lang w:val="en"/>
        </w:rPr>
        <w:t xml:space="preserve"> and physical and occupational therapy in the earliest days of critical illness</w:t>
      </w:r>
      <w:r>
        <w:rPr>
          <w:rFonts w:cstheme="minorHAnsi"/>
          <w:lang w:val="en"/>
        </w:rPr>
        <w:t xml:space="preserve"> </w:t>
      </w:r>
      <w:r w:rsidRPr="00475384">
        <w:rPr>
          <w:rFonts w:cstheme="minorHAnsi"/>
          <w:lang w:val="en"/>
        </w:rPr>
        <w:t>was safe and well</w:t>
      </w:r>
      <w:r>
        <w:rPr>
          <w:rFonts w:cstheme="minorHAnsi"/>
          <w:lang w:val="en"/>
        </w:rPr>
        <w:t>-</w:t>
      </w:r>
      <w:r w:rsidRPr="00475384">
        <w:rPr>
          <w:rFonts w:cstheme="minorHAnsi"/>
          <w:lang w:val="en"/>
        </w:rPr>
        <w:t>tolerated, and resulted in better functional outcomes at hospital discharge, a shorter duration of delirium, and more ventilator-free days compared with standard care.</w:t>
      </w:r>
      <w:r w:rsidRPr="00120248">
        <w:rPr>
          <w:rFonts w:cstheme="minorHAnsi"/>
        </w:rPr>
        <w:t xml:space="preserve"> [4]</w:t>
      </w:r>
    </w:p>
    <w:p w14:paraId="222C37BB" w14:textId="03D347D7" w:rsidR="00CB53AD" w:rsidRDefault="00CB53AD" w:rsidP="00790034">
      <w:pPr>
        <w:ind w:left="0" w:firstLine="0"/>
      </w:pPr>
    </w:p>
    <w:p w14:paraId="6C12D8FD" w14:textId="5921809A" w:rsidR="00355476" w:rsidRDefault="00355476" w:rsidP="00355476">
      <w:pPr>
        <w:ind w:left="0" w:firstLine="0"/>
      </w:pPr>
      <w:r w:rsidRPr="006435B9">
        <w:t>Length of stay</w:t>
      </w:r>
      <w:r>
        <w:t xml:space="preserve"> (LOS)</w:t>
      </w:r>
      <w:r w:rsidRPr="006435B9">
        <w:t xml:space="preserve"> is an</w:t>
      </w:r>
      <w:r>
        <w:t>other</w:t>
      </w:r>
      <w:r w:rsidRPr="006435B9">
        <w:t xml:space="preserve"> important variable that can impact discharge to community rates. </w:t>
      </w:r>
      <w:proofErr w:type="spellStart"/>
      <w:r>
        <w:t>Camicia</w:t>
      </w:r>
      <w:proofErr w:type="spellEnd"/>
      <w:r>
        <w:t xml:space="preserve"> et al.</w:t>
      </w:r>
      <w:r w:rsidR="007F1693">
        <w:t xml:space="preserve"> </w:t>
      </w:r>
      <w:r w:rsidR="007F1693" w:rsidRPr="000C06B4">
        <w:t>[</w:t>
      </w:r>
      <w:r w:rsidR="007F1693">
        <w:t>5</w:t>
      </w:r>
      <w:r w:rsidR="007F1693" w:rsidRPr="000C06B4">
        <w:t>]</w:t>
      </w:r>
      <w:r>
        <w:t xml:space="preserve"> examined the relationship between IRF LOS and discharge to community outcomes in a </w:t>
      </w:r>
      <w:r>
        <w:lastRenderedPageBreak/>
        <w:t>r</w:t>
      </w:r>
      <w:r w:rsidRPr="0034597A">
        <w:t>etrospective cohort analysis</w:t>
      </w:r>
      <w:r>
        <w:t xml:space="preserve"> of </w:t>
      </w:r>
      <w:r w:rsidRPr="0034597A">
        <w:t>4,781</w:t>
      </w:r>
      <w:r>
        <w:t xml:space="preserve"> IRF </w:t>
      </w:r>
      <w:r w:rsidRPr="0034597A">
        <w:t>patients</w:t>
      </w:r>
      <w:r>
        <w:t xml:space="preserve"> with stroke</w:t>
      </w:r>
      <w:r w:rsidRPr="0034597A">
        <w:t xml:space="preserve"> </w:t>
      </w:r>
      <w:r>
        <w:t xml:space="preserve">between 2009 and 2011, based on random sampling of 2% of all stroke patients during the time period, using </w:t>
      </w:r>
      <w:r w:rsidRPr="00247D88">
        <w:rPr>
          <w:rFonts w:cstheme="minorHAnsi"/>
          <w:lang w:val="en"/>
        </w:rPr>
        <w:t>Uniform Data System for Medical Rehabilitation</w:t>
      </w:r>
      <w:r w:rsidRPr="00243803">
        <w:rPr>
          <w:rFonts w:cstheme="minorHAnsi"/>
        </w:rPr>
        <w:t xml:space="preserve"> </w:t>
      </w:r>
      <w:r>
        <w:rPr>
          <w:rFonts w:cstheme="minorHAnsi"/>
        </w:rPr>
        <w:t>(</w:t>
      </w:r>
      <w:r w:rsidRPr="00243803">
        <w:rPr>
          <w:rFonts w:cstheme="minorHAnsi"/>
        </w:rPr>
        <w:t>UDSMR</w:t>
      </w:r>
      <w:r>
        <w:rPr>
          <w:rFonts w:cstheme="minorHAnsi"/>
        </w:rPr>
        <w:t>)</w:t>
      </w:r>
      <w:r w:rsidRPr="00243803">
        <w:rPr>
          <w:rFonts w:cstheme="minorHAnsi"/>
        </w:rPr>
        <w:t xml:space="preserve"> </w:t>
      </w:r>
      <w:r>
        <w:t xml:space="preserve">data. After adjusting for admission functional status and other patient factors, </w:t>
      </w:r>
      <w:r w:rsidRPr="000C06B4">
        <w:t xml:space="preserve">IRF </w:t>
      </w:r>
      <w:r>
        <w:t xml:space="preserve">LOS </w:t>
      </w:r>
      <w:r w:rsidRPr="000C06B4">
        <w:t xml:space="preserve">was positively associated with functional gains and likelihood of </w:t>
      </w:r>
      <w:r>
        <w:t xml:space="preserve">discharge to community </w:t>
      </w:r>
      <w:r w:rsidRPr="000C06B4">
        <w:t xml:space="preserve"> among severely impaired patients (OR = 1.010, 95% CI = 0.999–1.021), but negative</w:t>
      </w:r>
      <w:r>
        <w:t>ly associated</w:t>
      </w:r>
      <w:r w:rsidRPr="000C06B4">
        <w:t xml:space="preserve"> </w:t>
      </w:r>
      <w:r>
        <w:t>with the likelihood of discharge to community</w:t>
      </w:r>
      <w:r w:rsidRPr="000C06B4">
        <w:t xml:space="preserve"> for mild</w:t>
      </w:r>
      <w:r>
        <w:t>ly</w:t>
      </w:r>
      <w:r w:rsidRPr="000C06B4">
        <w:t xml:space="preserve"> (OR = 0.905, 95% CI = 0.839–0.976) and moderately (OR = 0.943, 95% CI = 0.924–0.962) impaired patients</w:t>
      </w:r>
      <w:r>
        <w:t>.</w:t>
      </w:r>
      <w:r w:rsidRPr="000C06B4">
        <w:t xml:space="preserve"> </w:t>
      </w:r>
      <w:r w:rsidR="00D244DA" w:rsidRPr="000C06B4">
        <w:t>[</w:t>
      </w:r>
      <w:r w:rsidR="00D244DA">
        <w:t>5</w:t>
      </w:r>
      <w:r w:rsidR="00D244DA" w:rsidRPr="000C06B4">
        <w:t>]</w:t>
      </w:r>
      <w:r w:rsidR="00D244DA">
        <w:t xml:space="preserve"> </w:t>
      </w:r>
      <w:r>
        <w:t>Thus, optimizing IRF LOS based on patient severity and needs is important to improve discharge to community outcomes</w:t>
      </w:r>
      <w:r w:rsidRPr="000C06B4">
        <w:t>.</w:t>
      </w:r>
      <w:r>
        <w:t xml:space="preserve"> </w:t>
      </w:r>
    </w:p>
    <w:p w14:paraId="0BCF9F1C" w14:textId="77777777" w:rsidR="000E3517" w:rsidRDefault="000E3517" w:rsidP="00790034">
      <w:pPr>
        <w:ind w:left="0" w:firstLine="0"/>
      </w:pPr>
      <w:bookmarkStart w:id="19" w:name="_Hlk532835997"/>
      <w:bookmarkStart w:id="20" w:name="_Hlk532818322"/>
      <w:bookmarkStart w:id="21" w:name="_Hlk532798459"/>
      <w:bookmarkEnd w:id="18"/>
    </w:p>
    <w:p w14:paraId="30CD5917" w14:textId="39DF58C2" w:rsidR="00573317" w:rsidRPr="00056B18" w:rsidRDefault="00573317" w:rsidP="00573317">
      <w:pPr>
        <w:ind w:left="0" w:firstLine="0"/>
      </w:pPr>
      <w:bookmarkStart w:id="22" w:name="_Hlk532854280"/>
      <w:r>
        <w:rPr>
          <w:rFonts w:cstheme="minorHAnsi"/>
        </w:rPr>
        <w:t>F</w:t>
      </w:r>
      <w:r w:rsidRPr="009D7FA7">
        <w:rPr>
          <w:rFonts w:cstheme="minorHAnsi"/>
        </w:rPr>
        <w:t>unctional status has been observed to be associated with discharge destination, including discharge to home</w:t>
      </w:r>
      <w:r>
        <w:rPr>
          <w:rFonts w:cstheme="minorHAnsi"/>
        </w:rPr>
        <w:t xml:space="preserve">. For example, Thrush et al. </w:t>
      </w:r>
      <w:r w:rsidRPr="009D7FA7">
        <w:rPr>
          <w:rFonts w:cstheme="minorHAnsi"/>
        </w:rPr>
        <w:t>[</w:t>
      </w:r>
      <w:r>
        <w:rPr>
          <w:rFonts w:cstheme="minorHAnsi"/>
        </w:rPr>
        <w:t>6</w:t>
      </w:r>
      <w:r w:rsidRPr="009D7FA7">
        <w:rPr>
          <w:rFonts w:cstheme="minorHAnsi"/>
        </w:rPr>
        <w:t xml:space="preserve">] </w:t>
      </w:r>
      <w:r>
        <w:rPr>
          <w:rFonts w:cstheme="minorHAnsi"/>
        </w:rPr>
        <w:t xml:space="preserve">examined the relationship between functional status and discharge outcomes based on data collected from </w:t>
      </w:r>
      <w:r w:rsidRPr="00D063F8">
        <w:rPr>
          <w:rFonts w:cstheme="minorHAnsi"/>
        </w:rPr>
        <w:t>101</w:t>
      </w:r>
      <w:r>
        <w:rPr>
          <w:rFonts w:cstheme="minorHAnsi"/>
        </w:rPr>
        <w:t xml:space="preserve"> LTCH patients in a </w:t>
      </w:r>
      <w:r w:rsidRPr="00D063F8">
        <w:rPr>
          <w:rFonts w:cstheme="minorHAnsi"/>
        </w:rPr>
        <w:t>38-bed LT</w:t>
      </w:r>
      <w:r>
        <w:rPr>
          <w:rFonts w:cstheme="minorHAnsi"/>
        </w:rPr>
        <w:t>C</w:t>
      </w:r>
      <w:r w:rsidRPr="00D063F8">
        <w:rPr>
          <w:rFonts w:cstheme="minorHAnsi"/>
        </w:rPr>
        <w:t>H over 8 months</w:t>
      </w:r>
      <w:r>
        <w:rPr>
          <w:rFonts w:cstheme="minorHAnsi"/>
        </w:rPr>
        <w:t>,</w:t>
      </w:r>
      <w:r w:rsidRPr="00D063F8">
        <w:rPr>
          <w:rFonts w:cstheme="minorHAnsi"/>
        </w:rPr>
        <w:t xml:space="preserve"> beginning in September 2010</w:t>
      </w:r>
      <w:r>
        <w:rPr>
          <w:rFonts w:cstheme="minorHAnsi"/>
        </w:rPr>
        <w:t xml:space="preserve">. </w:t>
      </w:r>
      <w:r w:rsidRPr="009D7FA7">
        <w:rPr>
          <w:rFonts w:cstheme="minorHAnsi"/>
        </w:rPr>
        <w:t>F</w:t>
      </w:r>
      <w:r w:rsidRPr="009D7FA7">
        <w:rPr>
          <w:rFonts w:cstheme="minorHAnsi"/>
          <w:color w:val="000000"/>
          <w:shd w:val="clear" w:color="auto" w:fill="FFFFFF"/>
        </w:rPr>
        <w:t xml:space="preserve">unctional </w:t>
      </w:r>
      <w:r>
        <w:rPr>
          <w:rFonts w:cstheme="minorHAnsi"/>
          <w:color w:val="000000"/>
          <w:shd w:val="clear" w:color="auto" w:fill="FFFFFF"/>
        </w:rPr>
        <w:t>s</w:t>
      </w:r>
      <w:r w:rsidRPr="009D7FA7">
        <w:rPr>
          <w:rFonts w:cstheme="minorHAnsi"/>
          <w:color w:val="000000"/>
          <w:shd w:val="clear" w:color="auto" w:fill="FFFFFF"/>
        </w:rPr>
        <w:t>tatus</w:t>
      </w:r>
      <w:r>
        <w:rPr>
          <w:rFonts w:cstheme="minorHAnsi"/>
          <w:color w:val="000000"/>
          <w:shd w:val="clear" w:color="auto" w:fill="FFFFFF"/>
        </w:rPr>
        <w:t xml:space="preserve"> was measured based upon the</w:t>
      </w:r>
      <w:r w:rsidRPr="009D7FA7">
        <w:rPr>
          <w:rFonts w:cstheme="minorHAnsi"/>
          <w:color w:val="000000"/>
          <w:shd w:val="clear" w:color="auto" w:fill="FFFFFF"/>
        </w:rPr>
        <w:t xml:space="preserve"> </w:t>
      </w:r>
      <w:r w:rsidRPr="009D7FA7">
        <w:rPr>
          <w:rFonts w:cstheme="minorHAnsi"/>
        </w:rPr>
        <w:t>F</w:t>
      </w:r>
      <w:r w:rsidRPr="009D7FA7">
        <w:rPr>
          <w:rFonts w:cstheme="minorHAnsi"/>
          <w:color w:val="000000"/>
          <w:shd w:val="clear" w:color="auto" w:fill="FFFFFF"/>
        </w:rPr>
        <w:t>unctional Status Score for the Intensive Care Unit (FSS-ICU)</w:t>
      </w:r>
      <w:r>
        <w:rPr>
          <w:rFonts w:cstheme="minorHAnsi"/>
          <w:color w:val="000000"/>
          <w:shd w:val="clear" w:color="auto" w:fill="FFFFFF"/>
        </w:rPr>
        <w:t xml:space="preserve">, which contains five functional activities scored using a seven-point system, resulting in a score range from 0 to 35; FSS-ICU has been used in both the ICU and LTCH setting. </w:t>
      </w:r>
      <w:r w:rsidRPr="009D7FA7">
        <w:rPr>
          <w:rFonts w:cstheme="minorHAnsi"/>
          <w:color w:val="000000"/>
          <w:shd w:val="clear" w:color="auto" w:fill="FFFFFF"/>
        </w:rPr>
        <w:t>FSS-ICU</w:t>
      </w:r>
      <w:r>
        <w:rPr>
          <w:rFonts w:cstheme="minorHAnsi"/>
          <w:color w:val="000000"/>
          <w:shd w:val="clear" w:color="auto" w:fill="FFFFFF"/>
        </w:rPr>
        <w:t xml:space="preserve"> scores were significantly higher for those discharged home (score = 28) compared to those discharged to a </w:t>
      </w:r>
      <w:r w:rsidRPr="009D7FA7">
        <w:rPr>
          <w:rFonts w:cstheme="minorHAnsi"/>
          <w:color w:val="000000"/>
          <w:shd w:val="clear" w:color="auto" w:fill="FFFFFF"/>
        </w:rPr>
        <w:t>long-term care/hospice/expired</w:t>
      </w:r>
      <w:r>
        <w:rPr>
          <w:rFonts w:cstheme="minorHAnsi"/>
          <w:color w:val="000000"/>
          <w:shd w:val="clear" w:color="auto" w:fill="FFFFFF"/>
        </w:rPr>
        <w:t xml:space="preserve"> (score = </w:t>
      </w:r>
      <w:r w:rsidRPr="009D7FA7">
        <w:rPr>
          <w:rFonts w:cstheme="minorHAnsi"/>
          <w:color w:val="000000"/>
          <w:shd w:val="clear" w:color="auto" w:fill="FFFFFF"/>
        </w:rPr>
        <w:t>5</w:t>
      </w:r>
      <w:r>
        <w:rPr>
          <w:rFonts w:cstheme="minorHAnsi"/>
          <w:color w:val="000000"/>
          <w:shd w:val="clear" w:color="auto" w:fill="FFFFFF"/>
        </w:rPr>
        <w:t>) or t</w:t>
      </w:r>
      <w:r w:rsidRPr="009D7FA7">
        <w:rPr>
          <w:rFonts w:cstheme="minorHAnsi"/>
          <w:color w:val="000000"/>
          <w:shd w:val="clear" w:color="auto" w:fill="FFFFFF"/>
        </w:rPr>
        <w:t>ransfer</w:t>
      </w:r>
      <w:r>
        <w:rPr>
          <w:rFonts w:cstheme="minorHAnsi"/>
          <w:color w:val="000000"/>
          <w:shd w:val="clear" w:color="auto" w:fill="FFFFFF"/>
        </w:rPr>
        <w:t>red</w:t>
      </w:r>
      <w:r w:rsidRPr="009D7FA7">
        <w:rPr>
          <w:rFonts w:cstheme="minorHAnsi"/>
          <w:color w:val="000000"/>
          <w:shd w:val="clear" w:color="auto" w:fill="FFFFFF"/>
        </w:rPr>
        <w:t xml:space="preserve"> to a short-stay hospital</w:t>
      </w:r>
      <w:r>
        <w:rPr>
          <w:rFonts w:cstheme="minorHAnsi"/>
          <w:color w:val="000000"/>
          <w:shd w:val="clear" w:color="auto" w:fill="FFFFFF"/>
        </w:rPr>
        <w:t xml:space="preserve"> (score = 4)</w:t>
      </w:r>
      <w:r w:rsidR="000D59CB">
        <w:rPr>
          <w:rFonts w:cstheme="minorHAnsi"/>
          <w:color w:val="000000"/>
          <w:shd w:val="clear" w:color="auto" w:fill="FFFFFF"/>
        </w:rPr>
        <w:t xml:space="preserve"> (</w:t>
      </w:r>
      <w:r w:rsidR="000D59CB" w:rsidRPr="00A03DB3">
        <w:rPr>
          <w:rFonts w:cstheme="minorHAnsi"/>
          <w:i/>
          <w:color w:val="000000"/>
          <w:shd w:val="clear" w:color="auto" w:fill="FFFFFF"/>
        </w:rPr>
        <w:t>p</w:t>
      </w:r>
      <w:r w:rsidR="000D59CB">
        <w:rPr>
          <w:rFonts w:cstheme="minorHAnsi"/>
          <w:color w:val="000000"/>
          <w:shd w:val="clear" w:color="auto" w:fill="FFFFFF"/>
        </w:rPr>
        <w:t>&lt;0.001)</w:t>
      </w:r>
      <w:r>
        <w:rPr>
          <w:rFonts w:cstheme="minorHAnsi"/>
          <w:color w:val="000000"/>
          <w:shd w:val="clear" w:color="auto" w:fill="FFFFFF"/>
        </w:rPr>
        <w:t>.</w:t>
      </w:r>
      <w:r w:rsidR="0075621E" w:rsidRPr="0075621E">
        <w:rPr>
          <w:rFonts w:cstheme="minorHAnsi"/>
        </w:rPr>
        <w:t xml:space="preserve"> </w:t>
      </w:r>
      <w:r w:rsidR="0075621E" w:rsidRPr="009D7FA7">
        <w:rPr>
          <w:rFonts w:cstheme="minorHAnsi"/>
        </w:rPr>
        <w:t>[</w:t>
      </w:r>
      <w:r w:rsidR="0075621E">
        <w:rPr>
          <w:rFonts w:cstheme="minorHAnsi"/>
        </w:rPr>
        <w:t>6</w:t>
      </w:r>
      <w:r w:rsidR="0075621E" w:rsidRPr="009D7FA7">
        <w:rPr>
          <w:rFonts w:cstheme="minorHAnsi"/>
        </w:rPr>
        <w:t>]</w:t>
      </w:r>
      <w:r>
        <w:rPr>
          <w:rFonts w:cstheme="minorHAnsi"/>
          <w:color w:val="000000"/>
          <w:shd w:val="clear" w:color="auto" w:fill="FFFFFF"/>
        </w:rPr>
        <w:t xml:space="preserve"> These findings suggest that interventions aimed at improving functional status could help improve discharge to community outcomes. </w:t>
      </w:r>
    </w:p>
    <w:bookmarkEnd w:id="19"/>
    <w:bookmarkEnd w:id="22"/>
    <w:p w14:paraId="515082A3" w14:textId="269327C7" w:rsidR="00FD0C61" w:rsidRDefault="00FD0C61" w:rsidP="00790034">
      <w:pPr>
        <w:ind w:left="0" w:firstLine="0"/>
        <w:rPr>
          <w:rFonts w:cstheme="minorHAnsi"/>
        </w:rPr>
      </w:pPr>
    </w:p>
    <w:p w14:paraId="11810DC1" w14:textId="2CFBC02F" w:rsidR="00604773" w:rsidRPr="00247D88" w:rsidRDefault="00604773" w:rsidP="00604773">
      <w:pPr>
        <w:ind w:left="0" w:firstLine="0"/>
        <w:rPr>
          <w:rFonts w:cstheme="minorHAnsi"/>
        </w:rPr>
      </w:pPr>
      <w:r>
        <w:rPr>
          <w:rFonts w:cstheme="minorHAnsi"/>
        </w:rPr>
        <w:t xml:space="preserve">Using an </w:t>
      </w:r>
      <w:r w:rsidRPr="00247D88">
        <w:rPr>
          <w:rFonts w:cstheme="minorHAnsi"/>
        </w:rPr>
        <w:t>observational stud</w:t>
      </w:r>
      <w:r>
        <w:rPr>
          <w:rFonts w:cstheme="minorHAnsi"/>
        </w:rPr>
        <w:t>y design</w:t>
      </w:r>
      <w:r w:rsidRPr="00247D88">
        <w:rPr>
          <w:rFonts w:cstheme="minorHAnsi"/>
        </w:rPr>
        <w:t xml:space="preserve">, Kushner et al. </w:t>
      </w:r>
      <w:r w:rsidR="00314D52" w:rsidRPr="00247D88">
        <w:rPr>
          <w:rFonts w:cstheme="minorHAnsi"/>
        </w:rPr>
        <w:t>[</w:t>
      </w:r>
      <w:r w:rsidR="00314D52">
        <w:rPr>
          <w:rFonts w:cstheme="minorHAnsi"/>
        </w:rPr>
        <w:t>7</w:t>
      </w:r>
      <w:r w:rsidR="00314D52" w:rsidRPr="00247D88">
        <w:rPr>
          <w:rFonts w:cstheme="minorHAnsi"/>
        </w:rPr>
        <w:t>,</w:t>
      </w:r>
      <w:r w:rsidR="00314D52">
        <w:rPr>
          <w:rFonts w:cstheme="minorHAnsi"/>
        </w:rPr>
        <w:t>8</w:t>
      </w:r>
      <w:r w:rsidR="00314D52" w:rsidRPr="00247D88">
        <w:rPr>
          <w:rFonts w:cstheme="minorHAnsi"/>
        </w:rPr>
        <w:t>,</w:t>
      </w:r>
      <w:r w:rsidR="00314D52">
        <w:rPr>
          <w:rFonts w:cstheme="minorHAnsi"/>
        </w:rPr>
        <w:t>9</w:t>
      </w:r>
      <w:r w:rsidR="00314D52" w:rsidRPr="00247D88">
        <w:rPr>
          <w:rFonts w:cstheme="minorHAnsi"/>
        </w:rPr>
        <w:t>]</w:t>
      </w:r>
      <w:r w:rsidR="00314D52">
        <w:rPr>
          <w:rFonts w:cstheme="minorHAnsi"/>
        </w:rPr>
        <w:t xml:space="preserve"> </w:t>
      </w:r>
      <w:r w:rsidRPr="00247D88">
        <w:rPr>
          <w:rFonts w:cstheme="minorHAnsi"/>
        </w:rPr>
        <w:t xml:space="preserve">assessed the impact of the </w:t>
      </w:r>
      <w:proofErr w:type="spellStart"/>
      <w:r w:rsidRPr="00247D88">
        <w:rPr>
          <w:rFonts w:cstheme="minorHAnsi"/>
          <w:lang w:val="en"/>
        </w:rPr>
        <w:t>Siebens</w:t>
      </w:r>
      <w:proofErr w:type="spellEnd"/>
      <w:r w:rsidRPr="00247D88">
        <w:rPr>
          <w:rFonts w:cstheme="minorHAnsi"/>
          <w:lang w:val="en"/>
        </w:rPr>
        <w:t xml:space="preserve"> Domain Management Model (SDMM)</w:t>
      </w:r>
      <w:r w:rsidRPr="00247D88">
        <w:rPr>
          <w:rFonts w:cstheme="minorHAnsi"/>
        </w:rPr>
        <w:t xml:space="preserve"> on several discharge outcomes in IRF geriatric, stroke, and geriatric-stroke patients at a single facility</w:t>
      </w:r>
      <w:r>
        <w:rPr>
          <w:rFonts w:cstheme="minorHAnsi"/>
        </w:rPr>
        <w:t xml:space="preserve">, and compared outcomes to national IRF outcomes using </w:t>
      </w:r>
      <w:r w:rsidRPr="00243803">
        <w:rPr>
          <w:rFonts w:cstheme="minorHAnsi"/>
        </w:rPr>
        <w:t>UDSMR data</w:t>
      </w:r>
      <w:r w:rsidRPr="00247D88">
        <w:rPr>
          <w:rFonts w:cstheme="minorHAnsi"/>
        </w:rPr>
        <w:t xml:space="preserve">. The SDMM intervention </w:t>
      </w:r>
      <w:r w:rsidRPr="00247D88">
        <w:rPr>
          <w:rFonts w:cstheme="minorHAnsi"/>
          <w:lang w:val="en"/>
        </w:rPr>
        <w:t xml:space="preserve">focused on effective </w:t>
      </w:r>
      <w:r>
        <w:rPr>
          <w:rFonts w:cstheme="minorHAnsi"/>
          <w:lang w:val="en"/>
        </w:rPr>
        <w:t xml:space="preserve">interdisciplinary </w:t>
      </w:r>
      <w:r w:rsidRPr="00247D88">
        <w:rPr>
          <w:rFonts w:cstheme="minorHAnsi"/>
          <w:lang w:val="en"/>
        </w:rPr>
        <w:t>communication and collaboration providing a standard format for weekly interdisciplinary team conferences. The intervention also involved weekly adjustments of care focusing on potential barriers to home or community discharge including medical/surgical issues, mental status/emotions/coping, physical function, and living environment/community re-entry needs.</w:t>
      </w:r>
      <w:r w:rsidRPr="00247D88">
        <w:rPr>
          <w:rFonts w:cstheme="minorHAnsi"/>
        </w:rPr>
        <w:t xml:space="preserve"> In all three patient groups, the authors reported significantly higher discharges to community </w:t>
      </w:r>
      <w:r w:rsidRPr="004D5853">
        <w:rPr>
          <w:rFonts w:cstheme="minorHAnsi"/>
        </w:rPr>
        <w:t>in</w:t>
      </w:r>
      <w:r w:rsidRPr="00247D88">
        <w:rPr>
          <w:rFonts w:cstheme="minorHAnsi"/>
        </w:rPr>
        <w:t xml:space="preserve"> the post-intervention period (</w:t>
      </w:r>
      <w:r>
        <w:rPr>
          <w:rFonts w:cstheme="minorHAnsi"/>
        </w:rPr>
        <w:t xml:space="preserve">year </w:t>
      </w:r>
      <w:r w:rsidRPr="00247D88">
        <w:rPr>
          <w:rFonts w:cstheme="minorHAnsi"/>
        </w:rPr>
        <w:t>2012) compared with pre-intervention (</w:t>
      </w:r>
      <w:r>
        <w:rPr>
          <w:rFonts w:cstheme="minorHAnsi"/>
        </w:rPr>
        <w:t xml:space="preserve">year </w:t>
      </w:r>
      <w:r w:rsidRPr="00247D88">
        <w:rPr>
          <w:rFonts w:cstheme="minorHAnsi"/>
        </w:rPr>
        <w:t>2010)</w:t>
      </w:r>
      <w:r w:rsidRPr="00F84496">
        <w:rPr>
          <w:rFonts w:cstheme="minorHAnsi"/>
        </w:rPr>
        <w:t xml:space="preserve"> </w:t>
      </w:r>
      <w:r>
        <w:rPr>
          <w:rFonts w:cstheme="minorHAnsi"/>
        </w:rPr>
        <w:t>(</w:t>
      </w:r>
      <w:r w:rsidRPr="004D5853">
        <w:rPr>
          <w:rFonts w:cstheme="minorHAnsi"/>
          <w:i/>
        </w:rPr>
        <w:t>p</w:t>
      </w:r>
      <w:r>
        <w:rPr>
          <w:rFonts w:cstheme="minorHAnsi"/>
        </w:rPr>
        <w:t xml:space="preserve"> &lt; 0.05)</w:t>
      </w:r>
      <w:r w:rsidRPr="00247D88">
        <w:rPr>
          <w:rFonts w:cstheme="minorHAnsi"/>
        </w:rPr>
        <w:t>. Pre-intervention versus post-intervention discharge to community rates were 58.5% (of 429) vs. 74.4% (of 524) in geriatric patients [</w:t>
      </w:r>
      <w:r>
        <w:rPr>
          <w:rFonts w:cstheme="minorHAnsi"/>
        </w:rPr>
        <w:t>7</w:t>
      </w:r>
      <w:r w:rsidRPr="00247D88">
        <w:rPr>
          <w:rFonts w:cstheme="minorHAnsi"/>
        </w:rPr>
        <w:t>], 57.8% (of 154) vs. 81.2% (of 151) in stroke patients [</w:t>
      </w:r>
      <w:r>
        <w:rPr>
          <w:rFonts w:cstheme="minorHAnsi"/>
        </w:rPr>
        <w:t>8</w:t>
      </w:r>
      <w:r w:rsidRPr="00247D88">
        <w:rPr>
          <w:rFonts w:cstheme="minorHAnsi"/>
        </w:rPr>
        <w:t>], and 56.9% (of 60) vs. 79.3% (of 58) in geriatric-stroke patients [</w:t>
      </w:r>
      <w:r>
        <w:rPr>
          <w:rFonts w:cstheme="minorHAnsi"/>
        </w:rPr>
        <w:t>9</w:t>
      </w:r>
      <w:r w:rsidRPr="00247D88">
        <w:rPr>
          <w:rFonts w:cstheme="minorHAnsi"/>
        </w:rPr>
        <w:t>]. The authors also reported other outcome improvements following SDMM implementation including fewer discharges to long-term care</w:t>
      </w:r>
      <w:r>
        <w:rPr>
          <w:rFonts w:cstheme="minorHAnsi"/>
        </w:rPr>
        <w:t xml:space="preserve"> (24.0% pre-intervention vs. 10.4% post-intervention)</w:t>
      </w:r>
      <w:r w:rsidRPr="00247D88">
        <w:rPr>
          <w:rFonts w:cstheme="minorHAnsi"/>
        </w:rPr>
        <w:t xml:space="preserve"> [</w:t>
      </w:r>
      <w:r>
        <w:rPr>
          <w:rFonts w:cstheme="minorHAnsi"/>
        </w:rPr>
        <w:t>7</w:t>
      </w:r>
      <w:r w:rsidRPr="00247D88">
        <w:rPr>
          <w:rFonts w:cstheme="minorHAnsi"/>
        </w:rPr>
        <w:t>], fewer acute care transfers</w:t>
      </w:r>
      <w:r>
        <w:rPr>
          <w:rFonts w:cstheme="minorHAnsi"/>
        </w:rPr>
        <w:t xml:space="preserve"> (27.3% pre-intervention vs. 9.4% post-intervention)</w:t>
      </w:r>
      <w:r w:rsidRPr="00247D88">
        <w:rPr>
          <w:rFonts w:cstheme="minorHAnsi"/>
        </w:rPr>
        <w:t xml:space="preserve"> [</w:t>
      </w:r>
      <w:r>
        <w:rPr>
          <w:rFonts w:cstheme="minorHAnsi"/>
        </w:rPr>
        <w:t>8</w:t>
      </w:r>
      <w:r w:rsidRPr="00247D88">
        <w:rPr>
          <w:rFonts w:cstheme="minorHAnsi"/>
        </w:rPr>
        <w:t>], reduced length of IRF stay [2,</w:t>
      </w:r>
      <w:r>
        <w:rPr>
          <w:rFonts w:cstheme="minorHAnsi"/>
        </w:rPr>
        <w:t>8</w:t>
      </w:r>
      <w:r w:rsidRPr="00247D88">
        <w:rPr>
          <w:rFonts w:cstheme="minorHAnsi"/>
        </w:rPr>
        <w:t>,</w:t>
      </w:r>
      <w:r>
        <w:rPr>
          <w:rFonts w:cstheme="minorHAnsi"/>
        </w:rPr>
        <w:t>9</w:t>
      </w:r>
      <w:r w:rsidRPr="00247D88">
        <w:rPr>
          <w:rFonts w:cstheme="minorHAnsi"/>
        </w:rPr>
        <w:t>], and improved Functional Independence Measure (FIM) efficiency [</w:t>
      </w:r>
      <w:r>
        <w:rPr>
          <w:rFonts w:cstheme="minorHAnsi"/>
        </w:rPr>
        <w:t>7</w:t>
      </w:r>
      <w:r w:rsidRPr="00247D88">
        <w:rPr>
          <w:rFonts w:cstheme="minorHAnsi"/>
        </w:rPr>
        <w:t>,</w:t>
      </w:r>
      <w:r>
        <w:rPr>
          <w:rFonts w:cstheme="minorHAnsi"/>
        </w:rPr>
        <w:t>8</w:t>
      </w:r>
      <w:r w:rsidRPr="00247D88">
        <w:rPr>
          <w:rFonts w:cstheme="minorHAnsi"/>
        </w:rPr>
        <w:t>]. While the authors did not adjust for patient characteristics when comparing outcomes, the magnitude of differences strongly suggests that discharge planning processes can improve discharge to community rates. The authors also reported that unlike the pre-intervention group, the post-intervention group had significantly higher (3-4 times higher) discharge to community rates [</w:t>
      </w:r>
      <w:r>
        <w:rPr>
          <w:rFonts w:cstheme="minorHAnsi"/>
        </w:rPr>
        <w:t>7</w:t>
      </w:r>
      <w:r w:rsidRPr="00247D88">
        <w:rPr>
          <w:rFonts w:cstheme="minorHAnsi"/>
        </w:rPr>
        <w:t>,</w:t>
      </w:r>
      <w:r>
        <w:rPr>
          <w:rFonts w:cstheme="minorHAnsi"/>
        </w:rPr>
        <w:t>8</w:t>
      </w:r>
      <w:r w:rsidRPr="00247D88">
        <w:rPr>
          <w:rFonts w:cstheme="minorHAnsi"/>
        </w:rPr>
        <w:t>,</w:t>
      </w:r>
      <w:r>
        <w:rPr>
          <w:rFonts w:cstheme="minorHAnsi"/>
        </w:rPr>
        <w:t>9</w:t>
      </w:r>
      <w:r w:rsidRPr="00247D88">
        <w:rPr>
          <w:rFonts w:cstheme="minorHAnsi"/>
        </w:rPr>
        <w:t>], fewer acute care transfers [</w:t>
      </w:r>
      <w:r>
        <w:rPr>
          <w:rFonts w:cstheme="minorHAnsi"/>
        </w:rPr>
        <w:t>7</w:t>
      </w:r>
      <w:r w:rsidRPr="00247D88">
        <w:rPr>
          <w:rFonts w:cstheme="minorHAnsi"/>
        </w:rPr>
        <w:t>,</w:t>
      </w:r>
      <w:r>
        <w:rPr>
          <w:rFonts w:cstheme="minorHAnsi"/>
        </w:rPr>
        <w:t>9</w:t>
      </w:r>
      <w:r w:rsidRPr="00247D88">
        <w:rPr>
          <w:rFonts w:cstheme="minorHAnsi"/>
        </w:rPr>
        <w:t>], fewer long-term care discharges [</w:t>
      </w:r>
      <w:r>
        <w:rPr>
          <w:rFonts w:cstheme="minorHAnsi"/>
        </w:rPr>
        <w:t>9</w:t>
      </w:r>
      <w:r w:rsidRPr="00247D88">
        <w:rPr>
          <w:rFonts w:cstheme="minorHAnsi"/>
        </w:rPr>
        <w:t xml:space="preserve">], </w:t>
      </w:r>
      <w:r>
        <w:rPr>
          <w:rFonts w:cstheme="minorHAnsi"/>
        </w:rPr>
        <w:t xml:space="preserve">and </w:t>
      </w:r>
      <w:r w:rsidRPr="00247D88">
        <w:rPr>
          <w:rFonts w:cstheme="minorHAnsi"/>
        </w:rPr>
        <w:t>higher FIM efficiency [</w:t>
      </w:r>
      <w:r>
        <w:rPr>
          <w:rFonts w:cstheme="minorHAnsi"/>
        </w:rPr>
        <w:t>7</w:t>
      </w:r>
      <w:r w:rsidRPr="00247D88">
        <w:rPr>
          <w:rFonts w:cstheme="minorHAnsi"/>
        </w:rPr>
        <w:t>,</w:t>
      </w:r>
      <w:r>
        <w:rPr>
          <w:rFonts w:cstheme="minorHAnsi"/>
        </w:rPr>
        <w:t>8</w:t>
      </w:r>
      <w:r w:rsidRPr="00247D88">
        <w:rPr>
          <w:rFonts w:cstheme="minorHAnsi"/>
        </w:rPr>
        <w:t>,</w:t>
      </w:r>
      <w:r>
        <w:rPr>
          <w:rFonts w:cstheme="minorHAnsi"/>
        </w:rPr>
        <w:t>9</w:t>
      </w:r>
      <w:r w:rsidRPr="00247D88">
        <w:rPr>
          <w:rFonts w:cstheme="minorHAnsi"/>
        </w:rPr>
        <w:t xml:space="preserve">] compared with case-mix group adjusted national </w:t>
      </w:r>
      <w:r>
        <w:rPr>
          <w:rFonts w:cstheme="minorHAnsi"/>
        </w:rPr>
        <w:t xml:space="preserve">UDSMR </w:t>
      </w:r>
      <w:r w:rsidRPr="00247D88">
        <w:rPr>
          <w:rFonts w:cstheme="minorHAnsi"/>
        </w:rPr>
        <w:t>data</w:t>
      </w:r>
      <w:r>
        <w:rPr>
          <w:rFonts w:cstheme="minorHAnsi"/>
        </w:rPr>
        <w:t>, using a 0.05 significance level</w:t>
      </w:r>
      <w:r w:rsidRPr="00247D88">
        <w:rPr>
          <w:rFonts w:cstheme="minorHAnsi"/>
        </w:rPr>
        <w:t>.</w:t>
      </w:r>
    </w:p>
    <w:bookmarkEnd w:id="20"/>
    <w:bookmarkEnd w:id="21"/>
    <w:p w14:paraId="7F95A3EB" w14:textId="77777777" w:rsidR="00A935D3" w:rsidRDefault="00A935D3" w:rsidP="00790034">
      <w:pPr>
        <w:ind w:left="432" w:firstLine="0"/>
        <w:rPr>
          <w:rFonts w:cstheme="minorHAnsi"/>
        </w:rPr>
      </w:pPr>
    </w:p>
    <w:p w14:paraId="2BD95C52" w14:textId="18F6C876" w:rsidR="00EA1DFE" w:rsidRPr="00D451C6" w:rsidRDefault="00342912" w:rsidP="00790034">
      <w:pPr>
        <w:ind w:left="0" w:firstLine="0"/>
        <w:rPr>
          <w:rFonts w:cstheme="minorHAnsi"/>
        </w:rPr>
      </w:pPr>
      <w:bookmarkStart w:id="23" w:name="_Hlk532798488"/>
      <w:bookmarkStart w:id="24" w:name="_Hlk532854480"/>
      <w:r w:rsidRPr="000475AC">
        <w:rPr>
          <w:rFonts w:cstheme="minorHAnsi"/>
        </w:rPr>
        <w:t xml:space="preserve">Berkowitz et al. </w:t>
      </w:r>
      <w:r w:rsidR="00314D52" w:rsidRPr="000475AC">
        <w:rPr>
          <w:rFonts w:cstheme="minorHAnsi"/>
        </w:rPr>
        <w:t>[</w:t>
      </w:r>
      <w:r w:rsidR="00314D52">
        <w:rPr>
          <w:rFonts w:cstheme="minorHAnsi"/>
        </w:rPr>
        <w:t>10</w:t>
      </w:r>
      <w:r w:rsidR="00314D52" w:rsidRPr="000475AC">
        <w:rPr>
          <w:rFonts w:cstheme="minorHAnsi"/>
        </w:rPr>
        <w:t>]</w:t>
      </w:r>
      <w:r w:rsidR="00314D52">
        <w:rPr>
          <w:rFonts w:cstheme="minorHAnsi"/>
        </w:rPr>
        <w:t xml:space="preserve"> </w:t>
      </w:r>
      <w:r w:rsidRPr="000475AC">
        <w:rPr>
          <w:rFonts w:cstheme="minorHAnsi"/>
        </w:rPr>
        <w:t xml:space="preserve">examined the impact of a </w:t>
      </w:r>
      <w:r w:rsidR="000475AC" w:rsidRPr="000475AC">
        <w:rPr>
          <w:rFonts w:cstheme="minorHAnsi"/>
        </w:rPr>
        <w:t>three</w:t>
      </w:r>
      <w:r w:rsidRPr="000475AC">
        <w:rPr>
          <w:rFonts w:cstheme="minorHAnsi"/>
        </w:rPr>
        <w:t xml:space="preserve">-component intervention on discharge disposition </w:t>
      </w:r>
      <w:r w:rsidR="002209B8" w:rsidRPr="000475AC">
        <w:rPr>
          <w:rFonts w:cstheme="minorHAnsi"/>
        </w:rPr>
        <w:t xml:space="preserve">outcomes </w:t>
      </w:r>
      <w:r w:rsidRPr="000475AC">
        <w:rPr>
          <w:rFonts w:cstheme="minorHAnsi"/>
        </w:rPr>
        <w:t xml:space="preserve">of residents </w:t>
      </w:r>
      <w:r w:rsidR="00686B7B" w:rsidRPr="000475AC">
        <w:rPr>
          <w:rFonts w:cstheme="minorHAnsi"/>
        </w:rPr>
        <w:t xml:space="preserve">admitted to a single </w:t>
      </w:r>
      <w:r w:rsidRPr="000475AC">
        <w:rPr>
          <w:rFonts w:cstheme="minorHAnsi"/>
        </w:rPr>
        <w:t xml:space="preserve">SNF </w:t>
      </w:r>
      <w:r w:rsidR="00B618C8" w:rsidRPr="000475AC">
        <w:rPr>
          <w:rFonts w:cstheme="minorHAnsi"/>
        </w:rPr>
        <w:t xml:space="preserve">between June 2008 and May 2010. </w:t>
      </w:r>
      <w:r w:rsidR="00686B7B" w:rsidRPr="000475AC">
        <w:rPr>
          <w:rFonts w:cstheme="minorHAnsi"/>
        </w:rPr>
        <w:t>The intervention included standardized p</w:t>
      </w:r>
      <w:r w:rsidR="00E50BC2" w:rsidRPr="000475AC">
        <w:rPr>
          <w:rFonts w:cstheme="minorHAnsi"/>
        </w:rPr>
        <w:t xml:space="preserve">hysician admission procedures </w:t>
      </w:r>
      <w:r w:rsidR="00686B7B" w:rsidRPr="000475AC">
        <w:rPr>
          <w:rFonts w:cstheme="minorHAnsi"/>
        </w:rPr>
        <w:t>with a goals-of-care discussion;</w:t>
      </w:r>
      <w:r w:rsidR="00E50BC2" w:rsidRPr="000475AC">
        <w:rPr>
          <w:rFonts w:cstheme="minorHAnsi"/>
        </w:rPr>
        <w:t xml:space="preserve"> </w:t>
      </w:r>
      <w:r w:rsidR="00686B7B" w:rsidRPr="000475AC">
        <w:rPr>
          <w:rFonts w:cstheme="minorHAnsi"/>
        </w:rPr>
        <w:t xml:space="preserve">palliative care consultation for </w:t>
      </w:r>
      <w:r w:rsidR="00E50BC2" w:rsidRPr="000475AC">
        <w:rPr>
          <w:rFonts w:cstheme="minorHAnsi"/>
        </w:rPr>
        <w:t>patients with three or more</w:t>
      </w:r>
      <w:r w:rsidRPr="000475AC">
        <w:rPr>
          <w:rFonts w:cstheme="minorHAnsi"/>
        </w:rPr>
        <w:t xml:space="preserve"> </w:t>
      </w:r>
      <w:r w:rsidR="00E50BC2" w:rsidRPr="000475AC">
        <w:rPr>
          <w:rFonts w:cstheme="minorHAnsi"/>
        </w:rPr>
        <w:t>hospital admissions over the prior 6 months</w:t>
      </w:r>
      <w:r w:rsidR="00686B7B" w:rsidRPr="000475AC">
        <w:rPr>
          <w:rFonts w:cstheme="minorHAnsi"/>
        </w:rPr>
        <w:t xml:space="preserve">; </w:t>
      </w:r>
      <w:r w:rsidR="00E50BC2" w:rsidRPr="000475AC">
        <w:rPr>
          <w:rFonts w:cstheme="minorHAnsi"/>
        </w:rPr>
        <w:t xml:space="preserve">and </w:t>
      </w:r>
      <w:r w:rsidR="002209B8" w:rsidRPr="000475AC">
        <w:rPr>
          <w:rFonts w:cstheme="minorHAnsi"/>
        </w:rPr>
        <w:t xml:space="preserve">bimonthly </w:t>
      </w:r>
      <w:r w:rsidR="00E50BC2" w:rsidRPr="000475AC">
        <w:rPr>
          <w:rFonts w:cstheme="minorHAnsi"/>
        </w:rPr>
        <w:t>multidisciplinary root-cause</w:t>
      </w:r>
      <w:r w:rsidRPr="000475AC">
        <w:rPr>
          <w:rFonts w:cstheme="minorHAnsi"/>
        </w:rPr>
        <w:t xml:space="preserve"> </w:t>
      </w:r>
      <w:r w:rsidR="00E50BC2" w:rsidRPr="000475AC">
        <w:rPr>
          <w:rFonts w:cstheme="minorHAnsi"/>
        </w:rPr>
        <w:t xml:space="preserve">analysis conferences for </w:t>
      </w:r>
      <w:proofErr w:type="spellStart"/>
      <w:r w:rsidR="00D1235E" w:rsidRPr="000475AC">
        <w:rPr>
          <w:rFonts w:cstheme="minorHAnsi"/>
        </w:rPr>
        <w:t>rehospitalized</w:t>
      </w:r>
      <w:proofErr w:type="spellEnd"/>
      <w:r w:rsidR="00D1235E" w:rsidRPr="000475AC">
        <w:rPr>
          <w:rFonts w:cstheme="minorHAnsi"/>
        </w:rPr>
        <w:t xml:space="preserve"> </w:t>
      </w:r>
      <w:r w:rsidR="00E50BC2" w:rsidRPr="000475AC">
        <w:rPr>
          <w:rFonts w:cstheme="minorHAnsi"/>
        </w:rPr>
        <w:t>patients to identify</w:t>
      </w:r>
      <w:r w:rsidR="00D1235E" w:rsidRPr="000475AC">
        <w:rPr>
          <w:rFonts w:cstheme="minorHAnsi"/>
        </w:rPr>
        <w:t xml:space="preserve"> </w:t>
      </w:r>
      <w:r w:rsidR="00E50BC2" w:rsidRPr="000475AC">
        <w:rPr>
          <w:rFonts w:cstheme="minorHAnsi"/>
        </w:rPr>
        <w:t xml:space="preserve">problems and </w:t>
      </w:r>
      <w:r w:rsidR="00E50BC2" w:rsidRPr="000475AC">
        <w:rPr>
          <w:rFonts w:cstheme="minorHAnsi"/>
        </w:rPr>
        <w:lastRenderedPageBreak/>
        <w:t xml:space="preserve">improve processes of care. 862 patients </w:t>
      </w:r>
      <w:r w:rsidR="00DD7F75" w:rsidRPr="000475AC">
        <w:rPr>
          <w:rFonts w:cstheme="minorHAnsi"/>
        </w:rPr>
        <w:t>were included in the pre-intervention period</w:t>
      </w:r>
      <w:r w:rsidRPr="000475AC">
        <w:rPr>
          <w:rFonts w:cstheme="minorHAnsi"/>
        </w:rPr>
        <w:t xml:space="preserve"> </w:t>
      </w:r>
      <w:r w:rsidR="00E50BC2" w:rsidRPr="000475AC">
        <w:rPr>
          <w:rFonts w:cstheme="minorHAnsi"/>
        </w:rPr>
        <w:t>(June</w:t>
      </w:r>
      <w:r w:rsidR="00E56C6D">
        <w:rPr>
          <w:rFonts w:cstheme="minorHAnsi"/>
        </w:rPr>
        <w:t xml:space="preserve"> </w:t>
      </w:r>
      <w:r w:rsidR="00E46E2A" w:rsidRPr="000475AC">
        <w:rPr>
          <w:rFonts w:cstheme="minorHAnsi"/>
        </w:rPr>
        <w:t>2008</w:t>
      </w:r>
      <w:r w:rsidR="00E50BC2" w:rsidRPr="000475AC">
        <w:rPr>
          <w:rFonts w:cstheme="minorHAnsi"/>
        </w:rPr>
        <w:t>–May 200</w:t>
      </w:r>
      <w:r w:rsidR="00E46E2A" w:rsidRPr="000475AC">
        <w:rPr>
          <w:rFonts w:cstheme="minorHAnsi"/>
        </w:rPr>
        <w:t>9</w:t>
      </w:r>
      <w:r w:rsidR="00E50BC2" w:rsidRPr="000475AC">
        <w:rPr>
          <w:rFonts w:cstheme="minorHAnsi"/>
        </w:rPr>
        <w:t xml:space="preserve">) and 863 during </w:t>
      </w:r>
      <w:r w:rsidR="00DD7F75" w:rsidRPr="000475AC">
        <w:rPr>
          <w:rFonts w:cstheme="minorHAnsi"/>
        </w:rPr>
        <w:t>the post-intervention period</w:t>
      </w:r>
      <w:r w:rsidR="004451DE" w:rsidRPr="000475AC">
        <w:rPr>
          <w:rFonts w:cstheme="minorHAnsi"/>
        </w:rPr>
        <w:t xml:space="preserve"> </w:t>
      </w:r>
      <w:r w:rsidR="00E50BC2" w:rsidRPr="000475AC">
        <w:rPr>
          <w:rFonts w:cstheme="minorHAnsi"/>
        </w:rPr>
        <w:t>(June 2009–May</w:t>
      </w:r>
      <w:r w:rsidRPr="000475AC">
        <w:rPr>
          <w:rFonts w:cstheme="minorHAnsi"/>
        </w:rPr>
        <w:t xml:space="preserve"> </w:t>
      </w:r>
      <w:r w:rsidR="00E50BC2" w:rsidRPr="000475AC">
        <w:rPr>
          <w:rFonts w:cstheme="minorHAnsi"/>
        </w:rPr>
        <w:t xml:space="preserve">2010). </w:t>
      </w:r>
      <w:r w:rsidR="00DB064F" w:rsidRPr="000475AC">
        <w:rPr>
          <w:rFonts w:cstheme="minorHAnsi"/>
        </w:rPr>
        <w:t xml:space="preserve">Discharge dispositions differed significantly </w:t>
      </w:r>
      <w:r w:rsidR="00FB53FB" w:rsidRPr="000475AC">
        <w:rPr>
          <w:rFonts w:cstheme="minorHAnsi"/>
        </w:rPr>
        <w:t>(</w:t>
      </w:r>
      <w:r w:rsidR="00FB53FB" w:rsidRPr="000475AC">
        <w:rPr>
          <w:rFonts w:cstheme="minorHAnsi"/>
          <w:i/>
        </w:rPr>
        <w:t>p</w:t>
      </w:r>
      <w:r w:rsidR="00FB53FB" w:rsidRPr="000475AC">
        <w:rPr>
          <w:rFonts w:cstheme="minorHAnsi"/>
        </w:rPr>
        <w:t xml:space="preserve"> =.03)</w:t>
      </w:r>
      <w:r w:rsidR="00FB53FB">
        <w:rPr>
          <w:rFonts w:cstheme="minorHAnsi"/>
        </w:rPr>
        <w:t xml:space="preserve"> </w:t>
      </w:r>
      <w:r w:rsidR="00DB064F" w:rsidRPr="000475AC">
        <w:rPr>
          <w:rFonts w:cstheme="minorHAnsi"/>
        </w:rPr>
        <w:t>between the pre- and post-intervention periods, with</w:t>
      </w:r>
      <w:r w:rsidR="00A23231" w:rsidRPr="000475AC">
        <w:rPr>
          <w:rFonts w:cstheme="minorHAnsi"/>
        </w:rPr>
        <w:t xml:space="preserve"> discharges to home increasing from 68.6% to 73.0%. T</w:t>
      </w:r>
      <w:r w:rsidR="00DB064F" w:rsidRPr="000475AC">
        <w:rPr>
          <w:rFonts w:cstheme="minorHAnsi"/>
        </w:rPr>
        <w:t>he rate of rehospitalization declin</w:t>
      </w:r>
      <w:r w:rsidR="00A23231" w:rsidRPr="000475AC">
        <w:rPr>
          <w:rFonts w:cstheme="minorHAnsi"/>
        </w:rPr>
        <w:t>ed</w:t>
      </w:r>
      <w:r w:rsidR="00DB064F" w:rsidRPr="000475AC">
        <w:rPr>
          <w:rFonts w:cstheme="minorHAnsi"/>
        </w:rPr>
        <w:t xml:space="preserve"> 19.4% from 16.5% to 13.3%, </w:t>
      </w:r>
      <w:r w:rsidR="00A23231" w:rsidRPr="000475AC">
        <w:rPr>
          <w:rFonts w:cstheme="minorHAnsi"/>
        </w:rPr>
        <w:t xml:space="preserve">and </w:t>
      </w:r>
      <w:r w:rsidR="00DB064F" w:rsidRPr="000475AC">
        <w:rPr>
          <w:rFonts w:cstheme="minorHAnsi"/>
        </w:rPr>
        <w:t>discharges to</w:t>
      </w:r>
      <w:r w:rsidR="00A23231" w:rsidRPr="000475AC">
        <w:rPr>
          <w:rFonts w:cstheme="minorHAnsi"/>
        </w:rPr>
        <w:t xml:space="preserve"> </w:t>
      </w:r>
      <w:r w:rsidR="00DB064F" w:rsidRPr="000475AC">
        <w:rPr>
          <w:rFonts w:cstheme="minorHAnsi"/>
        </w:rPr>
        <w:t>long-term care fell from 13.8% to 11.5%.</w:t>
      </w:r>
      <w:r w:rsidR="00C1527B">
        <w:rPr>
          <w:rFonts w:cstheme="minorHAnsi"/>
        </w:rPr>
        <w:t xml:space="preserve"> </w:t>
      </w:r>
      <w:r w:rsidR="000475AC" w:rsidRPr="000475AC">
        <w:rPr>
          <w:rFonts w:cstheme="minorHAnsi"/>
        </w:rPr>
        <w:t>[</w:t>
      </w:r>
      <w:r w:rsidR="00AA0D58">
        <w:rPr>
          <w:rFonts w:cstheme="minorHAnsi"/>
        </w:rPr>
        <w:t>10</w:t>
      </w:r>
      <w:r w:rsidR="000475AC" w:rsidRPr="000475AC">
        <w:rPr>
          <w:rFonts w:cstheme="minorHAnsi"/>
        </w:rPr>
        <w:t>]</w:t>
      </w:r>
      <w:r w:rsidR="00DB064F" w:rsidRPr="000475AC">
        <w:rPr>
          <w:rFonts w:cstheme="minorHAnsi"/>
        </w:rPr>
        <w:t xml:space="preserve"> </w:t>
      </w:r>
      <w:bookmarkStart w:id="25" w:name="_Hlk532798065"/>
      <w:bookmarkEnd w:id="23"/>
    </w:p>
    <w:bookmarkEnd w:id="25"/>
    <w:bookmarkEnd w:id="24"/>
    <w:p w14:paraId="33F4DFE0" w14:textId="107B8F70" w:rsidR="00EA1DFE" w:rsidRPr="00EA1DFE" w:rsidRDefault="00EA1DFE" w:rsidP="00790034">
      <w:pPr>
        <w:ind w:left="432" w:firstLine="0"/>
        <w:rPr>
          <w:rFonts w:cstheme="minorHAnsi"/>
          <w:color w:val="222222"/>
          <w:lang w:val="en"/>
        </w:rPr>
      </w:pPr>
    </w:p>
    <w:p w14:paraId="6D1B6CAD" w14:textId="17DB06A2" w:rsidR="00BE5CBC" w:rsidRDefault="00171090" w:rsidP="00790034">
      <w:pPr>
        <w:ind w:left="0" w:firstLine="0"/>
        <w:rPr>
          <w:rFonts w:cstheme="minorHAnsi"/>
        </w:rPr>
      </w:pPr>
      <w:bookmarkStart w:id="26" w:name="_Hlk532798105"/>
      <w:bookmarkStart w:id="27" w:name="_Hlk532810138"/>
      <w:proofErr w:type="spellStart"/>
      <w:r w:rsidRPr="00EA1DFE">
        <w:rPr>
          <w:rFonts w:cstheme="minorHAnsi"/>
          <w:color w:val="222222"/>
          <w:lang w:val="en"/>
        </w:rPr>
        <w:t>Buttke</w:t>
      </w:r>
      <w:proofErr w:type="spellEnd"/>
      <w:r w:rsidRPr="00EA1DFE">
        <w:rPr>
          <w:rFonts w:cstheme="minorHAnsi"/>
          <w:color w:val="222222"/>
          <w:lang w:val="en"/>
        </w:rPr>
        <w:t xml:space="preserve"> et al. </w:t>
      </w:r>
      <w:r w:rsidR="00314D52" w:rsidRPr="00EA1DFE">
        <w:rPr>
          <w:rFonts w:cstheme="minorHAnsi"/>
        </w:rPr>
        <w:t>[</w:t>
      </w:r>
      <w:r w:rsidR="00314D52">
        <w:rPr>
          <w:rFonts w:cstheme="minorHAnsi"/>
        </w:rPr>
        <w:t>11</w:t>
      </w:r>
      <w:r w:rsidR="00314D52" w:rsidRPr="00EA1DFE">
        <w:rPr>
          <w:rFonts w:cstheme="minorHAnsi"/>
        </w:rPr>
        <w:t xml:space="preserve">] </w:t>
      </w:r>
      <w:r w:rsidR="008058D2" w:rsidRPr="00EA1DFE">
        <w:rPr>
          <w:rFonts w:cstheme="minorHAnsi"/>
          <w:color w:val="222222"/>
          <w:lang w:val="en"/>
        </w:rPr>
        <w:t>describe</w:t>
      </w:r>
      <w:r w:rsidR="00CC5334" w:rsidRPr="00EA1DFE">
        <w:rPr>
          <w:rFonts w:cstheme="minorHAnsi"/>
          <w:color w:val="222222"/>
          <w:lang w:val="en"/>
        </w:rPr>
        <w:t>d</w:t>
      </w:r>
      <w:r w:rsidR="008058D2" w:rsidRPr="00EA1DFE">
        <w:rPr>
          <w:rFonts w:cstheme="minorHAnsi"/>
          <w:color w:val="222222"/>
          <w:lang w:val="en"/>
        </w:rPr>
        <w:t xml:space="preserve"> outcomes </w:t>
      </w:r>
      <w:r w:rsidR="002A3B59" w:rsidRPr="00EA1DFE">
        <w:rPr>
          <w:rFonts w:cstheme="minorHAnsi"/>
          <w:color w:val="222222"/>
          <w:lang w:val="en"/>
        </w:rPr>
        <w:t xml:space="preserve">of </w:t>
      </w:r>
      <w:r w:rsidR="00D170F3" w:rsidRPr="00EA1DFE">
        <w:rPr>
          <w:rFonts w:cstheme="minorHAnsi"/>
          <w:color w:val="222222"/>
          <w:lang w:val="en"/>
        </w:rPr>
        <w:t>Minnesota’s Return to Community Initiative (RTCI)</w:t>
      </w:r>
      <w:r w:rsidR="002A3B59" w:rsidRPr="00EA1DFE">
        <w:rPr>
          <w:rFonts w:cstheme="minorHAnsi"/>
          <w:color w:val="222222"/>
          <w:lang w:val="en"/>
        </w:rPr>
        <w:t>,</w:t>
      </w:r>
      <w:r w:rsidR="00D170F3" w:rsidRPr="00EA1DFE">
        <w:rPr>
          <w:rFonts w:cstheme="minorHAnsi"/>
          <w:color w:val="222222"/>
          <w:lang w:val="en"/>
        </w:rPr>
        <w:t xml:space="preserve"> a novel, statewide initiative </w:t>
      </w:r>
      <w:r w:rsidR="00CC5334" w:rsidRPr="00EA1DFE">
        <w:rPr>
          <w:rFonts w:cstheme="minorHAnsi"/>
          <w:color w:val="222222"/>
          <w:lang w:val="en"/>
        </w:rPr>
        <w:t xml:space="preserve">introduced in 2010 </w:t>
      </w:r>
      <w:r w:rsidR="00D170F3" w:rsidRPr="00EA1DFE">
        <w:rPr>
          <w:rFonts w:cstheme="minorHAnsi"/>
          <w:color w:val="222222"/>
          <w:lang w:val="en"/>
        </w:rPr>
        <w:t xml:space="preserve">to assist </w:t>
      </w:r>
      <w:bookmarkStart w:id="28" w:name="_Hlk532818557"/>
      <w:r w:rsidR="00A43967">
        <w:rPr>
          <w:rFonts w:cstheme="minorHAnsi"/>
          <w:color w:val="222222"/>
          <w:lang w:val="en"/>
        </w:rPr>
        <w:t xml:space="preserve">private paying </w:t>
      </w:r>
      <w:bookmarkEnd w:id="28"/>
      <w:r w:rsidR="00D170F3" w:rsidRPr="00EA1DFE">
        <w:rPr>
          <w:rFonts w:cstheme="minorHAnsi"/>
          <w:color w:val="222222"/>
          <w:lang w:val="en"/>
        </w:rPr>
        <w:t xml:space="preserve">nursing home residents to return to </w:t>
      </w:r>
      <w:r w:rsidR="003914DE">
        <w:rPr>
          <w:rFonts w:cstheme="minorHAnsi"/>
          <w:color w:val="222222"/>
          <w:lang w:val="en"/>
        </w:rPr>
        <w:t xml:space="preserve">and remain in </w:t>
      </w:r>
      <w:r w:rsidR="00D170F3" w:rsidRPr="00EA1DFE">
        <w:rPr>
          <w:rFonts w:cstheme="minorHAnsi"/>
          <w:color w:val="222222"/>
          <w:lang w:val="en"/>
        </w:rPr>
        <w:t>the community without converting to Medicaid.</w:t>
      </w:r>
      <w:r w:rsidR="001736F8" w:rsidRPr="00EA1DFE">
        <w:rPr>
          <w:rFonts w:cstheme="minorHAnsi"/>
          <w:color w:val="222222"/>
          <w:lang w:val="en"/>
        </w:rPr>
        <w:t xml:space="preserve"> RTCI </w:t>
      </w:r>
      <w:r w:rsidR="00ED709D">
        <w:rPr>
          <w:rFonts w:cstheme="minorHAnsi"/>
          <w:color w:val="222222"/>
          <w:lang w:val="en"/>
        </w:rPr>
        <w:t xml:space="preserve">is a multi-component intervention, </w:t>
      </w:r>
      <w:r w:rsidR="001736F8" w:rsidRPr="00EA1DFE">
        <w:rPr>
          <w:rFonts w:cstheme="minorHAnsi"/>
          <w:color w:val="222222"/>
          <w:lang w:val="en"/>
        </w:rPr>
        <w:t>consist</w:t>
      </w:r>
      <w:r w:rsidR="00ED709D">
        <w:rPr>
          <w:rFonts w:cstheme="minorHAnsi"/>
          <w:color w:val="222222"/>
          <w:lang w:val="en"/>
        </w:rPr>
        <w:t>ing</w:t>
      </w:r>
      <w:r w:rsidR="001736F8" w:rsidRPr="00EA1DFE">
        <w:rPr>
          <w:rFonts w:cstheme="minorHAnsi"/>
          <w:color w:val="222222"/>
          <w:lang w:val="en"/>
        </w:rPr>
        <w:t xml:space="preserve"> of in-person </w:t>
      </w:r>
      <w:r w:rsidR="002A3B59" w:rsidRPr="00EA1DFE">
        <w:rPr>
          <w:rFonts w:cstheme="minorHAnsi"/>
          <w:color w:val="222222"/>
          <w:lang w:val="en"/>
        </w:rPr>
        <w:t xml:space="preserve">SNF </w:t>
      </w:r>
      <w:r w:rsidR="001736F8" w:rsidRPr="00EA1DFE">
        <w:rPr>
          <w:rFonts w:cstheme="minorHAnsi"/>
          <w:color w:val="222222"/>
          <w:lang w:val="en"/>
        </w:rPr>
        <w:t>visits</w:t>
      </w:r>
      <w:r w:rsidR="00232688" w:rsidRPr="00EA1DFE">
        <w:rPr>
          <w:rFonts w:cstheme="minorHAnsi"/>
          <w:color w:val="222222"/>
          <w:lang w:val="en"/>
        </w:rPr>
        <w:t xml:space="preserve"> to ensure consumers receive information regarding options for residing in the community and make consumers aware of the right to live in the least restrictive environment;</w:t>
      </w:r>
      <w:r w:rsidR="008940D7" w:rsidRPr="00EA1DFE">
        <w:rPr>
          <w:rFonts w:cstheme="minorHAnsi"/>
          <w:color w:val="222222"/>
          <w:lang w:val="en"/>
        </w:rPr>
        <w:t xml:space="preserve"> </w:t>
      </w:r>
      <w:r w:rsidR="002E4984" w:rsidRPr="00EA1DFE">
        <w:rPr>
          <w:rFonts w:cstheme="minorHAnsi"/>
          <w:color w:val="222222"/>
          <w:lang w:val="en"/>
        </w:rPr>
        <w:t xml:space="preserve">interviews to </w:t>
      </w:r>
      <w:r w:rsidR="008940D7" w:rsidRPr="00EA1DFE">
        <w:rPr>
          <w:rFonts w:cstheme="minorHAnsi"/>
          <w:color w:val="222222"/>
          <w:lang w:val="en"/>
        </w:rPr>
        <w:t>fill the Community Planning Tool;</w:t>
      </w:r>
      <w:r w:rsidR="00F26016" w:rsidRPr="00EA1DFE">
        <w:rPr>
          <w:rFonts w:cstheme="minorHAnsi"/>
          <w:color w:val="222222"/>
          <w:lang w:val="en"/>
        </w:rPr>
        <w:t xml:space="preserve"> development of Community Living Support Plans;</w:t>
      </w:r>
      <w:r w:rsidR="00F410ED" w:rsidRPr="00EA1DFE">
        <w:rPr>
          <w:rFonts w:cstheme="minorHAnsi"/>
          <w:color w:val="222222"/>
          <w:lang w:val="en"/>
        </w:rPr>
        <w:t xml:space="preserve"> </w:t>
      </w:r>
      <w:r w:rsidR="00007352" w:rsidRPr="00EA1DFE">
        <w:rPr>
          <w:rFonts w:cstheme="minorHAnsi"/>
          <w:color w:val="222222"/>
          <w:lang w:val="en"/>
        </w:rPr>
        <w:t xml:space="preserve">post-discharge in-person </w:t>
      </w:r>
      <w:r w:rsidR="002E4984" w:rsidRPr="00EA1DFE">
        <w:rPr>
          <w:rFonts w:cstheme="minorHAnsi"/>
          <w:color w:val="222222"/>
          <w:lang w:val="en"/>
        </w:rPr>
        <w:t xml:space="preserve">and phone follow-up </w:t>
      </w:r>
      <w:r w:rsidR="00007352" w:rsidRPr="00EA1DFE">
        <w:rPr>
          <w:rFonts w:cstheme="minorHAnsi"/>
          <w:color w:val="222222"/>
          <w:lang w:val="en"/>
        </w:rPr>
        <w:t xml:space="preserve">visits to help the consumer transition back to the </w:t>
      </w:r>
      <w:r w:rsidR="006F49F5" w:rsidRPr="00EA1DFE">
        <w:rPr>
          <w:rFonts w:cstheme="minorHAnsi"/>
          <w:color w:val="222222"/>
          <w:lang w:val="en"/>
        </w:rPr>
        <w:t>community; ongoing follow-up up to 90 days post-discharge</w:t>
      </w:r>
      <w:r w:rsidR="002E4984" w:rsidRPr="00EA1DFE">
        <w:rPr>
          <w:rFonts w:cstheme="minorHAnsi"/>
          <w:color w:val="222222"/>
          <w:lang w:val="en"/>
        </w:rPr>
        <w:t>; and follow-up up to five years if desired by the consumer</w:t>
      </w:r>
      <w:r w:rsidR="006F49F5" w:rsidRPr="00EA1DFE">
        <w:rPr>
          <w:rFonts w:cstheme="minorHAnsi"/>
          <w:color w:val="222222"/>
          <w:lang w:val="en"/>
        </w:rPr>
        <w:t>.</w:t>
      </w:r>
      <w:r w:rsidR="00283A3E" w:rsidRPr="00EA1DFE">
        <w:rPr>
          <w:rFonts w:cstheme="minorHAnsi"/>
          <w:color w:val="222222"/>
          <w:lang w:val="en"/>
        </w:rPr>
        <w:t xml:space="preserve"> </w:t>
      </w:r>
      <w:r w:rsidR="000740B8" w:rsidRPr="00EA1DFE">
        <w:rPr>
          <w:rFonts w:cstheme="minorHAnsi"/>
          <w:color w:val="222222"/>
          <w:lang w:val="en"/>
        </w:rPr>
        <w:t xml:space="preserve">The </w:t>
      </w:r>
      <w:r w:rsidR="00B36007" w:rsidRPr="00EA1DFE">
        <w:rPr>
          <w:rFonts w:cstheme="minorHAnsi"/>
          <w:color w:val="222222"/>
          <w:lang w:val="en"/>
        </w:rPr>
        <w:t xml:space="preserve">authors reported that </w:t>
      </w:r>
      <w:r w:rsidR="00414674" w:rsidRPr="00EA1DFE">
        <w:rPr>
          <w:rFonts w:cstheme="minorHAnsi"/>
          <w:color w:val="222222"/>
          <w:lang w:val="en"/>
        </w:rPr>
        <w:t xml:space="preserve">under RTCI, </w:t>
      </w:r>
      <w:r w:rsidR="00B36007" w:rsidRPr="00EA1DFE">
        <w:rPr>
          <w:rFonts w:cstheme="minorHAnsi"/>
          <w:color w:val="222222"/>
          <w:lang w:val="en"/>
        </w:rPr>
        <w:t xml:space="preserve">the </w:t>
      </w:r>
      <w:r w:rsidR="000740B8" w:rsidRPr="00EA1DFE">
        <w:rPr>
          <w:rFonts w:cstheme="minorHAnsi"/>
          <w:color w:val="222222"/>
          <w:lang w:val="en"/>
        </w:rPr>
        <w:t xml:space="preserve">number of resident transitions </w:t>
      </w:r>
      <w:r w:rsidR="00B36007" w:rsidRPr="00EA1DFE">
        <w:rPr>
          <w:rFonts w:cstheme="minorHAnsi"/>
          <w:color w:val="222222"/>
          <w:lang w:val="en"/>
        </w:rPr>
        <w:t xml:space="preserve">to the community </w:t>
      </w:r>
      <w:r w:rsidR="000740B8" w:rsidRPr="00EA1DFE">
        <w:rPr>
          <w:rFonts w:cstheme="minorHAnsi"/>
          <w:color w:val="222222"/>
          <w:lang w:val="en"/>
        </w:rPr>
        <w:t>increased from 38</w:t>
      </w:r>
      <w:r w:rsidR="00E3432F">
        <w:rPr>
          <w:rFonts w:cstheme="minorHAnsi"/>
          <w:color w:val="222222"/>
          <w:lang w:val="en"/>
        </w:rPr>
        <w:t xml:space="preserve"> per </w:t>
      </w:r>
      <w:r w:rsidR="000740B8" w:rsidRPr="00EA1DFE">
        <w:rPr>
          <w:rFonts w:cstheme="minorHAnsi"/>
          <w:color w:val="222222"/>
          <w:lang w:val="en"/>
        </w:rPr>
        <w:t>month in 2013 to 69</w:t>
      </w:r>
      <w:r w:rsidR="00E3432F">
        <w:rPr>
          <w:rFonts w:cstheme="minorHAnsi"/>
          <w:color w:val="222222"/>
          <w:lang w:val="en"/>
        </w:rPr>
        <w:t xml:space="preserve"> per </w:t>
      </w:r>
      <w:r w:rsidR="000740B8" w:rsidRPr="00EA1DFE">
        <w:rPr>
          <w:rFonts w:cstheme="minorHAnsi"/>
          <w:color w:val="222222"/>
          <w:lang w:val="en"/>
        </w:rPr>
        <w:t>month in 2014</w:t>
      </w:r>
      <w:r w:rsidR="00684C19" w:rsidRPr="00EA1DFE">
        <w:rPr>
          <w:rFonts w:cstheme="minorHAnsi"/>
          <w:color w:val="222222"/>
          <w:lang w:val="en"/>
        </w:rPr>
        <w:t xml:space="preserve">, and </w:t>
      </w:r>
      <w:r w:rsidR="000740B8" w:rsidRPr="00EA1DFE">
        <w:rPr>
          <w:rFonts w:cstheme="minorHAnsi"/>
          <w:color w:val="222222"/>
          <w:lang w:val="en"/>
        </w:rPr>
        <w:t>90</w:t>
      </w:r>
      <w:r w:rsidR="00E3432F">
        <w:rPr>
          <w:rFonts w:cstheme="minorHAnsi"/>
          <w:color w:val="222222"/>
          <w:lang w:val="en"/>
        </w:rPr>
        <w:t xml:space="preserve"> to </w:t>
      </w:r>
      <w:r w:rsidR="000740B8" w:rsidRPr="00EA1DFE">
        <w:rPr>
          <w:rFonts w:cstheme="minorHAnsi"/>
          <w:color w:val="222222"/>
          <w:lang w:val="en"/>
        </w:rPr>
        <w:t>100</w:t>
      </w:r>
      <w:r w:rsidR="00E3432F">
        <w:rPr>
          <w:rFonts w:cstheme="minorHAnsi"/>
          <w:color w:val="222222"/>
          <w:lang w:val="en"/>
        </w:rPr>
        <w:t xml:space="preserve"> per </w:t>
      </w:r>
      <w:r w:rsidR="000740B8" w:rsidRPr="00EA1DFE">
        <w:rPr>
          <w:rFonts w:cstheme="minorHAnsi"/>
          <w:color w:val="222222"/>
          <w:lang w:val="en"/>
        </w:rPr>
        <w:t>month during 2015 and 2016</w:t>
      </w:r>
      <w:r w:rsidR="00B82B22" w:rsidRPr="00EA1DFE">
        <w:rPr>
          <w:rFonts w:cstheme="minorHAnsi"/>
          <w:color w:val="222222"/>
          <w:lang w:val="en"/>
        </w:rPr>
        <w:t>.</w:t>
      </w:r>
      <w:r w:rsidR="00D92E1D" w:rsidRPr="00EA1DFE">
        <w:rPr>
          <w:rFonts w:cstheme="minorHAnsi"/>
          <w:color w:val="222222"/>
          <w:lang w:val="en"/>
        </w:rPr>
        <w:t xml:space="preserve"> </w:t>
      </w:r>
      <w:r w:rsidR="00414674" w:rsidRPr="00EA1DFE">
        <w:rPr>
          <w:rFonts w:cstheme="minorHAnsi"/>
          <w:color w:val="222222"/>
          <w:lang w:val="en"/>
        </w:rPr>
        <w:t>Seventy-six</w:t>
      </w:r>
      <w:r w:rsidR="00684C19" w:rsidRPr="00EA1DFE">
        <w:rPr>
          <w:rFonts w:cstheme="minorHAnsi"/>
        </w:rPr>
        <w:t xml:space="preserve"> </w:t>
      </w:r>
      <w:r w:rsidR="00414674" w:rsidRPr="00EA1DFE">
        <w:rPr>
          <w:rFonts w:cstheme="minorHAnsi"/>
        </w:rPr>
        <w:t xml:space="preserve">percent </w:t>
      </w:r>
      <w:r w:rsidR="00684C19" w:rsidRPr="00EA1DFE">
        <w:rPr>
          <w:rFonts w:cstheme="minorHAnsi"/>
        </w:rPr>
        <w:t xml:space="preserve">of </w:t>
      </w:r>
      <w:r w:rsidR="00414674" w:rsidRPr="00EA1DFE">
        <w:rPr>
          <w:rFonts w:cstheme="minorHAnsi"/>
        </w:rPr>
        <w:t xml:space="preserve">transitioned </w:t>
      </w:r>
      <w:r w:rsidR="00684C19" w:rsidRPr="00EA1DFE">
        <w:rPr>
          <w:rFonts w:cstheme="minorHAnsi"/>
        </w:rPr>
        <w:t>residents were alive and living in the community at one year after initial transition.</w:t>
      </w:r>
      <w:r w:rsidR="00684C19" w:rsidRPr="00EA1DFE">
        <w:rPr>
          <w:rFonts w:cstheme="minorHAnsi"/>
          <w:color w:val="222222"/>
          <w:lang w:val="en"/>
        </w:rPr>
        <w:t xml:space="preserve"> </w:t>
      </w:r>
      <w:r w:rsidR="00FA6EA3" w:rsidRPr="00EA1DFE">
        <w:rPr>
          <w:rFonts w:cstheme="minorHAnsi"/>
          <w:color w:val="222222"/>
          <w:lang w:val="en"/>
        </w:rPr>
        <w:t xml:space="preserve">The authors </w:t>
      </w:r>
      <w:r w:rsidR="00E3432F">
        <w:rPr>
          <w:rFonts w:cstheme="minorHAnsi"/>
          <w:color w:val="222222"/>
          <w:lang w:val="en"/>
        </w:rPr>
        <w:t xml:space="preserve">concluded </w:t>
      </w:r>
      <w:r w:rsidR="00FA6EA3" w:rsidRPr="00EA1DFE">
        <w:rPr>
          <w:rFonts w:cstheme="minorHAnsi"/>
          <w:color w:val="222222"/>
          <w:lang w:val="en"/>
        </w:rPr>
        <w:t xml:space="preserve">that the </w:t>
      </w:r>
      <w:r w:rsidR="00D92E1D" w:rsidRPr="00EA1DFE">
        <w:rPr>
          <w:rFonts w:cstheme="minorHAnsi"/>
          <w:color w:val="222222"/>
          <w:lang w:val="en"/>
        </w:rPr>
        <w:t>relatively low nursing home readmission rates and mortality among transitioned residents may be attributable to effective follow-up.</w:t>
      </w:r>
      <w:r w:rsidR="00A43967">
        <w:rPr>
          <w:rFonts w:cstheme="minorHAnsi"/>
          <w:color w:val="222222"/>
          <w:lang w:val="en"/>
        </w:rPr>
        <w:t xml:space="preserve"> </w:t>
      </w:r>
      <w:r w:rsidR="0014120A" w:rsidRPr="00EA1DFE">
        <w:rPr>
          <w:rFonts w:cstheme="minorHAnsi"/>
        </w:rPr>
        <w:t>[</w:t>
      </w:r>
      <w:r w:rsidR="00AA0D58">
        <w:rPr>
          <w:rFonts w:cstheme="minorHAnsi"/>
        </w:rPr>
        <w:t>11</w:t>
      </w:r>
      <w:r w:rsidR="0014120A" w:rsidRPr="00EA1DFE">
        <w:rPr>
          <w:rFonts w:cstheme="minorHAnsi"/>
        </w:rPr>
        <w:t>]</w:t>
      </w:r>
      <w:r w:rsidR="00B82B22" w:rsidRPr="00EA1DFE">
        <w:rPr>
          <w:rFonts w:cstheme="minorHAnsi"/>
        </w:rPr>
        <w:t xml:space="preserve"> </w:t>
      </w:r>
      <w:bookmarkStart w:id="29" w:name="_Hlk532798141"/>
      <w:bookmarkEnd w:id="26"/>
    </w:p>
    <w:bookmarkEnd w:id="27"/>
    <w:p w14:paraId="3AC74905" w14:textId="77777777" w:rsidR="00783121" w:rsidRDefault="00783121" w:rsidP="00790034">
      <w:pPr>
        <w:ind w:left="432" w:firstLine="0"/>
      </w:pPr>
    </w:p>
    <w:p w14:paraId="76D82CEF" w14:textId="31942A72" w:rsidR="00834414" w:rsidRDefault="00C51121" w:rsidP="00790034">
      <w:pPr>
        <w:ind w:left="0" w:firstLine="0"/>
        <w:rPr>
          <w:rFonts w:cstheme="minorHAnsi"/>
        </w:rPr>
      </w:pPr>
      <w:bookmarkStart w:id="30" w:name="_Hlk532810181"/>
      <w:bookmarkStart w:id="31" w:name="_Hlk532854590"/>
      <w:r w:rsidRPr="00BE5CBC">
        <w:rPr>
          <w:rFonts w:cstheme="minorHAnsi"/>
        </w:rPr>
        <w:t xml:space="preserve">In a retrospective analysis, Logue and Drago </w:t>
      </w:r>
      <w:r w:rsidR="00314111" w:rsidRPr="00BE5CBC">
        <w:rPr>
          <w:rFonts w:cstheme="minorHAnsi"/>
        </w:rPr>
        <w:t>[</w:t>
      </w:r>
      <w:r w:rsidR="00314111">
        <w:rPr>
          <w:rFonts w:cstheme="minorHAnsi"/>
        </w:rPr>
        <w:t>12</w:t>
      </w:r>
      <w:r w:rsidR="00314111" w:rsidRPr="00BE5CBC">
        <w:rPr>
          <w:rFonts w:cstheme="minorHAnsi"/>
        </w:rPr>
        <w:t>]</w:t>
      </w:r>
      <w:r w:rsidR="00314111">
        <w:rPr>
          <w:rFonts w:cstheme="minorHAnsi"/>
        </w:rPr>
        <w:t xml:space="preserve"> </w:t>
      </w:r>
      <w:r w:rsidRPr="00BE5CBC">
        <w:rPr>
          <w:rFonts w:cstheme="minorHAnsi"/>
        </w:rPr>
        <w:t>described the impact of a modified community-based care transitions program on 30-day all-cause readmissions in 149 Medicare FFS patients in two hospital catchment areas in Arizona. The care transitions program included home-based in-person and phone visits by licensed practical nurses and registered nurses. The program focused on medication self-management, use of a personal health record by the patient or caregiver to facilitate communication and ensure continuity of the care plan across providers and settings, timely follow-up visits with care teams, educating patients on red flags indicating worsening condition, and depression and mobility screening. The 30-day all-cause readmission rate was 4% for patients who completed the program; compared with a baseline readmission rate of 15%, the program resulted in a 73% reduction in all-cause readmissions. Compared with the national average 30-day readmission rate, the program resulted in an 80% reduction in readmissions.</w:t>
      </w:r>
      <w:r w:rsidRPr="00BE5CBC">
        <w:rPr>
          <w:rFonts w:cstheme="minorHAnsi"/>
          <w:color w:val="000000"/>
          <w:shd w:val="clear" w:color="auto" w:fill="FFFFFF"/>
        </w:rPr>
        <w:t xml:space="preserve"> The authors also reported other positive outcomes, including </w:t>
      </w:r>
      <w:r w:rsidRPr="00BE5CBC">
        <w:rPr>
          <w:rFonts w:cstheme="minorHAnsi"/>
        </w:rPr>
        <w:t>high levels of patient satisfaction with the care transitions program, significant improvement in participants’ confidence with self-care, and actual Medicare cost savings during the 9-month study period of $214,192, excluding the cost to administer the program. The authors concluded that a customized care transitions approach is desirable and often required as the most cost</w:t>
      </w:r>
      <w:r>
        <w:rPr>
          <w:rFonts w:cstheme="minorHAnsi"/>
        </w:rPr>
        <w:t>-</w:t>
      </w:r>
      <w:r w:rsidRPr="00BE5CBC">
        <w:rPr>
          <w:rFonts w:cstheme="minorHAnsi"/>
        </w:rPr>
        <w:t>effective way to manage care transitions and employ evidence</w:t>
      </w:r>
      <w:r>
        <w:rPr>
          <w:rFonts w:cstheme="minorHAnsi"/>
        </w:rPr>
        <w:t>-</w:t>
      </w:r>
      <w:r w:rsidRPr="00BE5CBC">
        <w:rPr>
          <w:rFonts w:cstheme="minorHAnsi"/>
        </w:rPr>
        <w:t>based policy</w:t>
      </w:r>
      <w:r>
        <w:rPr>
          <w:rFonts w:cstheme="minorHAnsi"/>
        </w:rPr>
        <w:t>-</w:t>
      </w:r>
      <w:bookmarkEnd w:id="30"/>
      <w:r w:rsidR="003C0081" w:rsidRPr="00BE5CBC">
        <w:rPr>
          <w:rFonts w:cstheme="minorHAnsi"/>
        </w:rPr>
        <w:t>making. [</w:t>
      </w:r>
      <w:r w:rsidR="00AA0D58">
        <w:rPr>
          <w:rFonts w:cstheme="minorHAnsi"/>
        </w:rPr>
        <w:t>12</w:t>
      </w:r>
      <w:r w:rsidRPr="00BE5CBC">
        <w:rPr>
          <w:rFonts w:cstheme="minorHAnsi"/>
        </w:rPr>
        <w:t xml:space="preserve">] </w:t>
      </w:r>
      <w:bookmarkEnd w:id="29"/>
    </w:p>
    <w:bookmarkEnd w:id="31"/>
    <w:p w14:paraId="78428910" w14:textId="77777777" w:rsidR="00834414" w:rsidRDefault="00834414" w:rsidP="00790034">
      <w:pPr>
        <w:ind w:left="432" w:firstLine="0"/>
        <w:rPr>
          <w:rFonts w:cstheme="minorHAnsi"/>
          <w:lang w:val="en"/>
        </w:rPr>
      </w:pPr>
    </w:p>
    <w:p w14:paraId="13BB916E" w14:textId="2A9545BA" w:rsidR="0020461C" w:rsidRPr="00454A9C" w:rsidRDefault="0020461C" w:rsidP="00790034">
      <w:pPr>
        <w:ind w:left="0" w:firstLine="0"/>
        <w:rPr>
          <w:rFonts w:cstheme="minorHAnsi"/>
        </w:rPr>
      </w:pPr>
      <w:bookmarkStart w:id="32" w:name="_Hlk532854611"/>
      <w:r w:rsidRPr="00454A9C">
        <w:rPr>
          <w:rFonts w:cstheme="minorHAnsi"/>
          <w:lang w:val="en"/>
        </w:rPr>
        <w:t>In a secondary data analysis,</w:t>
      </w:r>
      <w:r w:rsidRPr="00454A9C">
        <w:rPr>
          <w:rFonts w:cstheme="minorHAnsi"/>
        </w:rPr>
        <w:t xml:space="preserve"> Carnahan et al. </w:t>
      </w:r>
      <w:r w:rsidR="00DA311C" w:rsidRPr="00454A9C">
        <w:rPr>
          <w:rFonts w:cstheme="minorHAnsi"/>
        </w:rPr>
        <w:t>[</w:t>
      </w:r>
      <w:r w:rsidR="00DA311C">
        <w:rPr>
          <w:rFonts w:cstheme="minorHAnsi"/>
        </w:rPr>
        <w:t>13</w:t>
      </w:r>
      <w:r w:rsidR="00DA311C" w:rsidRPr="00454A9C">
        <w:rPr>
          <w:rFonts w:cstheme="minorHAnsi"/>
        </w:rPr>
        <w:t>]</w:t>
      </w:r>
      <w:r w:rsidR="00DA311C">
        <w:rPr>
          <w:rFonts w:cstheme="minorHAnsi"/>
        </w:rPr>
        <w:t xml:space="preserve"> </w:t>
      </w:r>
      <w:r w:rsidRPr="00454A9C">
        <w:rPr>
          <w:rFonts w:cstheme="minorHAnsi"/>
        </w:rPr>
        <w:t xml:space="preserve">used the Older Adults Transition Study (OATS) database to </w:t>
      </w:r>
      <w:r w:rsidRPr="00454A9C">
        <w:rPr>
          <w:rFonts w:cstheme="minorHAnsi"/>
          <w:lang w:val="en"/>
        </w:rPr>
        <w:t>identify whether early post-SNF discharge care reduces likelihood of 30-day hospital readmissions</w:t>
      </w:r>
      <w:r w:rsidRPr="00454A9C">
        <w:rPr>
          <w:rFonts w:cstheme="minorHAnsi"/>
        </w:rPr>
        <w:t xml:space="preserve"> in 1,543 patients discharged from a </w:t>
      </w:r>
      <w:r w:rsidRPr="00454A9C">
        <w:rPr>
          <w:rFonts w:cstheme="minorHAnsi"/>
          <w:shd w:val="clear" w:color="auto" w:fill="FFFFFF"/>
        </w:rPr>
        <w:t>safety-net hospital in Central Indiana</w:t>
      </w:r>
      <w:r w:rsidRPr="00454A9C">
        <w:rPr>
          <w:rFonts w:cstheme="minorHAnsi"/>
        </w:rPr>
        <w:t xml:space="preserve"> to SNF </w:t>
      </w:r>
      <w:r w:rsidR="0071389B" w:rsidRPr="00454A9C">
        <w:rPr>
          <w:rFonts w:cstheme="minorHAnsi"/>
        </w:rPr>
        <w:t>t</w:t>
      </w:r>
      <w:r w:rsidR="0071389B">
        <w:rPr>
          <w:rFonts w:cstheme="minorHAnsi"/>
        </w:rPr>
        <w:t xml:space="preserve">hen </w:t>
      </w:r>
      <w:r w:rsidRPr="00454A9C">
        <w:rPr>
          <w:rFonts w:cstheme="minorHAnsi"/>
        </w:rPr>
        <w:t>to home</w:t>
      </w:r>
      <w:r w:rsidRPr="00454A9C">
        <w:rPr>
          <w:rFonts w:cstheme="minorHAnsi"/>
          <w:shd w:val="clear" w:color="auto" w:fill="FFFFFF"/>
        </w:rPr>
        <w:t xml:space="preserve"> between January 1, 2007 </w:t>
      </w:r>
      <w:r>
        <w:rPr>
          <w:rFonts w:cstheme="minorHAnsi"/>
          <w:shd w:val="clear" w:color="auto" w:fill="FFFFFF"/>
        </w:rPr>
        <w:t>and</w:t>
      </w:r>
      <w:r w:rsidRPr="00454A9C">
        <w:rPr>
          <w:rFonts w:cstheme="minorHAnsi"/>
          <w:shd w:val="clear" w:color="auto" w:fill="FFFFFF"/>
        </w:rPr>
        <w:t xml:space="preserve"> October 1, 2010</w:t>
      </w:r>
      <w:r w:rsidRPr="00454A9C">
        <w:rPr>
          <w:rFonts w:cstheme="minorHAnsi"/>
        </w:rPr>
        <w:t xml:space="preserve">. The OATS database combines </w:t>
      </w:r>
      <w:r>
        <w:rPr>
          <w:rFonts w:cstheme="minorHAnsi"/>
        </w:rPr>
        <w:t>MDS</w:t>
      </w:r>
      <w:r w:rsidRPr="00454A9C">
        <w:rPr>
          <w:rFonts w:cstheme="minorHAnsi"/>
        </w:rPr>
        <w:t xml:space="preserve">, Outcome and Assessment Information Set (OASIS), Medicare and Medicaid </w:t>
      </w:r>
      <w:r>
        <w:rPr>
          <w:rFonts w:cstheme="minorHAnsi"/>
        </w:rPr>
        <w:t>c</w:t>
      </w:r>
      <w:r w:rsidRPr="00454A9C">
        <w:rPr>
          <w:rFonts w:cstheme="minorHAnsi"/>
        </w:rPr>
        <w:t>laims, and electronic medical records. Using a multivariable Cox proportional hazards model adjusting for patient demographic, clinical and utilization variable</w:t>
      </w:r>
      <w:r>
        <w:rPr>
          <w:rFonts w:cstheme="minorHAnsi"/>
        </w:rPr>
        <w:t>s</w:t>
      </w:r>
      <w:r w:rsidRPr="00454A9C">
        <w:rPr>
          <w:rFonts w:cstheme="minorHAnsi"/>
        </w:rPr>
        <w:t>, the authors found that a home health visit within a week of SNF discharge reduced the hazard of 30-day hospital readmissions [adjusted</w:t>
      </w:r>
      <w:r w:rsidR="00A038E7">
        <w:rPr>
          <w:rFonts w:cstheme="minorHAnsi"/>
        </w:rPr>
        <w:t xml:space="preserve"> </w:t>
      </w:r>
      <w:r w:rsidR="002E5F37">
        <w:rPr>
          <w:rFonts w:cstheme="minorHAnsi"/>
        </w:rPr>
        <w:t xml:space="preserve">HR </w:t>
      </w:r>
      <w:r w:rsidRPr="00454A9C">
        <w:rPr>
          <w:rFonts w:cstheme="minorHAnsi"/>
        </w:rPr>
        <w:t xml:space="preserve">= 0.61, </w:t>
      </w:r>
      <w:r w:rsidRPr="00454A9C">
        <w:rPr>
          <w:rFonts w:cstheme="minorHAnsi"/>
          <w:i/>
        </w:rPr>
        <w:t>p</w:t>
      </w:r>
      <w:r w:rsidRPr="00454A9C">
        <w:rPr>
          <w:rFonts w:cstheme="minorHAnsi"/>
        </w:rPr>
        <w:t xml:space="preserve"> &lt; .001]. Kaplan-Meier survival function estimates found that a home care visit was also significantly associated (</w:t>
      </w:r>
      <w:r w:rsidRPr="00454A9C">
        <w:rPr>
          <w:rFonts w:cstheme="minorHAnsi"/>
          <w:i/>
        </w:rPr>
        <w:t xml:space="preserve">p </w:t>
      </w:r>
      <w:r w:rsidRPr="00454A9C">
        <w:rPr>
          <w:rFonts w:cstheme="minorHAnsi"/>
        </w:rPr>
        <w:t>&lt; 0.05) with reduced likelihood of readmission at</w:t>
      </w:r>
      <w:r>
        <w:rPr>
          <w:rFonts w:cstheme="minorHAnsi"/>
        </w:rPr>
        <w:t xml:space="preserve"> </w:t>
      </w:r>
      <w:r w:rsidRPr="00454A9C">
        <w:rPr>
          <w:rFonts w:cstheme="minorHAnsi"/>
        </w:rPr>
        <w:t>one, two, and three week</w:t>
      </w:r>
      <w:r>
        <w:rPr>
          <w:rFonts w:cstheme="minorHAnsi"/>
        </w:rPr>
        <w:t>s</w:t>
      </w:r>
      <w:r w:rsidRPr="00454A9C">
        <w:rPr>
          <w:rFonts w:cstheme="minorHAnsi"/>
        </w:rPr>
        <w:t xml:space="preserve">. The authors concluded that early home health </w:t>
      </w:r>
      <w:r>
        <w:rPr>
          <w:rFonts w:cstheme="minorHAnsi"/>
        </w:rPr>
        <w:lastRenderedPageBreak/>
        <w:t xml:space="preserve">services could be </w:t>
      </w:r>
      <w:r w:rsidRPr="00454A9C">
        <w:rPr>
          <w:rFonts w:cstheme="minorHAnsi"/>
        </w:rPr>
        <w:t xml:space="preserve">a potential intervention to reduce readmissions and improve outcomes for </w:t>
      </w:r>
      <w:r>
        <w:rPr>
          <w:rFonts w:cstheme="minorHAnsi"/>
        </w:rPr>
        <w:t>this patient population</w:t>
      </w:r>
      <w:r w:rsidRPr="00454A9C">
        <w:rPr>
          <w:rFonts w:cstheme="minorHAnsi"/>
        </w:rPr>
        <w:t>. [</w:t>
      </w:r>
      <w:r w:rsidR="00AA0D58">
        <w:rPr>
          <w:rFonts w:cstheme="minorHAnsi"/>
        </w:rPr>
        <w:t>13</w:t>
      </w:r>
      <w:r w:rsidRPr="00454A9C">
        <w:rPr>
          <w:rFonts w:cstheme="minorHAnsi"/>
        </w:rPr>
        <w:t>]</w:t>
      </w:r>
    </w:p>
    <w:bookmarkEnd w:id="32"/>
    <w:p w14:paraId="49D5FA6A" w14:textId="30F49099" w:rsidR="0020461C" w:rsidRDefault="0020461C" w:rsidP="00790034">
      <w:pPr>
        <w:ind w:left="432" w:firstLine="0"/>
      </w:pPr>
    </w:p>
    <w:p w14:paraId="71338F75" w14:textId="0CEDD37F" w:rsidR="0034597A" w:rsidRDefault="003162F3" w:rsidP="00790034">
      <w:pPr>
        <w:ind w:left="0" w:firstLine="0"/>
      </w:pPr>
      <w:bookmarkStart w:id="33" w:name="_Hlk532810237"/>
      <w:bookmarkStart w:id="34" w:name="_Hlk532813119"/>
      <w:bookmarkStart w:id="35" w:name="_Hlk532798170"/>
      <w:r w:rsidRPr="003162F3">
        <w:t xml:space="preserve">A </w:t>
      </w:r>
      <w:r>
        <w:t xml:space="preserve">2017 </w:t>
      </w:r>
      <w:r w:rsidRPr="003162F3">
        <w:t>systematic review and meta</w:t>
      </w:r>
      <w:r>
        <w:t>-</w:t>
      </w:r>
      <w:r w:rsidRPr="003162F3">
        <w:t xml:space="preserve">analysis of </w:t>
      </w:r>
      <w:r w:rsidR="00F631D3">
        <w:t xml:space="preserve">11 </w:t>
      </w:r>
      <w:r w:rsidRPr="003162F3">
        <w:t>randomized controlled trials</w:t>
      </w:r>
      <w:r>
        <w:t xml:space="preserve"> </w:t>
      </w:r>
      <w:r w:rsidR="00272218">
        <w:t xml:space="preserve">by </w:t>
      </w:r>
      <w:proofErr w:type="spellStart"/>
      <w:r w:rsidR="00272218" w:rsidRPr="00272218">
        <w:t>Rodakowski</w:t>
      </w:r>
      <w:proofErr w:type="spellEnd"/>
      <w:r w:rsidR="00272218">
        <w:t xml:space="preserve"> et </w:t>
      </w:r>
      <w:r w:rsidR="00AE044D">
        <w:t>al</w:t>
      </w:r>
      <w:r w:rsidR="00027C4E">
        <w:t>.</w:t>
      </w:r>
      <w:r w:rsidR="00902340" w:rsidRPr="00902340">
        <w:t xml:space="preserve"> </w:t>
      </w:r>
      <w:r w:rsidR="00902340">
        <w:t>[14]</w:t>
      </w:r>
      <w:r w:rsidR="00AE044D">
        <w:t xml:space="preserve"> examined</w:t>
      </w:r>
      <w:r>
        <w:t xml:space="preserve"> </w:t>
      </w:r>
      <w:r w:rsidRPr="003162F3">
        <w:t>the effect of integrating informal caregivers</w:t>
      </w:r>
      <w:r>
        <w:t xml:space="preserve"> </w:t>
      </w:r>
      <w:r w:rsidRPr="006435B9">
        <w:t>(</w:t>
      </w:r>
      <w:r>
        <w:t xml:space="preserve">i.e., </w:t>
      </w:r>
      <w:r w:rsidRPr="006435B9">
        <w:t>unpaid individuals who provide support for medical tasks and daily activities once home)</w:t>
      </w:r>
      <w:r w:rsidRPr="003162F3">
        <w:t xml:space="preserve"> into discharge planning</w:t>
      </w:r>
      <w:r w:rsidR="00AE044D">
        <w:t xml:space="preserve"> from a hospital or </w:t>
      </w:r>
      <w:r w:rsidR="00F631D3">
        <w:t>SNF</w:t>
      </w:r>
      <w:r w:rsidRPr="003162F3">
        <w:t xml:space="preserve"> on post-discharge </w:t>
      </w:r>
      <w:r w:rsidR="00783121">
        <w:t xml:space="preserve">readmissions </w:t>
      </w:r>
      <w:r w:rsidRPr="003162F3">
        <w:t xml:space="preserve">in </w:t>
      </w:r>
      <w:r w:rsidR="006B11E6">
        <w:t xml:space="preserve">a combined total </w:t>
      </w:r>
      <w:r w:rsidR="00A26591">
        <w:t xml:space="preserve">sample </w:t>
      </w:r>
      <w:r w:rsidR="006B11E6">
        <w:t xml:space="preserve">of 4,361 </w:t>
      </w:r>
      <w:r w:rsidRPr="003162F3">
        <w:t>older adul</w:t>
      </w:r>
      <w:r>
        <w:t>ts</w:t>
      </w:r>
      <w:r w:rsidR="00AE044D">
        <w:t xml:space="preserve">. The authors </w:t>
      </w:r>
      <w:r w:rsidRPr="003162F3">
        <w:t>reported that integrating caregivers in</w:t>
      </w:r>
      <w:r w:rsidR="00844591">
        <w:t>to</w:t>
      </w:r>
      <w:r w:rsidRPr="003162F3">
        <w:t xml:space="preserve"> discharge planning for patients 65 </w:t>
      </w:r>
      <w:r w:rsidR="00844591">
        <w:t xml:space="preserve">years </w:t>
      </w:r>
      <w:r w:rsidRPr="003162F3">
        <w:t xml:space="preserve">and older </w:t>
      </w:r>
      <w:r w:rsidR="00C13E08">
        <w:t xml:space="preserve">resulted in </w:t>
      </w:r>
      <w:r w:rsidR="00844591">
        <w:t xml:space="preserve">a </w:t>
      </w:r>
      <w:r w:rsidRPr="003162F3">
        <w:t>25% l</w:t>
      </w:r>
      <w:r w:rsidR="00844591">
        <w:t>ower</w:t>
      </w:r>
      <w:r w:rsidRPr="003162F3">
        <w:t xml:space="preserve"> risk of 90-day </w:t>
      </w:r>
      <w:r w:rsidR="00C81C07">
        <w:t xml:space="preserve">hospital </w:t>
      </w:r>
      <w:r w:rsidRPr="003162F3">
        <w:t>readmission</w:t>
      </w:r>
      <w:r w:rsidR="00C13E08">
        <w:t>s</w:t>
      </w:r>
      <w:r w:rsidR="00AE044D">
        <w:t xml:space="preserve"> and 24% fewer readmissions at 180 days</w:t>
      </w:r>
      <w:r w:rsidRPr="003162F3">
        <w:t xml:space="preserve">. </w:t>
      </w:r>
      <w:r w:rsidR="00AE044D">
        <w:t>These findings pr</w:t>
      </w:r>
      <w:r w:rsidRPr="006435B9">
        <w:t>ovid</w:t>
      </w:r>
      <w:r w:rsidR="00AE044D">
        <w:t xml:space="preserve">e </w:t>
      </w:r>
      <w:r w:rsidRPr="006435B9">
        <w:t>evidence that community support services can help ensure that patients successfully stay in the community following discharge</w:t>
      </w:r>
      <w:bookmarkEnd w:id="33"/>
      <w:r>
        <w:t xml:space="preserve">. </w:t>
      </w:r>
      <w:bookmarkEnd w:id="34"/>
      <w:r w:rsidR="007D42D5">
        <w:t>[</w:t>
      </w:r>
      <w:r w:rsidR="00AA0D58">
        <w:t>14</w:t>
      </w:r>
      <w:r w:rsidR="007D42D5">
        <w:t>]</w:t>
      </w:r>
    </w:p>
    <w:bookmarkEnd w:id="35"/>
    <w:p w14:paraId="0620EB4B" w14:textId="77777777" w:rsidR="003162F3" w:rsidRDefault="003162F3" w:rsidP="00790034">
      <w:pPr>
        <w:ind w:left="432" w:firstLine="0"/>
      </w:pPr>
    </w:p>
    <w:p w14:paraId="3AD895F8" w14:textId="532CA14B" w:rsidR="00585391" w:rsidRDefault="006941F7" w:rsidP="00790034">
      <w:pPr>
        <w:ind w:left="0" w:firstLine="0"/>
        <w:rPr>
          <w:rFonts w:eastAsia="Calibri"/>
        </w:rPr>
      </w:pPr>
      <w:bookmarkStart w:id="36" w:name="_Hlk532810264"/>
      <w:bookmarkStart w:id="37" w:name="_Hlk532798201"/>
      <w:r>
        <w:rPr>
          <w:rFonts w:cstheme="minorHAnsi"/>
        </w:rPr>
        <w:t xml:space="preserve">The empirical evidence provided above </w:t>
      </w:r>
      <w:r w:rsidR="00AA068F">
        <w:rPr>
          <w:rFonts w:eastAsia="Calibri"/>
        </w:rPr>
        <w:t>demonstrates</w:t>
      </w:r>
      <w:r w:rsidR="00585391" w:rsidRPr="006435B9">
        <w:rPr>
          <w:rFonts w:eastAsia="Calibri"/>
        </w:rPr>
        <w:t xml:space="preserve"> that improvement in </w:t>
      </w:r>
      <w:r w:rsidR="00A26591">
        <w:rPr>
          <w:rFonts w:eastAsia="Calibri"/>
        </w:rPr>
        <w:t xml:space="preserve">successful </w:t>
      </w:r>
      <w:r w:rsidR="00585391" w:rsidRPr="006435B9">
        <w:rPr>
          <w:rFonts w:eastAsia="Calibri"/>
        </w:rPr>
        <w:t xml:space="preserve">discharge to community rates among </w:t>
      </w:r>
      <w:r w:rsidR="00F069B0">
        <w:rPr>
          <w:rFonts w:eastAsia="Calibri"/>
        </w:rPr>
        <w:t xml:space="preserve">PAC </w:t>
      </w:r>
      <w:r w:rsidR="00585391" w:rsidRPr="006435B9">
        <w:rPr>
          <w:rFonts w:eastAsia="Calibri"/>
        </w:rPr>
        <w:t>patients is possible through modifying provider-led processes and interventions</w:t>
      </w:r>
      <w:r w:rsidR="00F069B0">
        <w:rPr>
          <w:rFonts w:eastAsia="Calibri"/>
        </w:rPr>
        <w:t xml:space="preserve"> in the PAC setting and community</w:t>
      </w:r>
      <w:bookmarkEnd w:id="36"/>
      <w:r w:rsidR="00585391" w:rsidRPr="006435B9">
        <w:rPr>
          <w:rFonts w:eastAsia="Calibri"/>
        </w:rPr>
        <w:t>.</w:t>
      </w:r>
    </w:p>
    <w:bookmarkEnd w:id="37"/>
    <w:p w14:paraId="721A10EB" w14:textId="052C823B" w:rsidR="001F1B48" w:rsidRDefault="001F1B48" w:rsidP="00790034">
      <w:pPr>
        <w:autoSpaceDE w:val="0"/>
        <w:autoSpaceDN w:val="0"/>
        <w:adjustRightInd w:val="0"/>
        <w:ind w:left="0" w:firstLine="0"/>
        <w:rPr>
          <w:rFonts w:cstheme="minorHAnsi"/>
        </w:rPr>
      </w:pPr>
    </w:p>
    <w:p w14:paraId="178CD219" w14:textId="3CDD1229" w:rsidR="00B1394C" w:rsidRPr="00B1394C" w:rsidRDefault="00B1394C" w:rsidP="00790034">
      <w:pPr>
        <w:autoSpaceDE w:val="0"/>
        <w:autoSpaceDN w:val="0"/>
        <w:adjustRightInd w:val="0"/>
        <w:ind w:left="0" w:firstLine="0"/>
        <w:rPr>
          <w:rFonts w:cstheme="minorHAnsi"/>
          <w:b/>
        </w:rPr>
      </w:pPr>
      <w:r w:rsidRPr="00B1394C">
        <w:rPr>
          <w:rFonts w:cstheme="minorHAnsi"/>
          <w:b/>
        </w:rPr>
        <w:t>References</w:t>
      </w:r>
    </w:p>
    <w:p w14:paraId="080E7DCC" w14:textId="77777777" w:rsidR="00B1394C" w:rsidRDefault="00B1394C" w:rsidP="00790034">
      <w:pPr>
        <w:autoSpaceDE w:val="0"/>
        <w:autoSpaceDN w:val="0"/>
        <w:adjustRightInd w:val="0"/>
        <w:ind w:left="0" w:firstLine="0"/>
        <w:rPr>
          <w:rFonts w:cstheme="minorHAnsi"/>
        </w:rPr>
      </w:pPr>
    </w:p>
    <w:p w14:paraId="2C1D6849" w14:textId="0777D7F1" w:rsidR="00AA0D58" w:rsidRPr="001D3F35" w:rsidRDefault="00AA0D58" w:rsidP="00780AAB">
      <w:pPr>
        <w:pStyle w:val="ListParagraph"/>
        <w:numPr>
          <w:ilvl w:val="0"/>
          <w:numId w:val="13"/>
        </w:numPr>
        <w:spacing w:line="240" w:lineRule="auto"/>
        <w:rPr>
          <w:rFonts w:cstheme="minorHAnsi"/>
        </w:rPr>
      </w:pPr>
      <w:bookmarkStart w:id="38" w:name="_Hlk532854698"/>
      <w:r>
        <w:t>O’Brien SR, Zhang N. Association between therapy intensity and discharge outcomes in aged Medicare skilled nu</w:t>
      </w:r>
      <w:r w:rsidRPr="001D3F35">
        <w:rPr>
          <w:rFonts w:cstheme="minorHAnsi"/>
        </w:rPr>
        <w:t xml:space="preserve">rsing facilities admissions. Archives of Physical Medicine and Rehabilitation. </w:t>
      </w:r>
      <w:r w:rsidRPr="001D3F35">
        <w:rPr>
          <w:rFonts w:cstheme="minorHAnsi"/>
          <w:lang w:val="en"/>
        </w:rPr>
        <w:t>2018;99(1):107-115.</w:t>
      </w:r>
      <w:r w:rsidRPr="001D3F35">
        <w:rPr>
          <w:rFonts w:cstheme="minorHAnsi"/>
        </w:rPr>
        <w:t xml:space="preserve">  </w:t>
      </w:r>
    </w:p>
    <w:p w14:paraId="7F3692CE" w14:textId="185AA417" w:rsidR="00AA0D58" w:rsidRDefault="00AA0D58" w:rsidP="00780AAB">
      <w:pPr>
        <w:pStyle w:val="ListParagraph"/>
        <w:numPr>
          <w:ilvl w:val="0"/>
          <w:numId w:val="13"/>
        </w:numPr>
        <w:spacing w:line="240" w:lineRule="auto"/>
      </w:pPr>
      <w:bookmarkStart w:id="39" w:name="_Hlk532843460"/>
      <w:r>
        <w:t xml:space="preserve">Jung HY, Trivedi AN, Grabowski DC, </w:t>
      </w:r>
      <w:proofErr w:type="spellStart"/>
      <w:r>
        <w:t>Mor</w:t>
      </w:r>
      <w:proofErr w:type="spellEnd"/>
      <w:r>
        <w:t xml:space="preserve"> V. Does more therapy in skilled nursing facilities lead to better outcomes in patients with hip fracture? Physical therapy. 2016;96(1):81-89.</w:t>
      </w:r>
    </w:p>
    <w:bookmarkEnd w:id="39"/>
    <w:p w14:paraId="6BAAE451" w14:textId="2F7916A9" w:rsidR="00AA0D58" w:rsidRDefault="00AA0D58" w:rsidP="00780AAB">
      <w:pPr>
        <w:pStyle w:val="ListParagraph"/>
        <w:numPr>
          <w:ilvl w:val="0"/>
          <w:numId w:val="13"/>
        </w:numPr>
        <w:spacing w:line="240" w:lineRule="auto"/>
      </w:pPr>
      <w:proofErr w:type="spellStart"/>
      <w:r>
        <w:t>Schweickert</w:t>
      </w:r>
      <w:proofErr w:type="spellEnd"/>
      <w:r>
        <w:t xml:space="preserve"> WD, Pohlman MC, Pohlman AS, et al. Early physical and occupational therapy in mechanically ventilated, critically ill patients: a </w:t>
      </w:r>
      <w:proofErr w:type="spellStart"/>
      <w:r>
        <w:t>randomised</w:t>
      </w:r>
      <w:proofErr w:type="spellEnd"/>
      <w:r>
        <w:t xml:space="preserve"> controlled trial. Lancet (London, England). 2009;373(9678):1874-1882.</w:t>
      </w:r>
    </w:p>
    <w:p w14:paraId="49F52AE3" w14:textId="77777777" w:rsidR="001D3F35" w:rsidRDefault="00AA0D58" w:rsidP="00780AAB">
      <w:pPr>
        <w:pStyle w:val="ListParagraph"/>
        <w:numPr>
          <w:ilvl w:val="0"/>
          <w:numId w:val="13"/>
        </w:numPr>
        <w:spacing w:line="240" w:lineRule="auto"/>
      </w:pPr>
      <w:r>
        <w:t xml:space="preserve">Camicia M, Wang H, </w:t>
      </w:r>
      <w:proofErr w:type="spellStart"/>
      <w:r>
        <w:t>DiVita</w:t>
      </w:r>
      <w:proofErr w:type="spellEnd"/>
      <w:r>
        <w:t xml:space="preserve"> M, Mix J, </w:t>
      </w:r>
      <w:proofErr w:type="spellStart"/>
      <w:r>
        <w:t>Niewczyk</w:t>
      </w:r>
      <w:proofErr w:type="spellEnd"/>
      <w:r>
        <w:t xml:space="preserve"> P. Length of stay at inpatient rehabilitation facility and stroke patient outcomes. Rehabilitation Nursing: The Official Journal of the Association of Rehabilitation Nurses. 2016;41(2):78-90.</w:t>
      </w:r>
    </w:p>
    <w:p w14:paraId="7A33D8AF" w14:textId="604ECC01" w:rsidR="00AA0D58" w:rsidRDefault="00AA0D58" w:rsidP="00780AAB">
      <w:pPr>
        <w:pStyle w:val="ListParagraph"/>
        <w:numPr>
          <w:ilvl w:val="0"/>
          <w:numId w:val="13"/>
        </w:numPr>
        <w:spacing w:line="240" w:lineRule="auto"/>
      </w:pPr>
      <w:r>
        <w:t xml:space="preserve">Thrush A, </w:t>
      </w:r>
      <w:proofErr w:type="spellStart"/>
      <w:r>
        <w:t>Rozek</w:t>
      </w:r>
      <w:proofErr w:type="spellEnd"/>
      <w:r>
        <w:t xml:space="preserve"> M, </w:t>
      </w:r>
      <w:proofErr w:type="spellStart"/>
      <w:r>
        <w:t>Dekerlegand</w:t>
      </w:r>
      <w:proofErr w:type="spellEnd"/>
      <w:r>
        <w:t xml:space="preserve"> JL. The Clinical Utility of the functional status score for the intensive care unit (FSS-ICU) at a long-term acute care hospital: a prospective cohort study. Physical Therapy. 2012;92(12):1536-1545.</w:t>
      </w:r>
    </w:p>
    <w:p w14:paraId="320CBBE5" w14:textId="23A07AE2" w:rsidR="00AA0D58" w:rsidRDefault="00AA0D58" w:rsidP="00780AAB">
      <w:pPr>
        <w:pStyle w:val="ListParagraph"/>
        <w:numPr>
          <w:ilvl w:val="0"/>
          <w:numId w:val="13"/>
        </w:numPr>
        <w:spacing w:line="240" w:lineRule="auto"/>
      </w:pPr>
      <w:r>
        <w:t xml:space="preserve">Kushner DS, Peters KM, Johnson-Greene D. Evaluating </w:t>
      </w:r>
      <w:proofErr w:type="spellStart"/>
      <w:r>
        <w:t>Siebens</w:t>
      </w:r>
      <w:proofErr w:type="spellEnd"/>
      <w:r>
        <w:t xml:space="preserve"> Domain Management Model for inpatient rehabilitation to increase functional independence and discharge rate to home in geriatric patients. Archives of Physical Medicine and Rehabilitation. 2015;96(7):1310-1318.</w:t>
      </w:r>
    </w:p>
    <w:p w14:paraId="2D90FFA8" w14:textId="3FB15E9E" w:rsidR="00AA0D58" w:rsidRDefault="00AA0D58" w:rsidP="00780AAB">
      <w:pPr>
        <w:pStyle w:val="ListParagraph"/>
        <w:numPr>
          <w:ilvl w:val="0"/>
          <w:numId w:val="13"/>
        </w:numPr>
        <w:spacing w:line="240" w:lineRule="auto"/>
      </w:pPr>
      <w:r>
        <w:t xml:space="preserve">Kushner DS, Peters KM, Johnson-Greene D. Evaluating use of the </w:t>
      </w:r>
      <w:proofErr w:type="spellStart"/>
      <w:r>
        <w:t>Siebens</w:t>
      </w:r>
      <w:proofErr w:type="spellEnd"/>
      <w:r>
        <w:t xml:space="preserve"> Domain Management Model during inpatient rehabilitation to increase functional independence and discharge rate to home in stroke patients. PM&amp;R: The Journal of Injury, Function, and Rehabilitation. 2015;7(4):354-364.</w:t>
      </w:r>
    </w:p>
    <w:p w14:paraId="2EACA41A" w14:textId="1CE012B7" w:rsidR="00AA0D58" w:rsidRDefault="00AA0D58" w:rsidP="00780AAB">
      <w:pPr>
        <w:pStyle w:val="ListParagraph"/>
        <w:numPr>
          <w:ilvl w:val="0"/>
          <w:numId w:val="13"/>
        </w:numPr>
        <w:spacing w:line="240" w:lineRule="auto"/>
      </w:pPr>
      <w:r>
        <w:t xml:space="preserve">Kushner DS, Peters KM, Johnson-Greene D. Evaluating the </w:t>
      </w:r>
      <w:proofErr w:type="spellStart"/>
      <w:r>
        <w:t>Siebens</w:t>
      </w:r>
      <w:proofErr w:type="spellEnd"/>
      <w:r>
        <w:t xml:space="preserve"> Model in geriatric-stroke inpatient rehabilitation to reduce institutionalization and acute-care readmissions. Journal of Stroke and Cerebrovascular Diseases. 2016;25(2):317-326.</w:t>
      </w:r>
    </w:p>
    <w:p w14:paraId="30204BA5" w14:textId="3C9B9C01" w:rsidR="00AA0D58" w:rsidRDefault="00AA0D58" w:rsidP="00780AAB">
      <w:pPr>
        <w:pStyle w:val="ListParagraph"/>
        <w:numPr>
          <w:ilvl w:val="0"/>
          <w:numId w:val="13"/>
        </w:numPr>
        <w:spacing w:line="240" w:lineRule="auto"/>
      </w:pPr>
      <w:r>
        <w:t xml:space="preserve">Berkowitz RE, Jones RN, </w:t>
      </w:r>
      <w:proofErr w:type="spellStart"/>
      <w:r>
        <w:t>Rieder</w:t>
      </w:r>
      <w:proofErr w:type="spellEnd"/>
      <w:r>
        <w:t xml:space="preserve"> R, et al. Improving disposition outcomes for patients in a geriatric skilled nursing facility. Journal of the American Geriatrics Society. 2011;59(6):1130-1136.</w:t>
      </w:r>
    </w:p>
    <w:p w14:paraId="6202B661" w14:textId="56B366F7" w:rsidR="00AA0D58" w:rsidRDefault="00AA0D58" w:rsidP="00780AAB">
      <w:pPr>
        <w:pStyle w:val="ListParagraph"/>
        <w:numPr>
          <w:ilvl w:val="0"/>
          <w:numId w:val="13"/>
        </w:numPr>
        <w:spacing w:line="240" w:lineRule="auto"/>
      </w:pPr>
      <w:r>
        <w:t>Buttke D, Cooke V, Abrahamson K, et al. A Statewide Model for assisting nursing home residents to transition successfully to the community. Geriatrics. 2018;3(2):18.</w:t>
      </w:r>
    </w:p>
    <w:p w14:paraId="1D1BA558" w14:textId="197A423D" w:rsidR="00AA0D58" w:rsidRDefault="00AA0D58" w:rsidP="00780AAB">
      <w:pPr>
        <w:pStyle w:val="ListParagraph"/>
        <w:numPr>
          <w:ilvl w:val="0"/>
          <w:numId w:val="13"/>
        </w:numPr>
        <w:spacing w:line="240" w:lineRule="auto"/>
      </w:pPr>
      <w:r>
        <w:t xml:space="preserve">Logue MD, Drago J. Evaluation of a modified </w:t>
      </w:r>
      <w:proofErr w:type="gramStart"/>
      <w:r>
        <w:t>community based</w:t>
      </w:r>
      <w:proofErr w:type="gramEnd"/>
      <w:r>
        <w:t xml:space="preserve"> care transitions model to reduce costs and improve outcomes. BMC Geriatrics. 2013;13(1):94.</w:t>
      </w:r>
    </w:p>
    <w:p w14:paraId="48A2EF58" w14:textId="3E455A2E" w:rsidR="00AA0D58" w:rsidRDefault="00AA0D58" w:rsidP="00780AAB">
      <w:pPr>
        <w:pStyle w:val="ListParagraph"/>
        <w:numPr>
          <w:ilvl w:val="0"/>
          <w:numId w:val="13"/>
        </w:numPr>
        <w:spacing w:line="240" w:lineRule="auto"/>
      </w:pPr>
      <w:r>
        <w:lastRenderedPageBreak/>
        <w:t xml:space="preserve">Carnahan JL, Slaven JE, Callahan CM, Tu W, </w:t>
      </w:r>
      <w:proofErr w:type="spellStart"/>
      <w:r>
        <w:t>Torke</w:t>
      </w:r>
      <w:proofErr w:type="spellEnd"/>
      <w:r>
        <w:t xml:space="preserve"> AM. Transitions from skilled nursing facility to home: the relationship of early outpatient care to hospital readmission. Journal of the American Medical Directors Association. 2017;18(10):853-859.</w:t>
      </w:r>
    </w:p>
    <w:p w14:paraId="2DC4DCA9" w14:textId="0FE1AB04" w:rsidR="00AA0D58" w:rsidRDefault="00AA0D58" w:rsidP="00780AAB">
      <w:pPr>
        <w:pStyle w:val="ListParagraph"/>
        <w:numPr>
          <w:ilvl w:val="0"/>
          <w:numId w:val="13"/>
        </w:numPr>
        <w:spacing w:line="240" w:lineRule="auto"/>
      </w:pPr>
      <w:r>
        <w:t xml:space="preserve">Rodakowski J, Rocco PB, Ortiz M, et al. Caregiver integration during discharge planning for older adults to reduce resource use: a </w:t>
      </w:r>
      <w:proofErr w:type="spellStart"/>
      <w:r>
        <w:t>metaanalysis</w:t>
      </w:r>
      <w:proofErr w:type="spellEnd"/>
      <w:r>
        <w:t xml:space="preserve">. J Am </w:t>
      </w:r>
      <w:proofErr w:type="spellStart"/>
      <w:r>
        <w:t>Geriatr</w:t>
      </w:r>
      <w:proofErr w:type="spellEnd"/>
      <w:r>
        <w:t xml:space="preserve"> Soc. 2017;65(8):1748-1755.</w:t>
      </w:r>
    </w:p>
    <w:bookmarkEnd w:id="38"/>
    <w:p w14:paraId="4334D93E" w14:textId="5D7EF863" w:rsidR="00364DDF" w:rsidRDefault="00364DDF" w:rsidP="0020461C"/>
    <w:p w14:paraId="55B8DA66" w14:textId="355023CC" w:rsidR="00C41794" w:rsidRPr="00096604" w:rsidRDefault="002B06BD" w:rsidP="00C41794">
      <w:pPr>
        <w:ind w:left="0" w:firstLine="0"/>
        <w:rPr>
          <w:b/>
          <w:iCs/>
        </w:rPr>
      </w:pPr>
      <w:bookmarkStart w:id="40" w:name="Section1a3"/>
      <w:bookmarkEnd w:id="40"/>
      <w:r w:rsidRPr="00096604">
        <w:rPr>
          <w:b/>
          <w:iCs/>
        </w:rPr>
        <w:t>1a.3.</w:t>
      </w:r>
      <w:r w:rsidRPr="00096604">
        <w:rPr>
          <w:i/>
          <w:iCs/>
        </w:rPr>
        <w:t xml:space="preserve"> </w:t>
      </w:r>
      <w:r w:rsidR="00C41794" w:rsidRPr="00096604">
        <w:rPr>
          <w:b/>
          <w:iCs/>
        </w:rPr>
        <w:t>SYSTEMATIC REVIEW</w:t>
      </w:r>
      <w:r w:rsidR="00AB4ECE" w:rsidRPr="00096604">
        <w:rPr>
          <w:b/>
          <w:iCs/>
        </w:rPr>
        <w:t>(SR)</w:t>
      </w:r>
      <w:r w:rsidR="00C41794" w:rsidRPr="00096604">
        <w:rPr>
          <w:b/>
          <w:iCs/>
        </w:rPr>
        <w:t xml:space="preserve"> OF THE EVIDENCE (for</w:t>
      </w:r>
      <w:r w:rsidR="00C41794" w:rsidRPr="00096604">
        <w:rPr>
          <w:b/>
          <w:iCs/>
          <w:caps/>
        </w:rPr>
        <w:t xml:space="preserve"> intermediate outcome, PROCESS, or STRUCTURE PERFORMANCE measures</w:t>
      </w:r>
      <w:r w:rsidR="003D6721" w:rsidRPr="00096604">
        <w:rPr>
          <w:b/>
          <w:iCs/>
          <w:caps/>
        </w:rPr>
        <w:t>, including those that are instrument-based</w:t>
      </w:r>
      <w:r w:rsidR="00C41794" w:rsidRPr="00096604">
        <w:rPr>
          <w:b/>
          <w:iCs/>
          <w:caps/>
        </w:rPr>
        <w:t>)</w:t>
      </w:r>
      <w:r w:rsidR="00C41794" w:rsidRPr="00096604">
        <w:rPr>
          <w:b/>
          <w:iCs/>
        </w:rPr>
        <w:t xml:space="preserve"> If the evidence is not based on a system</w:t>
      </w:r>
      <w:r w:rsidR="00AB4ECE" w:rsidRPr="00096604">
        <w:rPr>
          <w:b/>
          <w:iCs/>
        </w:rPr>
        <w:t>a</w:t>
      </w:r>
      <w:r w:rsidR="00C41794" w:rsidRPr="00096604">
        <w:rPr>
          <w:b/>
          <w:iCs/>
        </w:rPr>
        <w:t>tic review go to section 1a.4)</w:t>
      </w:r>
      <w:r w:rsidR="00AB4ECE" w:rsidRPr="00096604">
        <w:rPr>
          <w:b/>
          <w:iCs/>
        </w:rPr>
        <w:t xml:space="preserve"> If you wish to include more than one systematic review, add </w:t>
      </w:r>
      <w:r w:rsidR="000F4A7F" w:rsidRPr="00096604">
        <w:rPr>
          <w:b/>
          <w:iCs/>
        </w:rPr>
        <w:t>additional tables.</w:t>
      </w:r>
      <w:r w:rsidR="00AB4ECE" w:rsidRPr="00096604">
        <w:rPr>
          <w:b/>
          <w:iCs/>
        </w:rPr>
        <w:t xml:space="preserve"> </w:t>
      </w:r>
    </w:p>
    <w:p w14:paraId="55B8DA67" w14:textId="77777777" w:rsidR="00496AF8" w:rsidRPr="00096604"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096604">
        <w:rPr>
          <w:rFonts w:ascii="Calibri" w:eastAsia="Calibri" w:hAnsi="Calibri" w:cs="Times New Roman"/>
          <w:b/>
        </w:rPr>
        <w:t xml:space="preserve">What is the source of the </w:t>
      </w:r>
      <w:r w:rsidRPr="00096604">
        <w:rPr>
          <w:rFonts w:ascii="Calibri" w:eastAsia="Calibri" w:hAnsi="Calibri" w:cs="Times New Roman"/>
          <w:b/>
          <w:u w:val="single"/>
        </w:rPr>
        <w:t>systematic review of the body of evidence</w:t>
      </w:r>
      <w:r w:rsidRPr="00096604">
        <w:rPr>
          <w:rFonts w:ascii="Calibri" w:eastAsia="Calibri" w:hAnsi="Calibri" w:cs="Times New Roman"/>
          <w:b/>
        </w:rPr>
        <w:t xml:space="preserve"> that supports the performance measure?  A systematic review is a scientific investigation that focuses on a specific question and uses explicit, prespecified </w:t>
      </w:r>
      <w:r>
        <w:rPr>
          <w:rFonts w:ascii="Calibri" w:eastAsia="Calibri" w:hAnsi="Calibri" w:cs="Times New Roman"/>
          <w:b/>
        </w:rPr>
        <w:t>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D947E1">
        <w:rPr>
          <w:rFonts w:ascii="Times New Roman" w:eastAsia="Arial Unicode MS" w:hAnsi="Times New Roman" w:cs="Mangal" w:hint="eastAsia"/>
          <w:color w:val="0000FF"/>
          <w:kern w:val="1"/>
          <w:sz w:val="24"/>
          <w:szCs w:val="24"/>
          <w:lang w:eastAsia="hi-IN" w:bidi="hi-IN"/>
        </w:rPr>
        <w:t>☐</w:t>
      </w:r>
      <w:r w:rsidRPr="00D947E1">
        <w:rPr>
          <w:rFonts w:ascii="Calibri" w:eastAsia="Calibri" w:hAnsi="Calibri" w:cs="Times New Roman"/>
        </w:rPr>
        <w:t xml:space="preserve"> Other</w:t>
      </w:r>
      <w:r w:rsidRPr="00A9011D">
        <w:rPr>
          <w:rFonts w:ascii="Calibri" w:eastAsia="Calibri" w:hAnsi="Calibri" w:cs="Times New Roman"/>
        </w:rPr>
        <w:t xml:space="preserve">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lastRenderedPageBreak/>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096604" w:rsidRDefault="000E5C93" w:rsidP="002E2177">
      <w:pPr>
        <w:ind w:left="0" w:firstLine="0"/>
        <w:rPr>
          <w:b/>
        </w:rPr>
      </w:pPr>
      <w:bookmarkStart w:id="41" w:name="Section1a8"/>
      <w:bookmarkEnd w:id="41"/>
      <w:r w:rsidRPr="00096604">
        <w:rPr>
          <w:b/>
        </w:rPr>
        <w:t>1a.4</w:t>
      </w:r>
      <w:r w:rsidR="00837121" w:rsidRPr="00096604">
        <w:rPr>
          <w:b/>
        </w:rPr>
        <w:t xml:space="preserve"> OTHER SOURCE OF EVIDENCE</w:t>
      </w:r>
    </w:p>
    <w:p w14:paraId="55B8DA97" w14:textId="77777777" w:rsidR="00837121" w:rsidRPr="00096604" w:rsidRDefault="00837121" w:rsidP="002E2177">
      <w:pPr>
        <w:ind w:left="0" w:firstLine="0"/>
        <w:rPr>
          <w:i/>
        </w:rPr>
      </w:pPr>
      <w:r w:rsidRPr="00096604">
        <w:rPr>
          <w:i/>
        </w:rPr>
        <w:t xml:space="preserve">If source of evidence is </w:t>
      </w:r>
      <w:r w:rsidR="002B06BD" w:rsidRPr="00096604">
        <w:rPr>
          <w:i/>
        </w:rPr>
        <w:t xml:space="preserve">NOT </w:t>
      </w:r>
      <w:r w:rsidRPr="00096604">
        <w:rPr>
          <w:i/>
        </w:rPr>
        <w:t xml:space="preserve">from a clinical practice guideline, USPSTF, or systematic review, please describe the evidence on which you are basing </w:t>
      </w:r>
      <w:r w:rsidR="00EE1F87" w:rsidRPr="00096604">
        <w:rPr>
          <w:i/>
        </w:rPr>
        <w:t xml:space="preserve">the </w:t>
      </w:r>
      <w:r w:rsidRPr="00096604">
        <w:rPr>
          <w:i/>
        </w:rPr>
        <w:t>performance measure.</w:t>
      </w:r>
    </w:p>
    <w:p w14:paraId="55B8DA98" w14:textId="77777777" w:rsidR="00837121" w:rsidRPr="00096604" w:rsidRDefault="00837121" w:rsidP="002E2177">
      <w:pPr>
        <w:ind w:left="0" w:firstLine="0"/>
      </w:pPr>
    </w:p>
    <w:p w14:paraId="55B8DA99" w14:textId="65FF1477" w:rsidR="000E5C93" w:rsidRPr="00096604" w:rsidRDefault="000E5C93" w:rsidP="002E2177">
      <w:pPr>
        <w:ind w:left="0" w:firstLine="0"/>
      </w:pPr>
      <w:r w:rsidRPr="00096604">
        <w:rPr>
          <w:b/>
        </w:rPr>
        <w:t>1a.4</w:t>
      </w:r>
      <w:r w:rsidR="00837121" w:rsidRPr="00096604">
        <w:rPr>
          <w:b/>
        </w:rPr>
        <w:t>.1</w:t>
      </w:r>
      <w:r w:rsidR="00837121" w:rsidRPr="00096604">
        <w:t xml:space="preserve"> </w:t>
      </w:r>
      <w:r w:rsidRPr="00096604">
        <w:rPr>
          <w:b/>
        </w:rPr>
        <w:t xml:space="preserve">Briefly </w:t>
      </w:r>
      <w:r w:rsidR="00E42FAA" w:rsidRPr="00096604">
        <w:rPr>
          <w:b/>
        </w:rPr>
        <w:t xml:space="preserve">SYNTHESIZE </w:t>
      </w:r>
      <w:r w:rsidRPr="00096604">
        <w:rPr>
          <w:b/>
        </w:rPr>
        <w:t xml:space="preserve">the evidence that supports the measure. </w:t>
      </w:r>
      <w:r w:rsidRPr="00096604">
        <w:t>A list of references without a summary is not acceptable.</w:t>
      </w:r>
    </w:p>
    <w:p w14:paraId="1BCB0D0C" w14:textId="77777777" w:rsidR="002913B9" w:rsidRPr="00096604" w:rsidRDefault="002913B9" w:rsidP="00270D0D">
      <w:pPr>
        <w:ind w:firstLine="0"/>
      </w:pPr>
    </w:p>
    <w:p w14:paraId="55B8DA9A" w14:textId="77777777" w:rsidR="000E5C93" w:rsidRPr="006435B9" w:rsidRDefault="000E5C93" w:rsidP="002E2177">
      <w:pPr>
        <w:ind w:left="0" w:firstLine="0"/>
        <w:rPr>
          <w:b/>
        </w:rPr>
      </w:pPr>
    </w:p>
    <w:p w14:paraId="55B8DA9B" w14:textId="77777777" w:rsidR="00837121" w:rsidRPr="006435B9" w:rsidRDefault="000E5C93" w:rsidP="002E2177">
      <w:pPr>
        <w:ind w:left="0" w:firstLine="0"/>
      </w:pPr>
      <w:r w:rsidRPr="006435B9">
        <w:rPr>
          <w:b/>
        </w:rPr>
        <w:t xml:space="preserve">1a.4.2 </w:t>
      </w:r>
      <w:r w:rsidR="00837121" w:rsidRPr="006435B9">
        <w:rPr>
          <w:b/>
        </w:rPr>
        <w:t>What process was used to identify the evidence?</w:t>
      </w:r>
    </w:p>
    <w:p w14:paraId="55B8DA9C" w14:textId="44EAA7EE" w:rsidR="00837121" w:rsidRPr="006435B9" w:rsidRDefault="00837121" w:rsidP="002E2177">
      <w:pPr>
        <w:ind w:left="0" w:firstLine="0"/>
      </w:pPr>
    </w:p>
    <w:p w14:paraId="79391CA4" w14:textId="77777777" w:rsidR="004341B7" w:rsidRPr="006435B9" w:rsidRDefault="004341B7" w:rsidP="002E2177">
      <w:pPr>
        <w:ind w:left="0" w:firstLine="0"/>
      </w:pPr>
    </w:p>
    <w:p w14:paraId="329D039A" w14:textId="2C3B88F8" w:rsidR="006F6063" w:rsidRPr="006435B9" w:rsidRDefault="000E5C93" w:rsidP="003B6EBA">
      <w:pPr>
        <w:ind w:left="0" w:firstLine="0"/>
        <w:rPr>
          <w:b/>
        </w:rPr>
      </w:pPr>
      <w:bookmarkStart w:id="42" w:name="_Hlk526762908"/>
      <w:r w:rsidRPr="006435B9">
        <w:rPr>
          <w:b/>
        </w:rPr>
        <w:t>1a.4.3</w:t>
      </w:r>
      <w:r w:rsidR="00837121" w:rsidRPr="006435B9">
        <w:rPr>
          <w:b/>
        </w:rPr>
        <w:t>.</w:t>
      </w:r>
      <w:r w:rsidR="00837121" w:rsidRPr="006435B9">
        <w:t xml:space="preserve"> </w:t>
      </w:r>
      <w:r w:rsidR="006C7F30" w:rsidRPr="006435B9">
        <w:rPr>
          <w:b/>
        </w:rPr>
        <w:t>Provide the citation</w:t>
      </w:r>
      <w:r w:rsidRPr="006435B9">
        <w:rPr>
          <w:b/>
        </w:rPr>
        <w:t>(s)</w:t>
      </w:r>
      <w:r w:rsidR="009E6B86" w:rsidRPr="006435B9">
        <w:rPr>
          <w:b/>
        </w:rPr>
        <w:t xml:space="preserve"> </w:t>
      </w:r>
      <w:r w:rsidRPr="006435B9">
        <w:rPr>
          <w:b/>
        </w:rPr>
        <w:t>for the</w:t>
      </w:r>
      <w:r w:rsidR="006C7F30" w:rsidRPr="006435B9">
        <w:rPr>
          <w:b/>
        </w:rPr>
        <w:t xml:space="preserve"> evidence.</w:t>
      </w:r>
    </w:p>
    <w:p w14:paraId="2FED5B53" w14:textId="77777777" w:rsidR="006F6063" w:rsidRPr="006435B9" w:rsidRDefault="006F6063" w:rsidP="002E2177">
      <w:pPr>
        <w:ind w:left="0" w:firstLine="0"/>
        <w:rPr>
          <w:b/>
        </w:rPr>
      </w:pPr>
      <w:bookmarkStart w:id="43" w:name="_Hlk527129609"/>
    </w:p>
    <w:bookmarkStart w:id="44" w:name="_Hlk527130072"/>
    <w:p w14:paraId="55B8DA9D" w14:textId="5DFCE52C" w:rsidR="00837121" w:rsidRPr="001B772D" w:rsidRDefault="006F6063" w:rsidP="0032194E">
      <w:pPr>
        <w:ind w:left="0" w:firstLine="0"/>
      </w:pPr>
      <w:r w:rsidRPr="006435B9">
        <w:rPr>
          <w:noProof/>
        </w:rPr>
        <w:fldChar w:fldCharType="begin"/>
      </w:r>
      <w:r w:rsidRPr="006435B9">
        <w:instrText xml:space="preserve"> ADDIN EN.REFLIST </w:instrText>
      </w:r>
      <w:r w:rsidRPr="006435B9">
        <w:rPr>
          <w:noProof/>
        </w:rPr>
        <w:fldChar w:fldCharType="end"/>
      </w:r>
      <w:bookmarkEnd w:id="42"/>
      <w:bookmarkEnd w:id="43"/>
      <w:bookmarkEnd w:id="44"/>
    </w:p>
    <w:sectPr w:rsidR="00837121" w:rsidRPr="001B772D" w:rsidSect="008533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ED40DA" w:rsidRDefault="00ED40DA" w:rsidP="007E37A5">
      <w:r>
        <w:separator/>
      </w:r>
    </w:p>
  </w:endnote>
  <w:endnote w:type="continuationSeparator" w:id="0">
    <w:p w14:paraId="55B8DAA1" w14:textId="77777777" w:rsidR="00ED40DA" w:rsidRDefault="00ED40D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otham Book">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rriweather">
    <w:altName w:val="Calibri"/>
    <w:charset w:val="00"/>
    <w:family w:val="auto"/>
    <w:pitch w:val="default"/>
  </w:font>
  <w:font w:name="ScalaLancetPro">
    <w:altName w:val="Yu Gothic"/>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51033AAC" w:rsidR="00ED40DA" w:rsidRDefault="00ED40DA">
    <w:pPr>
      <w:pStyle w:val="Footer"/>
    </w:pPr>
    <w:r w:rsidRPr="00395263">
      <w:t xml:space="preserve">Version </w:t>
    </w:r>
    <w:proofErr w:type="gramStart"/>
    <w:r>
      <w:t xml:space="preserve">7.1 </w:t>
    </w:r>
    <w:r w:rsidRPr="00395263">
      <w:t xml:space="preserve"> </w:t>
    </w:r>
    <w:r>
      <w:t>9</w:t>
    </w:r>
    <w:proofErr w:type="gramEnd"/>
    <w:r>
      <w:t>/6/17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Pr>
        <w:noProof/>
      </w:rPr>
      <w:t>3</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ED40DA" w:rsidRDefault="00ED40DA" w:rsidP="007E37A5">
      <w:r>
        <w:separator/>
      </w:r>
    </w:p>
  </w:footnote>
  <w:footnote w:type="continuationSeparator" w:id="0">
    <w:p w14:paraId="55B8DA9F" w14:textId="77777777" w:rsidR="00ED40DA" w:rsidRDefault="00ED40DA"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ED40DA" w:rsidRDefault="00ED40DA"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371B6"/>
    <w:multiLevelType w:val="hybridMultilevel"/>
    <w:tmpl w:val="A80430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115AD2"/>
    <w:multiLevelType w:val="hybridMultilevel"/>
    <w:tmpl w:val="1C846E2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DFE3ECD"/>
    <w:multiLevelType w:val="hybridMultilevel"/>
    <w:tmpl w:val="D7AA352E"/>
    <w:lvl w:ilvl="0" w:tplc="5FF23948">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3"/>
  </w:num>
  <w:num w:numId="4">
    <w:abstractNumId w:val="4"/>
  </w:num>
  <w:num w:numId="5">
    <w:abstractNumId w:val="6"/>
  </w:num>
  <w:num w:numId="6">
    <w:abstractNumId w:val="5"/>
  </w:num>
  <w:num w:numId="7">
    <w:abstractNumId w:val="12"/>
  </w:num>
  <w:num w:numId="8">
    <w:abstractNumId w:val="11"/>
  </w:num>
  <w:num w:numId="9">
    <w:abstractNumId w:val="13"/>
  </w:num>
  <w:num w:numId="10">
    <w:abstractNumId w:val="2"/>
  </w:num>
  <w:num w:numId="11">
    <w:abstractNumId w:val="8"/>
  </w:num>
  <w:num w:numId="12">
    <w:abstractNumId w:val="1"/>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2fdav2dn0wpxte0026vzz2f2zexpzrsfawd&quot;&gt;Annotated Bibliography DTC 3-29-18 Copy&lt;record-ids&gt;&lt;item&gt;207&lt;/item&gt;&lt;/record-ids&gt;&lt;/item&gt;&lt;/Libraries&gt;"/>
  </w:docVars>
  <w:rsids>
    <w:rsidRoot w:val="00496AF8"/>
    <w:rsid w:val="00005F66"/>
    <w:rsid w:val="0000675E"/>
    <w:rsid w:val="00007352"/>
    <w:rsid w:val="00007794"/>
    <w:rsid w:val="0001041E"/>
    <w:rsid w:val="000114C1"/>
    <w:rsid w:val="000138ED"/>
    <w:rsid w:val="00015986"/>
    <w:rsid w:val="000160E6"/>
    <w:rsid w:val="000219F2"/>
    <w:rsid w:val="0002250E"/>
    <w:rsid w:val="0002330D"/>
    <w:rsid w:val="00024526"/>
    <w:rsid w:val="000272A9"/>
    <w:rsid w:val="00027C4E"/>
    <w:rsid w:val="00030F43"/>
    <w:rsid w:val="00037ABC"/>
    <w:rsid w:val="00040A0F"/>
    <w:rsid w:val="00040DCF"/>
    <w:rsid w:val="0004197E"/>
    <w:rsid w:val="0004563D"/>
    <w:rsid w:val="000475AC"/>
    <w:rsid w:val="00047876"/>
    <w:rsid w:val="00050E57"/>
    <w:rsid w:val="00052C0B"/>
    <w:rsid w:val="00053004"/>
    <w:rsid w:val="0005341A"/>
    <w:rsid w:val="00053F9D"/>
    <w:rsid w:val="00055FA1"/>
    <w:rsid w:val="00056B18"/>
    <w:rsid w:val="00061CF3"/>
    <w:rsid w:val="00063601"/>
    <w:rsid w:val="00067B70"/>
    <w:rsid w:val="000727FF"/>
    <w:rsid w:val="00073079"/>
    <w:rsid w:val="000740AD"/>
    <w:rsid w:val="000740B8"/>
    <w:rsid w:val="00074C63"/>
    <w:rsid w:val="0007593F"/>
    <w:rsid w:val="00076D4C"/>
    <w:rsid w:val="00084168"/>
    <w:rsid w:val="00086BF7"/>
    <w:rsid w:val="00087BDA"/>
    <w:rsid w:val="00093437"/>
    <w:rsid w:val="00095EC9"/>
    <w:rsid w:val="000964B8"/>
    <w:rsid w:val="00096604"/>
    <w:rsid w:val="00096A37"/>
    <w:rsid w:val="000970F9"/>
    <w:rsid w:val="000A0810"/>
    <w:rsid w:val="000A11D8"/>
    <w:rsid w:val="000A3629"/>
    <w:rsid w:val="000B627F"/>
    <w:rsid w:val="000C06B4"/>
    <w:rsid w:val="000C2073"/>
    <w:rsid w:val="000C5E97"/>
    <w:rsid w:val="000D3B44"/>
    <w:rsid w:val="000D5147"/>
    <w:rsid w:val="000D59CB"/>
    <w:rsid w:val="000D649E"/>
    <w:rsid w:val="000D6D06"/>
    <w:rsid w:val="000E3517"/>
    <w:rsid w:val="000E5C93"/>
    <w:rsid w:val="000E639B"/>
    <w:rsid w:val="000E6ACB"/>
    <w:rsid w:val="000E7DE8"/>
    <w:rsid w:val="000F115C"/>
    <w:rsid w:val="000F17D1"/>
    <w:rsid w:val="000F4A7F"/>
    <w:rsid w:val="000F7659"/>
    <w:rsid w:val="00100695"/>
    <w:rsid w:val="00102B21"/>
    <w:rsid w:val="0010472E"/>
    <w:rsid w:val="00110B71"/>
    <w:rsid w:val="00114848"/>
    <w:rsid w:val="00117B81"/>
    <w:rsid w:val="00120934"/>
    <w:rsid w:val="001246A7"/>
    <w:rsid w:val="00125158"/>
    <w:rsid w:val="00126911"/>
    <w:rsid w:val="00127C8A"/>
    <w:rsid w:val="00130C38"/>
    <w:rsid w:val="00131CB8"/>
    <w:rsid w:val="00131DEC"/>
    <w:rsid w:val="00132070"/>
    <w:rsid w:val="001321E0"/>
    <w:rsid w:val="001342BC"/>
    <w:rsid w:val="00134F46"/>
    <w:rsid w:val="00135548"/>
    <w:rsid w:val="001363BA"/>
    <w:rsid w:val="0014120A"/>
    <w:rsid w:val="00141875"/>
    <w:rsid w:val="0014347E"/>
    <w:rsid w:val="00150623"/>
    <w:rsid w:val="001514CF"/>
    <w:rsid w:val="0015187A"/>
    <w:rsid w:val="00154438"/>
    <w:rsid w:val="0015504D"/>
    <w:rsid w:val="001551F6"/>
    <w:rsid w:val="0015535B"/>
    <w:rsid w:val="00162036"/>
    <w:rsid w:val="00162961"/>
    <w:rsid w:val="001632DD"/>
    <w:rsid w:val="00163A53"/>
    <w:rsid w:val="001643CF"/>
    <w:rsid w:val="001659BD"/>
    <w:rsid w:val="00170733"/>
    <w:rsid w:val="00171090"/>
    <w:rsid w:val="00172457"/>
    <w:rsid w:val="00172A6B"/>
    <w:rsid w:val="001736F8"/>
    <w:rsid w:val="00173859"/>
    <w:rsid w:val="001744B5"/>
    <w:rsid w:val="00176E60"/>
    <w:rsid w:val="00187F0F"/>
    <w:rsid w:val="0019432D"/>
    <w:rsid w:val="00194913"/>
    <w:rsid w:val="00194D9A"/>
    <w:rsid w:val="00195132"/>
    <w:rsid w:val="001A196B"/>
    <w:rsid w:val="001A2FD0"/>
    <w:rsid w:val="001A6D05"/>
    <w:rsid w:val="001B38BF"/>
    <w:rsid w:val="001B55E2"/>
    <w:rsid w:val="001B772D"/>
    <w:rsid w:val="001B7821"/>
    <w:rsid w:val="001C1B36"/>
    <w:rsid w:val="001C2944"/>
    <w:rsid w:val="001C3CCE"/>
    <w:rsid w:val="001C4AD1"/>
    <w:rsid w:val="001D13CD"/>
    <w:rsid w:val="001D2AA2"/>
    <w:rsid w:val="001D3F35"/>
    <w:rsid w:val="001D4CCA"/>
    <w:rsid w:val="001D5B5D"/>
    <w:rsid w:val="001D6B1A"/>
    <w:rsid w:val="001D7691"/>
    <w:rsid w:val="001E03EA"/>
    <w:rsid w:val="001E048F"/>
    <w:rsid w:val="001E34EE"/>
    <w:rsid w:val="001E5F9C"/>
    <w:rsid w:val="001E6153"/>
    <w:rsid w:val="001E695B"/>
    <w:rsid w:val="001F1B48"/>
    <w:rsid w:val="001F4F7E"/>
    <w:rsid w:val="001F6069"/>
    <w:rsid w:val="0020052C"/>
    <w:rsid w:val="00201FF9"/>
    <w:rsid w:val="0020461C"/>
    <w:rsid w:val="00204F68"/>
    <w:rsid w:val="00205857"/>
    <w:rsid w:val="0020799A"/>
    <w:rsid w:val="00210506"/>
    <w:rsid w:val="002108A4"/>
    <w:rsid w:val="00211BEC"/>
    <w:rsid w:val="002129EB"/>
    <w:rsid w:val="00212AA2"/>
    <w:rsid w:val="00220394"/>
    <w:rsid w:val="002207EC"/>
    <w:rsid w:val="002209B8"/>
    <w:rsid w:val="00231787"/>
    <w:rsid w:val="00232688"/>
    <w:rsid w:val="00233DA6"/>
    <w:rsid w:val="0023562E"/>
    <w:rsid w:val="00235ADC"/>
    <w:rsid w:val="00235D01"/>
    <w:rsid w:val="00236B78"/>
    <w:rsid w:val="00236F6E"/>
    <w:rsid w:val="00236F87"/>
    <w:rsid w:val="00240848"/>
    <w:rsid w:val="002417B0"/>
    <w:rsid w:val="00243803"/>
    <w:rsid w:val="002438F4"/>
    <w:rsid w:val="00244B99"/>
    <w:rsid w:val="00245C6E"/>
    <w:rsid w:val="00246C74"/>
    <w:rsid w:val="00247D88"/>
    <w:rsid w:val="0025068A"/>
    <w:rsid w:val="00250B25"/>
    <w:rsid w:val="00250FCE"/>
    <w:rsid w:val="00252679"/>
    <w:rsid w:val="00260CBA"/>
    <w:rsid w:val="002639CF"/>
    <w:rsid w:val="002654AC"/>
    <w:rsid w:val="00265702"/>
    <w:rsid w:val="002662B2"/>
    <w:rsid w:val="00267001"/>
    <w:rsid w:val="0027030B"/>
    <w:rsid w:val="00270D0D"/>
    <w:rsid w:val="00270D1A"/>
    <w:rsid w:val="00271731"/>
    <w:rsid w:val="002717C7"/>
    <w:rsid w:val="0027181E"/>
    <w:rsid w:val="00272218"/>
    <w:rsid w:val="00275496"/>
    <w:rsid w:val="00275C45"/>
    <w:rsid w:val="002802F2"/>
    <w:rsid w:val="002816C2"/>
    <w:rsid w:val="00283A3E"/>
    <w:rsid w:val="00285B5C"/>
    <w:rsid w:val="00285C86"/>
    <w:rsid w:val="002869FE"/>
    <w:rsid w:val="002875E9"/>
    <w:rsid w:val="002878E4"/>
    <w:rsid w:val="00287EB3"/>
    <w:rsid w:val="002913B9"/>
    <w:rsid w:val="00292B06"/>
    <w:rsid w:val="00297285"/>
    <w:rsid w:val="002974AC"/>
    <w:rsid w:val="002977D8"/>
    <w:rsid w:val="002A1173"/>
    <w:rsid w:val="002A1BD3"/>
    <w:rsid w:val="002A3B59"/>
    <w:rsid w:val="002A47BA"/>
    <w:rsid w:val="002A5011"/>
    <w:rsid w:val="002A6777"/>
    <w:rsid w:val="002B06BD"/>
    <w:rsid w:val="002B7108"/>
    <w:rsid w:val="002C0102"/>
    <w:rsid w:val="002C0E48"/>
    <w:rsid w:val="002C5E20"/>
    <w:rsid w:val="002C687C"/>
    <w:rsid w:val="002C6F04"/>
    <w:rsid w:val="002D2B24"/>
    <w:rsid w:val="002D542C"/>
    <w:rsid w:val="002E007D"/>
    <w:rsid w:val="002E0B43"/>
    <w:rsid w:val="002E17E0"/>
    <w:rsid w:val="002E19FA"/>
    <w:rsid w:val="002E205F"/>
    <w:rsid w:val="002E2177"/>
    <w:rsid w:val="002E2E41"/>
    <w:rsid w:val="002E3B86"/>
    <w:rsid w:val="002E479F"/>
    <w:rsid w:val="002E4984"/>
    <w:rsid w:val="002E5F37"/>
    <w:rsid w:val="002E78CD"/>
    <w:rsid w:val="002F077F"/>
    <w:rsid w:val="002F20A7"/>
    <w:rsid w:val="002F38C2"/>
    <w:rsid w:val="002F648B"/>
    <w:rsid w:val="002F7715"/>
    <w:rsid w:val="003008F4"/>
    <w:rsid w:val="003024F6"/>
    <w:rsid w:val="00302B1D"/>
    <w:rsid w:val="00302DBC"/>
    <w:rsid w:val="00303910"/>
    <w:rsid w:val="003062E0"/>
    <w:rsid w:val="00306C4D"/>
    <w:rsid w:val="00307FA5"/>
    <w:rsid w:val="00311258"/>
    <w:rsid w:val="00311843"/>
    <w:rsid w:val="00314111"/>
    <w:rsid w:val="00314D52"/>
    <w:rsid w:val="003162F3"/>
    <w:rsid w:val="003200F7"/>
    <w:rsid w:val="003204B8"/>
    <w:rsid w:val="0032194E"/>
    <w:rsid w:val="00322617"/>
    <w:rsid w:val="00324251"/>
    <w:rsid w:val="00324D64"/>
    <w:rsid w:val="00327821"/>
    <w:rsid w:val="0033205C"/>
    <w:rsid w:val="00340DF7"/>
    <w:rsid w:val="00342912"/>
    <w:rsid w:val="00342E14"/>
    <w:rsid w:val="0034456F"/>
    <w:rsid w:val="0034597A"/>
    <w:rsid w:val="00345E91"/>
    <w:rsid w:val="00347E5E"/>
    <w:rsid w:val="00352B52"/>
    <w:rsid w:val="00353302"/>
    <w:rsid w:val="00355476"/>
    <w:rsid w:val="0035760D"/>
    <w:rsid w:val="00360F78"/>
    <w:rsid w:val="00363226"/>
    <w:rsid w:val="00363ECC"/>
    <w:rsid w:val="00364DDF"/>
    <w:rsid w:val="00365A79"/>
    <w:rsid w:val="003675BE"/>
    <w:rsid w:val="00370BB5"/>
    <w:rsid w:val="00373D68"/>
    <w:rsid w:val="0037647C"/>
    <w:rsid w:val="00380A0F"/>
    <w:rsid w:val="00382559"/>
    <w:rsid w:val="003846AB"/>
    <w:rsid w:val="00387040"/>
    <w:rsid w:val="0039020B"/>
    <w:rsid w:val="00391412"/>
    <w:rsid w:val="003914DE"/>
    <w:rsid w:val="003933A9"/>
    <w:rsid w:val="00395162"/>
    <w:rsid w:val="00395263"/>
    <w:rsid w:val="003956E0"/>
    <w:rsid w:val="0039609A"/>
    <w:rsid w:val="00397500"/>
    <w:rsid w:val="00397641"/>
    <w:rsid w:val="003A4CD9"/>
    <w:rsid w:val="003A4FCD"/>
    <w:rsid w:val="003B1CC5"/>
    <w:rsid w:val="003B1D96"/>
    <w:rsid w:val="003B2CE9"/>
    <w:rsid w:val="003B4894"/>
    <w:rsid w:val="003B65CE"/>
    <w:rsid w:val="003B6EBA"/>
    <w:rsid w:val="003C0081"/>
    <w:rsid w:val="003C0A62"/>
    <w:rsid w:val="003C11A3"/>
    <w:rsid w:val="003C2296"/>
    <w:rsid w:val="003C34CC"/>
    <w:rsid w:val="003C5FB6"/>
    <w:rsid w:val="003D23BA"/>
    <w:rsid w:val="003D3DD1"/>
    <w:rsid w:val="003D564F"/>
    <w:rsid w:val="003D6721"/>
    <w:rsid w:val="003D6A33"/>
    <w:rsid w:val="003E039E"/>
    <w:rsid w:val="003E1DDD"/>
    <w:rsid w:val="003E3082"/>
    <w:rsid w:val="003E3820"/>
    <w:rsid w:val="003E44F8"/>
    <w:rsid w:val="003E56ED"/>
    <w:rsid w:val="003E6A49"/>
    <w:rsid w:val="003F0A07"/>
    <w:rsid w:val="003F201E"/>
    <w:rsid w:val="003F2409"/>
    <w:rsid w:val="003F25F2"/>
    <w:rsid w:val="003F2C12"/>
    <w:rsid w:val="003F2EB3"/>
    <w:rsid w:val="003F7CC7"/>
    <w:rsid w:val="0040230E"/>
    <w:rsid w:val="0040416E"/>
    <w:rsid w:val="00411D3F"/>
    <w:rsid w:val="00414674"/>
    <w:rsid w:val="00414774"/>
    <w:rsid w:val="0041662F"/>
    <w:rsid w:val="0041739A"/>
    <w:rsid w:val="00422917"/>
    <w:rsid w:val="00422A66"/>
    <w:rsid w:val="00427694"/>
    <w:rsid w:val="00430961"/>
    <w:rsid w:val="00430FA2"/>
    <w:rsid w:val="004310FD"/>
    <w:rsid w:val="00432FD3"/>
    <w:rsid w:val="004341B7"/>
    <w:rsid w:val="00440687"/>
    <w:rsid w:val="00440A9B"/>
    <w:rsid w:val="0044131D"/>
    <w:rsid w:val="00441ADA"/>
    <w:rsid w:val="004436BA"/>
    <w:rsid w:val="004451DE"/>
    <w:rsid w:val="00450A52"/>
    <w:rsid w:val="00451233"/>
    <w:rsid w:val="0045349E"/>
    <w:rsid w:val="004576DA"/>
    <w:rsid w:val="00457E46"/>
    <w:rsid w:val="0046078E"/>
    <w:rsid w:val="00461561"/>
    <w:rsid w:val="00462E9D"/>
    <w:rsid w:val="00464FFE"/>
    <w:rsid w:val="00467F5F"/>
    <w:rsid w:val="00470898"/>
    <w:rsid w:val="004722DD"/>
    <w:rsid w:val="0047352F"/>
    <w:rsid w:val="0047650E"/>
    <w:rsid w:val="00477E6E"/>
    <w:rsid w:val="00481712"/>
    <w:rsid w:val="00481764"/>
    <w:rsid w:val="0048459E"/>
    <w:rsid w:val="00487BC1"/>
    <w:rsid w:val="00490EC9"/>
    <w:rsid w:val="004922E4"/>
    <w:rsid w:val="004951E5"/>
    <w:rsid w:val="0049575A"/>
    <w:rsid w:val="00495F12"/>
    <w:rsid w:val="0049604F"/>
    <w:rsid w:val="00496AF8"/>
    <w:rsid w:val="00497ACF"/>
    <w:rsid w:val="004A2264"/>
    <w:rsid w:val="004A575D"/>
    <w:rsid w:val="004B4001"/>
    <w:rsid w:val="004B5E4B"/>
    <w:rsid w:val="004B65C6"/>
    <w:rsid w:val="004C034C"/>
    <w:rsid w:val="004C08AC"/>
    <w:rsid w:val="004C0CE5"/>
    <w:rsid w:val="004C3259"/>
    <w:rsid w:val="004C5576"/>
    <w:rsid w:val="004C67E2"/>
    <w:rsid w:val="004D1DC7"/>
    <w:rsid w:val="004D52F2"/>
    <w:rsid w:val="004D5853"/>
    <w:rsid w:val="004D6C9B"/>
    <w:rsid w:val="004D75C5"/>
    <w:rsid w:val="004D7C83"/>
    <w:rsid w:val="004E0A9C"/>
    <w:rsid w:val="004E1444"/>
    <w:rsid w:val="004E16F0"/>
    <w:rsid w:val="004E3970"/>
    <w:rsid w:val="004E4D14"/>
    <w:rsid w:val="004E5661"/>
    <w:rsid w:val="004E56EC"/>
    <w:rsid w:val="004E6177"/>
    <w:rsid w:val="004E7215"/>
    <w:rsid w:val="004F1B71"/>
    <w:rsid w:val="004F7D7E"/>
    <w:rsid w:val="00500B0C"/>
    <w:rsid w:val="00503D8D"/>
    <w:rsid w:val="005045A6"/>
    <w:rsid w:val="00505AC7"/>
    <w:rsid w:val="00505FAA"/>
    <w:rsid w:val="00506944"/>
    <w:rsid w:val="00506965"/>
    <w:rsid w:val="00514E3E"/>
    <w:rsid w:val="0051528F"/>
    <w:rsid w:val="0051704E"/>
    <w:rsid w:val="00517B65"/>
    <w:rsid w:val="00521E65"/>
    <w:rsid w:val="00526B9C"/>
    <w:rsid w:val="00527578"/>
    <w:rsid w:val="0053370A"/>
    <w:rsid w:val="005355F7"/>
    <w:rsid w:val="00537150"/>
    <w:rsid w:val="0054031D"/>
    <w:rsid w:val="00540984"/>
    <w:rsid w:val="00543851"/>
    <w:rsid w:val="00545999"/>
    <w:rsid w:val="0055148E"/>
    <w:rsid w:val="00552EE3"/>
    <w:rsid w:val="0055559D"/>
    <w:rsid w:val="0055678E"/>
    <w:rsid w:val="005569AE"/>
    <w:rsid w:val="00556CE9"/>
    <w:rsid w:val="00557AAD"/>
    <w:rsid w:val="00557EFC"/>
    <w:rsid w:val="00564005"/>
    <w:rsid w:val="0056453F"/>
    <w:rsid w:val="005658F1"/>
    <w:rsid w:val="00572226"/>
    <w:rsid w:val="00572942"/>
    <w:rsid w:val="00573317"/>
    <w:rsid w:val="00573F30"/>
    <w:rsid w:val="00575D67"/>
    <w:rsid w:val="00577EDA"/>
    <w:rsid w:val="00581DC6"/>
    <w:rsid w:val="005850C1"/>
    <w:rsid w:val="00585391"/>
    <w:rsid w:val="005857F8"/>
    <w:rsid w:val="00590208"/>
    <w:rsid w:val="005A2094"/>
    <w:rsid w:val="005A2190"/>
    <w:rsid w:val="005A2795"/>
    <w:rsid w:val="005B0D18"/>
    <w:rsid w:val="005B10F3"/>
    <w:rsid w:val="005B12C3"/>
    <w:rsid w:val="005B3B28"/>
    <w:rsid w:val="005B409D"/>
    <w:rsid w:val="005B4795"/>
    <w:rsid w:val="005B7126"/>
    <w:rsid w:val="005C4E37"/>
    <w:rsid w:val="005C5808"/>
    <w:rsid w:val="005D0FDB"/>
    <w:rsid w:val="005D25E9"/>
    <w:rsid w:val="005D2BD7"/>
    <w:rsid w:val="005D348B"/>
    <w:rsid w:val="005D57E8"/>
    <w:rsid w:val="005D6D59"/>
    <w:rsid w:val="005E2566"/>
    <w:rsid w:val="005E5E08"/>
    <w:rsid w:val="005E7BC4"/>
    <w:rsid w:val="005F46BC"/>
    <w:rsid w:val="005F52C2"/>
    <w:rsid w:val="005F5A01"/>
    <w:rsid w:val="005F5A26"/>
    <w:rsid w:val="005F6576"/>
    <w:rsid w:val="006018DE"/>
    <w:rsid w:val="00602955"/>
    <w:rsid w:val="00602AB4"/>
    <w:rsid w:val="00602EB4"/>
    <w:rsid w:val="00604773"/>
    <w:rsid w:val="00605E4E"/>
    <w:rsid w:val="00605FCE"/>
    <w:rsid w:val="00606C71"/>
    <w:rsid w:val="006071BD"/>
    <w:rsid w:val="00610DA1"/>
    <w:rsid w:val="0061327A"/>
    <w:rsid w:val="00615339"/>
    <w:rsid w:val="006165FC"/>
    <w:rsid w:val="00617390"/>
    <w:rsid w:val="006200D8"/>
    <w:rsid w:val="00623420"/>
    <w:rsid w:val="0062430E"/>
    <w:rsid w:val="00624C7F"/>
    <w:rsid w:val="00625648"/>
    <w:rsid w:val="00625703"/>
    <w:rsid w:val="00631EA0"/>
    <w:rsid w:val="00634768"/>
    <w:rsid w:val="00634EF8"/>
    <w:rsid w:val="0063596F"/>
    <w:rsid w:val="00635CE3"/>
    <w:rsid w:val="00635EC9"/>
    <w:rsid w:val="00640525"/>
    <w:rsid w:val="006435B9"/>
    <w:rsid w:val="00643F97"/>
    <w:rsid w:val="0064541A"/>
    <w:rsid w:val="00650FB1"/>
    <w:rsid w:val="00651A0D"/>
    <w:rsid w:val="00654012"/>
    <w:rsid w:val="006548CA"/>
    <w:rsid w:val="006560FD"/>
    <w:rsid w:val="0065611E"/>
    <w:rsid w:val="00657FC5"/>
    <w:rsid w:val="0066209F"/>
    <w:rsid w:val="006624ED"/>
    <w:rsid w:val="00663DA7"/>
    <w:rsid w:val="006640C4"/>
    <w:rsid w:val="00664295"/>
    <w:rsid w:val="0066499A"/>
    <w:rsid w:val="006657EA"/>
    <w:rsid w:val="006709EB"/>
    <w:rsid w:val="006714CA"/>
    <w:rsid w:val="00671A7A"/>
    <w:rsid w:val="00672824"/>
    <w:rsid w:val="00672A25"/>
    <w:rsid w:val="00676BAB"/>
    <w:rsid w:val="00676BD4"/>
    <w:rsid w:val="0068184A"/>
    <w:rsid w:val="00682862"/>
    <w:rsid w:val="00684C19"/>
    <w:rsid w:val="00684E5C"/>
    <w:rsid w:val="0068641C"/>
    <w:rsid w:val="00686B7B"/>
    <w:rsid w:val="006878C6"/>
    <w:rsid w:val="006935F0"/>
    <w:rsid w:val="006941F7"/>
    <w:rsid w:val="0069627C"/>
    <w:rsid w:val="00696D44"/>
    <w:rsid w:val="006971D3"/>
    <w:rsid w:val="00697AEF"/>
    <w:rsid w:val="006A0249"/>
    <w:rsid w:val="006A17BF"/>
    <w:rsid w:val="006B11E6"/>
    <w:rsid w:val="006B51B3"/>
    <w:rsid w:val="006B5530"/>
    <w:rsid w:val="006B5C51"/>
    <w:rsid w:val="006C1BF7"/>
    <w:rsid w:val="006C4461"/>
    <w:rsid w:val="006C649E"/>
    <w:rsid w:val="006C742B"/>
    <w:rsid w:val="006C7F30"/>
    <w:rsid w:val="006D05B9"/>
    <w:rsid w:val="006D1B7A"/>
    <w:rsid w:val="006D28F5"/>
    <w:rsid w:val="006D43FF"/>
    <w:rsid w:val="006D4586"/>
    <w:rsid w:val="006D4918"/>
    <w:rsid w:val="006E136B"/>
    <w:rsid w:val="006E6FDD"/>
    <w:rsid w:val="006F027C"/>
    <w:rsid w:val="006F2713"/>
    <w:rsid w:val="006F49F5"/>
    <w:rsid w:val="006F4B7F"/>
    <w:rsid w:val="006F6063"/>
    <w:rsid w:val="006F760B"/>
    <w:rsid w:val="0070120F"/>
    <w:rsid w:val="00701796"/>
    <w:rsid w:val="00701CC3"/>
    <w:rsid w:val="00703C3F"/>
    <w:rsid w:val="00703CFC"/>
    <w:rsid w:val="00704638"/>
    <w:rsid w:val="0070611A"/>
    <w:rsid w:val="007104A5"/>
    <w:rsid w:val="00711C0B"/>
    <w:rsid w:val="0071251C"/>
    <w:rsid w:val="0071389B"/>
    <w:rsid w:val="0071743D"/>
    <w:rsid w:val="00722172"/>
    <w:rsid w:val="00723816"/>
    <w:rsid w:val="00724448"/>
    <w:rsid w:val="00724801"/>
    <w:rsid w:val="007277B4"/>
    <w:rsid w:val="00730B11"/>
    <w:rsid w:val="00732A11"/>
    <w:rsid w:val="00734949"/>
    <w:rsid w:val="00735465"/>
    <w:rsid w:val="00736AEC"/>
    <w:rsid w:val="00736E0F"/>
    <w:rsid w:val="00737C35"/>
    <w:rsid w:val="00741544"/>
    <w:rsid w:val="00742619"/>
    <w:rsid w:val="007434FA"/>
    <w:rsid w:val="0074432F"/>
    <w:rsid w:val="00745A0E"/>
    <w:rsid w:val="00746377"/>
    <w:rsid w:val="0075145B"/>
    <w:rsid w:val="0075621E"/>
    <w:rsid w:val="00756CE5"/>
    <w:rsid w:val="007573F0"/>
    <w:rsid w:val="00760FF4"/>
    <w:rsid w:val="00762EBB"/>
    <w:rsid w:val="0076365F"/>
    <w:rsid w:val="007641FF"/>
    <w:rsid w:val="00765156"/>
    <w:rsid w:val="00766A10"/>
    <w:rsid w:val="007671C7"/>
    <w:rsid w:val="00767669"/>
    <w:rsid w:val="00770512"/>
    <w:rsid w:val="00773485"/>
    <w:rsid w:val="007737FF"/>
    <w:rsid w:val="0077436F"/>
    <w:rsid w:val="00775D9C"/>
    <w:rsid w:val="00776E8F"/>
    <w:rsid w:val="00776F6D"/>
    <w:rsid w:val="00780AAB"/>
    <w:rsid w:val="00783121"/>
    <w:rsid w:val="00785240"/>
    <w:rsid w:val="00785D8F"/>
    <w:rsid w:val="00790034"/>
    <w:rsid w:val="00791823"/>
    <w:rsid w:val="0079560F"/>
    <w:rsid w:val="007A5571"/>
    <w:rsid w:val="007A6DB2"/>
    <w:rsid w:val="007B0E20"/>
    <w:rsid w:val="007B150C"/>
    <w:rsid w:val="007C0297"/>
    <w:rsid w:val="007C1887"/>
    <w:rsid w:val="007C206C"/>
    <w:rsid w:val="007C2AC1"/>
    <w:rsid w:val="007D1B17"/>
    <w:rsid w:val="007D1E13"/>
    <w:rsid w:val="007D295B"/>
    <w:rsid w:val="007D32BD"/>
    <w:rsid w:val="007D42D5"/>
    <w:rsid w:val="007D4775"/>
    <w:rsid w:val="007D5DC6"/>
    <w:rsid w:val="007D626E"/>
    <w:rsid w:val="007E37A5"/>
    <w:rsid w:val="007F011A"/>
    <w:rsid w:val="007F0442"/>
    <w:rsid w:val="007F0E07"/>
    <w:rsid w:val="007F1693"/>
    <w:rsid w:val="007F4473"/>
    <w:rsid w:val="007F49D8"/>
    <w:rsid w:val="007F4F89"/>
    <w:rsid w:val="007F727C"/>
    <w:rsid w:val="00801100"/>
    <w:rsid w:val="008058D2"/>
    <w:rsid w:val="00805940"/>
    <w:rsid w:val="00806990"/>
    <w:rsid w:val="008073B7"/>
    <w:rsid w:val="008103A0"/>
    <w:rsid w:val="00812FE6"/>
    <w:rsid w:val="008150A6"/>
    <w:rsid w:val="008154D3"/>
    <w:rsid w:val="0081599C"/>
    <w:rsid w:val="00826A3F"/>
    <w:rsid w:val="00831102"/>
    <w:rsid w:val="00832297"/>
    <w:rsid w:val="00832C2C"/>
    <w:rsid w:val="00832CD5"/>
    <w:rsid w:val="00832F85"/>
    <w:rsid w:val="00833958"/>
    <w:rsid w:val="00834414"/>
    <w:rsid w:val="00834933"/>
    <w:rsid w:val="00837121"/>
    <w:rsid w:val="00840506"/>
    <w:rsid w:val="008410B6"/>
    <w:rsid w:val="008413F7"/>
    <w:rsid w:val="00844591"/>
    <w:rsid w:val="008471E5"/>
    <w:rsid w:val="00850C35"/>
    <w:rsid w:val="00851466"/>
    <w:rsid w:val="00853314"/>
    <w:rsid w:val="00853465"/>
    <w:rsid w:val="00856789"/>
    <w:rsid w:val="00856C57"/>
    <w:rsid w:val="00857965"/>
    <w:rsid w:val="00862B80"/>
    <w:rsid w:val="00863B97"/>
    <w:rsid w:val="00863E43"/>
    <w:rsid w:val="008647C3"/>
    <w:rsid w:val="008659C3"/>
    <w:rsid w:val="008659ED"/>
    <w:rsid w:val="00865F0A"/>
    <w:rsid w:val="008708DC"/>
    <w:rsid w:val="00870987"/>
    <w:rsid w:val="0087564A"/>
    <w:rsid w:val="008756C8"/>
    <w:rsid w:val="00875A48"/>
    <w:rsid w:val="008764AA"/>
    <w:rsid w:val="00876D2C"/>
    <w:rsid w:val="00881160"/>
    <w:rsid w:val="00882D30"/>
    <w:rsid w:val="0088371C"/>
    <w:rsid w:val="008848AE"/>
    <w:rsid w:val="00885195"/>
    <w:rsid w:val="00887AF3"/>
    <w:rsid w:val="008914B3"/>
    <w:rsid w:val="00891C49"/>
    <w:rsid w:val="00892A73"/>
    <w:rsid w:val="008930C5"/>
    <w:rsid w:val="008940D7"/>
    <w:rsid w:val="00894D4C"/>
    <w:rsid w:val="00897070"/>
    <w:rsid w:val="008A01C7"/>
    <w:rsid w:val="008A3819"/>
    <w:rsid w:val="008A4584"/>
    <w:rsid w:val="008A45F3"/>
    <w:rsid w:val="008A5966"/>
    <w:rsid w:val="008A658E"/>
    <w:rsid w:val="008A6F8F"/>
    <w:rsid w:val="008A7C5B"/>
    <w:rsid w:val="008B1199"/>
    <w:rsid w:val="008B190D"/>
    <w:rsid w:val="008B32BC"/>
    <w:rsid w:val="008B51D9"/>
    <w:rsid w:val="008B5769"/>
    <w:rsid w:val="008B5BCD"/>
    <w:rsid w:val="008B625A"/>
    <w:rsid w:val="008B652E"/>
    <w:rsid w:val="008B6E97"/>
    <w:rsid w:val="008C0301"/>
    <w:rsid w:val="008C1FCE"/>
    <w:rsid w:val="008C2FDB"/>
    <w:rsid w:val="008C32B0"/>
    <w:rsid w:val="008C3742"/>
    <w:rsid w:val="008C5F89"/>
    <w:rsid w:val="008C6B9A"/>
    <w:rsid w:val="008C7338"/>
    <w:rsid w:val="008C7C79"/>
    <w:rsid w:val="008D05B7"/>
    <w:rsid w:val="008E12A6"/>
    <w:rsid w:val="008E1E7A"/>
    <w:rsid w:val="008E4C6F"/>
    <w:rsid w:val="008E6101"/>
    <w:rsid w:val="008E6360"/>
    <w:rsid w:val="008F0976"/>
    <w:rsid w:val="008F1DC6"/>
    <w:rsid w:val="008F1F5E"/>
    <w:rsid w:val="008F3F94"/>
    <w:rsid w:val="008F45A1"/>
    <w:rsid w:val="008F67F4"/>
    <w:rsid w:val="008F6E64"/>
    <w:rsid w:val="008F6F51"/>
    <w:rsid w:val="009000FD"/>
    <w:rsid w:val="00902340"/>
    <w:rsid w:val="00905C5B"/>
    <w:rsid w:val="00910310"/>
    <w:rsid w:val="0091097E"/>
    <w:rsid w:val="00913E63"/>
    <w:rsid w:val="00913ED3"/>
    <w:rsid w:val="009167C3"/>
    <w:rsid w:val="00920BC8"/>
    <w:rsid w:val="00923295"/>
    <w:rsid w:val="00923455"/>
    <w:rsid w:val="009236C6"/>
    <w:rsid w:val="0092522C"/>
    <w:rsid w:val="00925F11"/>
    <w:rsid w:val="00932474"/>
    <w:rsid w:val="0093425A"/>
    <w:rsid w:val="00935265"/>
    <w:rsid w:val="00940A24"/>
    <w:rsid w:val="00941697"/>
    <w:rsid w:val="00942254"/>
    <w:rsid w:val="00945313"/>
    <w:rsid w:val="0094578F"/>
    <w:rsid w:val="0094689F"/>
    <w:rsid w:val="00946CE5"/>
    <w:rsid w:val="009477D6"/>
    <w:rsid w:val="00947D6B"/>
    <w:rsid w:val="0095006D"/>
    <w:rsid w:val="00952D40"/>
    <w:rsid w:val="00953EA1"/>
    <w:rsid w:val="00953ED3"/>
    <w:rsid w:val="00962D4B"/>
    <w:rsid w:val="0096583B"/>
    <w:rsid w:val="00965FF6"/>
    <w:rsid w:val="00966BFD"/>
    <w:rsid w:val="00967023"/>
    <w:rsid w:val="009705E0"/>
    <w:rsid w:val="009706DD"/>
    <w:rsid w:val="009719C3"/>
    <w:rsid w:val="0097455E"/>
    <w:rsid w:val="00983DA7"/>
    <w:rsid w:val="009846D6"/>
    <w:rsid w:val="00985795"/>
    <w:rsid w:val="0098657F"/>
    <w:rsid w:val="00987551"/>
    <w:rsid w:val="0099051C"/>
    <w:rsid w:val="0099424B"/>
    <w:rsid w:val="0099510A"/>
    <w:rsid w:val="009976E8"/>
    <w:rsid w:val="009A3236"/>
    <w:rsid w:val="009A6B4B"/>
    <w:rsid w:val="009A7532"/>
    <w:rsid w:val="009B1433"/>
    <w:rsid w:val="009B17ED"/>
    <w:rsid w:val="009B3024"/>
    <w:rsid w:val="009B5155"/>
    <w:rsid w:val="009B5A93"/>
    <w:rsid w:val="009B5BEA"/>
    <w:rsid w:val="009C0B37"/>
    <w:rsid w:val="009C0FF0"/>
    <w:rsid w:val="009C291F"/>
    <w:rsid w:val="009C3108"/>
    <w:rsid w:val="009C77F4"/>
    <w:rsid w:val="009D0D57"/>
    <w:rsid w:val="009D4CAD"/>
    <w:rsid w:val="009E1029"/>
    <w:rsid w:val="009E2677"/>
    <w:rsid w:val="009E37BD"/>
    <w:rsid w:val="009E6B86"/>
    <w:rsid w:val="009F1407"/>
    <w:rsid w:val="009F2031"/>
    <w:rsid w:val="009F7CB1"/>
    <w:rsid w:val="00A00F68"/>
    <w:rsid w:val="00A01CBB"/>
    <w:rsid w:val="00A01F17"/>
    <w:rsid w:val="00A0207F"/>
    <w:rsid w:val="00A029FF"/>
    <w:rsid w:val="00A03301"/>
    <w:rsid w:val="00A038E7"/>
    <w:rsid w:val="00A03D22"/>
    <w:rsid w:val="00A0548C"/>
    <w:rsid w:val="00A07040"/>
    <w:rsid w:val="00A07119"/>
    <w:rsid w:val="00A10FFE"/>
    <w:rsid w:val="00A11E79"/>
    <w:rsid w:val="00A12762"/>
    <w:rsid w:val="00A13867"/>
    <w:rsid w:val="00A16A2E"/>
    <w:rsid w:val="00A20C1F"/>
    <w:rsid w:val="00A23231"/>
    <w:rsid w:val="00A248BB"/>
    <w:rsid w:val="00A26591"/>
    <w:rsid w:val="00A26FED"/>
    <w:rsid w:val="00A27AA1"/>
    <w:rsid w:val="00A307DA"/>
    <w:rsid w:val="00A32125"/>
    <w:rsid w:val="00A40067"/>
    <w:rsid w:val="00A421D4"/>
    <w:rsid w:val="00A43967"/>
    <w:rsid w:val="00A44B2D"/>
    <w:rsid w:val="00A44FF0"/>
    <w:rsid w:val="00A46A11"/>
    <w:rsid w:val="00A50E55"/>
    <w:rsid w:val="00A529AE"/>
    <w:rsid w:val="00A63B83"/>
    <w:rsid w:val="00A641EB"/>
    <w:rsid w:val="00A67EB1"/>
    <w:rsid w:val="00A72490"/>
    <w:rsid w:val="00A75222"/>
    <w:rsid w:val="00A76F63"/>
    <w:rsid w:val="00A77F78"/>
    <w:rsid w:val="00A80F96"/>
    <w:rsid w:val="00A81A6F"/>
    <w:rsid w:val="00A864C8"/>
    <w:rsid w:val="00A9011D"/>
    <w:rsid w:val="00A91A47"/>
    <w:rsid w:val="00A928A8"/>
    <w:rsid w:val="00A935D3"/>
    <w:rsid w:val="00A95D2B"/>
    <w:rsid w:val="00A95ECC"/>
    <w:rsid w:val="00A966E6"/>
    <w:rsid w:val="00AA068F"/>
    <w:rsid w:val="00AA0D58"/>
    <w:rsid w:val="00AA1BB1"/>
    <w:rsid w:val="00AA2852"/>
    <w:rsid w:val="00AA4B40"/>
    <w:rsid w:val="00AA5587"/>
    <w:rsid w:val="00AA5778"/>
    <w:rsid w:val="00AA7993"/>
    <w:rsid w:val="00AB047C"/>
    <w:rsid w:val="00AB4ECE"/>
    <w:rsid w:val="00AB5262"/>
    <w:rsid w:val="00AB5F91"/>
    <w:rsid w:val="00AB76F3"/>
    <w:rsid w:val="00AC0E53"/>
    <w:rsid w:val="00AC1E53"/>
    <w:rsid w:val="00AC33D4"/>
    <w:rsid w:val="00AC4A7F"/>
    <w:rsid w:val="00AC5586"/>
    <w:rsid w:val="00AC6075"/>
    <w:rsid w:val="00AC7D88"/>
    <w:rsid w:val="00AD3536"/>
    <w:rsid w:val="00AD4756"/>
    <w:rsid w:val="00AD64E1"/>
    <w:rsid w:val="00AD79C8"/>
    <w:rsid w:val="00AE044D"/>
    <w:rsid w:val="00AE0DF6"/>
    <w:rsid w:val="00AE5418"/>
    <w:rsid w:val="00AE6CE0"/>
    <w:rsid w:val="00AF3343"/>
    <w:rsid w:val="00AF46F1"/>
    <w:rsid w:val="00AF4EC2"/>
    <w:rsid w:val="00AF5274"/>
    <w:rsid w:val="00AF5F53"/>
    <w:rsid w:val="00AF69A7"/>
    <w:rsid w:val="00B03AF4"/>
    <w:rsid w:val="00B05392"/>
    <w:rsid w:val="00B058A6"/>
    <w:rsid w:val="00B0762F"/>
    <w:rsid w:val="00B10285"/>
    <w:rsid w:val="00B117D0"/>
    <w:rsid w:val="00B12A09"/>
    <w:rsid w:val="00B1394C"/>
    <w:rsid w:val="00B13998"/>
    <w:rsid w:val="00B145E3"/>
    <w:rsid w:val="00B1512E"/>
    <w:rsid w:val="00B2272D"/>
    <w:rsid w:val="00B24216"/>
    <w:rsid w:val="00B25B8A"/>
    <w:rsid w:val="00B26178"/>
    <w:rsid w:val="00B2620D"/>
    <w:rsid w:val="00B320C1"/>
    <w:rsid w:val="00B33475"/>
    <w:rsid w:val="00B35154"/>
    <w:rsid w:val="00B35247"/>
    <w:rsid w:val="00B3533B"/>
    <w:rsid w:val="00B35C5F"/>
    <w:rsid w:val="00B36007"/>
    <w:rsid w:val="00B363C7"/>
    <w:rsid w:val="00B37959"/>
    <w:rsid w:val="00B37BE0"/>
    <w:rsid w:val="00B439DD"/>
    <w:rsid w:val="00B51086"/>
    <w:rsid w:val="00B52E0F"/>
    <w:rsid w:val="00B55E0B"/>
    <w:rsid w:val="00B573E3"/>
    <w:rsid w:val="00B618C8"/>
    <w:rsid w:val="00B62B7E"/>
    <w:rsid w:val="00B63634"/>
    <w:rsid w:val="00B64D2E"/>
    <w:rsid w:val="00B70328"/>
    <w:rsid w:val="00B74629"/>
    <w:rsid w:val="00B778ED"/>
    <w:rsid w:val="00B80BC7"/>
    <w:rsid w:val="00B8217D"/>
    <w:rsid w:val="00B82883"/>
    <w:rsid w:val="00B82B22"/>
    <w:rsid w:val="00B83224"/>
    <w:rsid w:val="00B85690"/>
    <w:rsid w:val="00B86E8F"/>
    <w:rsid w:val="00B87C10"/>
    <w:rsid w:val="00B90B97"/>
    <w:rsid w:val="00B90D89"/>
    <w:rsid w:val="00B91F58"/>
    <w:rsid w:val="00B935FD"/>
    <w:rsid w:val="00B9712D"/>
    <w:rsid w:val="00B97218"/>
    <w:rsid w:val="00BA00D8"/>
    <w:rsid w:val="00BA0541"/>
    <w:rsid w:val="00BA31B1"/>
    <w:rsid w:val="00BA579E"/>
    <w:rsid w:val="00BA774F"/>
    <w:rsid w:val="00BB2CA3"/>
    <w:rsid w:val="00BB4AAF"/>
    <w:rsid w:val="00BB7FAB"/>
    <w:rsid w:val="00BC1F07"/>
    <w:rsid w:val="00BC41C7"/>
    <w:rsid w:val="00BC4A97"/>
    <w:rsid w:val="00BE2295"/>
    <w:rsid w:val="00BE30EB"/>
    <w:rsid w:val="00BE5CBC"/>
    <w:rsid w:val="00BE6373"/>
    <w:rsid w:val="00BE738E"/>
    <w:rsid w:val="00BF4DEB"/>
    <w:rsid w:val="00BF533A"/>
    <w:rsid w:val="00BF5ACC"/>
    <w:rsid w:val="00BF7BF1"/>
    <w:rsid w:val="00C02139"/>
    <w:rsid w:val="00C050F6"/>
    <w:rsid w:val="00C07FFB"/>
    <w:rsid w:val="00C1009D"/>
    <w:rsid w:val="00C10752"/>
    <w:rsid w:val="00C13E08"/>
    <w:rsid w:val="00C1527B"/>
    <w:rsid w:val="00C156AD"/>
    <w:rsid w:val="00C15D66"/>
    <w:rsid w:val="00C213C5"/>
    <w:rsid w:val="00C220D6"/>
    <w:rsid w:val="00C3039A"/>
    <w:rsid w:val="00C3046B"/>
    <w:rsid w:val="00C33CFF"/>
    <w:rsid w:val="00C40674"/>
    <w:rsid w:val="00C40CAD"/>
    <w:rsid w:val="00C41794"/>
    <w:rsid w:val="00C419BE"/>
    <w:rsid w:val="00C424FF"/>
    <w:rsid w:val="00C46677"/>
    <w:rsid w:val="00C51121"/>
    <w:rsid w:val="00C5180E"/>
    <w:rsid w:val="00C54E40"/>
    <w:rsid w:val="00C55F56"/>
    <w:rsid w:val="00C57BA4"/>
    <w:rsid w:val="00C6038E"/>
    <w:rsid w:val="00C613EB"/>
    <w:rsid w:val="00C679B6"/>
    <w:rsid w:val="00C704DB"/>
    <w:rsid w:val="00C71C1A"/>
    <w:rsid w:val="00C725F7"/>
    <w:rsid w:val="00C75F3D"/>
    <w:rsid w:val="00C778E9"/>
    <w:rsid w:val="00C80B7B"/>
    <w:rsid w:val="00C8150E"/>
    <w:rsid w:val="00C8161A"/>
    <w:rsid w:val="00C81C07"/>
    <w:rsid w:val="00C84623"/>
    <w:rsid w:val="00C925DA"/>
    <w:rsid w:val="00C939E6"/>
    <w:rsid w:val="00C94381"/>
    <w:rsid w:val="00CA43DA"/>
    <w:rsid w:val="00CA6635"/>
    <w:rsid w:val="00CB06C9"/>
    <w:rsid w:val="00CB11FD"/>
    <w:rsid w:val="00CB13A9"/>
    <w:rsid w:val="00CB1E41"/>
    <w:rsid w:val="00CB271C"/>
    <w:rsid w:val="00CB35D0"/>
    <w:rsid w:val="00CB53AD"/>
    <w:rsid w:val="00CC094B"/>
    <w:rsid w:val="00CC0F87"/>
    <w:rsid w:val="00CC1829"/>
    <w:rsid w:val="00CC5068"/>
    <w:rsid w:val="00CC5334"/>
    <w:rsid w:val="00CC57E4"/>
    <w:rsid w:val="00CC7577"/>
    <w:rsid w:val="00CC7D79"/>
    <w:rsid w:val="00CD0179"/>
    <w:rsid w:val="00CD2978"/>
    <w:rsid w:val="00CD2AEF"/>
    <w:rsid w:val="00CD66B6"/>
    <w:rsid w:val="00CD7B6D"/>
    <w:rsid w:val="00CE2AAF"/>
    <w:rsid w:val="00CE4F96"/>
    <w:rsid w:val="00CF0AB1"/>
    <w:rsid w:val="00CF4B9B"/>
    <w:rsid w:val="00CF55E6"/>
    <w:rsid w:val="00CF6F33"/>
    <w:rsid w:val="00CF772F"/>
    <w:rsid w:val="00D034FB"/>
    <w:rsid w:val="00D048DB"/>
    <w:rsid w:val="00D051B9"/>
    <w:rsid w:val="00D10416"/>
    <w:rsid w:val="00D10EF4"/>
    <w:rsid w:val="00D11A6D"/>
    <w:rsid w:val="00D122B8"/>
    <w:rsid w:val="00D1235E"/>
    <w:rsid w:val="00D12A79"/>
    <w:rsid w:val="00D14F0B"/>
    <w:rsid w:val="00D16E4A"/>
    <w:rsid w:val="00D170F3"/>
    <w:rsid w:val="00D178CA"/>
    <w:rsid w:val="00D21257"/>
    <w:rsid w:val="00D2146B"/>
    <w:rsid w:val="00D22E3A"/>
    <w:rsid w:val="00D244DA"/>
    <w:rsid w:val="00D30F23"/>
    <w:rsid w:val="00D31D7F"/>
    <w:rsid w:val="00D3264B"/>
    <w:rsid w:val="00D3311C"/>
    <w:rsid w:val="00D33DBC"/>
    <w:rsid w:val="00D353C0"/>
    <w:rsid w:val="00D400D4"/>
    <w:rsid w:val="00D41D83"/>
    <w:rsid w:val="00D4246B"/>
    <w:rsid w:val="00D43D36"/>
    <w:rsid w:val="00D451C6"/>
    <w:rsid w:val="00D45E42"/>
    <w:rsid w:val="00D45EE4"/>
    <w:rsid w:val="00D476FC"/>
    <w:rsid w:val="00D53405"/>
    <w:rsid w:val="00D5457B"/>
    <w:rsid w:val="00D54C43"/>
    <w:rsid w:val="00D5640D"/>
    <w:rsid w:val="00D56EA4"/>
    <w:rsid w:val="00D65449"/>
    <w:rsid w:val="00D67071"/>
    <w:rsid w:val="00D673EB"/>
    <w:rsid w:val="00D705D6"/>
    <w:rsid w:val="00D70CB9"/>
    <w:rsid w:val="00D7206C"/>
    <w:rsid w:val="00D72665"/>
    <w:rsid w:val="00D72923"/>
    <w:rsid w:val="00D72995"/>
    <w:rsid w:val="00D73342"/>
    <w:rsid w:val="00D7350B"/>
    <w:rsid w:val="00D73685"/>
    <w:rsid w:val="00D81D8F"/>
    <w:rsid w:val="00D83D14"/>
    <w:rsid w:val="00D84BC4"/>
    <w:rsid w:val="00D85EC7"/>
    <w:rsid w:val="00D8684D"/>
    <w:rsid w:val="00D86BDB"/>
    <w:rsid w:val="00D92E1D"/>
    <w:rsid w:val="00D9351B"/>
    <w:rsid w:val="00D94135"/>
    <w:rsid w:val="00D946E5"/>
    <w:rsid w:val="00D947E1"/>
    <w:rsid w:val="00DA0E70"/>
    <w:rsid w:val="00DA1F28"/>
    <w:rsid w:val="00DA311C"/>
    <w:rsid w:val="00DA3613"/>
    <w:rsid w:val="00DA63ED"/>
    <w:rsid w:val="00DA7FA2"/>
    <w:rsid w:val="00DB064F"/>
    <w:rsid w:val="00DB0A5E"/>
    <w:rsid w:val="00DB0BEA"/>
    <w:rsid w:val="00DB3B24"/>
    <w:rsid w:val="00DB704E"/>
    <w:rsid w:val="00DB7BED"/>
    <w:rsid w:val="00DC16FA"/>
    <w:rsid w:val="00DC2D8D"/>
    <w:rsid w:val="00DC48E3"/>
    <w:rsid w:val="00DC52A7"/>
    <w:rsid w:val="00DC7575"/>
    <w:rsid w:val="00DC7F67"/>
    <w:rsid w:val="00DD11AC"/>
    <w:rsid w:val="00DD1571"/>
    <w:rsid w:val="00DD7F75"/>
    <w:rsid w:val="00DE1F5D"/>
    <w:rsid w:val="00DE50D8"/>
    <w:rsid w:val="00DE6845"/>
    <w:rsid w:val="00DF1B2D"/>
    <w:rsid w:val="00DF278A"/>
    <w:rsid w:val="00DF280E"/>
    <w:rsid w:val="00E060C8"/>
    <w:rsid w:val="00E06823"/>
    <w:rsid w:val="00E11791"/>
    <w:rsid w:val="00E1664B"/>
    <w:rsid w:val="00E201CE"/>
    <w:rsid w:val="00E21515"/>
    <w:rsid w:val="00E217BD"/>
    <w:rsid w:val="00E30D12"/>
    <w:rsid w:val="00E30E08"/>
    <w:rsid w:val="00E3141F"/>
    <w:rsid w:val="00E3394E"/>
    <w:rsid w:val="00E3432F"/>
    <w:rsid w:val="00E34A94"/>
    <w:rsid w:val="00E35241"/>
    <w:rsid w:val="00E41417"/>
    <w:rsid w:val="00E42DF9"/>
    <w:rsid w:val="00E42FAA"/>
    <w:rsid w:val="00E43AB3"/>
    <w:rsid w:val="00E46E2A"/>
    <w:rsid w:val="00E50881"/>
    <w:rsid w:val="00E50BC2"/>
    <w:rsid w:val="00E51C65"/>
    <w:rsid w:val="00E536D3"/>
    <w:rsid w:val="00E553E9"/>
    <w:rsid w:val="00E5598C"/>
    <w:rsid w:val="00E564F1"/>
    <w:rsid w:val="00E56C6D"/>
    <w:rsid w:val="00E57BE2"/>
    <w:rsid w:val="00E612A0"/>
    <w:rsid w:val="00E61ED2"/>
    <w:rsid w:val="00E62A95"/>
    <w:rsid w:val="00E62DCC"/>
    <w:rsid w:val="00E746A2"/>
    <w:rsid w:val="00E74DAE"/>
    <w:rsid w:val="00E753DC"/>
    <w:rsid w:val="00E82DEA"/>
    <w:rsid w:val="00E834CF"/>
    <w:rsid w:val="00E83D9A"/>
    <w:rsid w:val="00E85915"/>
    <w:rsid w:val="00E8721D"/>
    <w:rsid w:val="00E90069"/>
    <w:rsid w:val="00E90D06"/>
    <w:rsid w:val="00E924A4"/>
    <w:rsid w:val="00E9358C"/>
    <w:rsid w:val="00E95017"/>
    <w:rsid w:val="00E950EA"/>
    <w:rsid w:val="00E95675"/>
    <w:rsid w:val="00E97E59"/>
    <w:rsid w:val="00E97EDF"/>
    <w:rsid w:val="00EA1DFE"/>
    <w:rsid w:val="00EA3A72"/>
    <w:rsid w:val="00EA3F14"/>
    <w:rsid w:val="00EA4CD7"/>
    <w:rsid w:val="00EA79C9"/>
    <w:rsid w:val="00EA7D6F"/>
    <w:rsid w:val="00EB3015"/>
    <w:rsid w:val="00EB5723"/>
    <w:rsid w:val="00EB66AC"/>
    <w:rsid w:val="00EC1225"/>
    <w:rsid w:val="00EC1AF1"/>
    <w:rsid w:val="00EC2247"/>
    <w:rsid w:val="00EC2A89"/>
    <w:rsid w:val="00EC3BC2"/>
    <w:rsid w:val="00EC44CF"/>
    <w:rsid w:val="00ED15EC"/>
    <w:rsid w:val="00ED1BB8"/>
    <w:rsid w:val="00ED3981"/>
    <w:rsid w:val="00ED40DA"/>
    <w:rsid w:val="00ED421E"/>
    <w:rsid w:val="00ED4FE4"/>
    <w:rsid w:val="00ED50A4"/>
    <w:rsid w:val="00ED517A"/>
    <w:rsid w:val="00ED5831"/>
    <w:rsid w:val="00ED709D"/>
    <w:rsid w:val="00EE1F87"/>
    <w:rsid w:val="00EE3931"/>
    <w:rsid w:val="00EE5AF6"/>
    <w:rsid w:val="00EE6FCB"/>
    <w:rsid w:val="00EE7814"/>
    <w:rsid w:val="00EF102D"/>
    <w:rsid w:val="00EF18B5"/>
    <w:rsid w:val="00EF2CEF"/>
    <w:rsid w:val="00EF5148"/>
    <w:rsid w:val="00F0014E"/>
    <w:rsid w:val="00F02947"/>
    <w:rsid w:val="00F045C0"/>
    <w:rsid w:val="00F069B0"/>
    <w:rsid w:val="00F1092D"/>
    <w:rsid w:val="00F157A5"/>
    <w:rsid w:val="00F203FB"/>
    <w:rsid w:val="00F20594"/>
    <w:rsid w:val="00F232C2"/>
    <w:rsid w:val="00F26016"/>
    <w:rsid w:val="00F33CD7"/>
    <w:rsid w:val="00F35A76"/>
    <w:rsid w:val="00F37057"/>
    <w:rsid w:val="00F410ED"/>
    <w:rsid w:val="00F42C20"/>
    <w:rsid w:val="00F431D8"/>
    <w:rsid w:val="00F447EE"/>
    <w:rsid w:val="00F44EB1"/>
    <w:rsid w:val="00F468DC"/>
    <w:rsid w:val="00F50AF2"/>
    <w:rsid w:val="00F54E7A"/>
    <w:rsid w:val="00F6028E"/>
    <w:rsid w:val="00F62DD3"/>
    <w:rsid w:val="00F631D3"/>
    <w:rsid w:val="00F6387E"/>
    <w:rsid w:val="00F63E8D"/>
    <w:rsid w:val="00F6545F"/>
    <w:rsid w:val="00F662EB"/>
    <w:rsid w:val="00F67706"/>
    <w:rsid w:val="00F70126"/>
    <w:rsid w:val="00F72740"/>
    <w:rsid w:val="00F73E48"/>
    <w:rsid w:val="00F741F2"/>
    <w:rsid w:val="00F7423A"/>
    <w:rsid w:val="00F759BF"/>
    <w:rsid w:val="00F81FE3"/>
    <w:rsid w:val="00F8210C"/>
    <w:rsid w:val="00F83CF2"/>
    <w:rsid w:val="00F84496"/>
    <w:rsid w:val="00F847A4"/>
    <w:rsid w:val="00F84DD1"/>
    <w:rsid w:val="00F86650"/>
    <w:rsid w:val="00F87261"/>
    <w:rsid w:val="00F8793E"/>
    <w:rsid w:val="00F90F82"/>
    <w:rsid w:val="00F9141E"/>
    <w:rsid w:val="00F91829"/>
    <w:rsid w:val="00F92D75"/>
    <w:rsid w:val="00F94383"/>
    <w:rsid w:val="00F95B1D"/>
    <w:rsid w:val="00F96337"/>
    <w:rsid w:val="00F97327"/>
    <w:rsid w:val="00FA1CE1"/>
    <w:rsid w:val="00FA296F"/>
    <w:rsid w:val="00FA3891"/>
    <w:rsid w:val="00FA5D49"/>
    <w:rsid w:val="00FA6871"/>
    <w:rsid w:val="00FA6EA3"/>
    <w:rsid w:val="00FA7323"/>
    <w:rsid w:val="00FB1299"/>
    <w:rsid w:val="00FB2AFC"/>
    <w:rsid w:val="00FB3D3F"/>
    <w:rsid w:val="00FB53FB"/>
    <w:rsid w:val="00FB5E25"/>
    <w:rsid w:val="00FB6FE8"/>
    <w:rsid w:val="00FC0942"/>
    <w:rsid w:val="00FC0B45"/>
    <w:rsid w:val="00FC2773"/>
    <w:rsid w:val="00FC2E6D"/>
    <w:rsid w:val="00FC309F"/>
    <w:rsid w:val="00FC32D3"/>
    <w:rsid w:val="00FD02B4"/>
    <w:rsid w:val="00FD0C61"/>
    <w:rsid w:val="00FD4D82"/>
    <w:rsid w:val="00FD6446"/>
    <w:rsid w:val="00FD72F4"/>
    <w:rsid w:val="00FD7C54"/>
    <w:rsid w:val="00FE095B"/>
    <w:rsid w:val="00FE2FF4"/>
    <w:rsid w:val="00FE57AE"/>
    <w:rsid w:val="00FF1308"/>
    <w:rsid w:val="00FF480D"/>
    <w:rsid w:val="00FF6AE6"/>
    <w:rsid w:val="00FF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1">
    <w:name w:val="heading 1"/>
    <w:basedOn w:val="Normal"/>
    <w:next w:val="Normal"/>
    <w:link w:val="Heading1Char"/>
    <w:uiPriority w:val="9"/>
    <w:qFormat/>
    <w:rsid w:val="00055FA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uiPriority w:val="99"/>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EndNoteBibliographyTitle">
    <w:name w:val="EndNote Bibliography Title"/>
    <w:basedOn w:val="Normal"/>
    <w:link w:val="EndNoteBibliographyTitleChar"/>
    <w:rsid w:val="006F6063"/>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6F6063"/>
    <w:rPr>
      <w:rFonts w:ascii="Calibri" w:hAnsi="Calibri" w:cs="Calibri"/>
      <w:noProof/>
    </w:rPr>
  </w:style>
  <w:style w:type="paragraph" w:customStyle="1" w:styleId="EndNoteBibliography">
    <w:name w:val="EndNote Bibliography"/>
    <w:basedOn w:val="Normal"/>
    <w:link w:val="EndNoteBibliographyChar"/>
    <w:rsid w:val="006F6063"/>
    <w:rPr>
      <w:rFonts w:ascii="Calibri" w:hAnsi="Calibri" w:cs="Calibri"/>
      <w:noProof/>
    </w:rPr>
  </w:style>
  <w:style w:type="character" w:customStyle="1" w:styleId="EndNoteBibliographyChar">
    <w:name w:val="EndNote Bibliography Char"/>
    <w:basedOn w:val="DefaultParagraphFont"/>
    <w:link w:val="EndNoteBibliography"/>
    <w:rsid w:val="006F6063"/>
    <w:rPr>
      <w:rFonts w:ascii="Calibri" w:hAnsi="Calibri" w:cs="Calibri"/>
      <w:noProof/>
    </w:rPr>
  </w:style>
  <w:style w:type="paragraph" w:styleId="BodyText">
    <w:name w:val="Body Text"/>
    <w:basedOn w:val="Normal"/>
    <w:link w:val="BodyTextChar"/>
    <w:uiPriority w:val="99"/>
    <w:unhideWhenUsed/>
    <w:rsid w:val="004D75C5"/>
    <w:pPr>
      <w:spacing w:before="120" w:after="120"/>
      <w:ind w:left="540" w:firstLine="0"/>
    </w:pPr>
  </w:style>
  <w:style w:type="character" w:customStyle="1" w:styleId="BodyTextChar">
    <w:name w:val="Body Text Char"/>
    <w:basedOn w:val="DefaultParagraphFont"/>
    <w:link w:val="BodyText"/>
    <w:uiPriority w:val="99"/>
    <w:rsid w:val="004D75C5"/>
  </w:style>
  <w:style w:type="paragraph" w:customStyle="1" w:styleId="question">
    <w:name w:val="question"/>
    <w:basedOn w:val="Normal"/>
    <w:qFormat/>
    <w:rsid w:val="004D75C5"/>
    <w:pPr>
      <w:spacing w:before="240"/>
      <w:ind w:left="540" w:right="140" w:hanging="540"/>
    </w:pPr>
    <w:rPr>
      <w:iCs/>
    </w:rPr>
  </w:style>
  <w:style w:type="character" w:customStyle="1" w:styleId="Heading1Char">
    <w:name w:val="Heading 1 Char"/>
    <w:basedOn w:val="DefaultParagraphFont"/>
    <w:link w:val="Heading1"/>
    <w:uiPriority w:val="9"/>
    <w:rsid w:val="00055FA1"/>
    <w:rPr>
      <w:rFonts w:asciiTheme="majorHAnsi" w:eastAsiaTheme="majorEastAsia" w:hAnsiTheme="majorHAnsi" w:cstheme="majorBidi"/>
      <w:color w:val="365F91" w:themeColor="accent1" w:themeShade="BF"/>
      <w:sz w:val="32"/>
      <w:szCs w:val="32"/>
    </w:rPr>
  </w:style>
  <w:style w:type="paragraph" w:customStyle="1" w:styleId="Tabletext">
    <w:name w:val="Table text"/>
    <w:basedOn w:val="Normal"/>
    <w:qFormat/>
    <w:rsid w:val="004C5576"/>
    <w:pPr>
      <w:framePr w:hSpace="187" w:wrap="around" w:vAnchor="text" w:hAnchor="margin" w:y="1"/>
      <w:spacing w:before="80" w:after="80"/>
      <w:ind w:left="0" w:firstLine="0"/>
    </w:pPr>
    <w:rPr>
      <w:rFonts w:ascii="Times New Roman" w:eastAsia="Times New Roman" w:hAnsi="Times New Roman" w:cs="Times New Roman"/>
      <w:sz w:val="20"/>
      <w:szCs w:val="20"/>
    </w:rPr>
  </w:style>
  <w:style w:type="paragraph" w:customStyle="1" w:styleId="TableHeader">
    <w:name w:val="Table Header"/>
    <w:basedOn w:val="Normal"/>
    <w:qFormat/>
    <w:rsid w:val="004C5576"/>
    <w:pPr>
      <w:framePr w:hSpace="187" w:wrap="around" w:vAnchor="text" w:hAnchor="margin" w:y="1"/>
      <w:spacing w:before="80" w:after="80"/>
      <w:ind w:left="0" w:firstLine="0"/>
      <w:jc w:val="center"/>
    </w:pPr>
    <w:rPr>
      <w:rFonts w:ascii="Times New Roman" w:eastAsia="Times New Roman" w:hAnsi="Times New Roman" w:cs="Times New Roman"/>
      <w:b/>
      <w:sz w:val="20"/>
      <w:szCs w:val="20"/>
    </w:rPr>
  </w:style>
  <w:style w:type="character" w:styleId="FootnoteReference">
    <w:name w:val="footnote reference"/>
    <w:basedOn w:val="DefaultParagraphFont"/>
    <w:uiPriority w:val="99"/>
    <w:qFormat/>
    <w:rsid w:val="00A81A6F"/>
    <w:rPr>
      <w:rFonts w:cs="Times New Roman"/>
      <w:vertAlign w:val="superscript"/>
    </w:rPr>
  </w:style>
  <w:style w:type="paragraph" w:customStyle="1" w:styleId="Default">
    <w:name w:val="Default"/>
    <w:rsid w:val="00134F46"/>
    <w:pPr>
      <w:autoSpaceDE w:val="0"/>
      <w:autoSpaceDN w:val="0"/>
      <w:adjustRightInd w:val="0"/>
      <w:ind w:left="0" w:firstLine="0"/>
    </w:pPr>
    <w:rPr>
      <w:rFonts w:ascii="Gotham Book" w:hAnsi="Gotham Book" w:cs="Gotham Book"/>
      <w:color w:val="000000"/>
      <w:sz w:val="24"/>
      <w:szCs w:val="24"/>
    </w:rPr>
  </w:style>
  <w:style w:type="character" w:styleId="UnresolvedMention">
    <w:name w:val="Unresolved Mention"/>
    <w:basedOn w:val="DefaultParagraphFont"/>
    <w:uiPriority w:val="99"/>
    <w:semiHidden/>
    <w:unhideWhenUsed/>
    <w:rsid w:val="00487BC1"/>
    <w:rPr>
      <w:color w:val="605E5C"/>
      <w:shd w:val="clear" w:color="auto" w:fill="E1DFDD"/>
    </w:rPr>
  </w:style>
  <w:style w:type="character" w:customStyle="1" w:styleId="highlight1">
    <w:name w:val="highlight1"/>
    <w:basedOn w:val="DefaultParagraphFont"/>
    <w:rsid w:val="00865F0A"/>
  </w:style>
  <w:style w:type="character" w:customStyle="1" w:styleId="cit">
    <w:name w:val="cit"/>
    <w:basedOn w:val="DefaultParagraphFont"/>
    <w:rsid w:val="00865F0A"/>
  </w:style>
  <w:style w:type="character" w:customStyle="1" w:styleId="fm-vol-iss-date">
    <w:name w:val="fm-vol-iss-date"/>
    <w:basedOn w:val="DefaultParagraphFont"/>
    <w:rsid w:val="00865F0A"/>
  </w:style>
  <w:style w:type="character" w:customStyle="1" w:styleId="doi1">
    <w:name w:val="doi1"/>
    <w:basedOn w:val="DefaultParagraphFont"/>
    <w:rsid w:val="00865F0A"/>
  </w:style>
  <w:style w:type="character" w:customStyle="1" w:styleId="fm-citation-ids-label">
    <w:name w:val="fm-citation-ids-label"/>
    <w:basedOn w:val="DefaultParagraphFont"/>
    <w:rsid w:val="00865F0A"/>
  </w:style>
  <w:style w:type="character" w:styleId="Emphasis">
    <w:name w:val="Emphasis"/>
    <w:basedOn w:val="DefaultParagraphFont"/>
    <w:uiPriority w:val="20"/>
    <w:qFormat/>
    <w:rsid w:val="003D3D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125938">
      <w:bodyDiv w:val="1"/>
      <w:marLeft w:val="0"/>
      <w:marRight w:val="0"/>
      <w:marTop w:val="0"/>
      <w:marBottom w:val="0"/>
      <w:divBdr>
        <w:top w:val="none" w:sz="0" w:space="0" w:color="auto"/>
        <w:left w:val="none" w:sz="0" w:space="0" w:color="auto"/>
        <w:bottom w:val="none" w:sz="0" w:space="0" w:color="auto"/>
        <w:right w:val="none" w:sz="0" w:space="0" w:color="auto"/>
      </w:divBdr>
    </w:div>
    <w:div w:id="613755668">
      <w:bodyDiv w:val="1"/>
      <w:marLeft w:val="0"/>
      <w:marRight w:val="0"/>
      <w:marTop w:val="0"/>
      <w:marBottom w:val="0"/>
      <w:divBdr>
        <w:top w:val="none" w:sz="0" w:space="0" w:color="auto"/>
        <w:left w:val="none" w:sz="0" w:space="0" w:color="auto"/>
        <w:bottom w:val="none" w:sz="0" w:space="0" w:color="auto"/>
        <w:right w:val="none" w:sz="0" w:space="0" w:color="auto"/>
      </w:divBdr>
    </w:div>
    <w:div w:id="940062923">
      <w:bodyDiv w:val="1"/>
      <w:marLeft w:val="0"/>
      <w:marRight w:val="0"/>
      <w:marTop w:val="0"/>
      <w:marBottom w:val="0"/>
      <w:divBdr>
        <w:top w:val="none" w:sz="0" w:space="0" w:color="auto"/>
        <w:left w:val="none" w:sz="0" w:space="0" w:color="auto"/>
        <w:bottom w:val="none" w:sz="0" w:space="0" w:color="auto"/>
        <w:right w:val="none" w:sz="0" w:space="0" w:color="auto"/>
      </w:divBdr>
    </w:div>
    <w:div w:id="1027754753">
      <w:bodyDiv w:val="1"/>
      <w:marLeft w:val="0"/>
      <w:marRight w:val="0"/>
      <w:marTop w:val="0"/>
      <w:marBottom w:val="0"/>
      <w:divBdr>
        <w:top w:val="none" w:sz="0" w:space="0" w:color="auto"/>
        <w:left w:val="none" w:sz="0" w:space="0" w:color="auto"/>
        <w:bottom w:val="none" w:sz="0" w:space="0" w:color="auto"/>
        <w:right w:val="none" w:sz="0" w:space="0" w:color="auto"/>
      </w:divBdr>
      <w:divsChild>
        <w:div w:id="1103955179">
          <w:marLeft w:val="547"/>
          <w:marRight w:val="0"/>
          <w:marTop w:val="0"/>
          <w:marBottom w:val="0"/>
          <w:divBdr>
            <w:top w:val="none" w:sz="0" w:space="0" w:color="auto"/>
            <w:left w:val="none" w:sz="0" w:space="0" w:color="auto"/>
            <w:bottom w:val="none" w:sz="0" w:space="0" w:color="auto"/>
            <w:right w:val="none" w:sz="0" w:space="0" w:color="auto"/>
          </w:divBdr>
        </w:div>
        <w:div w:id="1048994379">
          <w:marLeft w:val="1166"/>
          <w:marRight w:val="0"/>
          <w:marTop w:val="0"/>
          <w:marBottom w:val="0"/>
          <w:divBdr>
            <w:top w:val="none" w:sz="0" w:space="0" w:color="auto"/>
            <w:left w:val="none" w:sz="0" w:space="0" w:color="auto"/>
            <w:bottom w:val="none" w:sz="0" w:space="0" w:color="auto"/>
            <w:right w:val="none" w:sz="0" w:space="0" w:color="auto"/>
          </w:divBdr>
        </w:div>
        <w:div w:id="2143886980">
          <w:marLeft w:val="1166"/>
          <w:marRight w:val="0"/>
          <w:marTop w:val="0"/>
          <w:marBottom w:val="0"/>
          <w:divBdr>
            <w:top w:val="none" w:sz="0" w:space="0" w:color="auto"/>
            <w:left w:val="none" w:sz="0" w:space="0" w:color="auto"/>
            <w:bottom w:val="none" w:sz="0" w:space="0" w:color="auto"/>
            <w:right w:val="none" w:sz="0" w:space="0" w:color="auto"/>
          </w:divBdr>
        </w:div>
        <w:div w:id="376323019">
          <w:marLeft w:val="1166"/>
          <w:marRight w:val="0"/>
          <w:marTop w:val="0"/>
          <w:marBottom w:val="0"/>
          <w:divBdr>
            <w:top w:val="none" w:sz="0" w:space="0" w:color="auto"/>
            <w:left w:val="none" w:sz="0" w:space="0" w:color="auto"/>
            <w:bottom w:val="none" w:sz="0" w:space="0" w:color="auto"/>
            <w:right w:val="none" w:sz="0" w:space="0" w:color="auto"/>
          </w:divBdr>
        </w:div>
        <w:div w:id="407120248">
          <w:marLeft w:val="1166"/>
          <w:marRight w:val="0"/>
          <w:marTop w:val="0"/>
          <w:marBottom w:val="0"/>
          <w:divBdr>
            <w:top w:val="none" w:sz="0" w:space="0" w:color="auto"/>
            <w:left w:val="none" w:sz="0" w:space="0" w:color="auto"/>
            <w:bottom w:val="none" w:sz="0" w:space="0" w:color="auto"/>
            <w:right w:val="none" w:sz="0" w:space="0" w:color="auto"/>
          </w:divBdr>
        </w:div>
        <w:div w:id="703755981">
          <w:marLeft w:val="1800"/>
          <w:marRight w:val="0"/>
          <w:marTop w:val="0"/>
          <w:marBottom w:val="0"/>
          <w:divBdr>
            <w:top w:val="none" w:sz="0" w:space="0" w:color="auto"/>
            <w:left w:val="none" w:sz="0" w:space="0" w:color="auto"/>
            <w:bottom w:val="none" w:sz="0" w:space="0" w:color="auto"/>
            <w:right w:val="none" w:sz="0" w:space="0" w:color="auto"/>
          </w:divBdr>
        </w:div>
        <w:div w:id="473068302">
          <w:marLeft w:val="1800"/>
          <w:marRight w:val="0"/>
          <w:marTop w:val="0"/>
          <w:marBottom w:val="0"/>
          <w:divBdr>
            <w:top w:val="none" w:sz="0" w:space="0" w:color="auto"/>
            <w:left w:val="none" w:sz="0" w:space="0" w:color="auto"/>
            <w:bottom w:val="none" w:sz="0" w:space="0" w:color="auto"/>
            <w:right w:val="none" w:sz="0" w:space="0" w:color="auto"/>
          </w:divBdr>
        </w:div>
        <w:div w:id="1987389526">
          <w:marLeft w:val="2520"/>
          <w:marRight w:val="0"/>
          <w:marTop w:val="0"/>
          <w:marBottom w:val="0"/>
          <w:divBdr>
            <w:top w:val="none" w:sz="0" w:space="0" w:color="auto"/>
            <w:left w:val="none" w:sz="0" w:space="0" w:color="auto"/>
            <w:bottom w:val="none" w:sz="0" w:space="0" w:color="auto"/>
            <w:right w:val="none" w:sz="0" w:space="0" w:color="auto"/>
          </w:divBdr>
        </w:div>
        <w:div w:id="383910847">
          <w:marLeft w:val="2520"/>
          <w:marRight w:val="0"/>
          <w:marTop w:val="0"/>
          <w:marBottom w:val="0"/>
          <w:divBdr>
            <w:top w:val="none" w:sz="0" w:space="0" w:color="auto"/>
            <w:left w:val="none" w:sz="0" w:space="0" w:color="auto"/>
            <w:bottom w:val="none" w:sz="0" w:space="0" w:color="auto"/>
            <w:right w:val="none" w:sz="0" w:space="0" w:color="auto"/>
          </w:divBdr>
        </w:div>
      </w:divsChild>
    </w:div>
    <w:div w:id="1103382688">
      <w:bodyDiv w:val="1"/>
      <w:marLeft w:val="0"/>
      <w:marRight w:val="0"/>
      <w:marTop w:val="0"/>
      <w:marBottom w:val="0"/>
      <w:divBdr>
        <w:top w:val="none" w:sz="0" w:space="0" w:color="auto"/>
        <w:left w:val="none" w:sz="0" w:space="0" w:color="auto"/>
        <w:bottom w:val="none" w:sz="0" w:space="0" w:color="auto"/>
        <w:right w:val="none" w:sz="0" w:space="0" w:color="auto"/>
      </w:divBdr>
      <w:divsChild>
        <w:div w:id="1034312518">
          <w:marLeft w:val="0"/>
          <w:marRight w:val="0"/>
          <w:marTop w:val="0"/>
          <w:marBottom w:val="0"/>
          <w:divBdr>
            <w:top w:val="none" w:sz="0" w:space="0" w:color="auto"/>
            <w:left w:val="none" w:sz="0" w:space="0" w:color="auto"/>
            <w:bottom w:val="none" w:sz="0" w:space="0" w:color="auto"/>
            <w:right w:val="none" w:sz="0" w:space="0" w:color="auto"/>
          </w:divBdr>
          <w:divsChild>
            <w:div w:id="1902205223">
              <w:marLeft w:val="0"/>
              <w:marRight w:val="0"/>
              <w:marTop w:val="0"/>
              <w:marBottom w:val="0"/>
              <w:divBdr>
                <w:top w:val="none" w:sz="0" w:space="0" w:color="auto"/>
                <w:left w:val="none" w:sz="0" w:space="0" w:color="auto"/>
                <w:bottom w:val="none" w:sz="0" w:space="0" w:color="auto"/>
                <w:right w:val="none" w:sz="0" w:space="0" w:color="auto"/>
              </w:divBdr>
              <w:divsChild>
                <w:div w:id="1886866901">
                  <w:marLeft w:val="0"/>
                  <w:marRight w:val="0"/>
                  <w:marTop w:val="0"/>
                  <w:marBottom w:val="0"/>
                  <w:divBdr>
                    <w:top w:val="none" w:sz="0" w:space="0" w:color="auto"/>
                    <w:left w:val="none" w:sz="0" w:space="0" w:color="auto"/>
                    <w:bottom w:val="none" w:sz="0" w:space="0" w:color="auto"/>
                    <w:right w:val="none" w:sz="0" w:space="0" w:color="auto"/>
                  </w:divBdr>
                  <w:divsChild>
                    <w:div w:id="418212314">
                      <w:marLeft w:val="0"/>
                      <w:marRight w:val="0"/>
                      <w:marTop w:val="0"/>
                      <w:marBottom w:val="0"/>
                      <w:divBdr>
                        <w:top w:val="none" w:sz="0" w:space="0" w:color="auto"/>
                        <w:left w:val="none" w:sz="0" w:space="0" w:color="auto"/>
                        <w:bottom w:val="none" w:sz="0" w:space="0" w:color="auto"/>
                        <w:right w:val="none" w:sz="0" w:space="0" w:color="auto"/>
                      </w:divBdr>
                      <w:divsChild>
                        <w:div w:id="423384718">
                          <w:marLeft w:val="0"/>
                          <w:marRight w:val="0"/>
                          <w:marTop w:val="0"/>
                          <w:marBottom w:val="0"/>
                          <w:divBdr>
                            <w:top w:val="none" w:sz="0" w:space="0" w:color="auto"/>
                            <w:left w:val="none" w:sz="0" w:space="0" w:color="auto"/>
                            <w:bottom w:val="none" w:sz="0" w:space="0" w:color="auto"/>
                            <w:right w:val="none" w:sz="0" w:space="0" w:color="auto"/>
                          </w:divBdr>
                          <w:divsChild>
                            <w:div w:id="1578251572">
                              <w:marLeft w:val="0"/>
                              <w:marRight w:val="0"/>
                              <w:marTop w:val="0"/>
                              <w:marBottom w:val="0"/>
                              <w:divBdr>
                                <w:top w:val="none" w:sz="0" w:space="0" w:color="auto"/>
                                <w:left w:val="none" w:sz="0" w:space="0" w:color="auto"/>
                                <w:bottom w:val="none" w:sz="0" w:space="0" w:color="auto"/>
                                <w:right w:val="none" w:sz="0" w:space="0" w:color="auto"/>
                              </w:divBdr>
                              <w:divsChild>
                                <w:div w:id="356737006">
                                  <w:marLeft w:val="0"/>
                                  <w:marRight w:val="0"/>
                                  <w:marTop w:val="0"/>
                                  <w:marBottom w:val="0"/>
                                  <w:divBdr>
                                    <w:top w:val="none" w:sz="0" w:space="0" w:color="auto"/>
                                    <w:left w:val="none" w:sz="0" w:space="0" w:color="auto"/>
                                    <w:bottom w:val="none" w:sz="0" w:space="0" w:color="auto"/>
                                    <w:right w:val="none" w:sz="0" w:space="0" w:color="auto"/>
                                  </w:divBdr>
                                  <w:divsChild>
                                    <w:div w:id="1221868218">
                                      <w:marLeft w:val="0"/>
                                      <w:marRight w:val="0"/>
                                      <w:marTop w:val="0"/>
                                      <w:marBottom w:val="0"/>
                                      <w:divBdr>
                                        <w:top w:val="single" w:sz="12" w:space="8" w:color="000000"/>
                                        <w:left w:val="none" w:sz="0" w:space="0" w:color="auto"/>
                                        <w:bottom w:val="none" w:sz="0" w:space="0" w:color="auto"/>
                                        <w:right w:val="none" w:sz="0" w:space="0" w:color="auto"/>
                                      </w:divBdr>
                                      <w:divsChild>
                                        <w:div w:id="1032850078">
                                          <w:marLeft w:val="0"/>
                                          <w:marRight w:val="0"/>
                                          <w:marTop w:val="0"/>
                                          <w:marBottom w:val="0"/>
                                          <w:divBdr>
                                            <w:top w:val="none" w:sz="0" w:space="0" w:color="auto"/>
                                            <w:left w:val="none" w:sz="0" w:space="0" w:color="auto"/>
                                            <w:bottom w:val="none" w:sz="0" w:space="0" w:color="auto"/>
                                            <w:right w:val="none" w:sz="0" w:space="0" w:color="auto"/>
                                          </w:divBdr>
                                          <w:divsChild>
                                            <w:div w:id="1833986530">
                                              <w:marLeft w:val="0"/>
                                              <w:marRight w:val="0"/>
                                              <w:marTop w:val="0"/>
                                              <w:marBottom w:val="0"/>
                                              <w:divBdr>
                                                <w:top w:val="none" w:sz="0" w:space="0" w:color="auto"/>
                                                <w:left w:val="none" w:sz="0" w:space="0" w:color="auto"/>
                                                <w:bottom w:val="none" w:sz="0" w:space="0" w:color="auto"/>
                                                <w:right w:val="none" w:sz="0" w:space="0" w:color="auto"/>
                                              </w:divBdr>
                                              <w:divsChild>
                                                <w:div w:id="79017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9132289">
      <w:bodyDiv w:val="1"/>
      <w:marLeft w:val="0"/>
      <w:marRight w:val="0"/>
      <w:marTop w:val="0"/>
      <w:marBottom w:val="0"/>
      <w:divBdr>
        <w:top w:val="none" w:sz="0" w:space="0" w:color="auto"/>
        <w:left w:val="none" w:sz="0" w:space="0" w:color="auto"/>
        <w:bottom w:val="none" w:sz="0" w:space="0" w:color="auto"/>
        <w:right w:val="none" w:sz="0" w:space="0" w:color="auto"/>
      </w:divBdr>
    </w:div>
    <w:div w:id="1179201663">
      <w:bodyDiv w:val="1"/>
      <w:marLeft w:val="0"/>
      <w:marRight w:val="0"/>
      <w:marTop w:val="0"/>
      <w:marBottom w:val="0"/>
      <w:divBdr>
        <w:top w:val="none" w:sz="0" w:space="0" w:color="auto"/>
        <w:left w:val="none" w:sz="0" w:space="0" w:color="auto"/>
        <w:bottom w:val="none" w:sz="0" w:space="0" w:color="auto"/>
        <w:right w:val="none" w:sz="0" w:space="0" w:color="auto"/>
      </w:divBdr>
    </w:div>
    <w:div w:id="1424691580">
      <w:bodyDiv w:val="1"/>
      <w:marLeft w:val="0"/>
      <w:marRight w:val="0"/>
      <w:marTop w:val="0"/>
      <w:marBottom w:val="0"/>
      <w:divBdr>
        <w:top w:val="none" w:sz="0" w:space="0" w:color="auto"/>
        <w:left w:val="none" w:sz="0" w:space="0" w:color="auto"/>
        <w:bottom w:val="none" w:sz="0" w:space="0" w:color="auto"/>
        <w:right w:val="none" w:sz="0" w:space="0" w:color="auto"/>
      </w:divBdr>
    </w:div>
    <w:div w:id="1891455147">
      <w:bodyDiv w:val="1"/>
      <w:marLeft w:val="0"/>
      <w:marRight w:val="0"/>
      <w:marTop w:val="0"/>
      <w:marBottom w:val="0"/>
      <w:divBdr>
        <w:top w:val="none" w:sz="0" w:space="0" w:color="auto"/>
        <w:left w:val="none" w:sz="0" w:space="0" w:color="auto"/>
        <w:bottom w:val="none" w:sz="0" w:space="0" w:color="auto"/>
        <w:right w:val="none" w:sz="0" w:space="0" w:color="auto"/>
      </w:divBdr>
    </w:div>
    <w:div w:id="1994287318">
      <w:bodyDiv w:val="1"/>
      <w:marLeft w:val="0"/>
      <w:marRight w:val="0"/>
      <w:marTop w:val="0"/>
      <w:marBottom w:val="0"/>
      <w:divBdr>
        <w:top w:val="none" w:sz="0" w:space="0" w:color="auto"/>
        <w:left w:val="none" w:sz="0" w:space="0" w:color="auto"/>
        <w:bottom w:val="none" w:sz="0" w:space="0" w:color="auto"/>
        <w:right w:val="none" w:sz="0" w:space="0" w:color="auto"/>
      </w:divBdr>
      <w:divsChild>
        <w:div w:id="688408714">
          <w:marLeft w:val="547"/>
          <w:marRight w:val="0"/>
          <w:marTop w:val="0"/>
          <w:marBottom w:val="0"/>
          <w:divBdr>
            <w:top w:val="none" w:sz="0" w:space="0" w:color="auto"/>
            <w:left w:val="none" w:sz="0" w:space="0" w:color="auto"/>
            <w:bottom w:val="none" w:sz="0" w:space="0" w:color="auto"/>
            <w:right w:val="none" w:sz="0" w:space="0" w:color="auto"/>
          </w:divBdr>
        </w:div>
        <w:div w:id="1655836237">
          <w:marLeft w:val="1166"/>
          <w:marRight w:val="0"/>
          <w:marTop w:val="0"/>
          <w:marBottom w:val="0"/>
          <w:divBdr>
            <w:top w:val="none" w:sz="0" w:space="0" w:color="auto"/>
            <w:left w:val="none" w:sz="0" w:space="0" w:color="auto"/>
            <w:bottom w:val="none" w:sz="0" w:space="0" w:color="auto"/>
            <w:right w:val="none" w:sz="0" w:space="0" w:color="auto"/>
          </w:divBdr>
        </w:div>
        <w:div w:id="819686848">
          <w:marLeft w:val="1166"/>
          <w:marRight w:val="0"/>
          <w:marTop w:val="0"/>
          <w:marBottom w:val="0"/>
          <w:divBdr>
            <w:top w:val="none" w:sz="0" w:space="0" w:color="auto"/>
            <w:left w:val="none" w:sz="0" w:space="0" w:color="auto"/>
            <w:bottom w:val="none" w:sz="0" w:space="0" w:color="auto"/>
            <w:right w:val="none" w:sz="0" w:space="0" w:color="auto"/>
          </w:divBdr>
        </w:div>
        <w:div w:id="1633897753">
          <w:marLeft w:val="1166"/>
          <w:marRight w:val="0"/>
          <w:marTop w:val="0"/>
          <w:marBottom w:val="0"/>
          <w:divBdr>
            <w:top w:val="none" w:sz="0" w:space="0" w:color="auto"/>
            <w:left w:val="none" w:sz="0" w:space="0" w:color="auto"/>
            <w:bottom w:val="none" w:sz="0" w:space="0" w:color="auto"/>
            <w:right w:val="none" w:sz="0" w:space="0" w:color="auto"/>
          </w:divBdr>
        </w:div>
        <w:div w:id="1981835506">
          <w:marLeft w:val="1166"/>
          <w:marRight w:val="0"/>
          <w:marTop w:val="0"/>
          <w:marBottom w:val="0"/>
          <w:divBdr>
            <w:top w:val="none" w:sz="0" w:space="0" w:color="auto"/>
            <w:left w:val="none" w:sz="0" w:space="0" w:color="auto"/>
            <w:bottom w:val="none" w:sz="0" w:space="0" w:color="auto"/>
            <w:right w:val="none" w:sz="0" w:space="0" w:color="auto"/>
          </w:divBdr>
        </w:div>
        <w:div w:id="752118942">
          <w:marLeft w:val="1800"/>
          <w:marRight w:val="0"/>
          <w:marTop w:val="0"/>
          <w:marBottom w:val="0"/>
          <w:divBdr>
            <w:top w:val="none" w:sz="0" w:space="0" w:color="auto"/>
            <w:left w:val="none" w:sz="0" w:space="0" w:color="auto"/>
            <w:bottom w:val="none" w:sz="0" w:space="0" w:color="auto"/>
            <w:right w:val="none" w:sz="0" w:space="0" w:color="auto"/>
          </w:divBdr>
        </w:div>
        <w:div w:id="1044601580">
          <w:marLeft w:val="1800"/>
          <w:marRight w:val="0"/>
          <w:marTop w:val="0"/>
          <w:marBottom w:val="0"/>
          <w:divBdr>
            <w:top w:val="none" w:sz="0" w:space="0" w:color="auto"/>
            <w:left w:val="none" w:sz="0" w:space="0" w:color="auto"/>
            <w:bottom w:val="none" w:sz="0" w:space="0" w:color="auto"/>
            <w:right w:val="none" w:sz="0" w:space="0" w:color="auto"/>
          </w:divBdr>
        </w:div>
        <w:div w:id="99495297">
          <w:marLeft w:val="2520"/>
          <w:marRight w:val="0"/>
          <w:marTop w:val="0"/>
          <w:marBottom w:val="0"/>
          <w:divBdr>
            <w:top w:val="none" w:sz="0" w:space="0" w:color="auto"/>
            <w:left w:val="none" w:sz="0" w:space="0" w:color="auto"/>
            <w:bottom w:val="none" w:sz="0" w:space="0" w:color="auto"/>
            <w:right w:val="none" w:sz="0" w:space="0" w:color="auto"/>
          </w:divBdr>
        </w:div>
        <w:div w:id="1811744061">
          <w:marLeft w:val="25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diagramQuickStyle" Target="diagrams/quickStyl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n.gov/isdh/files/improve_care_tran.pdf" TargetMode="External"/><Relationship Id="rId20"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microsoft.com/office/2007/relationships/diagramDrawing" Target="diagrams/drawing1.xml"/><Relationship Id="rId10" Type="http://schemas.openxmlformats.org/officeDocument/2006/relationships/footnotes" Target="footnotes.xml"/><Relationship Id="rId19" Type="http://schemas.openxmlformats.org/officeDocument/2006/relationships/diagramData" Target="diagrams/data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0421FA-9A62-4796-8841-09902ECBDB23}" type="doc">
      <dgm:prSet loTypeId="urn:microsoft.com/office/officeart/2005/8/layout/process1" loCatId="process" qsTypeId="urn:microsoft.com/office/officeart/2005/8/quickstyle/simple1" qsCatId="simple" csTypeId="urn:microsoft.com/office/officeart/2005/8/colors/accent1_2" csCatId="accent1" phldr="1"/>
      <dgm:spPr/>
    </dgm:pt>
    <dgm:pt modelId="{D4775106-FCA2-4E17-9A35-A0A1BBB5E36A}">
      <dgm:prSet phldrT="[Text]" custT="1"/>
      <dgm:spPr/>
      <dgm:t>
        <a:bodyPr/>
        <a:lstStyle/>
        <a:p>
          <a:r>
            <a:rPr lang="en-US" sz="1000" b="1">
              <a:solidFill>
                <a:schemeClr val="bg1"/>
              </a:solidFill>
            </a:rPr>
            <a:t>STRUCTURE 	</a:t>
          </a:r>
        </a:p>
      </dgm:t>
    </dgm:pt>
    <dgm:pt modelId="{2361F5A8-F4FA-4D1D-BBDA-551D3D98ECE7}" type="parTrans" cxnId="{F13C7C13-24DC-47C5-B2C0-B80C60BA7126}">
      <dgm:prSet/>
      <dgm:spPr/>
      <dgm:t>
        <a:bodyPr/>
        <a:lstStyle/>
        <a:p>
          <a:endParaRPr lang="en-US" sz="1000"/>
        </a:p>
      </dgm:t>
    </dgm:pt>
    <dgm:pt modelId="{BD8BF25D-0472-40B1-B09A-C4776BE8D643}" type="sibTrans" cxnId="{F13C7C13-24DC-47C5-B2C0-B80C60BA7126}">
      <dgm:prSet custT="1"/>
      <dgm:spPr/>
      <dgm:t>
        <a:bodyPr/>
        <a:lstStyle/>
        <a:p>
          <a:endParaRPr lang="en-US" sz="1000"/>
        </a:p>
      </dgm:t>
    </dgm:pt>
    <dgm:pt modelId="{080F9B2C-8797-44F5-A3DE-D495A91653FD}">
      <dgm:prSet phldrT="[Text]" custT="1"/>
      <dgm:spPr/>
      <dgm:t>
        <a:bodyPr/>
        <a:lstStyle/>
        <a:p>
          <a:pPr>
            <a:buNone/>
          </a:pPr>
          <a:r>
            <a:rPr lang="en-US" sz="1000" b="1">
              <a:solidFill>
                <a:schemeClr val="bg1"/>
              </a:solidFill>
            </a:rPr>
            <a:t>PROCESS</a:t>
          </a:r>
        </a:p>
      </dgm:t>
    </dgm:pt>
    <dgm:pt modelId="{9D879D23-3466-41AF-BE5F-3DA893E9599A}" type="parTrans" cxnId="{F97DDFCD-2487-4CC6-8229-6314E1934D9B}">
      <dgm:prSet/>
      <dgm:spPr/>
      <dgm:t>
        <a:bodyPr/>
        <a:lstStyle/>
        <a:p>
          <a:endParaRPr lang="en-US" sz="1000"/>
        </a:p>
      </dgm:t>
    </dgm:pt>
    <dgm:pt modelId="{F4332EFF-1337-4C7F-A16B-485A871E0CC1}" type="sibTrans" cxnId="{F97DDFCD-2487-4CC6-8229-6314E1934D9B}">
      <dgm:prSet custT="1"/>
      <dgm:spPr/>
      <dgm:t>
        <a:bodyPr/>
        <a:lstStyle/>
        <a:p>
          <a:endParaRPr lang="en-US" sz="1000"/>
        </a:p>
      </dgm:t>
    </dgm:pt>
    <dgm:pt modelId="{A23655FA-8439-4BF6-8E1E-E2D9A4EA204E}">
      <dgm:prSet phldrT="[Text]" custT="1"/>
      <dgm:spPr/>
      <dgm:t>
        <a:bodyPr/>
        <a:lstStyle/>
        <a:p>
          <a:r>
            <a:rPr lang="en-US" sz="1000" b="1"/>
            <a:t>OUTCOME</a:t>
          </a:r>
        </a:p>
      </dgm:t>
    </dgm:pt>
    <dgm:pt modelId="{BF003307-1B59-442D-A4F2-DB54632D73C2}" type="parTrans" cxnId="{B9F992B6-4F16-4013-AAF4-89556B79BF83}">
      <dgm:prSet/>
      <dgm:spPr/>
      <dgm:t>
        <a:bodyPr/>
        <a:lstStyle/>
        <a:p>
          <a:endParaRPr lang="en-US" sz="1000"/>
        </a:p>
      </dgm:t>
    </dgm:pt>
    <dgm:pt modelId="{DBB43B7A-D546-4894-83F7-5D7C06D8E604}" type="sibTrans" cxnId="{B9F992B6-4F16-4013-AAF4-89556B79BF83}">
      <dgm:prSet/>
      <dgm:spPr/>
      <dgm:t>
        <a:bodyPr/>
        <a:lstStyle/>
        <a:p>
          <a:endParaRPr lang="en-US" sz="1000"/>
        </a:p>
      </dgm:t>
    </dgm:pt>
    <dgm:pt modelId="{35BC3855-053B-464C-A51B-53593BAA9255}">
      <dgm:prSet phldrT="[Text]" custT="1"/>
      <dgm:spPr/>
      <dgm:t>
        <a:bodyPr/>
        <a:lstStyle/>
        <a:p>
          <a:endParaRPr lang="en-US" sz="1000"/>
        </a:p>
      </dgm:t>
    </dgm:pt>
    <dgm:pt modelId="{2D13A67C-5305-4926-8E00-04E0A0516E99}" type="parTrans" cxnId="{61FE29D9-D306-409C-8D12-06975449C596}">
      <dgm:prSet/>
      <dgm:spPr/>
      <dgm:t>
        <a:bodyPr/>
        <a:lstStyle/>
        <a:p>
          <a:endParaRPr lang="en-US" sz="1000"/>
        </a:p>
      </dgm:t>
    </dgm:pt>
    <dgm:pt modelId="{FE60997B-BC31-4686-8DC1-5DCECAEF2A5D}" type="sibTrans" cxnId="{61FE29D9-D306-409C-8D12-06975449C596}">
      <dgm:prSet/>
      <dgm:spPr/>
      <dgm:t>
        <a:bodyPr/>
        <a:lstStyle/>
        <a:p>
          <a:endParaRPr lang="en-US" sz="1000"/>
        </a:p>
      </dgm:t>
    </dgm:pt>
    <dgm:pt modelId="{AAA71AD1-548F-40B7-9704-ECE483F76B96}">
      <dgm:prSet phldrT="[Text]" custT="1"/>
      <dgm:spPr/>
      <dgm:t>
        <a:bodyPr/>
        <a:lstStyle/>
        <a:p>
          <a:r>
            <a:rPr lang="en-US" sz="1000"/>
            <a:t>Adequate staffing</a:t>
          </a:r>
        </a:p>
      </dgm:t>
    </dgm:pt>
    <dgm:pt modelId="{ADECEC10-5B2E-4E8A-A7F7-8E56159EC82A}" type="sibTrans" cxnId="{9BC49BE7-E99F-4411-8A28-CC2A19F0F162}">
      <dgm:prSet/>
      <dgm:spPr/>
      <dgm:t>
        <a:bodyPr/>
        <a:lstStyle/>
        <a:p>
          <a:endParaRPr lang="en-US" sz="1000"/>
        </a:p>
      </dgm:t>
    </dgm:pt>
    <dgm:pt modelId="{AC7C896F-F565-4F82-8F4F-8D607025D432}" type="parTrans" cxnId="{9BC49BE7-E99F-4411-8A28-CC2A19F0F162}">
      <dgm:prSet/>
      <dgm:spPr/>
      <dgm:t>
        <a:bodyPr/>
        <a:lstStyle/>
        <a:p>
          <a:endParaRPr lang="en-US" sz="1000"/>
        </a:p>
      </dgm:t>
    </dgm:pt>
    <dgm:pt modelId="{2FB513A8-0EBE-4F74-A0A9-A2A880594327}">
      <dgm:prSet phldrT="[Text]" custT="1"/>
      <dgm:spPr/>
      <dgm:t>
        <a:bodyPr/>
        <a:lstStyle/>
        <a:p>
          <a:r>
            <a:rPr lang="en-US" sz="1000"/>
            <a:t>Management models organizing coordinated care scheduling &amp; delivery, accomodating patient preferences</a:t>
          </a:r>
          <a:endParaRPr lang="en-US" sz="1000">
            <a:solidFill>
              <a:schemeClr val="bg1"/>
            </a:solidFill>
          </a:endParaRPr>
        </a:p>
      </dgm:t>
    </dgm:pt>
    <dgm:pt modelId="{5D3998C8-0789-4106-A023-294B6444EE5E}" type="parTrans" cxnId="{0CFF9269-4D65-42A1-B568-285C84D28718}">
      <dgm:prSet/>
      <dgm:spPr/>
      <dgm:t>
        <a:bodyPr/>
        <a:lstStyle/>
        <a:p>
          <a:endParaRPr lang="en-US" sz="1000"/>
        </a:p>
      </dgm:t>
    </dgm:pt>
    <dgm:pt modelId="{CF92DCF4-C11D-40D6-92FD-420AEF0C21A2}" type="sibTrans" cxnId="{0CFF9269-4D65-42A1-B568-285C84D28718}">
      <dgm:prSet/>
      <dgm:spPr/>
      <dgm:t>
        <a:bodyPr/>
        <a:lstStyle/>
        <a:p>
          <a:endParaRPr lang="en-US" sz="1000"/>
        </a:p>
      </dgm:t>
    </dgm:pt>
    <dgm:pt modelId="{500DC76B-8AA7-410F-9AF1-67C26B22F47F}">
      <dgm:prSet phldrT="[Text]" custT="1"/>
      <dgm:spPr/>
      <dgm:t>
        <a:bodyPr/>
        <a:lstStyle/>
        <a:p>
          <a:r>
            <a:rPr lang="en-US" sz="1000"/>
            <a:t>Comprehensive patient assessment on admission or as soon as feasible (e.g., medical and functional status, home environment, caregiver support, discharge destination planning, goals for discharge to community)</a:t>
          </a:r>
        </a:p>
      </dgm:t>
    </dgm:pt>
    <dgm:pt modelId="{A9D907BB-0B86-48D1-82E4-2E796EA82B0D}" type="parTrans" cxnId="{4403857A-2F2A-4511-9A62-921C370A5CE1}">
      <dgm:prSet/>
      <dgm:spPr/>
      <dgm:t>
        <a:bodyPr/>
        <a:lstStyle/>
        <a:p>
          <a:endParaRPr lang="en-US" sz="1000"/>
        </a:p>
      </dgm:t>
    </dgm:pt>
    <dgm:pt modelId="{3680E610-E6B2-45BE-9150-99F9F3479C65}" type="sibTrans" cxnId="{4403857A-2F2A-4511-9A62-921C370A5CE1}">
      <dgm:prSet/>
      <dgm:spPr/>
      <dgm:t>
        <a:bodyPr/>
        <a:lstStyle/>
        <a:p>
          <a:endParaRPr lang="en-US" sz="1000"/>
        </a:p>
      </dgm:t>
    </dgm:pt>
    <dgm:pt modelId="{7960BE83-90FC-4D1B-BBF3-477019410362}">
      <dgm:prSet phldrT="[Text]" custT="1"/>
      <dgm:spPr/>
      <dgm:t>
        <a:bodyPr/>
        <a:lstStyle/>
        <a:p>
          <a:r>
            <a:rPr lang="en-US" sz="1000"/>
            <a:t>Medical and rehabilitation strategies as relevant (e.g., improving medical &amp; functional status)</a:t>
          </a:r>
        </a:p>
      </dgm:t>
    </dgm:pt>
    <dgm:pt modelId="{BC50C0B2-304A-4BC2-8F3A-DA73C4EB65E6}" type="parTrans" cxnId="{05609F8D-6924-4BE5-AC17-6024A2D3B250}">
      <dgm:prSet/>
      <dgm:spPr/>
      <dgm:t>
        <a:bodyPr/>
        <a:lstStyle/>
        <a:p>
          <a:endParaRPr lang="en-US" sz="1000"/>
        </a:p>
      </dgm:t>
    </dgm:pt>
    <dgm:pt modelId="{2D1B23F1-0F90-478A-8420-02D308ED7A22}" type="sibTrans" cxnId="{05609F8D-6924-4BE5-AC17-6024A2D3B250}">
      <dgm:prSet/>
      <dgm:spPr/>
      <dgm:t>
        <a:bodyPr/>
        <a:lstStyle/>
        <a:p>
          <a:endParaRPr lang="en-US" sz="1000"/>
        </a:p>
      </dgm:t>
    </dgm:pt>
    <dgm:pt modelId="{95100ED2-6653-44FC-8585-F199F534AB3D}">
      <dgm:prSet phldrT="[Text]" custT="1"/>
      <dgm:spPr/>
      <dgm:t>
        <a:bodyPr/>
        <a:lstStyle/>
        <a:p>
          <a:r>
            <a:rPr lang="en-US" sz="1000"/>
            <a:t>Patient/family/caregiver education &amp; training (e.g., medication management, assisting with mobility, warning signs for seeking medical assistance once in community)</a:t>
          </a:r>
        </a:p>
      </dgm:t>
    </dgm:pt>
    <dgm:pt modelId="{DB983B53-90E8-42C0-9BD9-30DA35760CB3}" type="parTrans" cxnId="{E33C8A40-CE8F-4B52-A794-84D3A8B574B0}">
      <dgm:prSet/>
      <dgm:spPr/>
      <dgm:t>
        <a:bodyPr/>
        <a:lstStyle/>
        <a:p>
          <a:endParaRPr lang="en-US" sz="1000"/>
        </a:p>
      </dgm:t>
    </dgm:pt>
    <dgm:pt modelId="{84D33BDB-B4C2-4506-95D7-E4929B622663}" type="sibTrans" cxnId="{E33C8A40-CE8F-4B52-A794-84D3A8B574B0}">
      <dgm:prSet/>
      <dgm:spPr/>
      <dgm:t>
        <a:bodyPr/>
        <a:lstStyle/>
        <a:p>
          <a:endParaRPr lang="en-US" sz="1000"/>
        </a:p>
      </dgm:t>
    </dgm:pt>
    <dgm:pt modelId="{180E1DE7-9D46-4E27-9609-E042AA99764B}">
      <dgm:prSet phldrT="[Text]" custT="1"/>
      <dgm:spPr/>
      <dgm:t>
        <a:bodyPr/>
        <a:lstStyle/>
        <a:p>
          <a:r>
            <a:rPr lang="en-US" sz="1000"/>
            <a:t>Set up necessary transitional care services, home services, follow-up appointments; provide transportation resources for travel to appointments as needed</a:t>
          </a:r>
        </a:p>
      </dgm:t>
    </dgm:pt>
    <dgm:pt modelId="{B53B06C5-A4F8-4384-9E56-387C056F1D48}" type="parTrans" cxnId="{6F0EBB0F-827E-4469-AEFD-D8E1BBE6D2D1}">
      <dgm:prSet/>
      <dgm:spPr/>
      <dgm:t>
        <a:bodyPr/>
        <a:lstStyle/>
        <a:p>
          <a:endParaRPr lang="en-US" sz="1000"/>
        </a:p>
      </dgm:t>
    </dgm:pt>
    <dgm:pt modelId="{0AD27C67-D5B7-4387-B731-BE1A7104EB63}" type="sibTrans" cxnId="{6F0EBB0F-827E-4469-AEFD-D8E1BBE6D2D1}">
      <dgm:prSet/>
      <dgm:spPr/>
      <dgm:t>
        <a:bodyPr/>
        <a:lstStyle/>
        <a:p>
          <a:endParaRPr lang="en-US" sz="1000"/>
        </a:p>
      </dgm:t>
    </dgm:pt>
    <dgm:pt modelId="{CC4563B2-E406-4FBA-819E-D30021585291}">
      <dgm:prSet phldrT="[Text]" custT="1"/>
      <dgm:spPr/>
      <dgm:t>
        <a:bodyPr/>
        <a:lstStyle/>
        <a:p>
          <a:r>
            <a:rPr lang="en-US" sz="1000"/>
            <a:t>Arrange necessary medical equipment or assistive devices needed for discharge to community</a:t>
          </a:r>
        </a:p>
      </dgm:t>
    </dgm:pt>
    <dgm:pt modelId="{BA3EC397-38F2-4BD0-87A1-F1CE28BF4A69}" type="parTrans" cxnId="{D998B99F-B020-4509-A796-B4A0B8B1DC97}">
      <dgm:prSet/>
      <dgm:spPr/>
      <dgm:t>
        <a:bodyPr/>
        <a:lstStyle/>
        <a:p>
          <a:endParaRPr lang="en-US" sz="1000"/>
        </a:p>
      </dgm:t>
    </dgm:pt>
    <dgm:pt modelId="{CF3CBEC9-AA56-4111-9136-2A0C67766D33}" type="sibTrans" cxnId="{D998B99F-B020-4509-A796-B4A0B8B1DC97}">
      <dgm:prSet/>
      <dgm:spPr/>
      <dgm:t>
        <a:bodyPr/>
        <a:lstStyle/>
        <a:p>
          <a:endParaRPr lang="en-US" sz="1000"/>
        </a:p>
      </dgm:t>
    </dgm:pt>
    <dgm:pt modelId="{6121A44E-1D1C-4AA1-BA5A-5A29825BF17E}">
      <dgm:prSet phldrT="[Text]" custT="1"/>
      <dgm:spPr/>
      <dgm:t>
        <a:bodyPr/>
        <a:lstStyle/>
        <a:p>
          <a:r>
            <a:rPr lang="en-US" sz="1000"/>
            <a:t>Establish goals and plan of care with patient/family, focusing on goals for discharge to community (if appropriate) and addressing discharge barriers</a:t>
          </a:r>
        </a:p>
      </dgm:t>
    </dgm:pt>
    <dgm:pt modelId="{1ACCCF74-6B48-457B-A3BC-DD88C8846FF7}" type="parTrans" cxnId="{D5350593-AB6C-40B4-8109-E8478B2E766A}">
      <dgm:prSet/>
      <dgm:spPr/>
      <dgm:t>
        <a:bodyPr/>
        <a:lstStyle/>
        <a:p>
          <a:endParaRPr lang="en-US" sz="1000"/>
        </a:p>
      </dgm:t>
    </dgm:pt>
    <dgm:pt modelId="{4380F717-5EBE-4A52-A504-094F4076C7DB}" type="sibTrans" cxnId="{D5350593-AB6C-40B4-8109-E8478B2E766A}">
      <dgm:prSet/>
      <dgm:spPr/>
      <dgm:t>
        <a:bodyPr/>
        <a:lstStyle/>
        <a:p>
          <a:endParaRPr lang="en-US" sz="1000"/>
        </a:p>
      </dgm:t>
    </dgm:pt>
    <dgm:pt modelId="{1018A675-D1AD-4831-8AFA-68E1063850AD}">
      <dgm:prSet phldrT="[Text]" custT="1"/>
      <dgm:spPr/>
      <dgm:t>
        <a:bodyPr/>
        <a:lstStyle/>
        <a:p>
          <a:r>
            <a:rPr lang="en-US" sz="1000">
              <a:solidFill>
                <a:schemeClr val="bg1"/>
              </a:solidFill>
            </a:rPr>
            <a:t>Interdisciplinary team (e.g., physicians; nurses; physical, occupational, speech &amp; respiratory therapists; case managers; social workers) to provide holistic care</a:t>
          </a:r>
        </a:p>
      </dgm:t>
    </dgm:pt>
    <dgm:pt modelId="{47663FF2-7D31-4C5E-819C-36B438667A5D}" type="parTrans" cxnId="{24893B93-2166-46FF-9795-CDDAABF6D60C}">
      <dgm:prSet/>
      <dgm:spPr/>
      <dgm:t>
        <a:bodyPr/>
        <a:lstStyle/>
        <a:p>
          <a:endParaRPr lang="en-US"/>
        </a:p>
      </dgm:t>
    </dgm:pt>
    <dgm:pt modelId="{D2379C63-04FC-4FAB-A5DD-32B9D9DFBDD5}" type="sibTrans" cxnId="{24893B93-2166-46FF-9795-CDDAABF6D60C}">
      <dgm:prSet/>
      <dgm:spPr/>
      <dgm:t>
        <a:bodyPr/>
        <a:lstStyle/>
        <a:p>
          <a:endParaRPr lang="en-US"/>
        </a:p>
      </dgm:t>
    </dgm:pt>
    <dgm:pt modelId="{1CB10B8A-3DE6-42AB-B90D-2A7EA6041846}">
      <dgm:prSet phldrT="[Text]" custT="1"/>
      <dgm:spPr/>
      <dgm:t>
        <a:bodyPr/>
        <a:lstStyle/>
        <a:p>
          <a:r>
            <a:rPr lang="en-US" sz="1000"/>
            <a:t>Facility infrastructure, e.g., </a:t>
          </a:r>
        </a:p>
      </dgm:t>
    </dgm:pt>
    <dgm:pt modelId="{C22F0368-8B51-4A01-94D7-83FB607A9AF8}" type="parTrans" cxnId="{63F331D0-6E1C-4460-94BD-A45697EF9261}">
      <dgm:prSet/>
      <dgm:spPr/>
      <dgm:t>
        <a:bodyPr/>
        <a:lstStyle/>
        <a:p>
          <a:endParaRPr lang="en-US"/>
        </a:p>
      </dgm:t>
    </dgm:pt>
    <dgm:pt modelId="{F89F69C9-0089-45ED-AD67-C151AB26F1BF}" type="sibTrans" cxnId="{63F331D0-6E1C-4460-94BD-A45697EF9261}">
      <dgm:prSet/>
      <dgm:spPr/>
      <dgm:t>
        <a:bodyPr/>
        <a:lstStyle/>
        <a:p>
          <a:endParaRPr lang="en-US"/>
        </a:p>
      </dgm:t>
    </dgm:pt>
    <dgm:pt modelId="{68159D5D-8276-492A-B678-F61C7B03EC45}">
      <dgm:prSet phldrT="[Text]" custT="1"/>
      <dgm:spPr/>
      <dgm:t>
        <a:bodyPr/>
        <a:lstStyle/>
        <a:p>
          <a:endParaRPr lang="en-US" sz="1000">
            <a:solidFill>
              <a:schemeClr val="bg1"/>
            </a:solidFill>
          </a:endParaRPr>
        </a:p>
      </dgm:t>
    </dgm:pt>
    <dgm:pt modelId="{BE010A7E-DFCE-41A4-9DAA-FE9B723817B1}" type="parTrans" cxnId="{44A21D99-87B2-4513-9794-1CC9EA158345}">
      <dgm:prSet/>
      <dgm:spPr/>
      <dgm:t>
        <a:bodyPr/>
        <a:lstStyle/>
        <a:p>
          <a:endParaRPr lang="en-US"/>
        </a:p>
      </dgm:t>
    </dgm:pt>
    <dgm:pt modelId="{D9D7ED99-BABC-47A9-B03E-862B71259F28}" type="sibTrans" cxnId="{44A21D99-87B2-4513-9794-1CC9EA158345}">
      <dgm:prSet/>
      <dgm:spPr/>
      <dgm:t>
        <a:bodyPr/>
        <a:lstStyle/>
        <a:p>
          <a:endParaRPr lang="en-US"/>
        </a:p>
      </dgm:t>
    </dgm:pt>
    <dgm:pt modelId="{46E42A82-1229-4560-A63F-82C093AAF9C9}">
      <dgm:prSet phldrT="[Text]" custT="1"/>
      <dgm:spPr/>
      <dgm:t>
        <a:bodyPr/>
        <a:lstStyle/>
        <a:p>
          <a:endParaRPr lang="en-US" sz="1000"/>
        </a:p>
      </dgm:t>
    </dgm:pt>
    <dgm:pt modelId="{D4918DAA-956C-41C9-9ACF-F458ADB23ED8}" type="parTrans" cxnId="{25CB937A-5C9F-49A8-B655-5C48E466CC9F}">
      <dgm:prSet/>
      <dgm:spPr/>
      <dgm:t>
        <a:bodyPr/>
        <a:lstStyle/>
        <a:p>
          <a:endParaRPr lang="en-US"/>
        </a:p>
      </dgm:t>
    </dgm:pt>
    <dgm:pt modelId="{68D43E7D-FDF2-4935-80BA-7F899B02DAAE}" type="sibTrans" cxnId="{25CB937A-5C9F-49A8-B655-5C48E466CC9F}">
      <dgm:prSet/>
      <dgm:spPr/>
      <dgm:t>
        <a:bodyPr/>
        <a:lstStyle/>
        <a:p>
          <a:endParaRPr lang="en-US"/>
        </a:p>
      </dgm:t>
    </dgm:pt>
    <dgm:pt modelId="{09A5B4BE-6234-4185-875D-A5E331F5D861}">
      <dgm:prSet phldrT="[Text]" custT="1"/>
      <dgm:spPr/>
      <dgm:t>
        <a:bodyPr/>
        <a:lstStyle/>
        <a:p>
          <a:endParaRPr lang="en-US" sz="1000"/>
        </a:p>
      </dgm:t>
    </dgm:pt>
    <dgm:pt modelId="{F5C9B176-197F-4A50-B962-72D86E0544E8}" type="parTrans" cxnId="{8A6EF5BE-B386-49A3-889D-EFE1850A374A}">
      <dgm:prSet/>
      <dgm:spPr/>
      <dgm:t>
        <a:bodyPr/>
        <a:lstStyle/>
        <a:p>
          <a:endParaRPr lang="en-US"/>
        </a:p>
      </dgm:t>
    </dgm:pt>
    <dgm:pt modelId="{1161DC9A-9322-4CD5-93BE-4C3A09AFACBA}" type="sibTrans" cxnId="{8A6EF5BE-B386-49A3-889D-EFE1850A374A}">
      <dgm:prSet/>
      <dgm:spPr/>
      <dgm:t>
        <a:bodyPr/>
        <a:lstStyle/>
        <a:p>
          <a:endParaRPr lang="en-US"/>
        </a:p>
      </dgm:t>
    </dgm:pt>
    <dgm:pt modelId="{3F6469E2-B269-4895-A3FB-AF9B53A1AAE8}">
      <dgm:prSet phldrT="[Text]" custT="1"/>
      <dgm:spPr/>
      <dgm:t>
        <a:bodyPr/>
        <a:lstStyle/>
        <a:p>
          <a:r>
            <a:rPr lang="en-US" sz="1000"/>
            <a:t>Electronic health records to facilitate communication and coordination within and across teams</a:t>
          </a:r>
        </a:p>
      </dgm:t>
    </dgm:pt>
    <dgm:pt modelId="{B152710D-F812-4D70-8769-079ACEE2A31E}" type="parTrans" cxnId="{DCB260B4-70C5-4BE4-95A9-BF437F2C39FA}">
      <dgm:prSet/>
      <dgm:spPr/>
      <dgm:t>
        <a:bodyPr/>
        <a:lstStyle/>
        <a:p>
          <a:endParaRPr lang="en-US"/>
        </a:p>
      </dgm:t>
    </dgm:pt>
    <dgm:pt modelId="{F17CA755-443B-4B70-BFE9-2D0A5C954F87}" type="sibTrans" cxnId="{DCB260B4-70C5-4BE4-95A9-BF437F2C39FA}">
      <dgm:prSet/>
      <dgm:spPr/>
      <dgm:t>
        <a:bodyPr/>
        <a:lstStyle/>
        <a:p>
          <a:endParaRPr lang="en-US"/>
        </a:p>
      </dgm:t>
    </dgm:pt>
    <dgm:pt modelId="{480A110F-3BDA-4D17-B2A1-AEDC3DD272F3}">
      <dgm:prSet phldrT="[Text]" custT="1"/>
      <dgm:spPr/>
      <dgm:t>
        <a:bodyPr/>
        <a:lstStyle/>
        <a:p>
          <a:r>
            <a:rPr lang="en-US" sz="1000"/>
            <a:t>Availability of stairs to practice stair negotiation</a:t>
          </a:r>
        </a:p>
      </dgm:t>
    </dgm:pt>
    <dgm:pt modelId="{D22B9A76-6DC1-407F-AE96-45FAF644F851}" type="parTrans" cxnId="{62C5E87B-0B76-4A13-A218-4856DD7FD1F0}">
      <dgm:prSet/>
      <dgm:spPr/>
      <dgm:t>
        <a:bodyPr/>
        <a:lstStyle/>
        <a:p>
          <a:endParaRPr lang="en-US"/>
        </a:p>
      </dgm:t>
    </dgm:pt>
    <dgm:pt modelId="{C494E50C-3C25-4E5A-AB88-A80B22CEDBE5}" type="sibTrans" cxnId="{62C5E87B-0B76-4A13-A218-4856DD7FD1F0}">
      <dgm:prSet/>
      <dgm:spPr/>
      <dgm:t>
        <a:bodyPr/>
        <a:lstStyle/>
        <a:p>
          <a:endParaRPr lang="en-US"/>
        </a:p>
      </dgm:t>
    </dgm:pt>
    <dgm:pt modelId="{DD605066-36E7-4CD6-A108-80A54C60FA82}">
      <dgm:prSet phldrT="[Text]" custT="1"/>
      <dgm:spPr/>
      <dgm:t>
        <a:bodyPr/>
        <a:lstStyle/>
        <a:p>
          <a:r>
            <a:rPr lang="en-US" sz="1000"/>
            <a:t>Conducive physical design and simulated home environment to practice functional tasks  needed for community discharge, e.g.,</a:t>
          </a:r>
        </a:p>
      </dgm:t>
    </dgm:pt>
    <dgm:pt modelId="{9E86DF87-842F-4B99-A247-E9ACBD6EF56B}" type="parTrans" cxnId="{150DDC23-1E04-4282-A2C1-DFB48DF32468}">
      <dgm:prSet/>
      <dgm:spPr/>
      <dgm:t>
        <a:bodyPr/>
        <a:lstStyle/>
        <a:p>
          <a:endParaRPr lang="en-US"/>
        </a:p>
      </dgm:t>
    </dgm:pt>
    <dgm:pt modelId="{2F4A25D4-39C1-482A-9B31-226D2E9057DD}" type="sibTrans" cxnId="{150DDC23-1E04-4282-A2C1-DFB48DF32468}">
      <dgm:prSet/>
      <dgm:spPr/>
      <dgm:t>
        <a:bodyPr/>
        <a:lstStyle/>
        <a:p>
          <a:endParaRPr lang="en-US"/>
        </a:p>
      </dgm:t>
    </dgm:pt>
    <dgm:pt modelId="{DEF7B08B-12FB-4865-9641-E2699D40EC41}">
      <dgm:prSet phldrT="[Text]" custT="1"/>
      <dgm:spPr/>
      <dgm:t>
        <a:bodyPr/>
        <a:lstStyle/>
        <a:p>
          <a:r>
            <a:rPr lang="en-US" sz="1000"/>
            <a:t>Availability of kitchen to simulate tasks such as cooking</a:t>
          </a:r>
        </a:p>
      </dgm:t>
    </dgm:pt>
    <dgm:pt modelId="{76F3CC48-9FB4-4975-B44F-D5A4CEDCC1FC}" type="parTrans" cxnId="{97399E94-83A0-4A0B-A351-04FB5DDDF655}">
      <dgm:prSet/>
      <dgm:spPr/>
      <dgm:t>
        <a:bodyPr/>
        <a:lstStyle/>
        <a:p>
          <a:endParaRPr lang="en-US"/>
        </a:p>
      </dgm:t>
    </dgm:pt>
    <dgm:pt modelId="{5EDC6E97-A87A-4043-8AC8-D31F3C357B34}" type="sibTrans" cxnId="{97399E94-83A0-4A0B-A351-04FB5DDDF655}">
      <dgm:prSet/>
      <dgm:spPr/>
      <dgm:t>
        <a:bodyPr/>
        <a:lstStyle/>
        <a:p>
          <a:endParaRPr lang="en-US"/>
        </a:p>
      </dgm:t>
    </dgm:pt>
    <dgm:pt modelId="{E75E1F47-8DD0-4253-847A-C7EF125F7675}">
      <dgm:prSet phldrT="[Text]" custT="1"/>
      <dgm:spPr/>
      <dgm:t>
        <a:bodyPr/>
        <a:lstStyle/>
        <a:p>
          <a:endParaRPr lang="en-US" sz="1000"/>
        </a:p>
      </dgm:t>
    </dgm:pt>
    <dgm:pt modelId="{B354D087-F7E1-4557-93E8-17B26655C508}" type="parTrans" cxnId="{8B30AC84-0628-4A67-994F-1D7D92012A34}">
      <dgm:prSet/>
      <dgm:spPr/>
      <dgm:t>
        <a:bodyPr/>
        <a:lstStyle/>
        <a:p>
          <a:endParaRPr lang="en-US"/>
        </a:p>
      </dgm:t>
    </dgm:pt>
    <dgm:pt modelId="{CE1F7517-DB3F-4B52-84C4-216F53FA4ADD}" type="sibTrans" cxnId="{8B30AC84-0628-4A67-994F-1D7D92012A34}">
      <dgm:prSet/>
      <dgm:spPr/>
      <dgm:t>
        <a:bodyPr/>
        <a:lstStyle/>
        <a:p>
          <a:endParaRPr lang="en-US"/>
        </a:p>
      </dgm:t>
    </dgm:pt>
    <dgm:pt modelId="{308EF316-69EF-4CB4-8DFE-79FE37E6D38E}">
      <dgm:prSet phldrT="[Text]" custT="1"/>
      <dgm:spPr/>
      <dgm:t>
        <a:bodyPr/>
        <a:lstStyle/>
        <a:p>
          <a:endParaRPr lang="en-US" sz="1000"/>
        </a:p>
      </dgm:t>
    </dgm:pt>
    <dgm:pt modelId="{22CA5F48-C3F8-4F4F-8A64-39D42D5D75CD}" type="parTrans" cxnId="{CB1A3702-7970-4271-B490-B9C56CBBB7B0}">
      <dgm:prSet/>
      <dgm:spPr/>
      <dgm:t>
        <a:bodyPr/>
        <a:lstStyle/>
        <a:p>
          <a:endParaRPr lang="en-US"/>
        </a:p>
      </dgm:t>
    </dgm:pt>
    <dgm:pt modelId="{E639E691-D6F4-4541-B857-000D9C6C5346}" type="sibTrans" cxnId="{CB1A3702-7970-4271-B490-B9C56CBBB7B0}">
      <dgm:prSet/>
      <dgm:spPr/>
      <dgm:t>
        <a:bodyPr/>
        <a:lstStyle/>
        <a:p>
          <a:endParaRPr lang="en-US"/>
        </a:p>
      </dgm:t>
    </dgm:pt>
    <dgm:pt modelId="{75B90BEA-A17D-4AD6-90F5-A1AD171C2DD7}">
      <dgm:prSet phldrT="[Text]" custT="1"/>
      <dgm:spPr/>
      <dgm:t>
        <a:bodyPr/>
        <a:lstStyle/>
        <a:p>
          <a:endParaRPr lang="en-US" sz="1000"/>
        </a:p>
      </dgm:t>
    </dgm:pt>
    <dgm:pt modelId="{DE0339D0-1DD3-4793-B396-732F4637EC07}" type="parTrans" cxnId="{FB6843A8-8D06-449A-BAF7-9D4B4E15FE91}">
      <dgm:prSet/>
      <dgm:spPr/>
      <dgm:t>
        <a:bodyPr/>
        <a:lstStyle/>
        <a:p>
          <a:endParaRPr lang="en-US"/>
        </a:p>
      </dgm:t>
    </dgm:pt>
    <dgm:pt modelId="{F4DB1D2A-1F2E-49BA-94FD-7F37B102CCE2}" type="sibTrans" cxnId="{FB6843A8-8D06-449A-BAF7-9D4B4E15FE91}">
      <dgm:prSet/>
      <dgm:spPr/>
      <dgm:t>
        <a:bodyPr/>
        <a:lstStyle/>
        <a:p>
          <a:endParaRPr lang="en-US"/>
        </a:p>
      </dgm:t>
    </dgm:pt>
    <dgm:pt modelId="{21883572-A93E-4FDB-9266-7D4FEF6C17D3}">
      <dgm:prSet phldrT="[Text]" custT="1"/>
      <dgm:spPr/>
      <dgm:t>
        <a:bodyPr/>
        <a:lstStyle/>
        <a:p>
          <a:endParaRPr lang="en-US" sz="1000"/>
        </a:p>
      </dgm:t>
    </dgm:pt>
    <dgm:pt modelId="{BE52D64D-FD28-4486-8820-833BF99888B5}" type="parTrans" cxnId="{CCD9F710-A892-43AA-B139-B5B185326B84}">
      <dgm:prSet/>
      <dgm:spPr/>
      <dgm:t>
        <a:bodyPr/>
        <a:lstStyle/>
        <a:p>
          <a:endParaRPr lang="en-US"/>
        </a:p>
      </dgm:t>
    </dgm:pt>
    <dgm:pt modelId="{C896AED6-D6DC-44A7-9E22-6C1D5E9E3B06}" type="sibTrans" cxnId="{CCD9F710-A892-43AA-B139-B5B185326B84}">
      <dgm:prSet/>
      <dgm:spPr/>
      <dgm:t>
        <a:bodyPr/>
        <a:lstStyle/>
        <a:p>
          <a:endParaRPr lang="en-US"/>
        </a:p>
      </dgm:t>
    </dgm:pt>
    <dgm:pt modelId="{91B2B988-343D-45C4-8DBC-5F7761E926B5}">
      <dgm:prSet phldrT="[Text]" custT="1"/>
      <dgm:spPr/>
      <dgm:t>
        <a:bodyPr/>
        <a:lstStyle/>
        <a:p>
          <a:endParaRPr lang="en-US" sz="1000"/>
        </a:p>
      </dgm:t>
    </dgm:pt>
    <dgm:pt modelId="{D9A5AFCC-7776-4673-B979-F963625F1451}" type="parTrans" cxnId="{92D4D390-3339-4671-9F30-0C7776DC954A}">
      <dgm:prSet/>
      <dgm:spPr/>
      <dgm:t>
        <a:bodyPr/>
        <a:lstStyle/>
        <a:p>
          <a:endParaRPr lang="en-US"/>
        </a:p>
      </dgm:t>
    </dgm:pt>
    <dgm:pt modelId="{551DC5AA-8EFE-4452-85D6-BB9E4B362300}" type="sibTrans" cxnId="{92D4D390-3339-4671-9F30-0C7776DC954A}">
      <dgm:prSet/>
      <dgm:spPr/>
      <dgm:t>
        <a:bodyPr/>
        <a:lstStyle/>
        <a:p>
          <a:endParaRPr lang="en-US"/>
        </a:p>
      </dgm:t>
    </dgm:pt>
    <dgm:pt modelId="{1933BC82-4176-47D2-9919-F622EFFEEC2E}">
      <dgm:prSet phldrT="[Text]" custT="1"/>
      <dgm:spPr/>
      <dgm:t>
        <a:bodyPr/>
        <a:lstStyle/>
        <a:p>
          <a:endParaRPr lang="en-US" sz="1000"/>
        </a:p>
      </dgm:t>
    </dgm:pt>
    <dgm:pt modelId="{64263887-93B5-4B80-AC53-0A934E8CBA28}" type="parTrans" cxnId="{B183E627-6F1A-4966-95CE-6B8902E4D188}">
      <dgm:prSet/>
      <dgm:spPr/>
      <dgm:t>
        <a:bodyPr/>
        <a:lstStyle/>
        <a:p>
          <a:endParaRPr lang="en-US"/>
        </a:p>
      </dgm:t>
    </dgm:pt>
    <dgm:pt modelId="{479CEFA4-9F76-413E-A767-2AC655194823}" type="sibTrans" cxnId="{B183E627-6F1A-4966-95CE-6B8902E4D188}">
      <dgm:prSet/>
      <dgm:spPr/>
      <dgm:t>
        <a:bodyPr/>
        <a:lstStyle/>
        <a:p>
          <a:endParaRPr lang="en-US"/>
        </a:p>
      </dgm:t>
    </dgm:pt>
    <dgm:pt modelId="{557DFBCF-7D2A-46B5-8BEC-3A3AA05BA099}">
      <dgm:prSet phldrT="[Text]" custT="1"/>
      <dgm:spPr/>
      <dgm:t>
        <a:bodyPr/>
        <a:lstStyle/>
        <a:p>
          <a:endParaRPr lang="en-US" sz="1000"/>
        </a:p>
      </dgm:t>
    </dgm:pt>
    <dgm:pt modelId="{0FFC2CCC-A4C7-42EE-A973-8979FB775F97}" type="parTrans" cxnId="{9F04A4FA-A2EB-478C-A6D6-E1307D94378E}">
      <dgm:prSet/>
      <dgm:spPr/>
      <dgm:t>
        <a:bodyPr/>
        <a:lstStyle/>
        <a:p>
          <a:endParaRPr lang="en-US"/>
        </a:p>
      </dgm:t>
    </dgm:pt>
    <dgm:pt modelId="{4F8C9850-7AEA-4429-8E1C-A7DEEBBA0CAB}" type="sibTrans" cxnId="{9F04A4FA-A2EB-478C-A6D6-E1307D94378E}">
      <dgm:prSet/>
      <dgm:spPr/>
      <dgm:t>
        <a:bodyPr/>
        <a:lstStyle/>
        <a:p>
          <a:endParaRPr lang="en-US"/>
        </a:p>
      </dgm:t>
    </dgm:pt>
    <dgm:pt modelId="{58AFE955-3E51-4BC4-8C5F-0D7B661D2273}">
      <dgm:prSet phldrT="[Text]" custT="1"/>
      <dgm:spPr/>
      <dgm:t>
        <a:bodyPr/>
        <a:lstStyle/>
        <a:p>
          <a:endParaRPr lang="en-US" sz="1000"/>
        </a:p>
      </dgm:t>
    </dgm:pt>
    <dgm:pt modelId="{BE515AD4-B4CD-4FDD-A4E2-721BCA9B8A85}" type="parTrans" cxnId="{D20BCEF9-3581-4C38-A1D3-1556915B6320}">
      <dgm:prSet/>
      <dgm:spPr/>
      <dgm:t>
        <a:bodyPr/>
        <a:lstStyle/>
        <a:p>
          <a:endParaRPr lang="en-US"/>
        </a:p>
      </dgm:t>
    </dgm:pt>
    <dgm:pt modelId="{269C2479-6289-443E-82C6-64BF63ADD8B3}" type="sibTrans" cxnId="{D20BCEF9-3581-4C38-A1D3-1556915B6320}">
      <dgm:prSet/>
      <dgm:spPr/>
      <dgm:t>
        <a:bodyPr/>
        <a:lstStyle/>
        <a:p>
          <a:endParaRPr lang="en-US"/>
        </a:p>
      </dgm:t>
    </dgm:pt>
    <dgm:pt modelId="{23C8507F-0F66-4F02-80A4-1B5F58976FFA}">
      <dgm:prSet phldrT="[Text]" custT="1"/>
      <dgm:spPr/>
      <dgm:t>
        <a:bodyPr/>
        <a:lstStyle/>
        <a:p>
          <a:r>
            <a:rPr lang="en-US" sz="1000"/>
            <a:t>Regular team meetings for discharge planning (e.g., continuing needs assessment and assessment of patient progress, resolution of discharge barriers, need for follow-up services)</a:t>
          </a:r>
        </a:p>
      </dgm:t>
    </dgm:pt>
    <dgm:pt modelId="{A266B57A-1ADA-4942-9E07-7B225DCEB22F}" type="parTrans" cxnId="{08745A7B-B17D-487E-A8EF-D13C5470060D}">
      <dgm:prSet/>
      <dgm:spPr/>
      <dgm:t>
        <a:bodyPr/>
        <a:lstStyle/>
        <a:p>
          <a:endParaRPr lang="en-US"/>
        </a:p>
      </dgm:t>
    </dgm:pt>
    <dgm:pt modelId="{D8E2EF15-0292-4BD0-B34A-A3846E0ED598}" type="sibTrans" cxnId="{08745A7B-B17D-487E-A8EF-D13C5470060D}">
      <dgm:prSet/>
      <dgm:spPr/>
      <dgm:t>
        <a:bodyPr/>
        <a:lstStyle/>
        <a:p>
          <a:endParaRPr lang="en-US"/>
        </a:p>
      </dgm:t>
    </dgm:pt>
    <dgm:pt modelId="{8CBB1A5F-9C95-4C11-B05C-080391CEAA2B}">
      <dgm:prSet phldrT="[Text]" custT="1"/>
      <dgm:spPr/>
      <dgm:t>
        <a:bodyPr/>
        <a:lstStyle/>
        <a:p>
          <a:endParaRPr lang="en-US" sz="1000"/>
        </a:p>
      </dgm:t>
    </dgm:pt>
    <dgm:pt modelId="{8D1EBCB6-730B-4CB9-A750-742937110279}" type="parTrans" cxnId="{21FAC58F-1611-4438-9460-06F493046282}">
      <dgm:prSet/>
      <dgm:spPr/>
      <dgm:t>
        <a:bodyPr/>
        <a:lstStyle/>
        <a:p>
          <a:endParaRPr lang="en-US"/>
        </a:p>
      </dgm:t>
    </dgm:pt>
    <dgm:pt modelId="{DBB1C418-0C1F-4989-905D-FE0BE13E55E3}" type="sibTrans" cxnId="{21FAC58F-1611-4438-9460-06F493046282}">
      <dgm:prSet/>
      <dgm:spPr/>
      <dgm:t>
        <a:bodyPr/>
        <a:lstStyle/>
        <a:p>
          <a:endParaRPr lang="en-US"/>
        </a:p>
      </dgm:t>
    </dgm:pt>
    <dgm:pt modelId="{A22A588A-398C-4C33-AC6A-59CAC2DD0D71}">
      <dgm:prSet phldrT="[Text]" custT="1"/>
      <dgm:spPr/>
      <dgm:t>
        <a:bodyPr/>
        <a:lstStyle/>
        <a:p>
          <a:r>
            <a:rPr lang="en-US" sz="1000"/>
            <a:t>Peer mentor programs to assist with community transition, as relevant</a:t>
          </a:r>
        </a:p>
      </dgm:t>
    </dgm:pt>
    <dgm:pt modelId="{DEA12752-D4B6-47C3-AE3D-51250D6D72A2}" type="parTrans" cxnId="{1EAADE81-8141-452F-B783-927B6DC882BF}">
      <dgm:prSet/>
      <dgm:spPr/>
      <dgm:t>
        <a:bodyPr/>
        <a:lstStyle/>
        <a:p>
          <a:endParaRPr lang="en-US"/>
        </a:p>
      </dgm:t>
    </dgm:pt>
    <dgm:pt modelId="{F7F48F5C-E58C-441A-8AC1-914BC1586543}" type="sibTrans" cxnId="{1EAADE81-8141-452F-B783-927B6DC882BF}">
      <dgm:prSet/>
      <dgm:spPr/>
      <dgm:t>
        <a:bodyPr/>
        <a:lstStyle/>
        <a:p>
          <a:endParaRPr lang="en-US"/>
        </a:p>
      </dgm:t>
    </dgm:pt>
    <dgm:pt modelId="{15584555-4BEF-4094-8444-477BDB2C606A}">
      <dgm:prSet phldrT="[Text]" custT="1"/>
      <dgm:spPr/>
      <dgm:t>
        <a:bodyPr/>
        <a:lstStyle/>
        <a:p>
          <a:endParaRPr lang="en-US" sz="1000"/>
        </a:p>
      </dgm:t>
    </dgm:pt>
    <dgm:pt modelId="{CAE9A5BB-C949-45D3-8AB5-3F640090FF4D}" type="parTrans" cxnId="{8CD65577-F878-4F54-A223-E269BEC43994}">
      <dgm:prSet/>
      <dgm:spPr/>
      <dgm:t>
        <a:bodyPr/>
        <a:lstStyle/>
        <a:p>
          <a:endParaRPr lang="en-US"/>
        </a:p>
      </dgm:t>
    </dgm:pt>
    <dgm:pt modelId="{2FF33FE7-638F-4985-85BB-A97152E3DA85}" type="sibTrans" cxnId="{8CD65577-F878-4F54-A223-E269BEC43994}">
      <dgm:prSet/>
      <dgm:spPr/>
      <dgm:t>
        <a:bodyPr/>
        <a:lstStyle/>
        <a:p>
          <a:endParaRPr lang="en-US"/>
        </a:p>
      </dgm:t>
    </dgm:pt>
    <dgm:pt modelId="{8C5D277A-CBCA-47AE-94C7-9E4E6388C3EF}">
      <dgm:prSet phldrT="[Text]" custT="1"/>
      <dgm:spPr/>
      <dgm:t>
        <a:bodyPr/>
        <a:lstStyle/>
        <a:p>
          <a:endParaRPr lang="en-US" sz="1000"/>
        </a:p>
      </dgm:t>
    </dgm:pt>
    <dgm:pt modelId="{EC510C95-D424-4AA2-95F7-C15EDAFD6B22}" type="parTrans" cxnId="{3F68126E-3940-481E-BA19-7B6A308BE835}">
      <dgm:prSet/>
      <dgm:spPr/>
      <dgm:t>
        <a:bodyPr/>
        <a:lstStyle/>
        <a:p>
          <a:endParaRPr lang="en-US"/>
        </a:p>
      </dgm:t>
    </dgm:pt>
    <dgm:pt modelId="{A0C0B741-C7BC-4703-9126-BC9A41554A59}" type="sibTrans" cxnId="{3F68126E-3940-481E-BA19-7B6A308BE835}">
      <dgm:prSet/>
      <dgm:spPr/>
      <dgm:t>
        <a:bodyPr/>
        <a:lstStyle/>
        <a:p>
          <a:endParaRPr lang="en-US"/>
        </a:p>
      </dgm:t>
    </dgm:pt>
    <dgm:pt modelId="{EF9F74A6-4018-45C6-868B-9C8E6E3E74F2}">
      <dgm:prSet phldrT="[Text]" custT="1"/>
      <dgm:spPr/>
      <dgm:t>
        <a:bodyPr/>
        <a:lstStyle/>
        <a:p>
          <a:r>
            <a:rPr lang="en-US" sz="1000"/>
            <a:t>Patient successfully discharged to community</a:t>
          </a:r>
        </a:p>
      </dgm:t>
    </dgm:pt>
    <dgm:pt modelId="{370BFB9A-43A8-4748-964E-CE5AB0D75A8B}" type="parTrans" cxnId="{F160DEC4-3623-4A46-8323-429BD2A8CD7E}">
      <dgm:prSet/>
      <dgm:spPr/>
      <dgm:t>
        <a:bodyPr/>
        <a:lstStyle/>
        <a:p>
          <a:endParaRPr lang="en-US"/>
        </a:p>
      </dgm:t>
    </dgm:pt>
    <dgm:pt modelId="{030F1945-E05A-4106-9908-ABC5B7D3D3B5}" type="sibTrans" cxnId="{F160DEC4-3623-4A46-8323-429BD2A8CD7E}">
      <dgm:prSet/>
      <dgm:spPr/>
      <dgm:t>
        <a:bodyPr/>
        <a:lstStyle/>
        <a:p>
          <a:endParaRPr lang="en-US"/>
        </a:p>
      </dgm:t>
    </dgm:pt>
    <dgm:pt modelId="{A39BC468-5C6A-4E8E-82C9-F07D0C73E992}">
      <dgm:prSet phldrT="[Text]" custT="1"/>
      <dgm:spPr/>
      <dgm:t>
        <a:bodyPr/>
        <a:lstStyle/>
        <a:p>
          <a:r>
            <a:rPr lang="en-US" sz="1000"/>
            <a:t>Provide provider contact information to patient/caregiver for any questions or concerns once in the community; post-discharge provider follow-up (e.g., phone calls) to check patient status and answer questions as needed</a:t>
          </a:r>
        </a:p>
      </dgm:t>
    </dgm:pt>
    <dgm:pt modelId="{6F527C9D-650A-40CD-84C2-AA8B9816B9CA}" type="parTrans" cxnId="{E5422875-A117-4CBB-9F96-67BCCB1A1765}">
      <dgm:prSet/>
      <dgm:spPr/>
      <dgm:t>
        <a:bodyPr/>
        <a:lstStyle/>
        <a:p>
          <a:endParaRPr lang="en-US"/>
        </a:p>
      </dgm:t>
    </dgm:pt>
    <dgm:pt modelId="{0F904082-F285-443F-AE88-D11580A6C52C}" type="sibTrans" cxnId="{E5422875-A117-4CBB-9F96-67BCCB1A1765}">
      <dgm:prSet/>
      <dgm:spPr/>
      <dgm:t>
        <a:bodyPr/>
        <a:lstStyle/>
        <a:p>
          <a:endParaRPr lang="en-US"/>
        </a:p>
      </dgm:t>
    </dgm:pt>
    <dgm:pt modelId="{61CAA35A-16EF-40F0-8C15-85BAC9587B16}">
      <dgm:prSet phldrT="[Text]" custT="1"/>
      <dgm:spPr/>
      <dgm:t>
        <a:bodyPr/>
        <a:lstStyle/>
        <a:p>
          <a:endParaRPr lang="en-US" sz="1000"/>
        </a:p>
      </dgm:t>
    </dgm:pt>
    <dgm:pt modelId="{72FFC9BF-DE1E-4174-9DF4-9056673F9A43}" type="parTrans" cxnId="{FF42DD32-EE7E-420E-8E59-81EB386AE863}">
      <dgm:prSet/>
      <dgm:spPr/>
      <dgm:t>
        <a:bodyPr/>
        <a:lstStyle/>
        <a:p>
          <a:endParaRPr lang="en-US"/>
        </a:p>
      </dgm:t>
    </dgm:pt>
    <dgm:pt modelId="{BDD24D4F-CB16-439A-B59D-B14A220BEBDB}" type="sibTrans" cxnId="{FF42DD32-EE7E-420E-8E59-81EB386AE863}">
      <dgm:prSet/>
      <dgm:spPr/>
      <dgm:t>
        <a:bodyPr/>
        <a:lstStyle/>
        <a:p>
          <a:endParaRPr lang="en-US"/>
        </a:p>
      </dgm:t>
    </dgm:pt>
    <dgm:pt modelId="{E5A5D493-5E4A-4879-AB22-92A72D34B3F7}">
      <dgm:prSet phldrT="[Text]" custT="1"/>
      <dgm:spPr/>
      <dgm:t>
        <a:bodyPr/>
        <a:lstStyle/>
        <a:p>
          <a:r>
            <a:rPr lang="en-US" sz="1000"/>
            <a:t>Provide information about patient or caregiver support groups, as relevant, to assist with community transition</a:t>
          </a:r>
        </a:p>
      </dgm:t>
    </dgm:pt>
    <dgm:pt modelId="{04A3FAF2-BFE6-4094-91E6-46B91D44649B}" type="parTrans" cxnId="{C3B98939-10FA-4920-AF7A-A6C85A620C69}">
      <dgm:prSet/>
      <dgm:spPr/>
      <dgm:t>
        <a:bodyPr/>
        <a:lstStyle/>
        <a:p>
          <a:endParaRPr lang="en-US"/>
        </a:p>
      </dgm:t>
    </dgm:pt>
    <dgm:pt modelId="{96033D6B-BF8E-43E3-929C-B9303A87D005}" type="sibTrans" cxnId="{C3B98939-10FA-4920-AF7A-A6C85A620C69}">
      <dgm:prSet/>
      <dgm:spPr/>
      <dgm:t>
        <a:bodyPr/>
        <a:lstStyle/>
        <a:p>
          <a:endParaRPr lang="en-US"/>
        </a:p>
      </dgm:t>
    </dgm:pt>
    <dgm:pt modelId="{5E7E88D0-0D23-464D-A05E-F1F7D25CF66A}">
      <dgm:prSet phldrT="[Text]" custT="1"/>
      <dgm:spPr/>
      <dgm:t>
        <a:bodyPr/>
        <a:lstStyle/>
        <a:p>
          <a:endParaRPr lang="en-US" sz="1000"/>
        </a:p>
      </dgm:t>
    </dgm:pt>
    <dgm:pt modelId="{EC2B6A20-EFBA-4C1C-BCC7-2884BFCAED36}" type="parTrans" cxnId="{EFE643EC-5457-4BCF-8C04-E3FD5CFD74A8}">
      <dgm:prSet/>
      <dgm:spPr/>
      <dgm:t>
        <a:bodyPr/>
        <a:lstStyle/>
        <a:p>
          <a:endParaRPr lang="en-US"/>
        </a:p>
      </dgm:t>
    </dgm:pt>
    <dgm:pt modelId="{67F619FA-FB93-4263-A65A-9A1CF8AB9B04}" type="sibTrans" cxnId="{EFE643EC-5457-4BCF-8C04-E3FD5CFD74A8}">
      <dgm:prSet/>
      <dgm:spPr/>
      <dgm:t>
        <a:bodyPr/>
        <a:lstStyle/>
        <a:p>
          <a:endParaRPr lang="en-US"/>
        </a:p>
      </dgm:t>
    </dgm:pt>
    <dgm:pt modelId="{CA6F966C-7EB8-4CEE-85E7-CACDDE926E7D}">
      <dgm:prSet phldrT="[Text]" custT="1"/>
      <dgm:spPr/>
      <dgm:t>
        <a:bodyPr/>
        <a:lstStyle/>
        <a:p>
          <a:r>
            <a:rPr lang="en-US" sz="1000"/>
            <a:t>Information exchange with the receiving provider, if any</a:t>
          </a:r>
        </a:p>
      </dgm:t>
    </dgm:pt>
    <dgm:pt modelId="{A95229A4-468B-4716-AA1B-F98D31D984B3}" type="parTrans" cxnId="{F5E91635-BE78-4481-A08D-F0F12C2156F7}">
      <dgm:prSet/>
      <dgm:spPr/>
      <dgm:t>
        <a:bodyPr/>
        <a:lstStyle/>
        <a:p>
          <a:endParaRPr lang="en-US"/>
        </a:p>
      </dgm:t>
    </dgm:pt>
    <dgm:pt modelId="{FDF68F22-F5D6-4933-ADFB-C480A05780C0}" type="sibTrans" cxnId="{F5E91635-BE78-4481-A08D-F0F12C2156F7}">
      <dgm:prSet/>
      <dgm:spPr/>
      <dgm:t>
        <a:bodyPr/>
        <a:lstStyle/>
        <a:p>
          <a:endParaRPr lang="en-US"/>
        </a:p>
      </dgm:t>
    </dgm:pt>
    <dgm:pt modelId="{BD1BA985-7BFC-4A52-B640-A4A40F483534}">
      <dgm:prSet phldrT="[Text]" custT="1"/>
      <dgm:spPr/>
      <dgm:t>
        <a:bodyPr/>
        <a:lstStyle/>
        <a:p>
          <a:endParaRPr lang="en-US" sz="1000"/>
        </a:p>
      </dgm:t>
    </dgm:pt>
    <dgm:pt modelId="{4E6E8F5F-F21F-439C-BA62-31F3934F15F4}" type="parTrans" cxnId="{B9B2A3CC-CD72-42C8-A2C9-2ED144084DF2}">
      <dgm:prSet/>
      <dgm:spPr/>
      <dgm:t>
        <a:bodyPr/>
        <a:lstStyle/>
        <a:p>
          <a:endParaRPr lang="en-US"/>
        </a:p>
      </dgm:t>
    </dgm:pt>
    <dgm:pt modelId="{645696FB-BD0C-43E6-BE33-1192B435D2A7}" type="sibTrans" cxnId="{B9B2A3CC-CD72-42C8-A2C9-2ED144084DF2}">
      <dgm:prSet/>
      <dgm:spPr/>
      <dgm:t>
        <a:bodyPr/>
        <a:lstStyle/>
        <a:p>
          <a:endParaRPr lang="en-US"/>
        </a:p>
      </dgm:t>
    </dgm:pt>
    <dgm:pt modelId="{4629C2EB-B596-42C3-A255-B54109AB202E}" type="pres">
      <dgm:prSet presAssocID="{870421FA-9A62-4796-8841-09902ECBDB23}" presName="Name0" presStyleCnt="0">
        <dgm:presLayoutVars>
          <dgm:dir/>
          <dgm:resizeHandles val="exact"/>
        </dgm:presLayoutVars>
      </dgm:prSet>
      <dgm:spPr/>
    </dgm:pt>
    <dgm:pt modelId="{930B6428-7E47-4368-A8F0-77A45B3E8D90}" type="pres">
      <dgm:prSet presAssocID="{D4775106-FCA2-4E17-9A35-A0A1BBB5E36A}" presName="node" presStyleLbl="node1" presStyleIdx="0" presStyleCnt="3" custScaleX="229889" custScaleY="104492">
        <dgm:presLayoutVars>
          <dgm:bulletEnabled val="1"/>
        </dgm:presLayoutVars>
      </dgm:prSet>
      <dgm:spPr/>
    </dgm:pt>
    <dgm:pt modelId="{FA68A559-3A25-4271-BC0F-3873E26C4099}" type="pres">
      <dgm:prSet presAssocID="{BD8BF25D-0472-40B1-B09A-C4776BE8D643}" presName="sibTrans" presStyleLbl="sibTrans2D1" presStyleIdx="0" presStyleCnt="2" custLinFactNeighborX="15290" custLinFactNeighborY="4357"/>
      <dgm:spPr/>
    </dgm:pt>
    <dgm:pt modelId="{1CE29280-13AB-47B4-A80C-478B808F29C5}" type="pres">
      <dgm:prSet presAssocID="{BD8BF25D-0472-40B1-B09A-C4776BE8D643}" presName="connectorText" presStyleLbl="sibTrans2D1" presStyleIdx="0" presStyleCnt="2"/>
      <dgm:spPr/>
    </dgm:pt>
    <dgm:pt modelId="{CEF0097D-DCA7-4420-A35D-30512A5DAC5C}" type="pres">
      <dgm:prSet presAssocID="{080F9B2C-8797-44F5-A3DE-D495A91653FD}" presName="node" presStyleLbl="node1" presStyleIdx="1" presStyleCnt="3" custScaleX="655479" custScaleY="105201" custLinFactNeighborY="-156">
        <dgm:presLayoutVars>
          <dgm:bulletEnabled val="1"/>
        </dgm:presLayoutVars>
      </dgm:prSet>
      <dgm:spPr/>
    </dgm:pt>
    <dgm:pt modelId="{B10AA580-6638-44EC-B55C-39F1D2A1859C}" type="pres">
      <dgm:prSet presAssocID="{F4332EFF-1337-4C7F-A16B-485A871E0CC1}" presName="sibTrans" presStyleLbl="sibTrans2D1" presStyleIdx="1" presStyleCnt="2"/>
      <dgm:spPr/>
    </dgm:pt>
    <dgm:pt modelId="{CEC08842-99AF-42FE-9C1C-DDEA3055ECE4}" type="pres">
      <dgm:prSet presAssocID="{F4332EFF-1337-4C7F-A16B-485A871E0CC1}" presName="connectorText" presStyleLbl="sibTrans2D1" presStyleIdx="1" presStyleCnt="2"/>
      <dgm:spPr/>
    </dgm:pt>
    <dgm:pt modelId="{4E995E4B-F55A-4F38-B875-D7C4BC2CB2A3}" type="pres">
      <dgm:prSet presAssocID="{A23655FA-8439-4BF6-8E1E-E2D9A4EA204E}" presName="node" presStyleLbl="node1" presStyleIdx="2" presStyleCnt="3" custScaleX="104254" custScaleY="104492">
        <dgm:presLayoutVars>
          <dgm:bulletEnabled val="1"/>
        </dgm:presLayoutVars>
      </dgm:prSet>
      <dgm:spPr/>
    </dgm:pt>
  </dgm:ptLst>
  <dgm:cxnLst>
    <dgm:cxn modelId="{F446F000-9A90-4DEA-B13C-9CAE91612F9E}" type="presOf" srcId="{BD8BF25D-0472-40B1-B09A-C4776BE8D643}" destId="{FA68A559-3A25-4271-BC0F-3873E26C4099}" srcOrd="0" destOrd="0" presId="urn:microsoft.com/office/officeart/2005/8/layout/process1"/>
    <dgm:cxn modelId="{CB1A3702-7970-4271-B490-B9C56CBBB7B0}" srcId="{080F9B2C-8797-44F5-A3DE-D495A91653FD}" destId="{308EF316-69EF-4CB4-8DFE-79FE37E6D38E}" srcOrd="3" destOrd="0" parTransId="{22CA5F48-C3F8-4F4F-8A64-39D42D5D75CD}" sibTransId="{E639E691-D6F4-4541-B857-000D9C6C5346}"/>
    <dgm:cxn modelId="{24D47908-6DD3-42BB-94A3-0FDAB57E5450}" type="presOf" srcId="{3F6469E2-B269-4895-A3FB-AF9B53A1AAE8}" destId="{930B6428-7E47-4368-A8F0-77A45B3E8D90}" srcOrd="0" destOrd="8" presId="urn:microsoft.com/office/officeart/2005/8/layout/process1"/>
    <dgm:cxn modelId="{E3E6AA0E-39C2-4B25-882E-D81E986821A4}" type="presOf" srcId="{1CB10B8A-3DE6-42AB-B90D-2A7EA6041846}" destId="{930B6428-7E47-4368-A8F0-77A45B3E8D90}" srcOrd="0" destOrd="7" presId="urn:microsoft.com/office/officeart/2005/8/layout/process1"/>
    <dgm:cxn modelId="{6F0EBB0F-827E-4469-AEFD-D8E1BBE6D2D1}" srcId="{080F9B2C-8797-44F5-A3DE-D495A91653FD}" destId="{180E1DE7-9D46-4E27-9609-E042AA99764B}" srcOrd="10" destOrd="0" parTransId="{B53B06C5-A4F8-4384-9E56-387C056F1D48}" sibTransId="{0AD27C67-D5B7-4387-B731-BE1A7104EB63}"/>
    <dgm:cxn modelId="{CCD9F710-A892-43AA-B139-B5B185326B84}" srcId="{080F9B2C-8797-44F5-A3DE-D495A91653FD}" destId="{21883572-A93E-4FDB-9266-7D4FEF6C17D3}" srcOrd="9" destOrd="0" parTransId="{BE52D64D-FD28-4486-8820-833BF99888B5}" sibTransId="{C896AED6-D6DC-44A7-9E22-6C1D5E9E3B06}"/>
    <dgm:cxn modelId="{79D60A11-D948-4878-B392-85E4AAC78089}" type="presOf" srcId="{CC4563B2-E406-4FBA-819E-D30021585291}" destId="{CEF0097D-DCA7-4420-A35D-30512A5DAC5C}" srcOrd="0" destOrd="13" presId="urn:microsoft.com/office/officeart/2005/8/layout/process1"/>
    <dgm:cxn modelId="{F13C7C13-24DC-47C5-B2C0-B80C60BA7126}" srcId="{870421FA-9A62-4796-8841-09902ECBDB23}" destId="{D4775106-FCA2-4E17-9A35-A0A1BBB5E36A}" srcOrd="0" destOrd="0" parTransId="{2361F5A8-F4FA-4D1D-BBDA-551D3D98ECE7}" sibTransId="{BD8BF25D-0472-40B1-B09A-C4776BE8D643}"/>
    <dgm:cxn modelId="{08A00A22-ABE4-4ED5-97E7-8D9B16F90B4E}" type="presOf" srcId="{1933BC82-4176-47D2-9919-F622EFFEEC2E}" destId="{930B6428-7E47-4368-A8F0-77A45B3E8D90}" srcOrd="0" destOrd="9" presId="urn:microsoft.com/office/officeart/2005/8/layout/process1"/>
    <dgm:cxn modelId="{150DDC23-1E04-4282-A2C1-DFB48DF32468}" srcId="{1CB10B8A-3DE6-42AB-B90D-2A7EA6041846}" destId="{DD605066-36E7-4CD6-A108-80A54C60FA82}" srcOrd="2" destOrd="0" parTransId="{9E86DF87-842F-4B99-A247-E9ACBD6EF56B}" sibTransId="{2F4A25D4-39C1-482A-9B31-226D2E9057DD}"/>
    <dgm:cxn modelId="{E95D9425-5DC2-49AE-ACF0-91C236CF6AFF}" type="presOf" srcId="{75B90BEA-A17D-4AD6-90F5-A1AD171C2DD7}" destId="{CEF0097D-DCA7-4420-A35D-30512A5DAC5C}" srcOrd="0" destOrd="8" presId="urn:microsoft.com/office/officeart/2005/8/layout/process1"/>
    <dgm:cxn modelId="{B183E627-6F1A-4966-95CE-6B8902E4D188}" srcId="{1CB10B8A-3DE6-42AB-B90D-2A7EA6041846}" destId="{1933BC82-4176-47D2-9919-F622EFFEEC2E}" srcOrd="1" destOrd="0" parTransId="{64263887-93B5-4B80-AC53-0A934E8CBA28}" sibTransId="{479CEFA4-9F76-413E-A767-2AC655194823}"/>
    <dgm:cxn modelId="{4F00262A-65B1-4F7B-BD1C-ED2F8CDED4C9}" type="presOf" srcId="{8C5D277A-CBCA-47AE-94C7-9E4E6388C3EF}" destId="{4E995E4B-F55A-4F38-B875-D7C4BC2CB2A3}" srcOrd="0" destOrd="1" presId="urn:microsoft.com/office/officeart/2005/8/layout/process1"/>
    <dgm:cxn modelId="{3706182F-2650-4DAC-8584-D5DDC883DF9F}" type="presOf" srcId="{A23655FA-8439-4BF6-8E1E-E2D9A4EA204E}" destId="{4E995E4B-F55A-4F38-B875-D7C4BC2CB2A3}" srcOrd="0" destOrd="0" presId="urn:microsoft.com/office/officeart/2005/8/layout/process1"/>
    <dgm:cxn modelId="{3CE50930-0617-4CBE-8F8F-50CA5893263E}" type="presOf" srcId="{21883572-A93E-4FDB-9266-7D4FEF6C17D3}" destId="{CEF0097D-DCA7-4420-A35D-30512A5DAC5C}" srcOrd="0" destOrd="10" presId="urn:microsoft.com/office/officeart/2005/8/layout/process1"/>
    <dgm:cxn modelId="{FF42DD32-EE7E-420E-8E59-81EB386AE863}" srcId="{080F9B2C-8797-44F5-A3DE-D495A91653FD}" destId="{61CAA35A-16EF-40F0-8C15-85BAC9587B16}" srcOrd="17" destOrd="0" parTransId="{72FFC9BF-DE1E-4174-9DF4-9056673F9A43}" sibTransId="{BDD24D4F-CB16-439A-B59D-B14A220BEBDB}"/>
    <dgm:cxn modelId="{F5E91635-BE78-4481-A08D-F0F12C2156F7}" srcId="{080F9B2C-8797-44F5-A3DE-D495A91653FD}" destId="{CA6F966C-7EB8-4CEE-85E7-CACDDE926E7D}" srcOrd="20" destOrd="0" parTransId="{A95229A4-468B-4716-AA1B-F98D31D984B3}" sibTransId="{FDF68F22-F5D6-4933-ADFB-C480A05780C0}"/>
    <dgm:cxn modelId="{C3B98939-10FA-4920-AF7A-A6C85A620C69}" srcId="{080F9B2C-8797-44F5-A3DE-D495A91653FD}" destId="{E5A5D493-5E4A-4879-AB22-92A72D34B3F7}" srcOrd="16" destOrd="0" parTransId="{04A3FAF2-BFE6-4094-91E6-46B91D44649B}" sibTransId="{96033D6B-BF8E-43E3-929C-B9303A87D005}"/>
    <dgm:cxn modelId="{A0396A3B-49E8-4A9C-B46B-427B61CEA9EF}" type="presOf" srcId="{CA6F966C-7EB8-4CEE-85E7-CACDDE926E7D}" destId="{CEF0097D-DCA7-4420-A35D-30512A5DAC5C}" srcOrd="0" destOrd="21" presId="urn:microsoft.com/office/officeart/2005/8/layout/process1"/>
    <dgm:cxn modelId="{568DE73F-91CB-49FF-BF2D-9F5CF0840DBB}" type="presOf" srcId="{BD8BF25D-0472-40B1-B09A-C4776BE8D643}" destId="{1CE29280-13AB-47B4-A80C-478B808F29C5}" srcOrd="1" destOrd="0" presId="urn:microsoft.com/office/officeart/2005/8/layout/process1"/>
    <dgm:cxn modelId="{E33C8A40-CE8F-4B52-A794-84D3A8B574B0}" srcId="{080F9B2C-8797-44F5-A3DE-D495A91653FD}" destId="{95100ED2-6653-44FC-8585-F199F534AB3D}" srcOrd="8" destOrd="0" parTransId="{DB983B53-90E8-42C0-9BD9-30DA35760CB3}" sibTransId="{84D33BDB-B4C2-4506-95D7-E4929B622663}"/>
    <dgm:cxn modelId="{BEDAB840-1ADC-44D5-A579-D883D82E5A37}" type="presOf" srcId="{58AFE955-3E51-4BC4-8C5F-0D7B661D2273}" destId="{930B6428-7E47-4368-A8F0-77A45B3E8D90}" srcOrd="0" destOrd="13" presId="urn:microsoft.com/office/officeart/2005/8/layout/process1"/>
    <dgm:cxn modelId="{FBE0555D-E6AE-4A8F-BBF9-722295893B83}" type="presOf" srcId="{5E7E88D0-0D23-464D-A05E-F1F7D25CF66A}" destId="{CEF0097D-DCA7-4420-A35D-30512A5DAC5C}" srcOrd="0" destOrd="16" presId="urn:microsoft.com/office/officeart/2005/8/layout/process1"/>
    <dgm:cxn modelId="{35BA9F5E-1B05-4330-AC8B-8F6FFEB529A5}" type="presOf" srcId="{A22A588A-398C-4C33-AC6A-59CAC2DD0D71}" destId="{CEF0097D-DCA7-4420-A35D-30512A5DAC5C}" srcOrd="0" destOrd="15" presId="urn:microsoft.com/office/officeart/2005/8/layout/process1"/>
    <dgm:cxn modelId="{8D322A42-63DF-4698-89DC-523F29A33511}" type="presOf" srcId="{E75E1F47-8DD0-4253-847A-C7EF125F7675}" destId="{CEF0097D-DCA7-4420-A35D-30512A5DAC5C}" srcOrd="0" destOrd="2" presId="urn:microsoft.com/office/officeart/2005/8/layout/process1"/>
    <dgm:cxn modelId="{F7B21E63-110C-41E2-99DB-E20827D029FA}" type="presOf" srcId="{D4775106-FCA2-4E17-9A35-A0A1BBB5E36A}" destId="{930B6428-7E47-4368-A8F0-77A45B3E8D90}" srcOrd="0" destOrd="0" presId="urn:microsoft.com/office/officeart/2005/8/layout/process1"/>
    <dgm:cxn modelId="{839BAB66-642F-45FE-97B0-2B38DC26FC07}" type="presOf" srcId="{870421FA-9A62-4796-8841-09902ECBDB23}" destId="{4629C2EB-B596-42C3-A255-B54109AB202E}" srcOrd="0" destOrd="0" presId="urn:microsoft.com/office/officeart/2005/8/layout/process1"/>
    <dgm:cxn modelId="{1AAEF367-9E0F-4CCA-B45E-A810A3220364}" type="presOf" srcId="{AAA71AD1-548F-40B7-9704-ECE483F76B96}" destId="{930B6428-7E47-4368-A8F0-77A45B3E8D90}" srcOrd="0" destOrd="5" presId="urn:microsoft.com/office/officeart/2005/8/layout/process1"/>
    <dgm:cxn modelId="{0CFF9269-4D65-42A1-B568-285C84D28718}" srcId="{D4775106-FCA2-4E17-9A35-A0A1BBB5E36A}" destId="{2FB513A8-0EBE-4F74-A0A9-A2A880594327}" srcOrd="0" destOrd="0" parTransId="{5D3998C8-0789-4106-A023-294B6444EE5E}" sibTransId="{CF92DCF4-C11D-40D6-92FD-420AEF0C21A2}"/>
    <dgm:cxn modelId="{8628FF69-6843-4CF8-8FCE-7457A8A4AA7A}" type="presOf" srcId="{F4332EFF-1337-4C7F-A16B-485A871E0CC1}" destId="{B10AA580-6638-44EC-B55C-39F1D2A1859C}" srcOrd="0" destOrd="0" presId="urn:microsoft.com/office/officeart/2005/8/layout/process1"/>
    <dgm:cxn modelId="{FF55596C-CD3F-4D7F-BB81-CF95FDECD563}" type="presOf" srcId="{308EF316-69EF-4CB4-8DFE-79FE37E6D38E}" destId="{CEF0097D-DCA7-4420-A35D-30512A5DAC5C}" srcOrd="0" destOrd="4" presId="urn:microsoft.com/office/officeart/2005/8/layout/process1"/>
    <dgm:cxn modelId="{3F68126E-3940-481E-BA19-7B6A308BE835}" srcId="{A23655FA-8439-4BF6-8E1E-E2D9A4EA204E}" destId="{8C5D277A-CBCA-47AE-94C7-9E4E6388C3EF}" srcOrd="0" destOrd="0" parTransId="{EC510C95-D424-4AA2-95F7-C15EDAFD6B22}" sibTransId="{A0C0B741-C7BC-4703-9126-BC9A41554A59}"/>
    <dgm:cxn modelId="{D776824E-98AF-4DC3-A76E-7D974A28DC76}" type="presOf" srcId="{95100ED2-6653-44FC-8585-F199F534AB3D}" destId="{CEF0097D-DCA7-4420-A35D-30512A5DAC5C}" srcOrd="0" destOrd="9" presId="urn:microsoft.com/office/officeart/2005/8/layout/process1"/>
    <dgm:cxn modelId="{245FCC4E-6893-4AF3-9436-DD683A67A355}" type="presOf" srcId="{35BC3855-053B-464C-A51B-53593BAA9255}" destId="{4E995E4B-F55A-4F38-B875-D7C4BC2CB2A3}" srcOrd="0" destOrd="3" presId="urn:microsoft.com/office/officeart/2005/8/layout/process1"/>
    <dgm:cxn modelId="{8BE5DA72-1043-4C82-A88A-8D09FB11CAEC}" type="presOf" srcId="{A39BC468-5C6A-4E8E-82C9-F07D0C73E992}" destId="{CEF0097D-DCA7-4420-A35D-30512A5DAC5C}" srcOrd="0" destOrd="19" presId="urn:microsoft.com/office/officeart/2005/8/layout/process1"/>
    <dgm:cxn modelId="{E5422875-A117-4CBB-9F96-67BCCB1A1765}" srcId="{080F9B2C-8797-44F5-A3DE-D495A91653FD}" destId="{A39BC468-5C6A-4E8E-82C9-F07D0C73E992}" srcOrd="18" destOrd="0" parTransId="{6F527C9D-650A-40CD-84C2-AA8B9816B9CA}" sibTransId="{0F904082-F285-443F-AE88-D11580A6C52C}"/>
    <dgm:cxn modelId="{8CD65577-F878-4F54-A223-E269BEC43994}" srcId="{080F9B2C-8797-44F5-A3DE-D495A91653FD}" destId="{15584555-4BEF-4094-8444-477BDB2C606A}" srcOrd="13" destOrd="0" parTransId="{CAE9A5BB-C949-45D3-8AB5-3F640090FF4D}" sibTransId="{2FF33FE7-638F-4985-85BB-A97152E3DA85}"/>
    <dgm:cxn modelId="{C9962578-1D2A-4B87-BBD9-1857FC8CD155}" type="presOf" srcId="{480A110F-3BDA-4D17-B2A1-AEDC3DD272F3}" destId="{930B6428-7E47-4368-A8F0-77A45B3E8D90}" srcOrd="0" destOrd="12" presId="urn:microsoft.com/office/officeart/2005/8/layout/process1"/>
    <dgm:cxn modelId="{4403857A-2F2A-4511-9A62-921C370A5CE1}" srcId="{080F9B2C-8797-44F5-A3DE-D495A91653FD}" destId="{500DC76B-8AA7-410F-9AF1-67C26B22F47F}" srcOrd="0" destOrd="0" parTransId="{A9D907BB-0B86-48D1-82E4-2E796EA82B0D}" sibTransId="{3680E610-E6B2-45BE-9150-99F9F3479C65}"/>
    <dgm:cxn modelId="{25CB937A-5C9F-49A8-B655-5C48E466CC9F}" srcId="{D4775106-FCA2-4E17-9A35-A0A1BBB5E36A}" destId="{46E42A82-1229-4560-A63F-82C093AAF9C9}" srcOrd="5" destOrd="0" parTransId="{D4918DAA-956C-41C9-9ACF-F458ADB23ED8}" sibTransId="{68D43E7D-FDF2-4935-80BA-7F899B02DAAE}"/>
    <dgm:cxn modelId="{08745A7B-B17D-487E-A8EF-D13C5470060D}" srcId="{080F9B2C-8797-44F5-A3DE-D495A91653FD}" destId="{23C8507F-0F66-4F02-80A4-1B5F58976FFA}" srcOrd="6" destOrd="0" parTransId="{A266B57A-1ADA-4942-9E07-7B225DCEB22F}" sibTransId="{D8E2EF15-0292-4BD0-B34A-A3846E0ED598}"/>
    <dgm:cxn modelId="{62C5E87B-0B76-4A13-A218-4856DD7FD1F0}" srcId="{DD605066-36E7-4CD6-A108-80A54C60FA82}" destId="{480A110F-3BDA-4D17-B2A1-AEDC3DD272F3}" srcOrd="1" destOrd="0" parTransId="{D22B9A76-6DC1-407F-AE96-45FAF644F851}" sibTransId="{C494E50C-3C25-4E5A-AB88-A80B22CEDBE5}"/>
    <dgm:cxn modelId="{F15D1581-D92B-4A04-89FB-E7F7D01D1167}" type="presOf" srcId="{46E42A82-1229-4560-A63F-82C093AAF9C9}" destId="{930B6428-7E47-4368-A8F0-77A45B3E8D90}" srcOrd="0" destOrd="6" presId="urn:microsoft.com/office/officeart/2005/8/layout/process1"/>
    <dgm:cxn modelId="{1EAADE81-8141-452F-B783-927B6DC882BF}" srcId="{080F9B2C-8797-44F5-A3DE-D495A91653FD}" destId="{A22A588A-398C-4C33-AC6A-59CAC2DD0D71}" srcOrd="14" destOrd="0" parTransId="{DEA12752-D4B6-47C3-AE3D-51250D6D72A2}" sibTransId="{F7F48F5C-E58C-441A-8AC1-914BC1586543}"/>
    <dgm:cxn modelId="{57B89583-7768-473A-8D0C-F1CD08B932E0}" type="presOf" srcId="{7960BE83-90FC-4D1B-BBF3-477019410362}" destId="{CEF0097D-DCA7-4420-A35D-30512A5DAC5C}" srcOrd="0" destOrd="5" presId="urn:microsoft.com/office/officeart/2005/8/layout/process1"/>
    <dgm:cxn modelId="{8B30AC84-0628-4A67-994F-1D7D92012A34}" srcId="{080F9B2C-8797-44F5-A3DE-D495A91653FD}" destId="{E75E1F47-8DD0-4253-847A-C7EF125F7675}" srcOrd="1" destOrd="0" parTransId="{B354D087-F7E1-4557-93E8-17B26655C508}" sibTransId="{CE1F7517-DB3F-4B52-84C4-216F53FA4ADD}"/>
    <dgm:cxn modelId="{11BCC589-10C7-4246-BDA7-189653D5F939}" type="presOf" srcId="{8CBB1A5F-9C95-4C11-B05C-080391CEAA2B}" destId="{CEF0097D-DCA7-4420-A35D-30512A5DAC5C}" srcOrd="0" destOrd="6" presId="urn:microsoft.com/office/officeart/2005/8/layout/process1"/>
    <dgm:cxn modelId="{05609F8D-6924-4BE5-AC17-6024A2D3B250}" srcId="{080F9B2C-8797-44F5-A3DE-D495A91653FD}" destId="{7960BE83-90FC-4D1B-BBF3-477019410362}" srcOrd="4" destOrd="0" parTransId="{BC50C0B2-304A-4BC2-8F3A-DA73C4EB65E6}" sibTransId="{2D1B23F1-0F90-478A-8420-02D308ED7A22}"/>
    <dgm:cxn modelId="{6F324A8E-83D7-44C6-9D87-383931681911}" type="presOf" srcId="{91B2B988-343D-45C4-8DBC-5F7761E926B5}" destId="{CEF0097D-DCA7-4420-A35D-30512A5DAC5C}" srcOrd="0" destOrd="12" presId="urn:microsoft.com/office/officeart/2005/8/layout/process1"/>
    <dgm:cxn modelId="{EBAFF08E-D726-4049-9EAF-975240398013}" type="presOf" srcId="{080F9B2C-8797-44F5-A3DE-D495A91653FD}" destId="{CEF0097D-DCA7-4420-A35D-30512A5DAC5C}" srcOrd="0" destOrd="0" presId="urn:microsoft.com/office/officeart/2005/8/layout/process1"/>
    <dgm:cxn modelId="{21FAC58F-1611-4438-9460-06F493046282}" srcId="{080F9B2C-8797-44F5-A3DE-D495A91653FD}" destId="{8CBB1A5F-9C95-4C11-B05C-080391CEAA2B}" srcOrd="5" destOrd="0" parTransId="{8D1EBCB6-730B-4CB9-A750-742937110279}" sibTransId="{DBB1C418-0C1F-4989-905D-FE0BE13E55E3}"/>
    <dgm:cxn modelId="{92D4D390-3339-4671-9F30-0C7776DC954A}" srcId="{080F9B2C-8797-44F5-A3DE-D495A91653FD}" destId="{91B2B988-343D-45C4-8DBC-5F7761E926B5}" srcOrd="11" destOrd="0" parTransId="{D9A5AFCC-7776-4673-B979-F963625F1451}" sibTransId="{551DC5AA-8EFE-4452-85D6-BB9E4B362300}"/>
    <dgm:cxn modelId="{4443A391-6C00-4E04-B507-3A87256CC900}" type="presOf" srcId="{500DC76B-8AA7-410F-9AF1-67C26B22F47F}" destId="{CEF0097D-DCA7-4420-A35D-30512A5DAC5C}" srcOrd="0" destOrd="1" presId="urn:microsoft.com/office/officeart/2005/8/layout/process1"/>
    <dgm:cxn modelId="{D5350593-AB6C-40B4-8109-E8478B2E766A}" srcId="{080F9B2C-8797-44F5-A3DE-D495A91653FD}" destId="{6121A44E-1D1C-4AA1-BA5A-5A29825BF17E}" srcOrd="2" destOrd="0" parTransId="{1ACCCF74-6B48-457B-A3BC-DD88C8846FF7}" sibTransId="{4380F717-5EBE-4A52-A504-094F4076C7DB}"/>
    <dgm:cxn modelId="{24893B93-2166-46FF-9795-CDDAABF6D60C}" srcId="{D4775106-FCA2-4E17-9A35-A0A1BBB5E36A}" destId="{1018A675-D1AD-4831-8AFA-68E1063850AD}" srcOrd="2" destOrd="0" parTransId="{47663FF2-7D31-4C5E-819C-36B438667A5D}" sibTransId="{D2379C63-04FC-4FAB-A5DD-32B9D9DFBDD5}"/>
    <dgm:cxn modelId="{97399E94-83A0-4A0B-A351-04FB5DDDF655}" srcId="{DD605066-36E7-4CD6-A108-80A54C60FA82}" destId="{DEF7B08B-12FB-4865-9641-E2699D40EC41}" srcOrd="3" destOrd="0" parTransId="{76F3CC48-9FB4-4975-B44F-D5A4CEDCC1FC}" sibTransId="{5EDC6E97-A87A-4043-8AC8-D31F3C357B34}"/>
    <dgm:cxn modelId="{44A21D99-87B2-4513-9794-1CC9EA158345}" srcId="{D4775106-FCA2-4E17-9A35-A0A1BBB5E36A}" destId="{68159D5D-8276-492A-B678-F61C7B03EC45}" srcOrd="1" destOrd="0" parTransId="{BE010A7E-DFCE-41A4-9DAA-FE9B723817B1}" sibTransId="{D9D7ED99-BABC-47A9-B03E-862B71259F28}"/>
    <dgm:cxn modelId="{C5CD6C9C-1234-40FD-A507-5B3642B6C36B}" type="presOf" srcId="{180E1DE7-9D46-4E27-9609-E042AA99764B}" destId="{CEF0097D-DCA7-4420-A35D-30512A5DAC5C}" srcOrd="0" destOrd="11" presId="urn:microsoft.com/office/officeart/2005/8/layout/process1"/>
    <dgm:cxn modelId="{D998B99F-B020-4509-A796-B4A0B8B1DC97}" srcId="{080F9B2C-8797-44F5-A3DE-D495A91653FD}" destId="{CC4563B2-E406-4FBA-819E-D30021585291}" srcOrd="12" destOrd="0" parTransId="{BA3EC397-38F2-4BD0-87A1-F1CE28BF4A69}" sibTransId="{CF3CBEC9-AA56-4111-9136-2A0C67766D33}"/>
    <dgm:cxn modelId="{B073D7A0-922C-4FF6-A39B-7DC9949C6493}" type="presOf" srcId="{DD605066-36E7-4CD6-A108-80A54C60FA82}" destId="{930B6428-7E47-4368-A8F0-77A45B3E8D90}" srcOrd="0" destOrd="10" presId="urn:microsoft.com/office/officeart/2005/8/layout/process1"/>
    <dgm:cxn modelId="{CD3897A7-0861-4D89-BBD8-3D624746B8D8}" type="presOf" srcId="{557DFBCF-7D2A-46B5-8BEC-3A3AA05BA099}" destId="{930B6428-7E47-4368-A8F0-77A45B3E8D90}" srcOrd="0" destOrd="11" presId="urn:microsoft.com/office/officeart/2005/8/layout/process1"/>
    <dgm:cxn modelId="{FB6843A8-8D06-449A-BAF7-9D4B4E15FE91}" srcId="{080F9B2C-8797-44F5-A3DE-D495A91653FD}" destId="{75B90BEA-A17D-4AD6-90F5-A1AD171C2DD7}" srcOrd="7" destOrd="0" parTransId="{DE0339D0-1DD3-4793-B396-732F4637EC07}" sibTransId="{F4DB1D2A-1F2E-49BA-94FD-7F37B102CCE2}"/>
    <dgm:cxn modelId="{E984F5AE-AB2E-47B5-8C3A-96595F03010E}" type="presOf" srcId="{2FB513A8-0EBE-4F74-A0A9-A2A880594327}" destId="{930B6428-7E47-4368-A8F0-77A45B3E8D90}" srcOrd="0" destOrd="1" presId="urn:microsoft.com/office/officeart/2005/8/layout/process1"/>
    <dgm:cxn modelId="{DCB260B4-70C5-4BE4-95A9-BF437F2C39FA}" srcId="{1CB10B8A-3DE6-42AB-B90D-2A7EA6041846}" destId="{3F6469E2-B269-4895-A3FB-AF9B53A1AAE8}" srcOrd="0" destOrd="0" parTransId="{B152710D-F812-4D70-8769-079ACEE2A31E}" sibTransId="{F17CA755-443B-4B70-BFE9-2D0A5C954F87}"/>
    <dgm:cxn modelId="{B9F992B6-4F16-4013-AAF4-89556B79BF83}" srcId="{870421FA-9A62-4796-8841-09902ECBDB23}" destId="{A23655FA-8439-4BF6-8E1E-E2D9A4EA204E}" srcOrd="2" destOrd="0" parTransId="{BF003307-1B59-442D-A4F2-DB54632D73C2}" sibTransId="{DBB43B7A-D546-4894-83F7-5D7C06D8E604}"/>
    <dgm:cxn modelId="{49B24EBA-63A2-4065-9846-20F8D13DBC95}" type="presOf" srcId="{23C8507F-0F66-4F02-80A4-1B5F58976FFA}" destId="{CEF0097D-DCA7-4420-A35D-30512A5DAC5C}" srcOrd="0" destOrd="7" presId="urn:microsoft.com/office/officeart/2005/8/layout/process1"/>
    <dgm:cxn modelId="{8A6EF5BE-B386-49A3-889D-EFE1850A374A}" srcId="{D4775106-FCA2-4E17-9A35-A0A1BBB5E36A}" destId="{09A5B4BE-6234-4185-875D-A5E331F5D861}" srcOrd="3" destOrd="0" parTransId="{F5C9B176-197F-4A50-B962-72D86E0544E8}" sibTransId="{1161DC9A-9322-4CD5-93BE-4C3A09AFACBA}"/>
    <dgm:cxn modelId="{3D7FC1C1-E587-47B2-A12F-19517A106AB1}" type="presOf" srcId="{E5A5D493-5E4A-4879-AB22-92A72D34B3F7}" destId="{CEF0097D-DCA7-4420-A35D-30512A5DAC5C}" srcOrd="0" destOrd="17" presId="urn:microsoft.com/office/officeart/2005/8/layout/process1"/>
    <dgm:cxn modelId="{F160DEC4-3623-4A46-8323-429BD2A8CD7E}" srcId="{A23655FA-8439-4BF6-8E1E-E2D9A4EA204E}" destId="{EF9F74A6-4018-45C6-868B-9C8E6E3E74F2}" srcOrd="1" destOrd="0" parTransId="{370BFB9A-43A8-4748-964E-CE5AB0D75A8B}" sibTransId="{030F1945-E05A-4106-9908-ABC5B7D3D3B5}"/>
    <dgm:cxn modelId="{02B610C9-1408-4213-9367-A9AA9771C6C3}" type="presOf" srcId="{EF9F74A6-4018-45C6-868B-9C8E6E3E74F2}" destId="{4E995E4B-F55A-4F38-B875-D7C4BC2CB2A3}" srcOrd="0" destOrd="2" presId="urn:microsoft.com/office/officeart/2005/8/layout/process1"/>
    <dgm:cxn modelId="{A47670C9-90A2-4474-82CF-A5616E32F5AC}" type="presOf" srcId="{DEF7B08B-12FB-4865-9641-E2699D40EC41}" destId="{930B6428-7E47-4368-A8F0-77A45B3E8D90}" srcOrd="0" destOrd="14" presId="urn:microsoft.com/office/officeart/2005/8/layout/process1"/>
    <dgm:cxn modelId="{1A34FCCB-9DBD-43D2-B0B9-2A10215C27EB}" type="presOf" srcId="{BD1BA985-7BFC-4A52-B640-A4A40F483534}" destId="{CEF0097D-DCA7-4420-A35D-30512A5DAC5C}" srcOrd="0" destOrd="20" presId="urn:microsoft.com/office/officeart/2005/8/layout/process1"/>
    <dgm:cxn modelId="{B9B2A3CC-CD72-42C8-A2C9-2ED144084DF2}" srcId="{080F9B2C-8797-44F5-A3DE-D495A91653FD}" destId="{BD1BA985-7BFC-4A52-B640-A4A40F483534}" srcOrd="19" destOrd="0" parTransId="{4E6E8F5F-F21F-439C-BA62-31F3934F15F4}" sibTransId="{645696FB-BD0C-43E6-BE33-1192B435D2A7}"/>
    <dgm:cxn modelId="{F97DDFCD-2487-4CC6-8229-6314E1934D9B}" srcId="{870421FA-9A62-4796-8841-09902ECBDB23}" destId="{080F9B2C-8797-44F5-A3DE-D495A91653FD}" srcOrd="1" destOrd="0" parTransId="{9D879D23-3466-41AF-BE5F-3DA893E9599A}" sibTransId="{F4332EFF-1337-4C7F-A16B-485A871E0CC1}"/>
    <dgm:cxn modelId="{5FC2F2CE-C8F9-401E-9FEA-E003A04E0697}" type="presOf" srcId="{68159D5D-8276-492A-B678-F61C7B03EC45}" destId="{930B6428-7E47-4368-A8F0-77A45B3E8D90}" srcOrd="0" destOrd="2" presId="urn:microsoft.com/office/officeart/2005/8/layout/process1"/>
    <dgm:cxn modelId="{63F331D0-6E1C-4460-94BD-A45697EF9261}" srcId="{D4775106-FCA2-4E17-9A35-A0A1BBB5E36A}" destId="{1CB10B8A-3DE6-42AB-B90D-2A7EA6041846}" srcOrd="6" destOrd="0" parTransId="{C22F0368-8B51-4A01-94D7-83FB607A9AF8}" sibTransId="{F89F69C9-0089-45ED-AD67-C151AB26F1BF}"/>
    <dgm:cxn modelId="{065D5AD8-A23B-44E4-826A-6F005A33B2A9}" type="presOf" srcId="{09A5B4BE-6234-4185-875D-A5E331F5D861}" destId="{930B6428-7E47-4368-A8F0-77A45B3E8D90}" srcOrd="0" destOrd="4" presId="urn:microsoft.com/office/officeart/2005/8/layout/process1"/>
    <dgm:cxn modelId="{61FE29D9-D306-409C-8D12-06975449C596}" srcId="{A23655FA-8439-4BF6-8E1E-E2D9A4EA204E}" destId="{35BC3855-053B-464C-A51B-53593BAA9255}" srcOrd="2" destOrd="0" parTransId="{2D13A67C-5305-4926-8E00-04E0A0516E99}" sibTransId="{FE60997B-BC31-4686-8DC1-5DCECAEF2A5D}"/>
    <dgm:cxn modelId="{D8EA0DDF-FB0F-4AAE-8033-79B9B4D5C001}" type="presOf" srcId="{15584555-4BEF-4094-8444-477BDB2C606A}" destId="{CEF0097D-DCA7-4420-A35D-30512A5DAC5C}" srcOrd="0" destOrd="14" presId="urn:microsoft.com/office/officeart/2005/8/layout/process1"/>
    <dgm:cxn modelId="{4E2A81E4-903E-48DA-8EC4-D4ED7884F8F6}" type="presOf" srcId="{1018A675-D1AD-4831-8AFA-68E1063850AD}" destId="{930B6428-7E47-4368-A8F0-77A45B3E8D90}" srcOrd="0" destOrd="3" presId="urn:microsoft.com/office/officeart/2005/8/layout/process1"/>
    <dgm:cxn modelId="{9BC49BE7-E99F-4411-8A28-CC2A19F0F162}" srcId="{D4775106-FCA2-4E17-9A35-A0A1BBB5E36A}" destId="{AAA71AD1-548F-40B7-9704-ECE483F76B96}" srcOrd="4" destOrd="0" parTransId="{AC7C896F-F565-4F82-8F4F-8D607025D432}" sibTransId="{ADECEC10-5B2E-4E8A-A7F7-8E56159EC82A}"/>
    <dgm:cxn modelId="{EFE643EC-5457-4BCF-8C04-E3FD5CFD74A8}" srcId="{080F9B2C-8797-44F5-A3DE-D495A91653FD}" destId="{5E7E88D0-0D23-464D-A05E-F1F7D25CF66A}" srcOrd="15" destOrd="0" parTransId="{EC2B6A20-EFBA-4C1C-BCC7-2884BFCAED36}" sibTransId="{67F619FA-FB93-4263-A65A-9A1CF8AB9B04}"/>
    <dgm:cxn modelId="{9C440CEF-246C-4510-AB6E-0C5B95699750}" type="presOf" srcId="{6121A44E-1D1C-4AA1-BA5A-5A29825BF17E}" destId="{CEF0097D-DCA7-4420-A35D-30512A5DAC5C}" srcOrd="0" destOrd="3" presId="urn:microsoft.com/office/officeart/2005/8/layout/process1"/>
    <dgm:cxn modelId="{D73771F9-2EC0-42FB-A87D-6B0435C2C252}" type="presOf" srcId="{61CAA35A-16EF-40F0-8C15-85BAC9587B16}" destId="{CEF0097D-DCA7-4420-A35D-30512A5DAC5C}" srcOrd="0" destOrd="18" presId="urn:microsoft.com/office/officeart/2005/8/layout/process1"/>
    <dgm:cxn modelId="{D20BCEF9-3581-4C38-A1D3-1556915B6320}" srcId="{DD605066-36E7-4CD6-A108-80A54C60FA82}" destId="{58AFE955-3E51-4BC4-8C5F-0D7B661D2273}" srcOrd="2" destOrd="0" parTransId="{BE515AD4-B4CD-4FDD-A4E2-721BCA9B8A85}" sibTransId="{269C2479-6289-443E-82C6-64BF63ADD8B3}"/>
    <dgm:cxn modelId="{9F04A4FA-A2EB-478C-A6D6-E1307D94378E}" srcId="{DD605066-36E7-4CD6-A108-80A54C60FA82}" destId="{557DFBCF-7D2A-46B5-8BEC-3A3AA05BA099}" srcOrd="0" destOrd="0" parTransId="{0FFC2CCC-A4C7-42EE-A973-8979FB775F97}" sibTransId="{4F8C9850-7AEA-4429-8E1C-A7DEEBBA0CAB}"/>
    <dgm:cxn modelId="{2470E5FC-3BCE-4C80-B19D-4A5B1F51522F}" type="presOf" srcId="{F4332EFF-1337-4C7F-A16B-485A871E0CC1}" destId="{CEC08842-99AF-42FE-9C1C-DDEA3055ECE4}" srcOrd="1" destOrd="0" presId="urn:microsoft.com/office/officeart/2005/8/layout/process1"/>
    <dgm:cxn modelId="{93DD6724-4C8D-4C11-A156-7E1CA4C931BD}" type="presParOf" srcId="{4629C2EB-B596-42C3-A255-B54109AB202E}" destId="{930B6428-7E47-4368-A8F0-77A45B3E8D90}" srcOrd="0" destOrd="0" presId="urn:microsoft.com/office/officeart/2005/8/layout/process1"/>
    <dgm:cxn modelId="{A71C3581-9B0F-4EB7-8198-F76B153BB74E}" type="presParOf" srcId="{4629C2EB-B596-42C3-A255-B54109AB202E}" destId="{FA68A559-3A25-4271-BC0F-3873E26C4099}" srcOrd="1" destOrd="0" presId="urn:microsoft.com/office/officeart/2005/8/layout/process1"/>
    <dgm:cxn modelId="{60099987-C710-48E3-91CB-5ED4C3A91C75}" type="presParOf" srcId="{FA68A559-3A25-4271-BC0F-3873E26C4099}" destId="{1CE29280-13AB-47B4-A80C-478B808F29C5}" srcOrd="0" destOrd="0" presId="urn:microsoft.com/office/officeart/2005/8/layout/process1"/>
    <dgm:cxn modelId="{16E8FA17-F831-4548-8A77-75EA72C58EB6}" type="presParOf" srcId="{4629C2EB-B596-42C3-A255-B54109AB202E}" destId="{CEF0097D-DCA7-4420-A35D-30512A5DAC5C}" srcOrd="2" destOrd="0" presId="urn:microsoft.com/office/officeart/2005/8/layout/process1"/>
    <dgm:cxn modelId="{CA1A1164-3886-4EC7-AE5B-9AB253585E44}" type="presParOf" srcId="{4629C2EB-B596-42C3-A255-B54109AB202E}" destId="{B10AA580-6638-44EC-B55C-39F1D2A1859C}" srcOrd="3" destOrd="0" presId="urn:microsoft.com/office/officeart/2005/8/layout/process1"/>
    <dgm:cxn modelId="{091B7997-049B-4CA3-907B-0EBE0BCA105A}" type="presParOf" srcId="{B10AA580-6638-44EC-B55C-39F1D2A1859C}" destId="{CEC08842-99AF-42FE-9C1C-DDEA3055ECE4}" srcOrd="0" destOrd="0" presId="urn:microsoft.com/office/officeart/2005/8/layout/process1"/>
    <dgm:cxn modelId="{B78A3A06-BDD1-476A-82FC-0C0F8CA98D3A}" type="presParOf" srcId="{4629C2EB-B596-42C3-A255-B54109AB202E}" destId="{4E995E4B-F55A-4F38-B875-D7C4BC2CB2A3}" srcOrd="4" destOrd="0" presId="urn:microsoft.com/office/officeart/2005/8/layout/process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0B6428-7E47-4368-A8F0-77A45B3E8D90}">
      <dsp:nvSpPr>
        <dsp:cNvPr id="0" name=""/>
        <dsp:cNvSpPr/>
      </dsp:nvSpPr>
      <dsp:spPr>
        <a:xfrm>
          <a:off x="8756" y="18784"/>
          <a:ext cx="1770036" cy="553684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b="1" kern="1200">
              <a:solidFill>
                <a:schemeClr val="bg1"/>
              </a:solidFill>
            </a:rPr>
            <a:t>STRUCTURE 	</a:t>
          </a:r>
        </a:p>
        <a:p>
          <a:pPr marL="57150" lvl="1" indent="-57150" algn="l" defTabSz="444500">
            <a:lnSpc>
              <a:spcPct val="90000"/>
            </a:lnSpc>
            <a:spcBef>
              <a:spcPct val="0"/>
            </a:spcBef>
            <a:spcAft>
              <a:spcPct val="15000"/>
            </a:spcAft>
            <a:buChar char="•"/>
          </a:pPr>
          <a:r>
            <a:rPr lang="en-US" sz="1000" kern="1200"/>
            <a:t>Management models organizing coordinated care scheduling &amp; delivery, accomodating patient preferences</a:t>
          </a:r>
          <a:endParaRPr lang="en-US" sz="1000" kern="1200">
            <a:solidFill>
              <a:schemeClr val="bg1"/>
            </a:solidFill>
          </a:endParaRPr>
        </a:p>
        <a:p>
          <a:pPr marL="57150" lvl="1" indent="-57150" algn="l" defTabSz="444500">
            <a:lnSpc>
              <a:spcPct val="90000"/>
            </a:lnSpc>
            <a:spcBef>
              <a:spcPct val="0"/>
            </a:spcBef>
            <a:spcAft>
              <a:spcPct val="15000"/>
            </a:spcAft>
            <a:buChar char="•"/>
          </a:pPr>
          <a:endParaRPr lang="en-US" sz="1000" kern="1200">
            <a:solidFill>
              <a:schemeClr val="bg1"/>
            </a:solidFill>
          </a:endParaRPr>
        </a:p>
        <a:p>
          <a:pPr marL="57150" lvl="1" indent="-57150" algn="l" defTabSz="444500">
            <a:lnSpc>
              <a:spcPct val="90000"/>
            </a:lnSpc>
            <a:spcBef>
              <a:spcPct val="0"/>
            </a:spcBef>
            <a:spcAft>
              <a:spcPct val="15000"/>
            </a:spcAft>
            <a:buChar char="•"/>
          </a:pPr>
          <a:r>
            <a:rPr lang="en-US" sz="1000" kern="1200">
              <a:solidFill>
                <a:schemeClr val="bg1"/>
              </a:solidFill>
            </a:rPr>
            <a:t>Interdisciplinary team (e.g., physicians; nurses; physical, occupational, speech &amp; respiratory therapists; case managers; social workers) to provide holistic care</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Adequate staffing</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Facility infrastructure, e.g., </a:t>
          </a:r>
        </a:p>
        <a:p>
          <a:pPr marL="114300" lvl="2" indent="-57150" algn="l" defTabSz="444500">
            <a:lnSpc>
              <a:spcPct val="90000"/>
            </a:lnSpc>
            <a:spcBef>
              <a:spcPct val="0"/>
            </a:spcBef>
            <a:spcAft>
              <a:spcPct val="15000"/>
            </a:spcAft>
            <a:buChar char="•"/>
          </a:pPr>
          <a:r>
            <a:rPr lang="en-US" sz="1000" kern="1200"/>
            <a:t>Electronic health records to facilitate communication and coordination within and across teams</a:t>
          </a:r>
        </a:p>
        <a:p>
          <a:pPr marL="114300" lvl="2" indent="-57150" algn="l" defTabSz="444500">
            <a:lnSpc>
              <a:spcPct val="90000"/>
            </a:lnSpc>
            <a:spcBef>
              <a:spcPct val="0"/>
            </a:spcBef>
            <a:spcAft>
              <a:spcPct val="15000"/>
            </a:spcAft>
            <a:buChar char="•"/>
          </a:pPr>
          <a:endParaRPr lang="en-US" sz="1000" kern="1200"/>
        </a:p>
        <a:p>
          <a:pPr marL="114300" lvl="2" indent="-57150" algn="l" defTabSz="444500">
            <a:lnSpc>
              <a:spcPct val="90000"/>
            </a:lnSpc>
            <a:spcBef>
              <a:spcPct val="0"/>
            </a:spcBef>
            <a:spcAft>
              <a:spcPct val="15000"/>
            </a:spcAft>
            <a:buChar char="•"/>
          </a:pPr>
          <a:r>
            <a:rPr lang="en-US" sz="1000" kern="1200"/>
            <a:t>Conducive physical design and simulated home environment to practice functional tasks  needed for community discharge, e.g.,</a:t>
          </a:r>
        </a:p>
        <a:p>
          <a:pPr marL="171450" lvl="3" indent="-57150" algn="l" defTabSz="444500">
            <a:lnSpc>
              <a:spcPct val="90000"/>
            </a:lnSpc>
            <a:spcBef>
              <a:spcPct val="0"/>
            </a:spcBef>
            <a:spcAft>
              <a:spcPct val="15000"/>
            </a:spcAft>
            <a:buChar char="•"/>
          </a:pPr>
          <a:endParaRPr lang="en-US" sz="1000" kern="1200"/>
        </a:p>
        <a:p>
          <a:pPr marL="171450" lvl="3" indent="-57150" algn="l" defTabSz="444500">
            <a:lnSpc>
              <a:spcPct val="90000"/>
            </a:lnSpc>
            <a:spcBef>
              <a:spcPct val="0"/>
            </a:spcBef>
            <a:spcAft>
              <a:spcPct val="15000"/>
            </a:spcAft>
            <a:buChar char="•"/>
          </a:pPr>
          <a:r>
            <a:rPr lang="en-US" sz="1000" kern="1200"/>
            <a:t>Availability of stairs to practice stair negotiation</a:t>
          </a:r>
        </a:p>
        <a:p>
          <a:pPr marL="171450" lvl="3" indent="-57150" algn="l" defTabSz="444500">
            <a:lnSpc>
              <a:spcPct val="90000"/>
            </a:lnSpc>
            <a:spcBef>
              <a:spcPct val="0"/>
            </a:spcBef>
            <a:spcAft>
              <a:spcPct val="15000"/>
            </a:spcAft>
            <a:buChar char="•"/>
          </a:pPr>
          <a:endParaRPr lang="en-US" sz="1000" kern="1200"/>
        </a:p>
        <a:p>
          <a:pPr marL="171450" lvl="3" indent="-57150" algn="l" defTabSz="444500">
            <a:lnSpc>
              <a:spcPct val="90000"/>
            </a:lnSpc>
            <a:spcBef>
              <a:spcPct val="0"/>
            </a:spcBef>
            <a:spcAft>
              <a:spcPct val="15000"/>
            </a:spcAft>
            <a:buChar char="•"/>
          </a:pPr>
          <a:r>
            <a:rPr lang="en-US" sz="1000" kern="1200"/>
            <a:t>Availability of kitchen to simulate tasks such as cooking</a:t>
          </a:r>
        </a:p>
      </dsp:txBody>
      <dsp:txXfrm>
        <a:off x="60599" y="70627"/>
        <a:ext cx="1666350" cy="5433162"/>
      </dsp:txXfrm>
    </dsp:sp>
    <dsp:sp modelId="{FA68A559-3A25-4271-BC0F-3873E26C4099}">
      <dsp:nvSpPr>
        <dsp:cNvPr id="0" name=""/>
        <dsp:cNvSpPr/>
      </dsp:nvSpPr>
      <dsp:spPr>
        <a:xfrm>
          <a:off x="1880745" y="2700053"/>
          <a:ext cx="163229" cy="1909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880745" y="2738243"/>
        <a:ext cx="114260" cy="114568"/>
      </dsp:txXfrm>
    </dsp:sp>
    <dsp:sp modelId="{CEF0097D-DCA7-4420-A35D-30512A5DAC5C}">
      <dsp:nvSpPr>
        <dsp:cNvPr id="0" name=""/>
        <dsp:cNvSpPr/>
      </dsp:nvSpPr>
      <dsp:spPr>
        <a:xfrm>
          <a:off x="2086773" y="0"/>
          <a:ext cx="5046877" cy="557441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b="1" kern="1200">
              <a:solidFill>
                <a:schemeClr val="bg1"/>
              </a:solidFill>
            </a:rPr>
            <a:t>PROCESS</a:t>
          </a:r>
        </a:p>
        <a:p>
          <a:pPr marL="57150" lvl="1" indent="-57150" algn="l" defTabSz="444500">
            <a:lnSpc>
              <a:spcPct val="90000"/>
            </a:lnSpc>
            <a:spcBef>
              <a:spcPct val="0"/>
            </a:spcBef>
            <a:spcAft>
              <a:spcPct val="15000"/>
            </a:spcAft>
            <a:buChar char="•"/>
          </a:pPr>
          <a:r>
            <a:rPr lang="en-US" sz="1000" kern="1200"/>
            <a:t>Comprehensive patient assessment on admission or as soon as feasible (e.g., medical and functional status, home environment, caregiver support, discharge destination planning, goals for discharge to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Establish goals and plan of care with patient/family, focusing on goals for discharge to community (if appropriate) and addressing discharge barriers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Medical and rehabilitation strategies as relevant (e.g., improving medical &amp; functional status)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Regular team meetings for discharge planning (e.g., continuing needs assessment and assessment of patient progress, resolution of discharge barriers, need for follow-up services)</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Patient/family/caregiver education &amp; training (e.g., medication management, assisting with mobility, warning signs for seeking medical assistance once in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Set up necessary transitional care services, home services, follow-up appointments; provide transportation resources for travel to appointments as needed</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Arrange necessary medical equipment or assistive devices needed for discharge to community</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Peer mentor programs to assist with community transition, as relevant</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Provide information about patient or caregiver support groups, as relevant, to assist with community transition</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Provide provider contact information to patient/caregiver for any questions or concerns once in the community; post-discharge provider follow-up (e.g., phone calls) to check patient status and answer questions as needed</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Information exchange with the receiving provider, if any</a:t>
          </a:r>
        </a:p>
      </dsp:txBody>
      <dsp:txXfrm>
        <a:off x="2234591" y="147818"/>
        <a:ext cx="4751241" cy="5278781"/>
      </dsp:txXfrm>
    </dsp:sp>
    <dsp:sp modelId="{B10AA580-6638-44EC-B55C-39F1D2A1859C}">
      <dsp:nvSpPr>
        <dsp:cNvPr id="0" name=""/>
        <dsp:cNvSpPr/>
      </dsp:nvSpPr>
      <dsp:spPr>
        <a:xfrm>
          <a:off x="7210646" y="2691734"/>
          <a:ext cx="163229" cy="190948"/>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7210646" y="2729924"/>
        <a:ext cx="114260" cy="114568"/>
      </dsp:txXfrm>
    </dsp:sp>
    <dsp:sp modelId="{4E995E4B-F55A-4F38-B875-D7C4BC2CB2A3}">
      <dsp:nvSpPr>
        <dsp:cNvPr id="0" name=""/>
        <dsp:cNvSpPr/>
      </dsp:nvSpPr>
      <dsp:spPr>
        <a:xfrm>
          <a:off x="7441632" y="18784"/>
          <a:ext cx="802706" cy="553684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t" anchorCtr="0">
          <a:noAutofit/>
        </a:bodyPr>
        <a:lstStyle/>
        <a:p>
          <a:pPr marL="0" lvl="0" indent="0" algn="l" defTabSz="444500">
            <a:lnSpc>
              <a:spcPct val="90000"/>
            </a:lnSpc>
            <a:spcBef>
              <a:spcPct val="0"/>
            </a:spcBef>
            <a:spcAft>
              <a:spcPct val="35000"/>
            </a:spcAft>
            <a:buNone/>
          </a:pPr>
          <a:r>
            <a:rPr lang="en-US" sz="1000" b="1" kern="1200"/>
            <a:t>OUTCOME</a:t>
          </a:r>
        </a:p>
        <a:p>
          <a:pPr marL="57150" lvl="1" indent="-57150" algn="l" defTabSz="444500">
            <a:lnSpc>
              <a:spcPct val="90000"/>
            </a:lnSpc>
            <a:spcBef>
              <a:spcPct val="0"/>
            </a:spcBef>
            <a:spcAft>
              <a:spcPct val="15000"/>
            </a:spcAft>
            <a:buChar char="•"/>
          </a:pPr>
          <a:endParaRPr lang="en-US" sz="1000" kern="1200"/>
        </a:p>
        <a:p>
          <a:pPr marL="57150" lvl="1" indent="-57150" algn="l" defTabSz="444500">
            <a:lnSpc>
              <a:spcPct val="90000"/>
            </a:lnSpc>
            <a:spcBef>
              <a:spcPct val="0"/>
            </a:spcBef>
            <a:spcAft>
              <a:spcPct val="15000"/>
            </a:spcAft>
            <a:buChar char="•"/>
          </a:pPr>
          <a:r>
            <a:rPr lang="en-US" sz="1000" kern="1200"/>
            <a:t>Patient successfully discharged to community</a:t>
          </a:r>
        </a:p>
        <a:p>
          <a:pPr marL="57150" lvl="1" indent="-57150" algn="l" defTabSz="444500">
            <a:lnSpc>
              <a:spcPct val="90000"/>
            </a:lnSpc>
            <a:spcBef>
              <a:spcPct val="0"/>
            </a:spcBef>
            <a:spcAft>
              <a:spcPct val="15000"/>
            </a:spcAft>
            <a:buChar char="•"/>
          </a:pPr>
          <a:endParaRPr lang="en-US" sz="1000" kern="1200"/>
        </a:p>
      </dsp:txBody>
      <dsp:txXfrm>
        <a:off x="7465142" y="42294"/>
        <a:ext cx="755686" cy="548982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12FDC852BACE4C139696272699259650"/>
        <w:category>
          <w:name w:val="General"/>
          <w:gallery w:val="placeholder"/>
        </w:category>
        <w:types>
          <w:type w:val="bbPlcHdr"/>
        </w:types>
        <w:behaviors>
          <w:behavior w:val="content"/>
        </w:behaviors>
        <w:guid w:val="{CF1EE79D-6035-4654-8B05-1F1815090B26}"/>
      </w:docPartPr>
      <w:docPartBody>
        <w:p w:rsidR="00330C54" w:rsidRDefault="005B2B97" w:rsidP="005B2B97">
          <w:pPr>
            <w:pStyle w:val="12FDC852BACE4C139696272699259650"/>
          </w:pPr>
          <w:r w:rsidRPr="00A25024">
            <w:rPr>
              <w:rStyle w:val="PlaceholderText"/>
              <w:rFonts w:cstheme="minorHAnsi"/>
              <w:color w:val="A6A6A6" w:themeColor="background1" w:themeShade="A6"/>
            </w:rPr>
            <w:t>Click here to enter measure title</w:t>
          </w:r>
        </w:p>
      </w:docPartBody>
    </w:docPart>
    <w:docPart>
      <w:docPartPr>
        <w:name w:val="069E082D769F492AABDC086DE956358E"/>
        <w:category>
          <w:name w:val="General"/>
          <w:gallery w:val="placeholder"/>
        </w:category>
        <w:types>
          <w:type w:val="bbPlcHdr"/>
        </w:types>
        <w:behaviors>
          <w:behavior w:val="content"/>
        </w:behaviors>
        <w:guid w:val="{429C58CB-D2DB-4339-9116-FAAF6202B51F}"/>
      </w:docPartPr>
      <w:docPartBody>
        <w:p w:rsidR="00330C54" w:rsidRDefault="005B2B97" w:rsidP="005B2B97">
          <w:pPr>
            <w:pStyle w:val="069E082D769F492AABDC086DE956358E"/>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otham Book">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erriweather">
    <w:altName w:val="Calibri"/>
    <w:charset w:val="00"/>
    <w:family w:val="auto"/>
    <w:pitch w:val="default"/>
  </w:font>
  <w:font w:name="ScalaLancetPro">
    <w:altName w:val="Yu Gothic"/>
    <w:panose1 w:val="00000000000000000000"/>
    <w:charset w:val="80"/>
    <w:family w:val="auto"/>
    <w:notTrueType/>
    <w:pitch w:val="default"/>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30C54"/>
    <w:rsid w:val="003A1E4B"/>
    <w:rsid w:val="00455EB5"/>
    <w:rsid w:val="00461C1C"/>
    <w:rsid w:val="004E2027"/>
    <w:rsid w:val="005B2B97"/>
    <w:rsid w:val="005F21F3"/>
    <w:rsid w:val="008F6A9B"/>
    <w:rsid w:val="00A77B15"/>
    <w:rsid w:val="00BA79D8"/>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2B97"/>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12FDC852BACE4C139696272699259650">
    <w:name w:val="12FDC852BACE4C139696272699259650"/>
    <w:rsid w:val="005B2B97"/>
    <w:pPr>
      <w:spacing w:after="160" w:line="259" w:lineRule="auto"/>
    </w:pPr>
  </w:style>
  <w:style w:type="paragraph" w:customStyle="1" w:styleId="069E082D769F492AABDC086DE956358E">
    <w:name w:val="069E082D769F492AABDC086DE956358E"/>
    <w:rsid w:val="005B2B9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5.xml><?xml version="1.0" encoding="utf-8"?>
<ds:datastoreItem xmlns:ds="http://schemas.openxmlformats.org/officeDocument/2006/customXml" ds:itemID="{921A95B0-E2A0-4E72-B679-D869CC0D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10</Pages>
  <Words>4624</Words>
  <Characters>26360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Pardasaney, Poonam</cp:lastModifiedBy>
  <cp:revision>68</cp:revision>
  <cp:lastPrinted>2018-10-14T16:49:00Z</cp:lastPrinted>
  <dcterms:created xsi:type="dcterms:W3CDTF">2018-12-17T00:57:00Z</dcterms:created>
  <dcterms:modified xsi:type="dcterms:W3CDTF">2018-12-18T21:34:00Z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