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7ACEE732"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031F7D" w:rsidRPr="00F93E84">
            <w:rPr>
              <w:rStyle w:val="Style1"/>
              <w:color w:val="4F81BD" w:themeColor="accent1"/>
            </w:rPr>
            <w:t>3484</w:t>
          </w:r>
        </w:sdtContent>
      </w:sdt>
    </w:p>
    <w:p w14:paraId="55B8DA2F" w14:textId="77686099"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031F7D" w:rsidRPr="00F93E84">
            <w:rPr>
              <w:rStyle w:val="Style1"/>
              <w:color w:val="4F81BD" w:themeColor="accent1"/>
            </w:rPr>
            <w:t>Prenatal Immunization Status</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65EB9D1D"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color w:val="4F81BD" w:themeColor="accent1"/>
          </w:rPr>
          <w:id w:val="-1689821638"/>
          <w:placeholder>
            <w:docPart w:val="6A100845774148B09AFD987423307E3B"/>
          </w:placeholder>
          <w:date w:fullDate="2019-11-15T00:00:00Z">
            <w:dateFormat w:val="M/d/yyyy"/>
            <w:lid w:val="en-US"/>
            <w:storeMappedDataAs w:val="dateTime"/>
            <w:calendar w:val="gregorian"/>
          </w:date>
        </w:sdtPr>
        <w:sdtEndPr>
          <w:rPr>
            <w:rStyle w:val="DefaultParagraphFont"/>
            <w:noProof/>
            <w:u w:val="none"/>
          </w:rPr>
        </w:sdtEndPr>
        <w:sdtContent>
          <w:r w:rsidR="0071331C" w:rsidRPr="00F93E84">
            <w:rPr>
              <w:rStyle w:val="Style2"/>
              <w:color w:val="4F81BD" w:themeColor="accent1"/>
            </w:rPr>
            <w:t>11/1</w:t>
          </w:r>
          <w:r w:rsidR="008025C2" w:rsidRPr="00F93E84">
            <w:rPr>
              <w:rStyle w:val="Style2"/>
              <w:color w:val="4F81BD" w:themeColor="accent1"/>
            </w:rPr>
            <w:t>5</w:t>
          </w:r>
          <w:r w:rsidR="0071331C" w:rsidRPr="00F93E84">
            <w:rPr>
              <w:rStyle w:val="Style2"/>
              <w:color w:val="4F81BD" w:themeColor="accent1"/>
            </w:rPr>
            <w:t>/2019</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1" w:name="Note2"/>
            <w:bookmarkEnd w:id="1"/>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2"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ascii="Symbol" w:eastAsia="Symbol" w:hAnsi="Symbol" w:cs="Symbol"/>
                <w:sz w:val="20"/>
                <w:szCs w:val="20"/>
              </w:rPr>
              <w:t></w:t>
            </w:r>
            <w:r w:rsidRPr="003B1CC5">
              <w:rPr>
                <w:rFonts w:eastAsia="Calibri" w:cs="Calibri"/>
                <w:sz w:val="20"/>
                <w:szCs w:val="20"/>
              </w:rPr>
              <w:t xml:space="preserve"> identify problem/potential problem </w:t>
            </w:r>
            <w:r w:rsidRPr="003B1CC5">
              <w:rPr>
                <w:rFonts w:ascii="Symbol" w:eastAsia="Symbol" w:hAnsi="Symbol" w:cs="Symbol"/>
                <w:sz w:val="20"/>
                <w:szCs w:val="20"/>
              </w:rPr>
              <w:t></w:t>
            </w:r>
            <w:r w:rsidRPr="003B1CC5">
              <w:rPr>
                <w:rFonts w:eastAsia="Calibri" w:cs="Calibri"/>
                <w:sz w:val="20"/>
                <w:szCs w:val="20"/>
              </w:rPr>
              <w:t xml:space="preserve"> choose/plan intervention (with patient input) </w:t>
            </w:r>
            <w:r w:rsidRPr="003B1CC5">
              <w:rPr>
                <w:rFonts w:ascii="Symbol" w:eastAsia="Symbol" w:hAnsi="Symbol" w:cs="Symbol"/>
                <w:sz w:val="20"/>
                <w:szCs w:val="20"/>
              </w:rPr>
              <w:t></w:t>
            </w:r>
            <w:r w:rsidRPr="003B1CC5">
              <w:rPr>
                <w:rFonts w:eastAsia="Calibri" w:cs="Calibri"/>
                <w:sz w:val="20"/>
                <w:szCs w:val="20"/>
              </w:rPr>
              <w:t xml:space="preserve"> provide intervention </w:t>
            </w:r>
            <w:r w:rsidRPr="003B1CC5">
              <w:rPr>
                <w:rFonts w:ascii="Symbol" w:eastAsia="Symbol" w:hAnsi="Symbol" w:cs="Symbol"/>
                <w:sz w:val="20"/>
                <w:szCs w:val="20"/>
              </w:rPr>
              <w:t></w:t>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5A4433E0"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F964E9" w:rsidRDefault="00171115" w:rsidP="00A9011D">
      <w:pPr>
        <w:ind w:left="432" w:hanging="432"/>
        <w:rPr>
          <w:rStyle w:val="Style2"/>
          <w:rFonts w:cstheme="minorHAnsi"/>
          <w:u w:val="none"/>
        </w:rPr>
      </w:pPr>
      <w:sdt>
        <w:sdtPr>
          <w:rPr>
            <w:color w:val="0000FF"/>
            <w:u w:val="single"/>
          </w:rPr>
          <w:id w:val="1077707841"/>
          <w14:checkbox>
            <w14:checked w14:val="0"/>
            <w14:checkedState w14:val="2612" w14:font="MS Gothic"/>
            <w14:uncheckedState w14:val="2610" w14:font="MS Gothic"/>
          </w14:checkbox>
        </w:sdtPr>
        <w:sdtEndPr/>
        <w:sdtContent>
          <w:r w:rsidR="00A9011D" w:rsidRPr="00F964E9">
            <w:rPr>
              <w:rFonts w:ascii="MS Gothic" w:eastAsia="MS Gothic" w:hAnsi="MS Gothic" w:hint="eastAsia"/>
              <w:bCs/>
              <w:color w:val="0000FF"/>
            </w:rPr>
            <w:t>☐</w:t>
          </w:r>
        </w:sdtContent>
      </w:sdt>
      <w:r w:rsidR="0015535B" w:rsidRPr="00F964E9">
        <w:rPr>
          <w:bCs/>
          <w:color w:val="0000FF"/>
        </w:rPr>
        <w:t xml:space="preserve"> </w:t>
      </w:r>
      <w:r w:rsidR="00CC0F87" w:rsidRPr="00F964E9">
        <w:rPr>
          <w:bCs/>
          <w:color w:val="000000" w:themeColor="text1"/>
        </w:rPr>
        <w:t>O</w:t>
      </w:r>
      <w:r w:rsidR="00BE6373" w:rsidRPr="00F964E9">
        <w:rPr>
          <w:bCs/>
        </w:rPr>
        <w:t>utc</w:t>
      </w:r>
      <w:r w:rsidR="00496AF8" w:rsidRPr="00F964E9">
        <w:rPr>
          <w:bCs/>
        </w:rPr>
        <w:t>ome</w:t>
      </w:r>
      <w:r w:rsidR="00B117D0" w:rsidRPr="00F964E9">
        <w:rPr>
          <w:bCs/>
        </w:rPr>
        <w:t xml:space="preserve">: </w:t>
      </w:r>
      <w:sdt>
        <w:sdtPr>
          <w:rPr>
            <w:rStyle w:val="Style2"/>
            <w:rFonts w:cstheme="minorHAnsi"/>
            <w:u w:val="none"/>
          </w:rPr>
          <w:id w:val="-768232283"/>
          <w:showingPlcHdr/>
        </w:sdtPr>
        <w:sdtEndPr>
          <w:rPr>
            <w:rStyle w:val="DefaultParagraphFont"/>
            <w:rFonts w:cstheme="minorBidi"/>
            <w:color w:val="auto"/>
          </w:rPr>
        </w:sdtEndPr>
        <w:sdtContent>
          <w:r w:rsidR="00496AF8" w:rsidRPr="00F964E9">
            <w:rPr>
              <w:color w:val="A6A6A6" w:themeColor="background1" w:themeShade="A6"/>
            </w:rPr>
            <w:t>Click here to n</w:t>
          </w:r>
          <w:r w:rsidR="00496AF8" w:rsidRPr="00F964E9">
            <w:rPr>
              <w:rStyle w:val="PlaceholderText"/>
              <w:rFonts w:cstheme="minorHAnsi"/>
              <w:color w:val="A6A6A6" w:themeColor="background1" w:themeShade="A6"/>
            </w:rPr>
            <w:t>ame the health outcome</w:t>
          </w:r>
        </w:sdtContent>
      </w:sdt>
    </w:p>
    <w:p w14:paraId="55B8DA52" w14:textId="77777777" w:rsidR="00236F87" w:rsidRPr="003B1CC5" w:rsidRDefault="00171115"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171115"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8A0BF6C" w:rsidR="00D73685" w:rsidRDefault="00171115"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7D6C6B">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7D6C6B">
            <w:rPr>
              <w:rStyle w:val="Style2"/>
              <w:rFonts w:cstheme="minorHAnsi"/>
            </w:rPr>
            <w:t xml:space="preserve">     </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171115"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65A50DF6" w:rsidR="00496AF8" w:rsidRPr="003B1CC5" w:rsidRDefault="00171115" w:rsidP="00015986">
      <w:pPr>
        <w:ind w:left="432" w:hanging="432"/>
        <w:rPr>
          <w:bCs/>
        </w:rPr>
      </w:pPr>
      <w:sdt>
        <w:sdtPr>
          <w:rPr>
            <w:bCs/>
            <w:color w:val="0000FF"/>
          </w:rPr>
          <w:id w:val="1719405626"/>
          <w14:checkbox>
            <w14:checked w14:val="1"/>
            <w14:checkedState w14:val="2612" w14:font="MS Gothic"/>
            <w14:uncheckedState w14:val="2610" w14:font="MS Gothic"/>
          </w14:checkbox>
        </w:sdtPr>
        <w:sdtEndPr/>
        <w:sdtContent>
          <w:r w:rsidR="007D6C6B">
            <w:rPr>
              <w:rFonts w:ascii="MS Gothic" w:eastAsia="MS Gothic" w:hAnsi="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dtPr>
        <w:sdtEndPr>
          <w:rPr>
            <w:rStyle w:val="DefaultParagraphFont"/>
            <w:rFonts w:cstheme="minorBidi"/>
            <w:bCs/>
            <w:color w:val="auto"/>
            <w:u w:val="none"/>
          </w:rPr>
        </w:sdtEndPr>
        <w:sdtContent>
          <w:sdt>
            <w:sdtPr>
              <w:rPr>
                <w:rStyle w:val="Style2"/>
                <w:rFonts w:cstheme="minorHAnsi"/>
                <w:color w:val="4F81BD" w:themeColor="accent1"/>
              </w:rPr>
              <w:id w:val="-305402999"/>
            </w:sdtPr>
            <w:sdtEndPr>
              <w:rPr>
                <w:rStyle w:val="DefaultParagraphFont"/>
                <w:rFonts w:cstheme="minorBidi"/>
                <w:bCs/>
                <w:u w:val="none"/>
              </w:rPr>
            </w:sdtEndPr>
            <w:sdtContent>
              <w:r w:rsidR="00ED0453" w:rsidRPr="000869E1">
                <w:rPr>
                  <w:rStyle w:val="Style2"/>
                  <w:rFonts w:cstheme="minorHAnsi"/>
                  <w:color w:val="4F81BD" w:themeColor="accent1"/>
                </w:rPr>
                <w:t xml:space="preserve">The percentage </w:t>
              </w:r>
              <w:r w:rsidR="003D5E56" w:rsidRPr="000869E1">
                <w:rPr>
                  <w:rStyle w:val="Style2"/>
                  <w:rFonts w:cstheme="minorHAnsi"/>
                  <w:color w:val="4F81BD" w:themeColor="accent1"/>
                </w:rPr>
                <w:t xml:space="preserve">of deliveries </w:t>
              </w:r>
              <w:r w:rsidR="00A657EA" w:rsidRPr="000869E1">
                <w:rPr>
                  <w:rStyle w:val="Style2"/>
                  <w:rFonts w:cstheme="minorHAnsi"/>
                  <w:color w:val="4F81BD" w:themeColor="accent1"/>
                </w:rPr>
                <w:t>in</w:t>
              </w:r>
              <w:r w:rsidR="003D5E56" w:rsidRPr="000869E1">
                <w:rPr>
                  <w:rStyle w:val="Style2"/>
                  <w:rFonts w:cstheme="minorHAnsi"/>
                  <w:color w:val="4F81BD" w:themeColor="accent1"/>
                </w:rPr>
                <w:t xml:space="preserve"> the measurement year in which women had received influenza and tetanus, diphtheria and acellular pertussis (Tdap) vaccinations.</w:t>
              </w:r>
            </w:sdtContent>
          </w:sdt>
          <w:r w:rsidR="007D6C6B" w:rsidRPr="000869E1">
            <w:rPr>
              <w:bCs/>
              <w:color w:val="4F81BD" w:themeColor="accent1"/>
            </w:rPr>
            <w:t xml:space="preserve"> </w:t>
          </w:r>
        </w:sdtContent>
      </w:sdt>
    </w:p>
    <w:p w14:paraId="55B8DA59" w14:textId="77777777" w:rsidR="00496AF8" w:rsidRPr="003B1CC5" w:rsidRDefault="00496AF8" w:rsidP="002E2177">
      <w:pPr>
        <w:ind w:left="0" w:firstLine="0"/>
        <w:rPr>
          <w:bCs/>
        </w:rPr>
      </w:pPr>
    </w:p>
    <w:p w14:paraId="55B8DA5A" w14:textId="6FD1C64B" w:rsidR="002B06BD" w:rsidRPr="00676BD4" w:rsidRDefault="58A21243" w:rsidP="002B06BD">
      <w:pPr>
        <w:ind w:left="432" w:hanging="432"/>
        <w:rPr>
          <w:iCs/>
        </w:rPr>
      </w:pPr>
      <w:r w:rsidRPr="58A21243">
        <w:rPr>
          <w:b/>
          <w:bCs/>
          <w:color w:val="0000FF"/>
        </w:rPr>
        <w:t>1a.2</w:t>
      </w:r>
      <w:r>
        <w:t xml:space="preserve"> </w:t>
      </w:r>
      <w:r w:rsidRPr="58A21243">
        <w:rPr>
          <w:b/>
          <w:bCs/>
        </w:rPr>
        <w:t>LOGIC MODEL</w:t>
      </w:r>
      <w:r>
        <w:t xml:space="preserve"> Diagram or 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w:t>
      </w:r>
    </w:p>
    <w:p w14:paraId="42350E02" w14:textId="7C100CFB" w:rsidR="58A21243" w:rsidRDefault="58A21243" w:rsidP="58A21243">
      <w:pPr>
        <w:ind w:left="0" w:firstLine="0"/>
        <w:rPr>
          <w:color w:val="4F81BD" w:themeColor="accent1"/>
        </w:rPr>
      </w:pPr>
    </w:p>
    <w:p w14:paraId="55B8DA5B" w14:textId="3C33D431" w:rsidR="002B06BD" w:rsidRPr="000869E1" w:rsidRDefault="00946DC5" w:rsidP="00DE6734">
      <w:pPr>
        <w:ind w:left="0" w:firstLine="0"/>
        <w:rPr>
          <w:color w:val="4F81BD" w:themeColor="accent1"/>
        </w:rPr>
      </w:pPr>
      <w:r w:rsidRPr="000869E1">
        <w:rPr>
          <w:color w:val="4F81BD" w:themeColor="accent1"/>
        </w:rPr>
        <w:t>Pregnant women</w:t>
      </w:r>
      <w:r w:rsidR="00DE6734" w:rsidRPr="000869E1">
        <w:rPr>
          <w:color w:val="4F81BD" w:themeColor="accent1"/>
        </w:rPr>
        <w:t xml:space="preserve"> &gt;&gt; Tdap and influenza vaccinations </w:t>
      </w:r>
      <w:r w:rsidR="00C601A4" w:rsidRPr="000869E1">
        <w:rPr>
          <w:color w:val="4F81BD" w:themeColor="accent1"/>
        </w:rPr>
        <w:t>during pregnancy</w:t>
      </w:r>
      <w:r w:rsidR="000869E1">
        <w:rPr>
          <w:color w:val="4F81BD" w:themeColor="accent1"/>
        </w:rPr>
        <w:t xml:space="preserve"> are </w:t>
      </w:r>
      <w:r w:rsidR="00857AAE">
        <w:rPr>
          <w:color w:val="4F81BD" w:themeColor="accent1"/>
        </w:rPr>
        <w:t>given</w:t>
      </w:r>
      <w:r w:rsidR="00857AAE" w:rsidRPr="000869E1">
        <w:rPr>
          <w:color w:val="4F81BD" w:themeColor="accent1"/>
        </w:rPr>
        <w:t xml:space="preserve"> </w:t>
      </w:r>
      <w:r w:rsidR="00DE6734" w:rsidRPr="000869E1">
        <w:rPr>
          <w:color w:val="4F81BD" w:themeColor="accent1"/>
        </w:rPr>
        <w:t xml:space="preserve">&gt;&gt; increased resistance </w:t>
      </w:r>
      <w:r w:rsidR="003B4BFA" w:rsidRPr="000869E1">
        <w:rPr>
          <w:color w:val="4F81BD" w:themeColor="accent1"/>
        </w:rPr>
        <w:t>and prevention of</w:t>
      </w:r>
      <w:r w:rsidR="00DE6734" w:rsidRPr="000869E1">
        <w:rPr>
          <w:color w:val="4F81BD" w:themeColor="accent1"/>
        </w:rPr>
        <w:t xml:space="preserve"> diseases for mother and infant &gt;&gt; improved health</w:t>
      </w:r>
      <w:r w:rsidR="00407F5F" w:rsidRPr="000869E1">
        <w:rPr>
          <w:color w:val="4F81BD" w:themeColor="accent1"/>
        </w:rPr>
        <w:t>, length,</w:t>
      </w:r>
      <w:r w:rsidR="00DE6734" w:rsidRPr="000869E1">
        <w:rPr>
          <w:color w:val="4F81BD" w:themeColor="accent1"/>
        </w:rPr>
        <w:t xml:space="preserve"> and quality of life</w:t>
      </w:r>
    </w:p>
    <w:p w14:paraId="55B8DA5C" w14:textId="47993695" w:rsidR="00676BD4" w:rsidRDefault="00676BD4" w:rsidP="002E2177">
      <w:pPr>
        <w:ind w:left="432" w:hanging="432"/>
        <w:rPr>
          <w:b/>
          <w:color w:val="0000FF"/>
        </w:rPr>
      </w:pPr>
    </w:p>
    <w:p w14:paraId="33C7741B" w14:textId="4993289B" w:rsidR="004922E4" w:rsidRPr="00DE6734" w:rsidRDefault="004922E4" w:rsidP="004922E4">
      <w:pPr>
        <w:ind w:right="140"/>
        <w:rPr>
          <w:b/>
          <w:iCs/>
          <w:color w:val="808080" w:themeColor="background1" w:themeShade="80"/>
        </w:rPr>
      </w:pPr>
      <w:r w:rsidRPr="00DE6734">
        <w:rPr>
          <w:b/>
          <w:bCs/>
          <w:color w:val="808080" w:themeColor="background1" w:themeShade="80"/>
        </w:rPr>
        <w:t>1a.3</w:t>
      </w:r>
      <w:r w:rsidRPr="00DE6734">
        <w:rPr>
          <w:bCs/>
          <w:color w:val="808080" w:themeColor="background1" w:themeShade="80"/>
        </w:rPr>
        <w:t xml:space="preserve"> </w:t>
      </w:r>
      <w:r w:rsidRPr="00DE6734">
        <w:rPr>
          <w:b/>
          <w:bCs/>
          <w:color w:val="808080" w:themeColor="background1" w:themeShade="80"/>
        </w:rPr>
        <w:t xml:space="preserve">Value and Meaningfulness:  </w:t>
      </w:r>
      <w:r w:rsidRPr="00DE6734">
        <w:rPr>
          <w:bCs/>
          <w:color w:val="808080" w:themeColor="background1" w:themeShade="80"/>
        </w:rPr>
        <w:t xml:space="preserve"> </w:t>
      </w:r>
      <w:r w:rsidRPr="00DE6734">
        <w:rPr>
          <w:b/>
          <w:iCs/>
          <w:color w:val="808080" w:themeColor="background1" w:themeShade="80"/>
        </w:rPr>
        <w:t xml:space="preserve">IF </w:t>
      </w:r>
      <w:r w:rsidRPr="00DE6734">
        <w:rPr>
          <w:iCs/>
          <w:color w:val="808080" w:themeColor="background1" w:themeShade="80"/>
        </w:rPr>
        <w:t xml:space="preserve">this measure is derived from patient report, provide evidence that the target population values the measured </w:t>
      </w:r>
      <w:r w:rsidRPr="00DE6734">
        <w:rPr>
          <w:b/>
          <w:i/>
          <w:iCs/>
          <w:color w:val="808080" w:themeColor="background1" w:themeShade="80"/>
        </w:rPr>
        <w:t>outcome, process, or structure</w:t>
      </w:r>
      <w:r w:rsidRPr="00DE6734">
        <w:rPr>
          <w:iCs/>
          <w:color w:val="808080" w:themeColor="background1" w:themeShade="80"/>
        </w:rPr>
        <w:t xml:space="preserve"> and finds it meaningful. (Describe how and from whom their input was obtained.)</w:t>
      </w: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E62FB3" w:rsidRDefault="00B058A6" w:rsidP="00C41794">
      <w:pPr>
        <w:ind w:left="432" w:hanging="432"/>
        <w:rPr>
          <w:b/>
          <w:color w:val="808080" w:themeColor="background1" w:themeShade="80"/>
        </w:rPr>
      </w:pPr>
      <w:r w:rsidRPr="00E62FB3">
        <w:rPr>
          <w:b/>
          <w:color w:val="808080" w:themeColor="background1" w:themeShade="80"/>
        </w:rPr>
        <w:t>1</w:t>
      </w:r>
      <w:r w:rsidR="00773485" w:rsidRPr="00E62FB3">
        <w:rPr>
          <w:b/>
          <w:color w:val="808080" w:themeColor="background1" w:themeShade="80"/>
        </w:rPr>
        <w:t>a</w:t>
      </w:r>
      <w:r w:rsidRPr="00E62FB3">
        <w:rPr>
          <w:b/>
          <w:color w:val="808080" w:themeColor="background1" w:themeShade="80"/>
        </w:rPr>
        <w:t>.2</w:t>
      </w:r>
      <w:r w:rsidR="00E41417" w:rsidRPr="00E62FB3">
        <w:rPr>
          <w:iCs/>
          <w:color w:val="808080" w:themeColor="background1" w:themeShade="80"/>
        </w:rPr>
        <w:t xml:space="preserve"> </w:t>
      </w:r>
      <w:r w:rsidR="00C41794" w:rsidRPr="00E62FB3">
        <w:rPr>
          <w:b/>
          <w:color w:val="808080" w:themeColor="background1" w:themeShade="80"/>
        </w:rPr>
        <w:t>FOR OUTCOME MEASURES including PATIENT REPORTED OUTCOMES</w:t>
      </w:r>
      <w:r w:rsidR="003D6721" w:rsidRPr="00E62FB3">
        <w:rPr>
          <w:b/>
          <w:color w:val="808080" w:themeColor="background1" w:themeShade="80"/>
        </w:rPr>
        <w:t xml:space="preserve"> </w:t>
      </w:r>
      <w:r w:rsidR="00C41794" w:rsidRPr="00E62FB3">
        <w:rPr>
          <w:b/>
          <w:color w:val="808080" w:themeColor="background1" w:themeShade="80"/>
        </w:rPr>
        <w:t>-</w:t>
      </w:r>
      <w:r w:rsidR="00C41794" w:rsidRPr="00E62FB3">
        <w:rPr>
          <w:b/>
          <w:iCs/>
          <w:color w:val="808080" w:themeColor="background1" w:themeShade="80"/>
        </w:rPr>
        <w:t xml:space="preserve"> </w:t>
      </w:r>
      <w:r w:rsidR="003D6721" w:rsidRPr="00E62FB3">
        <w:rPr>
          <w:b/>
          <w:iCs/>
          <w:color w:val="808080" w:themeColor="background1" w:themeShade="80"/>
        </w:rPr>
        <w:t xml:space="preserve">Provide empirical data demonstrating </w:t>
      </w:r>
      <w:r w:rsidR="008B51D9" w:rsidRPr="00E62FB3">
        <w:rPr>
          <w:b/>
          <w:iCs/>
          <w:color w:val="808080" w:themeColor="background1" w:themeShade="80"/>
        </w:rPr>
        <w:t xml:space="preserve">the </w:t>
      </w:r>
      <w:r w:rsidR="005D25E9" w:rsidRPr="00E62FB3">
        <w:rPr>
          <w:b/>
          <w:iCs/>
          <w:color w:val="808080" w:themeColor="background1" w:themeShade="80"/>
        </w:rPr>
        <w:t xml:space="preserve">relationship </w:t>
      </w:r>
      <w:r w:rsidR="00AC1E53" w:rsidRPr="00E62FB3">
        <w:rPr>
          <w:b/>
          <w:iCs/>
          <w:color w:val="808080" w:themeColor="background1" w:themeShade="80"/>
        </w:rPr>
        <w:t>between</w:t>
      </w:r>
      <w:r w:rsidR="005D25E9" w:rsidRPr="00E62FB3">
        <w:rPr>
          <w:b/>
          <w:iCs/>
          <w:color w:val="808080" w:themeColor="background1" w:themeShade="80"/>
        </w:rPr>
        <w:t xml:space="preserve"> the </w:t>
      </w:r>
      <w:r w:rsidR="008B51D9" w:rsidRPr="00E62FB3">
        <w:rPr>
          <w:b/>
          <w:iCs/>
          <w:color w:val="808080" w:themeColor="background1" w:themeShade="80"/>
        </w:rPr>
        <w:t>outcome</w:t>
      </w:r>
      <w:r w:rsidR="005857F8" w:rsidRPr="00E62FB3">
        <w:rPr>
          <w:b/>
          <w:iCs/>
          <w:color w:val="808080" w:themeColor="background1" w:themeShade="80"/>
        </w:rPr>
        <w:t xml:space="preserve"> </w:t>
      </w:r>
      <w:r w:rsidR="00AA5587" w:rsidRPr="00E62FB3">
        <w:rPr>
          <w:b/>
          <w:iCs/>
          <w:color w:val="808080" w:themeColor="background1" w:themeShade="80"/>
        </w:rPr>
        <w:t>(</w:t>
      </w:r>
      <w:r w:rsidR="005857F8" w:rsidRPr="00E62FB3">
        <w:rPr>
          <w:b/>
          <w:iCs/>
          <w:color w:val="808080" w:themeColor="background1" w:themeShade="80"/>
        </w:rPr>
        <w:t>or PRO</w:t>
      </w:r>
      <w:r w:rsidR="00AA5587" w:rsidRPr="00E62FB3">
        <w:rPr>
          <w:b/>
          <w:iCs/>
          <w:color w:val="808080" w:themeColor="background1" w:themeShade="80"/>
        </w:rPr>
        <w:t>)</w:t>
      </w:r>
      <w:r w:rsidR="008B51D9" w:rsidRPr="00E62FB3">
        <w:rPr>
          <w:b/>
          <w:iCs/>
          <w:color w:val="808080" w:themeColor="background1" w:themeShade="80"/>
        </w:rPr>
        <w:t xml:space="preserve"> </w:t>
      </w:r>
      <w:r w:rsidR="005D25E9" w:rsidRPr="00E62FB3">
        <w:rPr>
          <w:b/>
          <w:iCs/>
          <w:color w:val="808080" w:themeColor="background1" w:themeShade="80"/>
        </w:rPr>
        <w:t>to</w:t>
      </w:r>
      <w:r w:rsidR="00236F87" w:rsidRPr="00E62FB3">
        <w:rPr>
          <w:b/>
          <w:iCs/>
          <w:color w:val="808080" w:themeColor="background1" w:themeShade="80"/>
        </w:rPr>
        <w:t xml:space="preserve"> </w:t>
      </w:r>
      <w:r w:rsidR="00496AF8" w:rsidRPr="00E62FB3">
        <w:rPr>
          <w:b/>
          <w:iCs/>
          <w:color w:val="808080" w:themeColor="background1" w:themeShade="80"/>
        </w:rPr>
        <w:t>at least one</w:t>
      </w:r>
      <w:r w:rsidR="009B5BEA" w:rsidRPr="00E62FB3">
        <w:rPr>
          <w:b/>
          <w:iCs/>
          <w:color w:val="808080" w:themeColor="background1" w:themeShade="80"/>
        </w:rPr>
        <w:t xml:space="preserve"> </w:t>
      </w:r>
      <w:r w:rsidR="003D6721" w:rsidRPr="00E62FB3">
        <w:rPr>
          <w:b/>
          <w:iCs/>
          <w:color w:val="808080" w:themeColor="background1" w:themeShade="80"/>
        </w:rPr>
        <w:t xml:space="preserve">healthcare structure, process, </w:t>
      </w:r>
      <w:r w:rsidR="00496AF8" w:rsidRPr="00E62FB3">
        <w:rPr>
          <w:b/>
          <w:iCs/>
          <w:color w:val="808080" w:themeColor="background1" w:themeShade="80"/>
        </w:rPr>
        <w:t>intervention, or service</w:t>
      </w:r>
      <w:r w:rsidR="00676BD4" w:rsidRPr="00E62FB3">
        <w:rPr>
          <w:b/>
          <w:iCs/>
          <w:color w:val="808080" w:themeColor="background1" w:themeShade="80"/>
        </w:rPr>
        <w:t>.</w:t>
      </w:r>
      <w:r w:rsidR="00AC1E53" w:rsidRPr="00E62FB3">
        <w:rPr>
          <w:b/>
          <w:iCs/>
          <w:color w:val="808080" w:themeColor="background1" w:themeShade="80"/>
        </w:rPr>
        <w:t xml:space="preserve"> </w:t>
      </w:r>
    </w:p>
    <w:p w14:paraId="55B8DA65" w14:textId="4DED4B55" w:rsidR="00676BD4" w:rsidRDefault="00676BD4" w:rsidP="002E2177">
      <w:pPr>
        <w:ind w:left="0" w:firstLine="0"/>
        <w:rPr>
          <w:i/>
          <w:iCs/>
          <w:highlight w:val="green"/>
          <w:u w:val="single"/>
        </w:rPr>
      </w:pPr>
    </w:p>
    <w:p w14:paraId="55B8DA66" w14:textId="57C382BB"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537DC08D" w:rsidR="00A9011D" w:rsidRPr="00A9011D" w:rsidRDefault="00171115" w:rsidP="00A9011D">
      <w:pPr>
        <w:ind w:left="0" w:firstLine="0"/>
        <w:rPr>
          <w:rFonts w:ascii="Calibri" w:eastAsia="Calibri" w:hAnsi="Calibri" w:cs="Times New Roman"/>
        </w:rPr>
      </w:pPr>
      <w:sdt>
        <w:sdtPr>
          <w:rPr>
            <w:bCs/>
            <w:color w:val="0000FF"/>
          </w:rPr>
          <w:id w:val="-775095674"/>
          <w14:checkbox>
            <w14:checked w14:val="1"/>
            <w14:checkedState w14:val="2612" w14:font="MS Gothic"/>
            <w14:uncheckedState w14:val="2610" w14:font="MS Gothic"/>
          </w14:checkbox>
        </w:sdtPr>
        <w:sdtEndPr/>
        <w:sdtContent>
          <w:r w:rsidR="001A430E">
            <w:rPr>
              <w:rFonts w:ascii="MS Gothic" w:eastAsia="MS Gothic" w:hAnsi="MS Gothic" w:hint="eastAsia"/>
              <w:bCs/>
              <w:color w:val="0000FF"/>
            </w:rPr>
            <w:t>☒</w:t>
          </w:r>
        </w:sdtContent>
      </w:sdt>
      <w:r w:rsidR="00EC1225">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Clinical Practice Guideline recommendation</w:t>
      </w:r>
      <w:r w:rsidR="00EC1225">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lastRenderedPageBreak/>
        <w:t>☐</w:t>
      </w:r>
      <w:r w:rsidRPr="00A9011D">
        <w:rPr>
          <w:rFonts w:ascii="Calibri" w:eastAsia="Calibri" w:hAnsi="Calibri" w:cs="Times New Roman"/>
        </w:rPr>
        <w:t xml:space="preserve"> US Preventive Services Task Force Recommendation</w:t>
      </w:r>
    </w:p>
    <w:p w14:paraId="55B8DA6B" w14:textId="19C1CD18" w:rsidR="00A9011D" w:rsidRPr="00A9011D" w:rsidRDefault="00171115" w:rsidP="00A9011D">
      <w:pPr>
        <w:ind w:left="0" w:firstLine="0"/>
        <w:rPr>
          <w:rFonts w:ascii="Calibri" w:eastAsia="Calibri" w:hAnsi="Calibri" w:cs="Times New Roman"/>
        </w:rPr>
      </w:pPr>
      <w:sdt>
        <w:sdtPr>
          <w:rPr>
            <w:bCs/>
            <w:color w:val="0000FF"/>
          </w:rPr>
          <w:id w:val="-660921090"/>
          <w14:checkbox>
            <w14:checked w14:val="0"/>
            <w14:checkedState w14:val="2612" w14:font="MS Gothic"/>
            <w14:uncheckedState w14:val="2610" w14:font="MS Gothic"/>
          </w14:checkbox>
        </w:sdtPr>
        <w:sdtEndPr/>
        <w:sdtContent>
          <w:r w:rsidR="00156C4E">
            <w:rPr>
              <w:rFonts w:ascii="MS Gothic" w:eastAsia="MS Gothic" w:hAnsi="MS Gothic" w:hint="eastAsia"/>
              <w:bCs/>
              <w:color w:val="0000FF"/>
            </w:rPr>
            <w:t>☐</w:t>
          </w:r>
        </w:sdtContent>
      </w:sdt>
      <w:r w:rsidR="008120BC" w:rsidRPr="00A9011D">
        <w:rPr>
          <w:rFonts w:ascii="Times New Roman" w:eastAsia="Arial Unicode MS" w:hAnsi="Times New Roman" w:cs="Mangal" w:hint="eastAsia"/>
          <w:color w:val="0000FF"/>
          <w:kern w:val="1"/>
          <w:sz w:val="24"/>
          <w:szCs w:val="24"/>
          <w:lang w:eastAsia="hi-IN" w:bidi="hi-IN"/>
        </w:rPr>
        <w:t xml:space="preserve"> </w:t>
      </w:r>
      <w:r w:rsidR="00A9011D" w:rsidRPr="00A9011D">
        <w:rPr>
          <w:rFonts w:ascii="Calibri" w:eastAsia="Calibri" w:hAnsi="Calibri" w:cs="Times New Roman"/>
        </w:rPr>
        <w:t xml:space="preserve"> Other systematic review and grading of the body of evidence (</w:t>
      </w:r>
      <w:r w:rsidR="00A9011D" w:rsidRPr="00A9011D">
        <w:rPr>
          <w:rFonts w:ascii="Calibri" w:eastAsia="Calibri" w:hAnsi="Calibri" w:cs="Times New Roman"/>
          <w:i/>
        </w:rPr>
        <w:t>e.g., Cochrane Collaboration, AHRQ Evidence Practice Center</w:t>
      </w:r>
      <w:r w:rsidR="00A9011D" w:rsidRPr="00A9011D">
        <w:rPr>
          <w:rFonts w:ascii="Calibri" w:eastAsia="Calibri" w:hAnsi="Calibri" w:cs="Times New Roman"/>
        </w:rPr>
        <w:t xml:space="preserve">) </w:t>
      </w:r>
    </w:p>
    <w:p w14:paraId="55B8DA6C" w14:textId="77777777" w:rsidR="00A9011D"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3A566890" w14:textId="77777777" w:rsidR="00D879B7" w:rsidRPr="000F4A7F" w:rsidRDefault="00D879B7" w:rsidP="002E2177">
      <w:pPr>
        <w:ind w:left="0" w:firstLine="0"/>
        <w:rPr>
          <w:rFonts w:ascii="Calibri" w:eastAsia="Calibri" w:hAnsi="Calibri" w:cs="Times New Roman"/>
        </w:rPr>
      </w:pPr>
    </w:p>
    <w:p w14:paraId="55B8DA6E" w14:textId="7D9118BC" w:rsidR="004E7215" w:rsidRPr="002236BC" w:rsidRDefault="006F1824" w:rsidP="002E2177">
      <w:pPr>
        <w:ind w:left="0" w:firstLine="0"/>
        <w:rPr>
          <w:b/>
          <w:iCs/>
        </w:rPr>
      </w:pPr>
      <w:r>
        <w:rPr>
          <w:b/>
          <w:iCs/>
        </w:rPr>
        <w:t xml:space="preserve">Table 1. </w:t>
      </w:r>
      <w:r w:rsidR="002236BC" w:rsidRPr="002236BC">
        <w:rPr>
          <w:b/>
          <w:iCs/>
        </w:rPr>
        <w:t>T</w:t>
      </w:r>
      <w:r w:rsidR="00E309AD">
        <w:rPr>
          <w:b/>
          <w:iCs/>
        </w:rPr>
        <w:t>etanus, Diphtheria Toxoids and Acellular P</w:t>
      </w:r>
      <w:r w:rsidR="002236BC" w:rsidRPr="002236BC">
        <w:rPr>
          <w:b/>
          <w:iCs/>
        </w:rPr>
        <w:t>ertussis (Tdap)</w:t>
      </w:r>
      <w:r w:rsidR="002236BC">
        <w:rPr>
          <w:b/>
          <w:iCs/>
        </w:rPr>
        <w:t xml:space="preserve"> </w:t>
      </w:r>
      <w:r w:rsidR="00385DE5">
        <w:rPr>
          <w:b/>
          <w:iCs/>
        </w:rPr>
        <w:t xml:space="preserve">Vaccine </w:t>
      </w:r>
      <w:r w:rsidR="002236BC">
        <w:rPr>
          <w:b/>
          <w:iCs/>
        </w:rPr>
        <w:t>Recommendation</w:t>
      </w:r>
    </w:p>
    <w:tbl>
      <w:tblPr>
        <w:tblStyle w:val="TableGrid"/>
        <w:tblW w:w="9805" w:type="dxa"/>
        <w:tblLayout w:type="fixed"/>
        <w:tblLook w:val="04A0" w:firstRow="1" w:lastRow="0" w:firstColumn="1" w:lastColumn="0" w:noHBand="0" w:noVBand="1"/>
      </w:tblPr>
      <w:tblGrid>
        <w:gridCol w:w="2965"/>
        <w:gridCol w:w="6840"/>
      </w:tblGrid>
      <w:tr w:rsidR="00AB4ECE" w14:paraId="55B8DA76" w14:textId="77777777" w:rsidTr="005E75E1">
        <w:tc>
          <w:tcPr>
            <w:tcW w:w="2965"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6840" w:type="dxa"/>
          </w:tcPr>
          <w:p w14:paraId="0EEF071D" w14:textId="1FEDE951" w:rsidR="0025118B" w:rsidRPr="00243C1E" w:rsidRDefault="00614445" w:rsidP="008D6A91">
            <w:pPr>
              <w:pStyle w:val="ListParagraph"/>
              <w:numPr>
                <w:ilvl w:val="0"/>
                <w:numId w:val="9"/>
              </w:numPr>
              <w:spacing w:after="0" w:line="240" w:lineRule="auto"/>
              <w:ind w:left="360"/>
              <w:rPr>
                <w:color w:val="4F81BD" w:themeColor="accent1"/>
              </w:rPr>
            </w:pPr>
            <w:r>
              <w:rPr>
                <w:color w:val="4F81BD" w:themeColor="accent1"/>
              </w:rPr>
              <w:t xml:space="preserve">Title: </w:t>
            </w:r>
            <w:r w:rsidR="008F2ACB" w:rsidRPr="00243C1E">
              <w:rPr>
                <w:color w:val="4F81BD" w:themeColor="accent1"/>
              </w:rPr>
              <w:t>Prevention of Pertussis</w:t>
            </w:r>
            <w:r w:rsidR="006C3297" w:rsidRPr="00243C1E">
              <w:rPr>
                <w:color w:val="4F81BD" w:themeColor="accent1"/>
              </w:rPr>
              <w:t>, Tetanus, and Diphtheria with Vaccines in the United States: Recommendations of the Advisory Committee on Immunization Practices (ACIP)</w:t>
            </w:r>
          </w:p>
          <w:p w14:paraId="3E602917" w14:textId="7AC99C0D" w:rsidR="000179C9" w:rsidRPr="00243C1E" w:rsidRDefault="00614445" w:rsidP="008D6A91">
            <w:pPr>
              <w:pStyle w:val="ListParagraph"/>
              <w:numPr>
                <w:ilvl w:val="0"/>
                <w:numId w:val="9"/>
              </w:numPr>
              <w:spacing w:after="0" w:line="240" w:lineRule="auto"/>
              <w:ind w:left="360"/>
              <w:rPr>
                <w:color w:val="4F81BD" w:themeColor="accent1"/>
              </w:rPr>
            </w:pPr>
            <w:r>
              <w:rPr>
                <w:color w:val="4F81BD" w:themeColor="accent1"/>
              </w:rPr>
              <w:t xml:space="preserve">Author: </w:t>
            </w:r>
            <w:r w:rsidR="000179C9" w:rsidRPr="00243C1E">
              <w:rPr>
                <w:color w:val="4F81BD" w:themeColor="accent1"/>
              </w:rPr>
              <w:t>Jennifer L. Liang, National Center for Immunization and Respiratory Diseases, CDC</w:t>
            </w:r>
          </w:p>
          <w:p w14:paraId="53B13B22" w14:textId="150C68D1" w:rsidR="00EC0FED" w:rsidRPr="00243C1E" w:rsidRDefault="00614445" w:rsidP="008D6A91">
            <w:pPr>
              <w:pStyle w:val="ListParagraph"/>
              <w:numPr>
                <w:ilvl w:val="0"/>
                <w:numId w:val="9"/>
              </w:numPr>
              <w:spacing w:after="0" w:line="240" w:lineRule="auto"/>
              <w:ind w:left="360"/>
              <w:rPr>
                <w:color w:val="4F81BD" w:themeColor="accent1"/>
              </w:rPr>
            </w:pPr>
            <w:r>
              <w:rPr>
                <w:color w:val="4F81BD" w:themeColor="accent1"/>
              </w:rPr>
              <w:t xml:space="preserve">Date: </w:t>
            </w:r>
            <w:r w:rsidR="00EC0FED" w:rsidRPr="00243C1E">
              <w:rPr>
                <w:color w:val="4F81BD" w:themeColor="accent1"/>
              </w:rPr>
              <w:t>April 27, 2018</w:t>
            </w:r>
          </w:p>
          <w:p w14:paraId="7BF46777" w14:textId="3BB2897E" w:rsidR="00106B5D" w:rsidRPr="00243C1E" w:rsidRDefault="00614445" w:rsidP="008D6A91">
            <w:pPr>
              <w:pStyle w:val="ListParagraph"/>
              <w:numPr>
                <w:ilvl w:val="0"/>
                <w:numId w:val="9"/>
              </w:numPr>
              <w:spacing w:after="0" w:line="240" w:lineRule="auto"/>
              <w:ind w:left="360"/>
              <w:rPr>
                <w:color w:val="4F81BD" w:themeColor="accent1"/>
              </w:rPr>
            </w:pPr>
            <w:r>
              <w:rPr>
                <w:color w:val="4F81BD" w:themeColor="accent1"/>
              </w:rPr>
              <w:t xml:space="preserve">Citation: </w:t>
            </w:r>
            <w:r w:rsidR="00106B5D" w:rsidRPr="00243C1E">
              <w:rPr>
                <w:color w:val="4F81BD" w:themeColor="accent1"/>
              </w:rPr>
              <w:t>Liang J, Tiwari T, Moro P et al. Prevention of Pertussis, Tetanus, and Diphtheria with Vaccines in the United States: Recommendations of the Advisory Committee on Immunization Practices (ACIP). MMWR Recomm Rep 2018;67(</w:t>
            </w:r>
            <w:r w:rsidR="00403F8C" w:rsidRPr="00243C1E">
              <w:rPr>
                <w:color w:val="4F81BD" w:themeColor="accent1"/>
              </w:rPr>
              <w:t>No. 2</w:t>
            </w:r>
            <w:r w:rsidR="00106B5D" w:rsidRPr="00243C1E">
              <w:rPr>
                <w:color w:val="4F81BD" w:themeColor="accent1"/>
              </w:rPr>
              <w:t>):</w:t>
            </w:r>
            <w:r w:rsidR="00FD5A50" w:rsidRPr="00243C1E">
              <w:rPr>
                <w:color w:val="4F81BD" w:themeColor="accent1"/>
              </w:rPr>
              <w:t>1-</w:t>
            </w:r>
            <w:r w:rsidR="0044764E" w:rsidRPr="00243C1E">
              <w:rPr>
                <w:color w:val="4F81BD" w:themeColor="accent1"/>
              </w:rPr>
              <w:t>44</w:t>
            </w:r>
            <w:r w:rsidR="00106B5D" w:rsidRPr="00243C1E">
              <w:rPr>
                <w:color w:val="4F81BD" w:themeColor="accent1"/>
              </w:rPr>
              <w:t>.</w:t>
            </w:r>
          </w:p>
          <w:p w14:paraId="55B8DA75" w14:textId="5C56B696" w:rsidR="00DE6734" w:rsidRPr="004B0ECF" w:rsidRDefault="003A34CB" w:rsidP="008D6A91">
            <w:pPr>
              <w:pStyle w:val="ListParagraph"/>
              <w:numPr>
                <w:ilvl w:val="0"/>
                <w:numId w:val="9"/>
              </w:numPr>
              <w:spacing w:after="0" w:line="240" w:lineRule="auto"/>
              <w:ind w:left="360"/>
            </w:pPr>
            <w:r w:rsidRPr="00243C1E">
              <w:rPr>
                <w:color w:val="4F81BD" w:themeColor="accent1"/>
              </w:rPr>
              <w:t xml:space="preserve">URL: </w:t>
            </w:r>
            <w:hyperlink r:id="rId15" w:history="1">
              <w:r w:rsidRPr="00243C1E">
                <w:rPr>
                  <w:rStyle w:val="Hyperlink"/>
                  <w:color w:val="4F81BD" w:themeColor="accent1"/>
                </w:rPr>
                <w:t>https://www.cdc.gov/mmwr/volumes/67/rr/pdfs/rr6702a1-H.pdf</w:t>
              </w:r>
            </w:hyperlink>
            <w:r w:rsidR="00DE6734" w:rsidRPr="003A34CB">
              <w:rPr>
                <w:color w:val="0000FF"/>
              </w:rPr>
              <w:t xml:space="preserve"> </w:t>
            </w:r>
          </w:p>
        </w:tc>
      </w:tr>
      <w:tr w:rsidR="00AB4ECE" w14:paraId="55B8DA79" w14:textId="77777777" w:rsidTr="005E75E1">
        <w:tc>
          <w:tcPr>
            <w:tcW w:w="2965"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6840" w:type="dxa"/>
          </w:tcPr>
          <w:p w14:paraId="55B8DA78" w14:textId="078A7029" w:rsidR="00AB4ECE" w:rsidRDefault="006D5BF9" w:rsidP="00E504DF">
            <w:pPr>
              <w:ind w:left="0" w:firstLine="0"/>
            </w:pPr>
            <w:r w:rsidRPr="00243C1E">
              <w:rPr>
                <w:color w:val="4F81BD" w:themeColor="accent1"/>
              </w:rPr>
              <w:t>“Health care personnel should administer a dose of Tdap during each pregnancy, irrespective of the patient’s prior history of receiving the vaccine. Tdap should be administered between 27 and 36 weeks’ gestation, although it may be administered at any time during pregnancy. Available data suggest that vaccinating earlier in</w:t>
            </w:r>
            <w:r w:rsidR="00E504DF" w:rsidRPr="00243C1E">
              <w:rPr>
                <w:color w:val="4F81BD" w:themeColor="accent1"/>
              </w:rPr>
              <w:t xml:space="preserve"> </w:t>
            </w:r>
            <w:r w:rsidRPr="00243C1E">
              <w:rPr>
                <w:color w:val="4F81BD" w:themeColor="accent1"/>
              </w:rPr>
              <w:t>the 27–36 week time period will maximize passive antibody</w:t>
            </w:r>
            <w:r w:rsidR="00E504DF" w:rsidRPr="00243C1E">
              <w:rPr>
                <w:color w:val="4F81BD" w:themeColor="accent1"/>
              </w:rPr>
              <w:t xml:space="preserve"> </w:t>
            </w:r>
            <w:r w:rsidRPr="00243C1E">
              <w:rPr>
                <w:color w:val="4F81BD" w:themeColor="accent1"/>
              </w:rPr>
              <w:t>transfer to the infant.</w:t>
            </w:r>
            <w:r w:rsidR="00E42806" w:rsidRPr="00243C1E">
              <w:rPr>
                <w:color w:val="4F81BD" w:themeColor="accent1"/>
              </w:rPr>
              <w:t xml:space="preserve"> Tdap may be simultaneously administered with an inactivated influenza vaccine to pregnant women.</w:t>
            </w:r>
            <w:r w:rsidRPr="00243C1E">
              <w:rPr>
                <w:color w:val="4F81BD" w:themeColor="accent1"/>
              </w:rPr>
              <w:t>”</w:t>
            </w:r>
          </w:p>
        </w:tc>
      </w:tr>
      <w:tr w:rsidR="00AB4ECE" w14:paraId="55B8DA7C" w14:textId="77777777" w:rsidTr="005E75E1">
        <w:tc>
          <w:tcPr>
            <w:tcW w:w="2965"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6840" w:type="dxa"/>
          </w:tcPr>
          <w:p w14:paraId="55B8DA7B" w14:textId="586730CF" w:rsidR="00AB4ECE" w:rsidRPr="006D5BF9" w:rsidRDefault="00C27459" w:rsidP="002E2177">
            <w:pPr>
              <w:ind w:left="0" w:firstLine="0"/>
              <w:rPr>
                <w:color w:val="0000FF"/>
              </w:rPr>
            </w:pPr>
            <w:r w:rsidRPr="007F6796">
              <w:rPr>
                <w:color w:val="4F81BD" w:themeColor="accent1"/>
              </w:rPr>
              <w:t>ACIP did not provide a grade for the evidence underlying this recommendation. ACIP conducts a thorough review of peer-reviewed evidence on vaccine safety and effectiveness, discusses recommendations with professional organizations, and holds regular meetings for experts to vote on proposed recommendations.</w:t>
            </w:r>
            <w:r w:rsidR="00EF75F2" w:rsidRPr="007F6796">
              <w:rPr>
                <w:color w:val="4F81BD" w:themeColor="accent1"/>
              </w:rPr>
              <w:t xml:space="preserve"> </w:t>
            </w:r>
          </w:p>
        </w:tc>
      </w:tr>
      <w:tr w:rsidR="00AB4ECE" w14:paraId="55B8DA7F" w14:textId="77777777" w:rsidTr="005E75E1">
        <w:tc>
          <w:tcPr>
            <w:tcW w:w="2965" w:type="dxa"/>
          </w:tcPr>
          <w:p w14:paraId="55B8DA7D" w14:textId="77777777" w:rsidR="00AB4ECE" w:rsidRDefault="00AB4ECE" w:rsidP="00E42FAA">
            <w:pPr>
              <w:ind w:left="0" w:firstLine="0"/>
            </w:pPr>
            <w:r>
              <w:t>Provide all other grades and definitions from the evidence grading system</w:t>
            </w:r>
          </w:p>
        </w:tc>
        <w:tc>
          <w:tcPr>
            <w:tcW w:w="6840" w:type="dxa"/>
          </w:tcPr>
          <w:p w14:paraId="55B8DA7E" w14:textId="68C748EF" w:rsidR="00AB4ECE" w:rsidRPr="006D5BF9" w:rsidRDefault="006D5BF9" w:rsidP="002E2177">
            <w:pPr>
              <w:ind w:left="0" w:firstLine="0"/>
              <w:rPr>
                <w:color w:val="0000FF"/>
              </w:rPr>
            </w:pPr>
            <w:r w:rsidRPr="007F6796">
              <w:rPr>
                <w:color w:val="4F81BD" w:themeColor="accent1"/>
              </w:rPr>
              <w:t>N/A</w:t>
            </w:r>
          </w:p>
        </w:tc>
      </w:tr>
      <w:tr w:rsidR="007A5104" w14:paraId="55B8DA82" w14:textId="77777777" w:rsidTr="005E75E1">
        <w:tc>
          <w:tcPr>
            <w:tcW w:w="2965" w:type="dxa"/>
          </w:tcPr>
          <w:p w14:paraId="55B8DA80" w14:textId="77777777" w:rsidR="007A5104" w:rsidRDefault="007A5104" w:rsidP="007A5104">
            <w:pPr>
              <w:ind w:left="0" w:firstLine="0"/>
            </w:pPr>
            <w:r>
              <w:t xml:space="preserve">Grade assigned to the </w:t>
            </w:r>
            <w:r w:rsidRPr="004E7215">
              <w:rPr>
                <w:b/>
              </w:rPr>
              <w:t>recommendation</w:t>
            </w:r>
            <w:r>
              <w:t xml:space="preserve"> with definition of the grade</w:t>
            </w:r>
          </w:p>
        </w:tc>
        <w:tc>
          <w:tcPr>
            <w:tcW w:w="6840" w:type="dxa"/>
          </w:tcPr>
          <w:p w14:paraId="697CB8EC" w14:textId="77777777" w:rsidR="0053498C" w:rsidRPr="0053498C" w:rsidRDefault="007A5104" w:rsidP="0053498C">
            <w:pPr>
              <w:ind w:left="0" w:firstLine="0"/>
              <w:rPr>
                <w:color w:val="4F81BD" w:themeColor="accent1"/>
              </w:rPr>
            </w:pPr>
            <w:r w:rsidRPr="007F6796">
              <w:rPr>
                <w:color w:val="4F81BD" w:themeColor="accent1"/>
              </w:rPr>
              <w:t xml:space="preserve">ACIP did not provide a grade for this recommendation. </w:t>
            </w:r>
            <w:r w:rsidR="0053498C" w:rsidRPr="0053498C">
              <w:rPr>
                <w:color w:val="4F81BD" w:themeColor="accent1"/>
              </w:rPr>
              <w:t>CDC vaccine recommendations are developed using an explicit evidence-based method based on the Grading of Recommendations, Assessment, Development and Evaluation (GRADE) approach.</w:t>
            </w:r>
          </w:p>
          <w:p w14:paraId="70CF2586" w14:textId="77777777" w:rsidR="0053498C" w:rsidRPr="0053498C" w:rsidRDefault="0053498C" w:rsidP="0053498C">
            <w:pPr>
              <w:ind w:left="0" w:firstLine="0"/>
              <w:rPr>
                <w:color w:val="4F81BD" w:themeColor="accent1"/>
              </w:rPr>
            </w:pPr>
          </w:p>
          <w:p w14:paraId="55B8DA81" w14:textId="5C869233" w:rsidR="007A5104" w:rsidRPr="006D5BF9" w:rsidRDefault="0053498C" w:rsidP="0053498C">
            <w:pPr>
              <w:ind w:left="0" w:firstLine="0"/>
              <w:rPr>
                <w:color w:val="0000FF"/>
              </w:rPr>
            </w:pPr>
            <w:r w:rsidRPr="0053498C">
              <w:rPr>
                <w:color w:val="4F81BD" w:themeColor="accent1"/>
              </w:rPr>
              <w:t>Key factors considered in development of recommendations include balance of benefits and harms, type or quality of evidence, values and preferences of the people affected, and health economic analyses.</w:t>
            </w:r>
            <w:r>
              <w:rPr>
                <w:color w:val="4F81BD" w:themeColor="accent1"/>
              </w:rPr>
              <w:t xml:space="preserve"> </w:t>
            </w:r>
            <w:r w:rsidR="007A5104" w:rsidRPr="007F6796">
              <w:rPr>
                <w:color w:val="4F81BD" w:themeColor="accent1"/>
              </w:rPr>
              <w:t xml:space="preserve">ACIP discusses recommendations with professional organizations and holds regular meetings for experts to vote on proposed recommendations. </w:t>
            </w:r>
          </w:p>
        </w:tc>
      </w:tr>
      <w:tr w:rsidR="007A5104" w14:paraId="55B8DA85" w14:textId="77777777" w:rsidTr="005E75E1">
        <w:tc>
          <w:tcPr>
            <w:tcW w:w="2965" w:type="dxa"/>
          </w:tcPr>
          <w:p w14:paraId="55B8DA83" w14:textId="77777777" w:rsidR="007A5104" w:rsidRDefault="007A5104" w:rsidP="007A5104">
            <w:pPr>
              <w:ind w:left="0" w:firstLine="0"/>
            </w:pPr>
            <w:r>
              <w:t>Provide all other grades and definitions from the recommendation grading system</w:t>
            </w:r>
          </w:p>
        </w:tc>
        <w:tc>
          <w:tcPr>
            <w:tcW w:w="6840" w:type="dxa"/>
          </w:tcPr>
          <w:p w14:paraId="55B8DA84" w14:textId="2CFC8E58" w:rsidR="007A5104" w:rsidRPr="006D5BF9" w:rsidRDefault="007A5104" w:rsidP="007A5104">
            <w:pPr>
              <w:ind w:left="0" w:firstLine="0"/>
              <w:rPr>
                <w:color w:val="0000FF"/>
              </w:rPr>
            </w:pPr>
            <w:r w:rsidRPr="007A5104">
              <w:rPr>
                <w:color w:val="4F81BD" w:themeColor="accent1"/>
              </w:rPr>
              <w:t>N/A</w:t>
            </w:r>
          </w:p>
        </w:tc>
      </w:tr>
      <w:tr w:rsidR="007A5104" w14:paraId="55B8DA8A" w14:textId="77777777" w:rsidTr="005E75E1">
        <w:tc>
          <w:tcPr>
            <w:tcW w:w="2965" w:type="dxa"/>
          </w:tcPr>
          <w:p w14:paraId="55B8DA86" w14:textId="77777777" w:rsidR="007A5104" w:rsidRDefault="007A5104" w:rsidP="007A5104">
            <w:pPr>
              <w:ind w:left="0" w:firstLine="0"/>
            </w:pPr>
            <w:r>
              <w:t>Body of evidence:</w:t>
            </w:r>
          </w:p>
          <w:p w14:paraId="55B8DA87" w14:textId="77777777" w:rsidR="007A5104" w:rsidRDefault="007A5104" w:rsidP="007A5104">
            <w:pPr>
              <w:pStyle w:val="ListParagraph"/>
              <w:numPr>
                <w:ilvl w:val="0"/>
                <w:numId w:val="10"/>
              </w:numPr>
            </w:pPr>
            <w:r>
              <w:t>Quantity – how many studies?</w:t>
            </w:r>
          </w:p>
          <w:p w14:paraId="55B8DA88" w14:textId="77777777" w:rsidR="007A5104" w:rsidRDefault="007A5104" w:rsidP="007A5104">
            <w:pPr>
              <w:pStyle w:val="ListParagraph"/>
              <w:numPr>
                <w:ilvl w:val="0"/>
                <w:numId w:val="10"/>
              </w:numPr>
            </w:pPr>
            <w:r>
              <w:t>Quality – what type of studies?</w:t>
            </w:r>
          </w:p>
        </w:tc>
        <w:tc>
          <w:tcPr>
            <w:tcW w:w="6840" w:type="dxa"/>
          </w:tcPr>
          <w:p w14:paraId="55B8DA89" w14:textId="04CF07EB" w:rsidR="007A5104" w:rsidRDefault="007A5104" w:rsidP="00773BBD">
            <w:pPr>
              <w:ind w:left="0" w:firstLine="0"/>
            </w:pPr>
            <w:r w:rsidRPr="00773BBD">
              <w:rPr>
                <w:color w:val="4F81BD" w:themeColor="accent1"/>
              </w:rPr>
              <w:t xml:space="preserve">The ACIP Pertussis Vaccines Work Group reviewed available published and unpublished data and evidence from 2004 to 2017, covering topics such as </w:t>
            </w:r>
            <w:r w:rsidR="00644378">
              <w:rPr>
                <w:color w:val="4F81BD" w:themeColor="accent1"/>
              </w:rPr>
              <w:t xml:space="preserve">tetanus, diphtheria and </w:t>
            </w:r>
            <w:r w:rsidR="00644378" w:rsidRPr="00773BBD">
              <w:rPr>
                <w:color w:val="4F81BD" w:themeColor="accent1"/>
              </w:rPr>
              <w:t>pertussis</w:t>
            </w:r>
            <w:r w:rsidRPr="00773BBD">
              <w:rPr>
                <w:color w:val="4F81BD" w:themeColor="accent1"/>
              </w:rPr>
              <w:t xml:space="preserve"> disease epidemiology in the United States, decision analyses, cost-effectiveness, programmatic considerations, vaccine immunogenicity, vaccine safety, and postlicensure Tdap vaccine effectiveness. In total, they reviewed</w:t>
            </w:r>
            <w:r w:rsidR="00A23B49">
              <w:rPr>
                <w:color w:val="4F81BD" w:themeColor="accent1"/>
              </w:rPr>
              <w:t xml:space="preserve"> 110 studies</w:t>
            </w:r>
            <w:r w:rsidRPr="00773BBD">
              <w:rPr>
                <w:color w:val="4F81BD" w:themeColor="accent1"/>
              </w:rPr>
              <w:t xml:space="preserve"> </w:t>
            </w:r>
            <w:r w:rsidR="00FC1ACD" w:rsidRPr="00773BBD">
              <w:rPr>
                <w:color w:val="4F81BD" w:themeColor="accent1"/>
              </w:rPr>
              <w:t>consisting of randomized control trials and other types of studies</w:t>
            </w:r>
            <w:r w:rsidR="002744F4">
              <w:rPr>
                <w:color w:val="4F81BD" w:themeColor="accent1"/>
              </w:rPr>
              <w:t xml:space="preserve"> for Tdap and Td vaccination, and approximately </w:t>
            </w:r>
            <w:r w:rsidR="002744F4" w:rsidRPr="00773BBD">
              <w:rPr>
                <w:color w:val="4F81BD" w:themeColor="accent1"/>
              </w:rPr>
              <w:t>77 studies</w:t>
            </w:r>
            <w:r w:rsidRPr="00773BBD">
              <w:rPr>
                <w:color w:val="4F81BD" w:themeColor="accent1"/>
              </w:rPr>
              <w:t xml:space="preserve"> </w:t>
            </w:r>
            <w:r w:rsidR="00042084">
              <w:rPr>
                <w:color w:val="4F81BD" w:themeColor="accent1"/>
              </w:rPr>
              <w:t>on</w:t>
            </w:r>
            <w:r w:rsidRPr="00773BBD">
              <w:rPr>
                <w:color w:val="4F81BD" w:themeColor="accent1"/>
              </w:rPr>
              <w:t xml:space="preserve"> </w:t>
            </w:r>
            <w:r w:rsidR="003538A0" w:rsidRPr="00773BBD">
              <w:rPr>
                <w:color w:val="4F81BD" w:themeColor="accent1"/>
              </w:rPr>
              <w:t xml:space="preserve">prenatal </w:t>
            </w:r>
            <w:r w:rsidRPr="00773BBD">
              <w:rPr>
                <w:color w:val="4F81BD" w:themeColor="accent1"/>
              </w:rPr>
              <w:t>Tdap vaccination</w:t>
            </w:r>
            <w:r w:rsidR="002744F4">
              <w:rPr>
                <w:color w:val="4F81BD" w:themeColor="accent1"/>
              </w:rPr>
              <w:t xml:space="preserve"> (</w:t>
            </w:r>
            <w:r w:rsidRPr="00773BBD">
              <w:rPr>
                <w:color w:val="4F81BD" w:themeColor="accent1"/>
              </w:rPr>
              <w:t xml:space="preserve">including 16 studies on </w:t>
            </w:r>
            <w:r w:rsidR="002744F4">
              <w:rPr>
                <w:color w:val="4F81BD" w:themeColor="accent1"/>
              </w:rPr>
              <w:t>prenata</w:t>
            </w:r>
            <w:r w:rsidR="00C60040">
              <w:rPr>
                <w:color w:val="4F81BD" w:themeColor="accent1"/>
              </w:rPr>
              <w:t xml:space="preserve">l Tdap </w:t>
            </w:r>
            <w:r w:rsidRPr="00773BBD">
              <w:rPr>
                <w:color w:val="4F81BD" w:themeColor="accent1"/>
              </w:rPr>
              <w:t>vaccine effectiveness and 5 studies on timing of Tdap vaccination during pregnancy</w:t>
            </w:r>
            <w:r w:rsidR="00C60040">
              <w:rPr>
                <w:color w:val="4F81BD" w:themeColor="accent1"/>
              </w:rPr>
              <w:t>)</w:t>
            </w:r>
            <w:r w:rsidRPr="00773BBD">
              <w:rPr>
                <w:color w:val="4F81BD" w:themeColor="accent1"/>
              </w:rPr>
              <w:t xml:space="preserve">. </w:t>
            </w:r>
          </w:p>
        </w:tc>
      </w:tr>
      <w:tr w:rsidR="007A5104" w14:paraId="55B8DA8D" w14:textId="77777777" w:rsidTr="005E75E1">
        <w:tc>
          <w:tcPr>
            <w:tcW w:w="2965" w:type="dxa"/>
          </w:tcPr>
          <w:p w14:paraId="55B8DA8B" w14:textId="77777777" w:rsidR="007A5104" w:rsidRDefault="007A5104" w:rsidP="007A5104">
            <w:pPr>
              <w:ind w:left="0" w:firstLine="0"/>
            </w:pPr>
            <w:r>
              <w:t xml:space="preserve">Estimates of benefit and consistency across studies </w:t>
            </w:r>
          </w:p>
        </w:tc>
        <w:tc>
          <w:tcPr>
            <w:tcW w:w="6840" w:type="dxa"/>
          </w:tcPr>
          <w:p w14:paraId="55B8DA8C" w14:textId="5BC7B9AD" w:rsidR="007A5104" w:rsidRPr="007367D3" w:rsidRDefault="007A5104" w:rsidP="007A5104">
            <w:pPr>
              <w:ind w:left="0" w:firstLine="0"/>
              <w:rPr>
                <w:color w:val="0000FF"/>
              </w:rPr>
            </w:pPr>
            <w:r w:rsidRPr="007367D3">
              <w:rPr>
                <w:color w:val="4F81BD" w:themeColor="accent1"/>
              </w:rPr>
              <w:t xml:space="preserve">The Work Group reviewed vaccine safety—compared to the morbidity and mortality risks associated with pertussis, tetanus and diphtheria—and concluded that “All persons are recommended to receive routine pertussis, tetanus, and diphtheria vaccination. Vaccine type, product, number of doses and booster dose recommendations are based on age and pregnancy status.” This includes the vaccination of women during </w:t>
            </w:r>
            <w:r w:rsidR="00792721">
              <w:rPr>
                <w:color w:val="4F81BD" w:themeColor="accent1"/>
              </w:rPr>
              <w:t xml:space="preserve">each </w:t>
            </w:r>
            <w:r w:rsidRPr="007367D3">
              <w:rPr>
                <w:color w:val="4F81BD" w:themeColor="accent1"/>
              </w:rPr>
              <w:t>pregnancy with a single dose of Tdap.</w:t>
            </w:r>
            <w:r w:rsidR="00736823">
              <w:rPr>
                <w:color w:val="4F81BD" w:themeColor="accent1"/>
              </w:rPr>
              <w:t xml:space="preserve"> </w:t>
            </w:r>
            <w:r w:rsidR="004563C2">
              <w:rPr>
                <w:color w:val="4F81BD" w:themeColor="accent1"/>
              </w:rPr>
              <w:t xml:space="preserve">The Work Group reviewed </w:t>
            </w:r>
            <w:r w:rsidR="00090B0D">
              <w:rPr>
                <w:color w:val="4F81BD" w:themeColor="accent1"/>
              </w:rPr>
              <w:t xml:space="preserve">data </w:t>
            </w:r>
            <w:r w:rsidR="00BD1359">
              <w:rPr>
                <w:color w:val="4F81BD" w:themeColor="accent1"/>
              </w:rPr>
              <w:t>that concluded that “t</w:t>
            </w:r>
            <w:r w:rsidR="00736823" w:rsidRPr="00736823">
              <w:rPr>
                <w:color w:val="4F81BD" w:themeColor="accent1"/>
              </w:rPr>
              <w:t>he strategy of preventing pertussis in newborns through the vaccination of women with Tdap during pregnancy from 27 through 36 weeks’ gestation is 80%–91% effective</w:t>
            </w:r>
            <w:r w:rsidR="00BD1359">
              <w:rPr>
                <w:color w:val="4F81BD" w:themeColor="accent1"/>
              </w:rPr>
              <w:t>.”</w:t>
            </w:r>
          </w:p>
        </w:tc>
      </w:tr>
      <w:tr w:rsidR="007A5104" w14:paraId="55B8DA90" w14:textId="77777777" w:rsidTr="005E75E1">
        <w:tc>
          <w:tcPr>
            <w:tcW w:w="2965" w:type="dxa"/>
          </w:tcPr>
          <w:p w14:paraId="55B8DA8E" w14:textId="77777777" w:rsidR="007A5104" w:rsidRDefault="007A5104" w:rsidP="007A5104">
            <w:pPr>
              <w:ind w:left="0" w:firstLine="0"/>
            </w:pPr>
            <w:r>
              <w:t>What harms were identified?</w:t>
            </w:r>
          </w:p>
        </w:tc>
        <w:tc>
          <w:tcPr>
            <w:tcW w:w="6840" w:type="dxa"/>
          </w:tcPr>
          <w:p w14:paraId="42B1B396" w14:textId="77777777" w:rsidR="0038078B" w:rsidRDefault="007A5104" w:rsidP="00795B01">
            <w:pPr>
              <w:ind w:left="0" w:firstLine="0"/>
              <w:textAlignment w:val="baseline"/>
              <w:rPr>
                <w:color w:val="4F81BD" w:themeColor="accent1"/>
              </w:rPr>
            </w:pPr>
            <w:r w:rsidRPr="002E346D">
              <w:rPr>
                <w:color w:val="4F81BD" w:themeColor="accent1"/>
              </w:rPr>
              <w:t>The Work Group examined the risk of adverse events for each vaccine component</w:t>
            </w:r>
            <w:r w:rsidR="009A09C2">
              <w:rPr>
                <w:color w:val="4F81BD" w:themeColor="accent1"/>
              </w:rPr>
              <w:t xml:space="preserve"> </w:t>
            </w:r>
            <w:r w:rsidRPr="002E346D">
              <w:rPr>
                <w:color w:val="4F81BD" w:themeColor="accent1"/>
              </w:rPr>
              <w:t xml:space="preserve">and concluded that the Tdap vaccine is safe for administration to pregnant women. </w:t>
            </w:r>
            <w:r w:rsidR="00795B01" w:rsidRPr="00C108FB">
              <w:rPr>
                <w:color w:val="4F81BD" w:themeColor="accent1"/>
              </w:rPr>
              <w:t>Any adverse reactions that were observed were limited to</w:t>
            </w:r>
            <w:r w:rsidR="00795B01">
              <w:rPr>
                <w:color w:val="4F81BD" w:themeColor="accent1"/>
              </w:rPr>
              <w:t xml:space="preserve"> minor</w:t>
            </w:r>
            <w:r w:rsidR="00795B01" w:rsidRPr="00C108FB">
              <w:rPr>
                <w:color w:val="4F81BD" w:themeColor="accent1"/>
              </w:rPr>
              <w:t xml:space="preserve"> local reactions, including pain</w:t>
            </w:r>
            <w:r w:rsidR="00795B01">
              <w:rPr>
                <w:color w:val="4F81BD" w:themeColor="accent1"/>
              </w:rPr>
              <w:t xml:space="preserve">, </w:t>
            </w:r>
            <w:r w:rsidR="00795B01" w:rsidRPr="00C108FB">
              <w:rPr>
                <w:color w:val="4F81BD" w:themeColor="accent1"/>
              </w:rPr>
              <w:t>erythema and swelling</w:t>
            </w:r>
            <w:r w:rsidR="00795B01">
              <w:rPr>
                <w:color w:val="4F81BD" w:themeColor="accent1"/>
              </w:rPr>
              <w:t xml:space="preserve">; no serious adverse events have been observed. </w:t>
            </w:r>
            <w:r w:rsidR="00AE0464" w:rsidRPr="00AE0464">
              <w:rPr>
                <w:color w:val="4F81BD" w:themeColor="accent1"/>
              </w:rPr>
              <w:t>Receipt of Tdap during pregnancy has not been found to be associated with an increased risk for frequency of major malformations, stillbirth, preterm birth, small for gestational age, or hypertensive disorders</w:t>
            </w:r>
            <w:r w:rsidR="00CA6146">
              <w:rPr>
                <w:color w:val="4F81BD" w:themeColor="accent1"/>
              </w:rPr>
              <w:t xml:space="preserve">. </w:t>
            </w:r>
          </w:p>
          <w:p w14:paraId="51167D6C" w14:textId="77777777" w:rsidR="0038078B" w:rsidRDefault="0038078B" w:rsidP="00795B01">
            <w:pPr>
              <w:ind w:left="0" w:firstLine="0"/>
              <w:textAlignment w:val="baseline"/>
              <w:rPr>
                <w:color w:val="4F81BD" w:themeColor="accent1"/>
              </w:rPr>
            </w:pPr>
          </w:p>
          <w:p w14:paraId="55B8DA8F" w14:textId="36435B68" w:rsidR="007A5104" w:rsidRPr="00CD0C61" w:rsidRDefault="007A5104" w:rsidP="00795B01">
            <w:pPr>
              <w:ind w:left="0" w:firstLine="0"/>
              <w:textAlignment w:val="baseline"/>
              <w:rPr>
                <w:color w:val="4F81BD" w:themeColor="accent1"/>
              </w:rPr>
            </w:pPr>
            <w:r w:rsidRPr="002E346D">
              <w:rPr>
                <w:color w:val="4F81BD" w:themeColor="accent1"/>
              </w:rPr>
              <w:t>ACIP identified two contraindications to the Tdap vaccine: severe allergic reactions or encephalopathy associated with administration of a prior dose of a DTP, DTa</w:t>
            </w:r>
            <w:r w:rsidR="00614445">
              <w:rPr>
                <w:color w:val="4F81BD" w:themeColor="accent1"/>
              </w:rPr>
              <w:t>P</w:t>
            </w:r>
            <w:r w:rsidRPr="002E346D">
              <w:rPr>
                <w:color w:val="4F81BD" w:themeColor="accent1"/>
              </w:rPr>
              <w:t>, or Tdap vaccine.</w:t>
            </w:r>
            <w:r>
              <w:rPr>
                <w:color w:val="0000FF"/>
              </w:rPr>
              <w:t xml:space="preserve"> </w:t>
            </w:r>
          </w:p>
        </w:tc>
      </w:tr>
      <w:tr w:rsidR="007A5104" w14:paraId="55B8DA93" w14:textId="77777777" w:rsidTr="005E75E1">
        <w:tc>
          <w:tcPr>
            <w:tcW w:w="2965" w:type="dxa"/>
          </w:tcPr>
          <w:p w14:paraId="55B8DA91" w14:textId="77777777" w:rsidR="007A5104" w:rsidRDefault="007A5104" w:rsidP="007A5104">
            <w:pPr>
              <w:ind w:left="0" w:firstLine="0"/>
            </w:pPr>
            <w:r>
              <w:t>Identify any new studies conducted since the SR. Do the new studies change the conclusions from the SR?</w:t>
            </w:r>
          </w:p>
        </w:tc>
        <w:tc>
          <w:tcPr>
            <w:tcW w:w="6840" w:type="dxa"/>
          </w:tcPr>
          <w:p w14:paraId="55B8DA92" w14:textId="4A11CB8D" w:rsidR="007A5104" w:rsidRDefault="007A5104" w:rsidP="007A5104">
            <w:pPr>
              <w:ind w:left="0" w:firstLine="0"/>
            </w:pPr>
            <w:r w:rsidRPr="00CD0C61">
              <w:rPr>
                <w:color w:val="4F81BD" w:themeColor="accent1"/>
              </w:rPr>
              <w:t>There have been no studies published since the guideline that would significantly affect the findings.</w:t>
            </w:r>
          </w:p>
        </w:tc>
      </w:tr>
    </w:tbl>
    <w:p w14:paraId="55B8DA94" w14:textId="48E6E517" w:rsidR="007C1887" w:rsidRDefault="007C1887" w:rsidP="002E2177">
      <w:pPr>
        <w:ind w:left="0" w:firstLine="0"/>
      </w:pPr>
    </w:p>
    <w:p w14:paraId="5CEF6D15" w14:textId="51B78AC4" w:rsidR="002236BC" w:rsidRPr="002236BC" w:rsidRDefault="007E0052" w:rsidP="002E2177">
      <w:pPr>
        <w:ind w:left="0" w:firstLine="0"/>
        <w:rPr>
          <w:b/>
        </w:rPr>
      </w:pPr>
      <w:r>
        <w:rPr>
          <w:b/>
        </w:rPr>
        <w:t xml:space="preserve">Table 2. </w:t>
      </w:r>
      <w:r w:rsidR="002236BC" w:rsidRPr="002236BC">
        <w:rPr>
          <w:b/>
        </w:rPr>
        <w:t xml:space="preserve">Influenza </w:t>
      </w:r>
      <w:r w:rsidR="00385DE5">
        <w:rPr>
          <w:b/>
        </w:rPr>
        <w:t xml:space="preserve">Vaccine </w:t>
      </w:r>
      <w:r w:rsidR="002236BC" w:rsidRPr="002236BC">
        <w:rPr>
          <w:b/>
        </w:rPr>
        <w:t>Recommendation</w:t>
      </w:r>
    </w:p>
    <w:tbl>
      <w:tblPr>
        <w:tblStyle w:val="TableGrid"/>
        <w:tblW w:w="9805" w:type="dxa"/>
        <w:tblLayout w:type="fixed"/>
        <w:tblLook w:val="04A0" w:firstRow="1" w:lastRow="0" w:firstColumn="1" w:lastColumn="0" w:noHBand="0" w:noVBand="1"/>
      </w:tblPr>
      <w:tblGrid>
        <w:gridCol w:w="2965"/>
        <w:gridCol w:w="6840"/>
      </w:tblGrid>
      <w:tr w:rsidR="002236BC" w14:paraId="5260937F" w14:textId="77777777" w:rsidTr="005E75E1">
        <w:tc>
          <w:tcPr>
            <w:tcW w:w="2965" w:type="dxa"/>
          </w:tcPr>
          <w:p w14:paraId="281EAFA1" w14:textId="77777777" w:rsidR="002236BC" w:rsidRPr="00AB4ECE" w:rsidRDefault="002236BC" w:rsidP="004358D7">
            <w:pPr>
              <w:ind w:left="0" w:firstLine="0"/>
              <w:rPr>
                <w:b/>
              </w:rPr>
            </w:pPr>
            <w:r w:rsidRPr="00AB4ECE">
              <w:rPr>
                <w:b/>
              </w:rPr>
              <w:t>Source of Systematic Review:</w:t>
            </w:r>
          </w:p>
          <w:p w14:paraId="3C446D55" w14:textId="77777777" w:rsidR="002236BC" w:rsidRPr="00AB4ECE" w:rsidRDefault="002236BC" w:rsidP="004358D7">
            <w:pPr>
              <w:pStyle w:val="ListParagraph"/>
              <w:numPr>
                <w:ilvl w:val="0"/>
                <w:numId w:val="9"/>
              </w:numPr>
              <w:rPr>
                <w:b/>
              </w:rPr>
            </w:pPr>
            <w:r w:rsidRPr="00AB4ECE">
              <w:rPr>
                <w:b/>
              </w:rPr>
              <w:t>Title</w:t>
            </w:r>
          </w:p>
          <w:p w14:paraId="28233869" w14:textId="77777777" w:rsidR="002236BC" w:rsidRPr="00AB4ECE" w:rsidRDefault="002236BC" w:rsidP="004358D7">
            <w:pPr>
              <w:pStyle w:val="ListParagraph"/>
              <w:numPr>
                <w:ilvl w:val="0"/>
                <w:numId w:val="9"/>
              </w:numPr>
              <w:rPr>
                <w:b/>
              </w:rPr>
            </w:pPr>
            <w:r w:rsidRPr="00AB4ECE">
              <w:rPr>
                <w:b/>
              </w:rPr>
              <w:t>Author</w:t>
            </w:r>
          </w:p>
          <w:p w14:paraId="6A37E883" w14:textId="77777777" w:rsidR="002236BC" w:rsidRPr="00AB4ECE" w:rsidRDefault="002236BC" w:rsidP="004358D7">
            <w:pPr>
              <w:pStyle w:val="ListParagraph"/>
              <w:numPr>
                <w:ilvl w:val="0"/>
                <w:numId w:val="9"/>
              </w:numPr>
              <w:rPr>
                <w:b/>
              </w:rPr>
            </w:pPr>
            <w:r w:rsidRPr="00AB4ECE">
              <w:rPr>
                <w:b/>
              </w:rPr>
              <w:t>Date</w:t>
            </w:r>
          </w:p>
          <w:p w14:paraId="7DDFD7A8" w14:textId="77777777" w:rsidR="002236BC" w:rsidRPr="00AB4ECE" w:rsidRDefault="002236BC" w:rsidP="004358D7">
            <w:pPr>
              <w:pStyle w:val="ListParagraph"/>
              <w:numPr>
                <w:ilvl w:val="0"/>
                <w:numId w:val="9"/>
              </w:numPr>
              <w:rPr>
                <w:b/>
              </w:rPr>
            </w:pPr>
            <w:r w:rsidRPr="00AB4ECE">
              <w:rPr>
                <w:b/>
              </w:rPr>
              <w:t>Citation, including page number</w:t>
            </w:r>
          </w:p>
          <w:p w14:paraId="0F6141B8" w14:textId="77777777" w:rsidR="002236BC" w:rsidRPr="00AB4ECE" w:rsidRDefault="002236BC" w:rsidP="004358D7">
            <w:pPr>
              <w:pStyle w:val="ListParagraph"/>
              <w:numPr>
                <w:ilvl w:val="0"/>
                <w:numId w:val="9"/>
              </w:numPr>
              <w:rPr>
                <w:b/>
              </w:rPr>
            </w:pPr>
            <w:r w:rsidRPr="00AB4ECE">
              <w:rPr>
                <w:b/>
              </w:rPr>
              <w:t>URL</w:t>
            </w:r>
          </w:p>
        </w:tc>
        <w:tc>
          <w:tcPr>
            <w:tcW w:w="6840" w:type="dxa"/>
          </w:tcPr>
          <w:p w14:paraId="2BE50C0B" w14:textId="2B4B167A" w:rsidR="00157E57" w:rsidRPr="000C14F5" w:rsidRDefault="00614445" w:rsidP="00EB77E5">
            <w:pPr>
              <w:pStyle w:val="ListParagraph"/>
              <w:numPr>
                <w:ilvl w:val="0"/>
                <w:numId w:val="9"/>
              </w:numPr>
              <w:spacing w:line="240" w:lineRule="auto"/>
              <w:ind w:left="360"/>
              <w:rPr>
                <w:color w:val="4F81BD" w:themeColor="accent1"/>
              </w:rPr>
            </w:pPr>
            <w:r>
              <w:rPr>
                <w:color w:val="4F81BD" w:themeColor="accent1"/>
              </w:rPr>
              <w:t xml:space="preserve">Title: </w:t>
            </w:r>
            <w:r w:rsidR="00157E57" w:rsidRPr="000C14F5">
              <w:rPr>
                <w:color w:val="4F81BD" w:themeColor="accent1"/>
              </w:rPr>
              <w:t xml:space="preserve">Prevention and Control of Seasonal </w:t>
            </w:r>
            <w:r w:rsidR="00D92BC7" w:rsidRPr="000C14F5">
              <w:rPr>
                <w:color w:val="4F81BD" w:themeColor="accent1"/>
              </w:rPr>
              <w:t>Influenza with Vaccines: Recommendations of the Advisory Committee on Immunization Practices – United States, 2019-20 Influenza Season</w:t>
            </w:r>
          </w:p>
          <w:p w14:paraId="441EAA29" w14:textId="77777777" w:rsidR="00ED4AEA" w:rsidRDefault="00614445" w:rsidP="00EB77E5">
            <w:pPr>
              <w:pStyle w:val="ListParagraph"/>
              <w:numPr>
                <w:ilvl w:val="0"/>
                <w:numId w:val="9"/>
              </w:numPr>
              <w:spacing w:line="240" w:lineRule="auto"/>
              <w:ind w:left="360"/>
              <w:rPr>
                <w:color w:val="4F81BD" w:themeColor="accent1"/>
              </w:rPr>
            </w:pPr>
            <w:r w:rsidRPr="00ED4AEA">
              <w:rPr>
                <w:color w:val="4F81BD" w:themeColor="accent1"/>
              </w:rPr>
              <w:t>Author: Lisa A. Grohskopf, Influenza Division, National Center for Immunization and Respiratory Diseases, CDC</w:t>
            </w:r>
          </w:p>
          <w:p w14:paraId="795CD7EB" w14:textId="151790E7" w:rsidR="00287C71" w:rsidRPr="00ED4AEA" w:rsidRDefault="00614445" w:rsidP="00EB77E5">
            <w:pPr>
              <w:pStyle w:val="ListParagraph"/>
              <w:numPr>
                <w:ilvl w:val="0"/>
                <w:numId w:val="9"/>
              </w:numPr>
              <w:spacing w:line="240" w:lineRule="auto"/>
              <w:ind w:left="360"/>
              <w:rPr>
                <w:color w:val="4F81BD" w:themeColor="accent1"/>
              </w:rPr>
            </w:pPr>
            <w:r w:rsidRPr="00ED4AEA">
              <w:rPr>
                <w:color w:val="4F81BD" w:themeColor="accent1"/>
              </w:rPr>
              <w:t xml:space="preserve">Date: </w:t>
            </w:r>
            <w:r w:rsidR="006F2CEE" w:rsidRPr="00ED4AEA">
              <w:rPr>
                <w:color w:val="4F81BD" w:themeColor="accent1"/>
              </w:rPr>
              <w:t>August 23, 2019</w:t>
            </w:r>
          </w:p>
          <w:p w14:paraId="53B23093" w14:textId="6A543714" w:rsidR="00FC722D" w:rsidRPr="000C14F5" w:rsidRDefault="00614445" w:rsidP="00EB77E5">
            <w:pPr>
              <w:pStyle w:val="ListParagraph"/>
              <w:numPr>
                <w:ilvl w:val="0"/>
                <w:numId w:val="9"/>
              </w:numPr>
              <w:spacing w:line="240" w:lineRule="auto"/>
              <w:ind w:left="360"/>
              <w:rPr>
                <w:rStyle w:val="Hyperlink"/>
                <w:color w:val="4F81BD" w:themeColor="accent1"/>
                <w:u w:val="none"/>
              </w:rPr>
            </w:pPr>
            <w:r w:rsidRPr="00993D17">
              <w:rPr>
                <w:color w:val="4F81BD" w:themeColor="accent1"/>
              </w:rPr>
              <w:t xml:space="preserve">Citation: </w:t>
            </w:r>
            <w:r w:rsidR="00FC722D" w:rsidRPr="00993D17">
              <w:rPr>
                <w:color w:val="4F81BD" w:themeColor="accent1"/>
              </w:rPr>
              <w:t>Grohskopf LA, Alyanak E, Broder KR, Walter EB, Fry AM, Jernigan DB. Prevention and Control of Seasonal Influenza with Vaccines: Recommendations of the Advisory</w:t>
            </w:r>
            <w:r w:rsidR="00FC722D" w:rsidRPr="000C14F5">
              <w:rPr>
                <w:rFonts w:cs="Segoe UI"/>
                <w:color w:val="4F81BD" w:themeColor="accent1"/>
                <w:shd w:val="clear" w:color="auto" w:fill="DEE8FF"/>
              </w:rPr>
              <w:t xml:space="preserve"> </w:t>
            </w:r>
            <w:r w:rsidR="00FC722D" w:rsidRPr="00993D17">
              <w:rPr>
                <w:rFonts w:eastAsiaTheme="minorHAnsi"/>
                <w:color w:val="4F81BD" w:themeColor="accent1"/>
              </w:rPr>
              <w:t>Committee on Immunization Practices — United States, 2019–20 Influenza Season. MMWR Recomm Rep 2019;68(No. RR-3):1–21. DOI: </w:t>
            </w:r>
            <w:hyperlink r:id="rId16" w:tgtFrame="_blank" w:history="1">
              <w:r w:rsidR="00FC722D" w:rsidRPr="00993D17">
                <w:rPr>
                  <w:rFonts w:eastAsiaTheme="minorHAnsi"/>
                  <w:color w:val="4F81BD" w:themeColor="accent1"/>
                </w:rPr>
                <w:t>http://dx.doi.org/10.15585/mmwr.rr6803a1</w:t>
              </w:r>
            </w:hyperlink>
            <w:r w:rsidR="00993D17">
              <w:rPr>
                <w:rFonts w:eastAsiaTheme="minorHAnsi"/>
              </w:rPr>
              <w:t xml:space="preserve"> </w:t>
            </w:r>
          </w:p>
          <w:p w14:paraId="2122E2B9" w14:textId="2F9302FB" w:rsidR="00A8180F" w:rsidRPr="000C14F5" w:rsidRDefault="00A8180F" w:rsidP="00EB77E5">
            <w:pPr>
              <w:pStyle w:val="ListParagraph"/>
              <w:numPr>
                <w:ilvl w:val="0"/>
                <w:numId w:val="12"/>
              </w:numPr>
              <w:spacing w:after="0" w:line="240" w:lineRule="auto"/>
              <w:ind w:left="360"/>
              <w:rPr>
                <w:color w:val="4F81BD" w:themeColor="accent1"/>
              </w:rPr>
            </w:pPr>
            <w:r w:rsidRPr="000C14F5">
              <w:rPr>
                <w:color w:val="4F81BD" w:themeColor="accent1"/>
              </w:rPr>
              <w:t xml:space="preserve">URL: </w:t>
            </w:r>
            <w:bookmarkStart w:id="7" w:name="_Hlk23319127"/>
            <w:r w:rsidRPr="000C14F5">
              <w:rPr>
                <w:color w:val="4F81BD" w:themeColor="accent1"/>
              </w:rPr>
              <w:fldChar w:fldCharType="begin"/>
            </w:r>
            <w:r w:rsidRPr="000C14F5">
              <w:rPr>
                <w:color w:val="4F81BD" w:themeColor="accent1"/>
              </w:rPr>
              <w:instrText xml:space="preserve"> HYPERLINK "https://www.cdc.gov/mmwr/volumes/68/rr/pdfs/rr6803-H.pdf" </w:instrText>
            </w:r>
            <w:r w:rsidRPr="000C14F5">
              <w:rPr>
                <w:color w:val="4F81BD" w:themeColor="accent1"/>
              </w:rPr>
              <w:fldChar w:fldCharType="separate"/>
            </w:r>
            <w:r w:rsidRPr="000C14F5">
              <w:rPr>
                <w:rStyle w:val="Hyperlink"/>
                <w:color w:val="4F81BD" w:themeColor="accent1"/>
              </w:rPr>
              <w:t>https://www.cdc.gov/mmwr/volumes/68/rr/pdfs/rr6803-H.pdf</w:t>
            </w:r>
            <w:r w:rsidRPr="000C14F5">
              <w:rPr>
                <w:color w:val="4F81BD" w:themeColor="accent1"/>
              </w:rPr>
              <w:fldChar w:fldCharType="end"/>
            </w:r>
            <w:bookmarkEnd w:id="7"/>
          </w:p>
        </w:tc>
      </w:tr>
      <w:tr w:rsidR="002236BC" w14:paraId="457F27B1" w14:textId="77777777" w:rsidTr="005E75E1">
        <w:trPr>
          <w:trHeight w:val="1862"/>
        </w:trPr>
        <w:tc>
          <w:tcPr>
            <w:tcW w:w="2965" w:type="dxa"/>
          </w:tcPr>
          <w:p w14:paraId="5E074321" w14:textId="77777777" w:rsidR="002236BC" w:rsidRDefault="002236BC" w:rsidP="004358D7">
            <w:pPr>
              <w:ind w:left="0" w:firstLine="0"/>
            </w:pPr>
            <w:r>
              <w:t>Quote the guideline or recommendation verbatim about the process, structure or intermediate outcome being measured. If not a guideline, summarize the conclusions from the SR.</w:t>
            </w:r>
          </w:p>
        </w:tc>
        <w:tc>
          <w:tcPr>
            <w:tcW w:w="6840" w:type="dxa"/>
          </w:tcPr>
          <w:p w14:paraId="57A73A94" w14:textId="0580F4B2" w:rsidR="002236BC" w:rsidRDefault="58A21243" w:rsidP="004358D7">
            <w:pPr>
              <w:ind w:left="0" w:firstLine="0"/>
            </w:pPr>
            <w:r w:rsidRPr="58A21243">
              <w:rPr>
                <w:color w:val="4F81BD" w:themeColor="accent1"/>
              </w:rPr>
              <w:t>“ACIP and the American College of Obstetricians and Gynecologists recommend that all women who are pregnant or who might be pregnant during the influenza season receive influenza vaccine. Any licensed, recommended, and age-appropriate inactivated influenza vaccine (IIV4) or recombinant influenza vaccine (RIV4) may be used. Live attenuated influenza vaccine (LAIV4) should not be used during pregnancy. Influenza vaccine can be administered at any time during pregnancy, before and during the influenza season.”</w:t>
            </w:r>
          </w:p>
        </w:tc>
      </w:tr>
      <w:tr w:rsidR="00735912" w14:paraId="4875B9BF" w14:textId="77777777" w:rsidTr="005E75E1">
        <w:tc>
          <w:tcPr>
            <w:tcW w:w="2965" w:type="dxa"/>
          </w:tcPr>
          <w:p w14:paraId="3A2288AB" w14:textId="77777777" w:rsidR="00735912" w:rsidRDefault="00735912" w:rsidP="00735912">
            <w:pPr>
              <w:ind w:left="0" w:firstLine="0"/>
            </w:pPr>
            <w:r>
              <w:t xml:space="preserve">Grade assigned to the </w:t>
            </w:r>
            <w:r w:rsidRPr="004E7215">
              <w:rPr>
                <w:b/>
              </w:rPr>
              <w:t>evidence</w:t>
            </w:r>
            <w:r>
              <w:t xml:space="preserve"> associated with the recommendation with the definition of the grade</w:t>
            </w:r>
          </w:p>
        </w:tc>
        <w:tc>
          <w:tcPr>
            <w:tcW w:w="6840" w:type="dxa"/>
          </w:tcPr>
          <w:p w14:paraId="59E1DA04" w14:textId="758C3671" w:rsidR="00735912" w:rsidRDefault="001C3F0C" w:rsidP="00735912">
            <w:pPr>
              <w:ind w:left="0" w:firstLine="0"/>
            </w:pPr>
            <w:r w:rsidRPr="007F6796">
              <w:rPr>
                <w:color w:val="4F81BD" w:themeColor="accent1"/>
              </w:rPr>
              <w:t>ACIP did not provide a grade for the evidence underlying this recommendation. ACIP conducts a thorough review of peer-reviewed evidence on vaccine safety and effectiveness, discusses recommendations with professional organizations, and holds regular meetings for experts to vote on proposed recommendations.</w:t>
            </w:r>
          </w:p>
        </w:tc>
      </w:tr>
      <w:tr w:rsidR="00735912" w14:paraId="6ECE956B" w14:textId="77777777" w:rsidTr="005E75E1">
        <w:tc>
          <w:tcPr>
            <w:tcW w:w="2965" w:type="dxa"/>
          </w:tcPr>
          <w:p w14:paraId="6763BC9C" w14:textId="20AB0A0F" w:rsidR="00735912" w:rsidRDefault="00735912" w:rsidP="00735912">
            <w:pPr>
              <w:ind w:left="0" w:firstLine="0"/>
            </w:pPr>
            <w:r>
              <w:t>Provide all other grades and definitions from the evidence grading system</w:t>
            </w:r>
          </w:p>
        </w:tc>
        <w:tc>
          <w:tcPr>
            <w:tcW w:w="6840" w:type="dxa"/>
          </w:tcPr>
          <w:p w14:paraId="78479FE9" w14:textId="66F62F91" w:rsidR="00735912" w:rsidRDefault="00735912" w:rsidP="00735912">
            <w:pPr>
              <w:ind w:left="0" w:firstLine="0"/>
            </w:pPr>
            <w:r w:rsidRPr="001C3F0C">
              <w:rPr>
                <w:color w:val="4F81BD" w:themeColor="accent1"/>
              </w:rPr>
              <w:t>N/A</w:t>
            </w:r>
          </w:p>
        </w:tc>
      </w:tr>
      <w:tr w:rsidR="00735912" w14:paraId="28FE5080" w14:textId="77777777" w:rsidTr="005E75E1">
        <w:tc>
          <w:tcPr>
            <w:tcW w:w="2965" w:type="dxa"/>
          </w:tcPr>
          <w:p w14:paraId="064719BE" w14:textId="77777777" w:rsidR="00735912" w:rsidRDefault="00735912" w:rsidP="00735912">
            <w:pPr>
              <w:ind w:left="0" w:firstLine="0"/>
            </w:pPr>
            <w:r>
              <w:t xml:space="preserve">Grade assigned to the </w:t>
            </w:r>
            <w:r w:rsidRPr="004E7215">
              <w:rPr>
                <w:b/>
              </w:rPr>
              <w:t>recommendation</w:t>
            </w:r>
            <w:r>
              <w:t xml:space="preserve"> with definition of the grade</w:t>
            </w:r>
          </w:p>
        </w:tc>
        <w:tc>
          <w:tcPr>
            <w:tcW w:w="6840" w:type="dxa"/>
          </w:tcPr>
          <w:p w14:paraId="5C955EE7" w14:textId="77777777" w:rsidR="0096285F" w:rsidRPr="0053498C" w:rsidRDefault="0096285F" w:rsidP="0096285F">
            <w:pPr>
              <w:ind w:left="0" w:firstLine="0"/>
              <w:rPr>
                <w:color w:val="4F81BD" w:themeColor="accent1"/>
              </w:rPr>
            </w:pPr>
            <w:r w:rsidRPr="007F6796">
              <w:rPr>
                <w:color w:val="4F81BD" w:themeColor="accent1"/>
              </w:rPr>
              <w:t xml:space="preserve">ACIP did not provide a grade for this recommendation. </w:t>
            </w:r>
            <w:r w:rsidRPr="0053498C">
              <w:rPr>
                <w:color w:val="4F81BD" w:themeColor="accent1"/>
              </w:rPr>
              <w:t>CDC vaccine recommendations are developed using an explicit evidence-based method based on the Grading of Recommendations, Assessment, Development and Evaluation (GRADE) approach.</w:t>
            </w:r>
          </w:p>
          <w:p w14:paraId="6966BB47" w14:textId="77777777" w:rsidR="0096285F" w:rsidRPr="0053498C" w:rsidRDefault="0096285F" w:rsidP="0096285F">
            <w:pPr>
              <w:ind w:left="0" w:firstLine="0"/>
              <w:rPr>
                <w:color w:val="4F81BD" w:themeColor="accent1"/>
              </w:rPr>
            </w:pPr>
          </w:p>
          <w:p w14:paraId="70B348D7" w14:textId="252B7A32" w:rsidR="00735912" w:rsidRDefault="0096285F" w:rsidP="0096285F">
            <w:pPr>
              <w:ind w:left="0" w:firstLine="0"/>
            </w:pPr>
            <w:r w:rsidRPr="0053498C">
              <w:rPr>
                <w:color w:val="4F81BD" w:themeColor="accent1"/>
              </w:rPr>
              <w:t>Key factors considered in development of recommendations include balance of benefits and harms, type or quality of evidence, values and preferences of the people affected, and health economic analyses.</w:t>
            </w:r>
            <w:r>
              <w:rPr>
                <w:color w:val="4F81BD" w:themeColor="accent1"/>
              </w:rPr>
              <w:t xml:space="preserve"> </w:t>
            </w:r>
            <w:r w:rsidRPr="007F6796">
              <w:rPr>
                <w:color w:val="4F81BD" w:themeColor="accent1"/>
              </w:rPr>
              <w:t>ACIP discusses recommendations with professional organizations and holds regular meetings for experts to vote on proposed recommendations.</w:t>
            </w:r>
          </w:p>
        </w:tc>
      </w:tr>
      <w:tr w:rsidR="00735912" w14:paraId="3B99BA5C" w14:textId="77777777" w:rsidTr="005E75E1">
        <w:tc>
          <w:tcPr>
            <w:tcW w:w="2965" w:type="dxa"/>
          </w:tcPr>
          <w:p w14:paraId="3F6303A9" w14:textId="77777777" w:rsidR="00735912" w:rsidRDefault="00735912" w:rsidP="00735912">
            <w:pPr>
              <w:ind w:left="0" w:firstLine="0"/>
            </w:pPr>
            <w:r>
              <w:t>Provide all other grades and definitions from the recommendation grading system</w:t>
            </w:r>
          </w:p>
        </w:tc>
        <w:tc>
          <w:tcPr>
            <w:tcW w:w="6840" w:type="dxa"/>
          </w:tcPr>
          <w:p w14:paraId="549036F8" w14:textId="436F5010" w:rsidR="00735912" w:rsidRDefault="00735912" w:rsidP="00735912">
            <w:pPr>
              <w:ind w:left="0" w:firstLine="0"/>
            </w:pPr>
            <w:r w:rsidRPr="001C3F0C">
              <w:rPr>
                <w:color w:val="4F81BD" w:themeColor="accent1"/>
              </w:rPr>
              <w:t>N/A</w:t>
            </w:r>
          </w:p>
        </w:tc>
      </w:tr>
      <w:tr w:rsidR="002236BC" w14:paraId="4F335682" w14:textId="77777777" w:rsidTr="005E75E1">
        <w:tc>
          <w:tcPr>
            <w:tcW w:w="2965" w:type="dxa"/>
          </w:tcPr>
          <w:p w14:paraId="138F3557" w14:textId="77777777" w:rsidR="002236BC" w:rsidRDefault="002236BC" w:rsidP="004358D7">
            <w:pPr>
              <w:ind w:left="0" w:firstLine="0"/>
            </w:pPr>
            <w:r>
              <w:t>Body of evidence:</w:t>
            </w:r>
          </w:p>
          <w:p w14:paraId="77FDFCE1" w14:textId="77777777" w:rsidR="002236BC" w:rsidRDefault="002236BC" w:rsidP="004358D7">
            <w:pPr>
              <w:pStyle w:val="ListParagraph"/>
              <w:numPr>
                <w:ilvl w:val="0"/>
                <w:numId w:val="10"/>
              </w:numPr>
            </w:pPr>
            <w:r>
              <w:t>Quantity – how many studies?</w:t>
            </w:r>
          </w:p>
          <w:p w14:paraId="65DB3F5E" w14:textId="77777777" w:rsidR="002236BC" w:rsidRDefault="002236BC" w:rsidP="004358D7">
            <w:pPr>
              <w:pStyle w:val="ListParagraph"/>
              <w:numPr>
                <w:ilvl w:val="0"/>
                <w:numId w:val="10"/>
              </w:numPr>
            </w:pPr>
            <w:r>
              <w:t>Quality – what type of studies?</w:t>
            </w:r>
          </w:p>
        </w:tc>
        <w:tc>
          <w:tcPr>
            <w:tcW w:w="6840" w:type="dxa"/>
          </w:tcPr>
          <w:p w14:paraId="7D73F255" w14:textId="6170F4A9" w:rsidR="00AA5AAA" w:rsidRDefault="00D74254" w:rsidP="004358D7">
            <w:pPr>
              <w:ind w:left="0" w:firstLine="0"/>
              <w:rPr>
                <w:color w:val="4F81BD" w:themeColor="accent1"/>
              </w:rPr>
            </w:pPr>
            <w:r w:rsidRPr="0013690F">
              <w:rPr>
                <w:color w:val="4F81BD" w:themeColor="accent1"/>
              </w:rPr>
              <w:t>The ACIP Influenza Work Group</w:t>
            </w:r>
            <w:r w:rsidR="004B2E6C">
              <w:rPr>
                <w:color w:val="4F81BD" w:themeColor="accent1"/>
              </w:rPr>
              <w:t xml:space="preserve"> </w:t>
            </w:r>
            <w:r w:rsidR="00CC7ED1">
              <w:rPr>
                <w:color w:val="4F81BD" w:themeColor="accent1"/>
              </w:rPr>
              <w:t xml:space="preserve">reviewed available data and evidence </w:t>
            </w:r>
            <w:r w:rsidR="004B2E6C">
              <w:rPr>
                <w:color w:val="4F81BD" w:themeColor="accent1"/>
              </w:rPr>
              <w:t>from</w:t>
            </w:r>
            <w:r w:rsidR="00CC7ED1">
              <w:rPr>
                <w:color w:val="4F81BD" w:themeColor="accent1"/>
              </w:rPr>
              <w:t xml:space="preserve"> 1979 </w:t>
            </w:r>
            <w:r w:rsidR="004B2E6C">
              <w:rPr>
                <w:color w:val="4F81BD" w:themeColor="accent1"/>
              </w:rPr>
              <w:t>to 2018</w:t>
            </w:r>
            <w:r w:rsidR="008C1C84">
              <w:rPr>
                <w:color w:val="4F81BD" w:themeColor="accent1"/>
              </w:rPr>
              <w:t xml:space="preserve"> on </w:t>
            </w:r>
            <w:r w:rsidR="006E3985">
              <w:rPr>
                <w:color w:val="4F81BD" w:themeColor="accent1"/>
              </w:rPr>
              <w:t>immunogenicity, efficiency, effectiveness and safety of influenza vaccines</w:t>
            </w:r>
            <w:r w:rsidR="004274AF">
              <w:rPr>
                <w:color w:val="4F81BD" w:themeColor="accent1"/>
              </w:rPr>
              <w:t xml:space="preserve">. They also convene twice monthly to review </w:t>
            </w:r>
            <w:r w:rsidR="00EE669E" w:rsidRPr="0013690F">
              <w:rPr>
                <w:color w:val="4F81BD" w:themeColor="accent1"/>
              </w:rPr>
              <w:t>“influenza surveillance, vaccine effectiveness and safety, vaccine coverage, program feasibility, cost-effectiveness, and vaccine supply”</w:t>
            </w:r>
            <w:r w:rsidR="00F1723D" w:rsidRPr="0013690F">
              <w:rPr>
                <w:color w:val="4F81BD" w:themeColor="accent1"/>
              </w:rPr>
              <w:t xml:space="preserve"> in order to provide</w:t>
            </w:r>
            <w:r w:rsidR="00EE669E" w:rsidRPr="0013690F">
              <w:rPr>
                <w:color w:val="4F81BD" w:themeColor="accent1"/>
              </w:rPr>
              <w:t xml:space="preserve"> </w:t>
            </w:r>
            <w:r w:rsidR="00F1723D" w:rsidRPr="0013690F">
              <w:rPr>
                <w:color w:val="4F81BD" w:themeColor="accent1"/>
              </w:rPr>
              <w:t xml:space="preserve">annual recommendations for the use of influenza vaccines for the prevention and control of influenza. </w:t>
            </w:r>
          </w:p>
          <w:p w14:paraId="271AEE43" w14:textId="48EEF91C" w:rsidR="00EE3F31" w:rsidRPr="00AF4696" w:rsidRDefault="00DC706A" w:rsidP="005E75E1">
            <w:pPr>
              <w:spacing w:before="120"/>
              <w:ind w:left="0" w:firstLine="0"/>
              <w:rPr>
                <w:color w:val="4F81BD" w:themeColor="accent1"/>
              </w:rPr>
            </w:pPr>
            <w:r w:rsidRPr="00773BBD">
              <w:rPr>
                <w:color w:val="4F81BD" w:themeColor="accent1"/>
              </w:rPr>
              <w:t>In total, the</w:t>
            </w:r>
            <w:r>
              <w:rPr>
                <w:color w:val="4F81BD" w:themeColor="accent1"/>
              </w:rPr>
              <w:t xml:space="preserve"> Work Group</w:t>
            </w:r>
            <w:r w:rsidR="00CC7ED1">
              <w:rPr>
                <w:color w:val="4F81BD" w:themeColor="accent1"/>
              </w:rPr>
              <w:t xml:space="preserve"> </w:t>
            </w:r>
            <w:r w:rsidRPr="00773BBD">
              <w:rPr>
                <w:color w:val="4F81BD" w:themeColor="accent1"/>
              </w:rPr>
              <w:t xml:space="preserve">reviewed </w:t>
            </w:r>
            <w:r w:rsidR="008A318C">
              <w:rPr>
                <w:color w:val="4F81BD" w:themeColor="accent1"/>
              </w:rPr>
              <w:t xml:space="preserve">approximately </w:t>
            </w:r>
            <w:r w:rsidR="00F13470">
              <w:rPr>
                <w:color w:val="4F81BD" w:themeColor="accent1"/>
              </w:rPr>
              <w:t>28</w:t>
            </w:r>
            <w:r w:rsidR="00A07585">
              <w:rPr>
                <w:color w:val="4F81BD" w:themeColor="accent1"/>
              </w:rPr>
              <w:t>5</w:t>
            </w:r>
            <w:r w:rsidR="00F75109">
              <w:rPr>
                <w:color w:val="4F81BD" w:themeColor="accent1"/>
              </w:rPr>
              <w:t xml:space="preserve"> studies on the immunogenicity, efficacy and effectiveness of IIV, RIV and LAIV</w:t>
            </w:r>
            <w:r w:rsidR="003A7B47">
              <w:rPr>
                <w:color w:val="4F81BD" w:themeColor="accent1"/>
              </w:rPr>
              <w:t xml:space="preserve"> </w:t>
            </w:r>
            <w:r w:rsidR="007A68A2">
              <w:rPr>
                <w:color w:val="4F81BD" w:themeColor="accent1"/>
              </w:rPr>
              <w:t xml:space="preserve">and </w:t>
            </w:r>
            <w:r w:rsidR="00381814">
              <w:rPr>
                <w:color w:val="4F81BD" w:themeColor="accent1"/>
              </w:rPr>
              <w:t xml:space="preserve">120 </w:t>
            </w:r>
            <w:r w:rsidR="007A68A2">
              <w:rPr>
                <w:color w:val="4F81BD" w:themeColor="accent1"/>
              </w:rPr>
              <w:t>studies on influenza vaccine safety</w:t>
            </w:r>
            <w:r w:rsidR="00381814">
              <w:rPr>
                <w:color w:val="4F81BD" w:themeColor="accent1"/>
              </w:rPr>
              <w:t xml:space="preserve">. </w:t>
            </w:r>
            <w:r w:rsidR="008D0AD0">
              <w:rPr>
                <w:color w:val="4F81BD" w:themeColor="accent1"/>
              </w:rPr>
              <w:t xml:space="preserve">This </w:t>
            </w:r>
            <w:r w:rsidR="00A07585">
              <w:rPr>
                <w:color w:val="4F81BD" w:themeColor="accent1"/>
              </w:rPr>
              <w:t xml:space="preserve">review </w:t>
            </w:r>
            <w:r w:rsidR="008D0AD0">
              <w:rPr>
                <w:color w:val="4F81BD" w:themeColor="accent1"/>
              </w:rPr>
              <w:t>include</w:t>
            </w:r>
            <w:r w:rsidR="00A07585">
              <w:rPr>
                <w:color w:val="4F81BD" w:themeColor="accent1"/>
              </w:rPr>
              <w:t>s</w:t>
            </w:r>
            <w:r w:rsidR="008A318C">
              <w:rPr>
                <w:color w:val="4F81BD" w:themeColor="accent1"/>
              </w:rPr>
              <w:t xml:space="preserve"> approximately</w:t>
            </w:r>
            <w:r w:rsidR="008D0AD0">
              <w:rPr>
                <w:color w:val="4F81BD" w:themeColor="accent1"/>
              </w:rPr>
              <w:t xml:space="preserve"> </w:t>
            </w:r>
            <w:r w:rsidR="001E4780">
              <w:rPr>
                <w:color w:val="4F81BD" w:themeColor="accent1"/>
              </w:rPr>
              <w:t>12</w:t>
            </w:r>
            <w:r w:rsidRPr="00773BBD">
              <w:rPr>
                <w:color w:val="4F81BD" w:themeColor="accent1"/>
              </w:rPr>
              <w:t xml:space="preserve"> studies </w:t>
            </w:r>
            <w:r w:rsidR="008D0AD0">
              <w:rPr>
                <w:color w:val="4F81BD" w:themeColor="accent1"/>
              </w:rPr>
              <w:t xml:space="preserve">specifically assessing </w:t>
            </w:r>
            <w:r w:rsidR="00B62845">
              <w:rPr>
                <w:color w:val="4F81BD" w:themeColor="accent1"/>
              </w:rPr>
              <w:t xml:space="preserve">immunogenicity, efficacy and effectiveness of </w:t>
            </w:r>
            <w:r w:rsidR="00F62A3C">
              <w:rPr>
                <w:color w:val="4F81BD" w:themeColor="accent1"/>
              </w:rPr>
              <w:t>influenza vaccine</w:t>
            </w:r>
            <w:r w:rsidR="00B62845">
              <w:rPr>
                <w:color w:val="4F81BD" w:themeColor="accent1"/>
              </w:rPr>
              <w:t xml:space="preserve"> for pregnant women; and </w:t>
            </w:r>
            <w:r w:rsidR="001C58C9">
              <w:rPr>
                <w:color w:val="4F81BD" w:themeColor="accent1"/>
              </w:rPr>
              <w:t>46</w:t>
            </w:r>
            <w:r w:rsidR="00B62845">
              <w:rPr>
                <w:color w:val="4F81BD" w:themeColor="accent1"/>
              </w:rPr>
              <w:t xml:space="preserve"> studies</w:t>
            </w:r>
            <w:r w:rsidR="00F62A3C">
              <w:rPr>
                <w:color w:val="4F81BD" w:themeColor="accent1"/>
              </w:rPr>
              <w:t xml:space="preserve"> assessing influenza vaccine safety for pregnant women. These studies</w:t>
            </w:r>
            <w:r w:rsidR="00B62845">
              <w:rPr>
                <w:color w:val="4F81BD" w:themeColor="accent1"/>
              </w:rPr>
              <w:t xml:space="preserve"> </w:t>
            </w:r>
            <w:r w:rsidR="00F62A3C" w:rsidRPr="00773BBD">
              <w:rPr>
                <w:color w:val="4F81BD" w:themeColor="accent1"/>
              </w:rPr>
              <w:t>consist of randomized control trials</w:t>
            </w:r>
            <w:r w:rsidR="00F62A3C">
              <w:rPr>
                <w:color w:val="4F81BD" w:themeColor="accent1"/>
              </w:rPr>
              <w:t>, case control studies</w:t>
            </w:r>
            <w:r w:rsidR="00F62A3C" w:rsidRPr="00773BBD">
              <w:rPr>
                <w:color w:val="4F81BD" w:themeColor="accent1"/>
              </w:rPr>
              <w:t xml:space="preserve"> and </w:t>
            </w:r>
            <w:r w:rsidR="00F62A3C">
              <w:rPr>
                <w:color w:val="4F81BD" w:themeColor="accent1"/>
              </w:rPr>
              <w:t>observational</w:t>
            </w:r>
            <w:r w:rsidR="00F62A3C" w:rsidRPr="00773BBD">
              <w:rPr>
                <w:color w:val="4F81BD" w:themeColor="accent1"/>
              </w:rPr>
              <w:t xml:space="preserve"> studie</w:t>
            </w:r>
            <w:r w:rsidR="00AF4696">
              <w:rPr>
                <w:color w:val="4F81BD" w:themeColor="accent1"/>
              </w:rPr>
              <w:t>s, among others.</w:t>
            </w:r>
          </w:p>
        </w:tc>
      </w:tr>
      <w:tr w:rsidR="002236BC" w14:paraId="5AF09490" w14:textId="77777777" w:rsidTr="005E75E1">
        <w:tc>
          <w:tcPr>
            <w:tcW w:w="2965" w:type="dxa"/>
          </w:tcPr>
          <w:p w14:paraId="7F8A8EB7" w14:textId="77777777" w:rsidR="002236BC" w:rsidRDefault="002236BC" w:rsidP="004358D7">
            <w:pPr>
              <w:ind w:left="0" w:firstLine="0"/>
            </w:pPr>
            <w:r>
              <w:t xml:space="preserve">Estimates of benefit and consistency across studies </w:t>
            </w:r>
          </w:p>
        </w:tc>
        <w:tc>
          <w:tcPr>
            <w:tcW w:w="6840" w:type="dxa"/>
          </w:tcPr>
          <w:p w14:paraId="01920C5A" w14:textId="01FD66C9" w:rsidR="0058116F" w:rsidRPr="00E86050" w:rsidRDefault="00F1723D" w:rsidP="00C95FF8">
            <w:pPr>
              <w:ind w:left="0" w:firstLine="0"/>
              <w:rPr>
                <w:color w:val="4F81BD" w:themeColor="accent1"/>
              </w:rPr>
            </w:pPr>
            <w:r w:rsidRPr="00CA2C18">
              <w:rPr>
                <w:color w:val="4F81BD" w:themeColor="accent1"/>
              </w:rPr>
              <w:t xml:space="preserve">The Work Group reviewed vaccine safety—compared to the morbidity and mortality risks associated </w:t>
            </w:r>
            <w:r w:rsidR="00731C06">
              <w:rPr>
                <w:color w:val="4F81BD" w:themeColor="accent1"/>
              </w:rPr>
              <w:t xml:space="preserve">with </w:t>
            </w:r>
            <w:r w:rsidR="003354BE" w:rsidRPr="00CA2C18">
              <w:rPr>
                <w:color w:val="4F81BD" w:themeColor="accent1"/>
              </w:rPr>
              <w:t>influenza</w:t>
            </w:r>
            <w:r w:rsidRPr="00CA2C18">
              <w:rPr>
                <w:color w:val="4F81BD" w:themeColor="accent1"/>
              </w:rPr>
              <w:t>—and concluded t</w:t>
            </w:r>
            <w:r w:rsidR="003354BE" w:rsidRPr="00CA2C18">
              <w:rPr>
                <w:color w:val="4F81BD" w:themeColor="accent1"/>
              </w:rPr>
              <w:t>hat a</w:t>
            </w:r>
            <w:r w:rsidRPr="00CA2C18">
              <w:rPr>
                <w:color w:val="4F81BD" w:themeColor="accent1"/>
              </w:rPr>
              <w:t xml:space="preserve">ll persons </w:t>
            </w:r>
            <w:r w:rsidR="003354BE" w:rsidRPr="00CA2C18">
              <w:rPr>
                <w:color w:val="4F81BD" w:themeColor="accent1"/>
              </w:rPr>
              <w:t>aged ≥6 months without contraindications are</w:t>
            </w:r>
            <w:r w:rsidRPr="00CA2C18">
              <w:rPr>
                <w:color w:val="4F81BD" w:themeColor="accent1"/>
              </w:rPr>
              <w:t xml:space="preserve"> recommended to receive routine</w:t>
            </w:r>
            <w:r w:rsidR="003354BE" w:rsidRPr="00CA2C18">
              <w:rPr>
                <w:color w:val="4F81BD" w:themeColor="accent1"/>
              </w:rPr>
              <w:t xml:space="preserve"> influenza vaccinations</w:t>
            </w:r>
            <w:r w:rsidRPr="00CA2C18">
              <w:rPr>
                <w:color w:val="4F81BD" w:themeColor="accent1"/>
              </w:rPr>
              <w:t xml:space="preserve">. Vaccine type, product, </w:t>
            </w:r>
            <w:r w:rsidR="003354BE" w:rsidRPr="00CA2C18">
              <w:rPr>
                <w:color w:val="4F81BD" w:themeColor="accent1"/>
              </w:rPr>
              <w:t xml:space="preserve">and </w:t>
            </w:r>
            <w:r w:rsidRPr="00CA2C18">
              <w:rPr>
                <w:color w:val="4F81BD" w:themeColor="accent1"/>
              </w:rPr>
              <w:t xml:space="preserve">dose recommendations are based on age and pregnancy status. This includes </w:t>
            </w:r>
            <w:r w:rsidR="003354BE" w:rsidRPr="00CA2C18">
              <w:rPr>
                <w:color w:val="4F81BD" w:themeColor="accent1"/>
              </w:rPr>
              <w:t xml:space="preserve">vaccination of pregnant women with a licensed, recommended, and age-appropriate IIV or RIV4. </w:t>
            </w:r>
          </w:p>
        </w:tc>
      </w:tr>
      <w:tr w:rsidR="002236BC" w14:paraId="15C13B63" w14:textId="77777777" w:rsidTr="005E75E1">
        <w:tc>
          <w:tcPr>
            <w:tcW w:w="2965" w:type="dxa"/>
          </w:tcPr>
          <w:p w14:paraId="5A80372C" w14:textId="77777777" w:rsidR="002236BC" w:rsidRDefault="002236BC" w:rsidP="004358D7">
            <w:pPr>
              <w:ind w:left="0" w:firstLine="0"/>
            </w:pPr>
            <w:r>
              <w:t>What harms were identified?</w:t>
            </w:r>
          </w:p>
        </w:tc>
        <w:tc>
          <w:tcPr>
            <w:tcW w:w="6840" w:type="dxa"/>
          </w:tcPr>
          <w:p w14:paraId="08EA698A" w14:textId="7BAA55E4" w:rsidR="58A21243" w:rsidRDefault="58A21243" w:rsidP="005E75E1">
            <w:pPr>
              <w:pStyle w:val="NoSpacing"/>
              <w:spacing w:line="259" w:lineRule="auto"/>
              <w:ind w:left="0" w:firstLine="0"/>
              <w:rPr>
                <w:color w:val="4F81BD" w:themeColor="accent1"/>
              </w:rPr>
            </w:pPr>
            <w:r w:rsidRPr="58A21243">
              <w:rPr>
                <w:color w:val="4F81BD" w:themeColor="accent1"/>
              </w:rPr>
              <w:t>The Work Group examined the risk of adverse events for each vaccine type and concluded that the influenza vaccine is safe for routine administration, including administration of IIV4 and RIV4 to pregnant women (LAIV4s are contraindicated for pregnant women). ACIP has identified severe allergic reactions as a contraindication to all influenza vaccine types.</w:t>
            </w:r>
          </w:p>
          <w:p w14:paraId="6F067C48" w14:textId="76B2BC8A" w:rsidR="000D6E4A" w:rsidRPr="00E86050" w:rsidRDefault="00DF6B2E" w:rsidP="005E75E1">
            <w:pPr>
              <w:pStyle w:val="NoSpacing"/>
              <w:spacing w:before="120"/>
              <w:ind w:left="0" w:firstLine="0"/>
              <w:rPr>
                <w:color w:val="4F81BD" w:themeColor="accent1"/>
              </w:rPr>
            </w:pPr>
            <w:r w:rsidRPr="00E86050">
              <w:rPr>
                <w:color w:val="4F81BD" w:themeColor="accent1"/>
              </w:rPr>
              <w:t xml:space="preserve">ACIP </w:t>
            </w:r>
            <w:r w:rsidR="0070293E">
              <w:rPr>
                <w:color w:val="4F81BD" w:themeColor="accent1"/>
              </w:rPr>
              <w:t xml:space="preserve">also </w:t>
            </w:r>
            <w:r w:rsidRPr="00E86050">
              <w:rPr>
                <w:color w:val="4F81BD" w:themeColor="accent1"/>
              </w:rPr>
              <w:t>notes that</w:t>
            </w:r>
            <w:r w:rsidR="000D6E4A" w:rsidRPr="00E86050">
              <w:rPr>
                <w:color w:val="4F81BD" w:themeColor="accent1"/>
              </w:rPr>
              <w:t>:</w:t>
            </w:r>
          </w:p>
          <w:p w14:paraId="4A4A3A44" w14:textId="7CCD8598" w:rsidR="58A21243" w:rsidRDefault="58A21243" w:rsidP="0053498C">
            <w:pPr>
              <w:pStyle w:val="NoSpacing"/>
              <w:numPr>
                <w:ilvl w:val="0"/>
                <w:numId w:val="15"/>
              </w:numPr>
              <w:ind w:left="360"/>
              <w:rPr>
                <w:color w:val="4F81BD" w:themeColor="accent1"/>
              </w:rPr>
            </w:pPr>
            <w:r w:rsidRPr="58A21243">
              <w:rPr>
                <w:color w:val="4F81BD" w:themeColor="accent1"/>
              </w:rPr>
              <w:t>Influenza vaccines have been administered to pregnant women for more than five decades, and overall have a reassuring safety profile. The vast majority of published data and clinical experience involve use of IIVs, which have been available for the longest period of time, and which have been recommended for use for some populations of pregnant women since the early 1960s. Data are more limited for RIV4 (which has only been available since 2013).</w:t>
            </w:r>
          </w:p>
          <w:p w14:paraId="0948E666" w14:textId="77777777" w:rsidR="000E34DB" w:rsidRPr="00E86050" w:rsidRDefault="000D6E4A" w:rsidP="0053498C">
            <w:pPr>
              <w:pStyle w:val="NoSpacing"/>
              <w:numPr>
                <w:ilvl w:val="0"/>
                <w:numId w:val="15"/>
              </w:numPr>
              <w:ind w:left="360"/>
              <w:rPr>
                <w:color w:val="4F81BD" w:themeColor="accent1"/>
              </w:rPr>
            </w:pPr>
            <w:r w:rsidRPr="00E86050">
              <w:rPr>
                <w:color w:val="4F81BD" w:themeColor="accent1"/>
              </w:rPr>
              <w:t>S</w:t>
            </w:r>
            <w:r w:rsidR="00310802" w:rsidRPr="00E86050">
              <w:rPr>
                <w:color w:val="4F81BD" w:themeColor="accent1"/>
              </w:rPr>
              <w:t xml:space="preserve">ubstantial data have accumulated which do not indicate fetal harm </w:t>
            </w:r>
            <w:r w:rsidR="00DE7938" w:rsidRPr="00E86050">
              <w:rPr>
                <w:color w:val="4F81BD" w:themeColor="accent1"/>
              </w:rPr>
              <w:t>(</w:t>
            </w:r>
            <w:r w:rsidR="00826B37" w:rsidRPr="00E86050">
              <w:rPr>
                <w:color w:val="4F81BD" w:themeColor="accent1"/>
              </w:rPr>
              <w:t xml:space="preserve">including </w:t>
            </w:r>
            <w:r w:rsidR="00DE7938" w:rsidRPr="00E86050">
              <w:rPr>
                <w:color w:val="4F81BD" w:themeColor="accent1"/>
              </w:rPr>
              <w:t xml:space="preserve">death, spontaneous abortion or congenital malformations) </w:t>
            </w:r>
            <w:r w:rsidR="00310802" w:rsidRPr="00E86050">
              <w:rPr>
                <w:color w:val="4F81BD" w:themeColor="accent1"/>
              </w:rPr>
              <w:t xml:space="preserve">associated with IIVs administered during pregnancy. </w:t>
            </w:r>
          </w:p>
          <w:p w14:paraId="03D176A5" w14:textId="4E90D15B" w:rsidR="002236BC" w:rsidRPr="00E86050" w:rsidRDefault="58A21243" w:rsidP="0053498C">
            <w:pPr>
              <w:pStyle w:val="NoSpacing"/>
              <w:numPr>
                <w:ilvl w:val="0"/>
                <w:numId w:val="15"/>
              </w:numPr>
              <w:ind w:left="360"/>
              <w:rPr>
                <w:color w:val="4F81BD" w:themeColor="accent1"/>
              </w:rPr>
            </w:pPr>
            <w:r w:rsidRPr="58A21243">
              <w:rPr>
                <w:color w:val="4F81BD" w:themeColor="accent1"/>
              </w:rPr>
              <w:t xml:space="preserve">Assessments of association between IIV and preterm birth and small for gestational age infants have yielded inconsistent results, with most studies reporting no association or a protective effect against these outcomes. </w:t>
            </w:r>
          </w:p>
        </w:tc>
      </w:tr>
      <w:tr w:rsidR="00735912" w14:paraId="3145414D" w14:textId="77777777" w:rsidTr="005E75E1">
        <w:tc>
          <w:tcPr>
            <w:tcW w:w="2965" w:type="dxa"/>
          </w:tcPr>
          <w:p w14:paraId="310FF538" w14:textId="77777777" w:rsidR="00735912" w:rsidRDefault="00735912" w:rsidP="00735912">
            <w:pPr>
              <w:ind w:left="0" w:firstLine="0"/>
            </w:pPr>
            <w:r>
              <w:t>Identify any new studies conducted since the SR. Do the new studies change the conclusions from the SR?</w:t>
            </w:r>
          </w:p>
        </w:tc>
        <w:tc>
          <w:tcPr>
            <w:tcW w:w="6840" w:type="dxa"/>
          </w:tcPr>
          <w:p w14:paraId="4C3F3E49" w14:textId="631EC0CE" w:rsidR="00735912" w:rsidRDefault="00735912" w:rsidP="00735912">
            <w:pPr>
              <w:ind w:left="0" w:firstLine="0"/>
            </w:pPr>
            <w:r w:rsidRPr="003F71EB">
              <w:rPr>
                <w:color w:val="4F81BD" w:themeColor="accent1"/>
              </w:rPr>
              <w:t>There have been no studies published since the guideline that would significantly affect the findings.</w:t>
            </w:r>
          </w:p>
        </w:tc>
      </w:tr>
    </w:tbl>
    <w:p w14:paraId="1E11B377" w14:textId="77777777" w:rsidR="002236BC" w:rsidRPr="003B1CC5" w:rsidRDefault="002236BC"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E62FB3" w:rsidRDefault="000E5C93" w:rsidP="002E2177">
      <w:pPr>
        <w:ind w:left="0" w:firstLine="0"/>
        <w:rPr>
          <w:b/>
          <w:color w:val="808080" w:themeColor="background1" w:themeShade="80"/>
        </w:rPr>
      </w:pPr>
      <w:bookmarkStart w:id="8" w:name="Section1a8"/>
      <w:bookmarkEnd w:id="8"/>
      <w:r w:rsidRPr="00E62FB3">
        <w:rPr>
          <w:b/>
          <w:color w:val="808080" w:themeColor="background1" w:themeShade="80"/>
        </w:rPr>
        <w:t>1a.4</w:t>
      </w:r>
      <w:r w:rsidR="00837121" w:rsidRPr="00E62FB3">
        <w:rPr>
          <w:b/>
          <w:color w:val="808080" w:themeColor="background1" w:themeShade="80"/>
        </w:rPr>
        <w:t xml:space="preserve"> OTHER SOURCE OF EVIDENCE</w:t>
      </w:r>
    </w:p>
    <w:p w14:paraId="55B8DA97" w14:textId="77777777" w:rsidR="00837121" w:rsidRPr="00E62FB3" w:rsidRDefault="00837121" w:rsidP="002E2177">
      <w:pPr>
        <w:ind w:left="0" w:firstLine="0"/>
        <w:rPr>
          <w:i/>
          <w:color w:val="808080" w:themeColor="background1" w:themeShade="80"/>
        </w:rPr>
      </w:pPr>
      <w:r w:rsidRPr="00E62FB3">
        <w:rPr>
          <w:i/>
          <w:color w:val="808080" w:themeColor="background1" w:themeShade="80"/>
        </w:rPr>
        <w:t xml:space="preserve">If source of evidence is </w:t>
      </w:r>
      <w:r w:rsidR="002B06BD" w:rsidRPr="00E62FB3">
        <w:rPr>
          <w:i/>
          <w:color w:val="808080" w:themeColor="background1" w:themeShade="80"/>
        </w:rPr>
        <w:t xml:space="preserve">NOT </w:t>
      </w:r>
      <w:r w:rsidRPr="00E62FB3">
        <w:rPr>
          <w:i/>
          <w:color w:val="808080" w:themeColor="background1" w:themeShade="80"/>
        </w:rPr>
        <w:t xml:space="preserve">from a clinical practice guideline, USPSTF, or systematic review, please describe the evidence on which you are basing </w:t>
      </w:r>
      <w:r w:rsidR="00EE1F87" w:rsidRPr="00E62FB3">
        <w:rPr>
          <w:i/>
          <w:color w:val="808080" w:themeColor="background1" w:themeShade="80"/>
        </w:rPr>
        <w:t xml:space="preserve">the </w:t>
      </w:r>
      <w:r w:rsidRPr="00E62FB3">
        <w:rPr>
          <w:i/>
          <w:color w:val="808080" w:themeColor="background1" w:themeShade="80"/>
        </w:rPr>
        <w:t>performance measure.</w:t>
      </w:r>
    </w:p>
    <w:p w14:paraId="55B8DA98" w14:textId="77777777" w:rsidR="00837121" w:rsidRPr="00E62FB3" w:rsidRDefault="00837121" w:rsidP="002E2177">
      <w:pPr>
        <w:ind w:left="0" w:firstLine="0"/>
        <w:rPr>
          <w:color w:val="808080" w:themeColor="background1" w:themeShade="80"/>
        </w:rPr>
      </w:pPr>
    </w:p>
    <w:p w14:paraId="55B8DA99" w14:textId="77777777" w:rsidR="000E5C93" w:rsidRPr="00E62FB3" w:rsidRDefault="000E5C93" w:rsidP="002E2177">
      <w:pPr>
        <w:ind w:left="0" w:firstLine="0"/>
        <w:rPr>
          <w:color w:val="808080" w:themeColor="background1" w:themeShade="80"/>
        </w:rPr>
      </w:pPr>
      <w:r w:rsidRPr="00E62FB3">
        <w:rPr>
          <w:b/>
          <w:color w:val="808080" w:themeColor="background1" w:themeShade="80"/>
        </w:rPr>
        <w:t>1a.4</w:t>
      </w:r>
      <w:r w:rsidR="00837121" w:rsidRPr="00E62FB3">
        <w:rPr>
          <w:b/>
          <w:color w:val="808080" w:themeColor="background1" w:themeShade="80"/>
        </w:rPr>
        <w:t>.1</w:t>
      </w:r>
      <w:r w:rsidR="00837121" w:rsidRPr="00E62FB3">
        <w:rPr>
          <w:color w:val="808080" w:themeColor="background1" w:themeShade="80"/>
        </w:rPr>
        <w:t xml:space="preserve"> </w:t>
      </w:r>
      <w:r w:rsidRPr="00E62FB3">
        <w:rPr>
          <w:b/>
          <w:color w:val="808080" w:themeColor="background1" w:themeShade="80"/>
        </w:rPr>
        <w:t xml:space="preserve">Briefly </w:t>
      </w:r>
      <w:r w:rsidR="00E42FAA" w:rsidRPr="00E62FB3">
        <w:rPr>
          <w:b/>
          <w:color w:val="808080" w:themeColor="background1" w:themeShade="80"/>
        </w:rPr>
        <w:t xml:space="preserve">SYNTHESIZE </w:t>
      </w:r>
      <w:r w:rsidRPr="00E62FB3">
        <w:rPr>
          <w:b/>
          <w:color w:val="808080" w:themeColor="background1" w:themeShade="80"/>
        </w:rPr>
        <w:t xml:space="preserve">the evidence that supports the measure. </w:t>
      </w:r>
      <w:r w:rsidRPr="00E62FB3">
        <w:rPr>
          <w:color w:val="808080" w:themeColor="background1" w:themeShade="80"/>
        </w:rPr>
        <w:t>A list of references without a summary is not acceptable.</w:t>
      </w:r>
    </w:p>
    <w:p w14:paraId="55B8DA9A" w14:textId="77777777" w:rsidR="000E5C93" w:rsidRPr="00E62FB3" w:rsidRDefault="000E5C93" w:rsidP="002E2177">
      <w:pPr>
        <w:ind w:left="0" w:firstLine="0"/>
        <w:rPr>
          <w:b/>
          <w:color w:val="808080" w:themeColor="background1" w:themeShade="80"/>
        </w:rPr>
      </w:pPr>
    </w:p>
    <w:p w14:paraId="55B8DA9B" w14:textId="77777777" w:rsidR="00837121" w:rsidRPr="00E62FB3" w:rsidRDefault="000E5C93" w:rsidP="002E2177">
      <w:pPr>
        <w:ind w:left="0" w:firstLine="0"/>
        <w:rPr>
          <w:color w:val="808080" w:themeColor="background1" w:themeShade="80"/>
        </w:rPr>
      </w:pPr>
      <w:r w:rsidRPr="00E62FB3">
        <w:rPr>
          <w:b/>
          <w:color w:val="808080" w:themeColor="background1" w:themeShade="80"/>
        </w:rPr>
        <w:t xml:space="preserve">1a.4.2 </w:t>
      </w:r>
      <w:r w:rsidR="00837121" w:rsidRPr="00E62FB3">
        <w:rPr>
          <w:b/>
          <w:color w:val="808080" w:themeColor="background1" w:themeShade="80"/>
        </w:rPr>
        <w:t>What process was used to identify the evidence?</w:t>
      </w:r>
    </w:p>
    <w:p w14:paraId="55B8DA9C" w14:textId="77777777" w:rsidR="00837121" w:rsidRPr="00E62FB3" w:rsidRDefault="00837121" w:rsidP="002E2177">
      <w:pPr>
        <w:ind w:left="0" w:firstLine="0"/>
        <w:rPr>
          <w:color w:val="808080" w:themeColor="background1" w:themeShade="80"/>
        </w:rPr>
      </w:pPr>
    </w:p>
    <w:p w14:paraId="55B8DA9D" w14:textId="77777777" w:rsidR="00837121" w:rsidRPr="00E62FB3" w:rsidRDefault="000E5C93" w:rsidP="002E2177">
      <w:pPr>
        <w:ind w:left="0" w:firstLine="0"/>
        <w:rPr>
          <w:color w:val="808080" w:themeColor="background1" w:themeShade="80"/>
        </w:rPr>
      </w:pPr>
      <w:r w:rsidRPr="00E62FB3">
        <w:rPr>
          <w:b/>
          <w:color w:val="808080" w:themeColor="background1" w:themeShade="80"/>
        </w:rPr>
        <w:t>1a.4.3</w:t>
      </w:r>
      <w:r w:rsidR="00837121" w:rsidRPr="00E62FB3">
        <w:rPr>
          <w:b/>
          <w:color w:val="808080" w:themeColor="background1" w:themeShade="80"/>
        </w:rPr>
        <w:t>.</w:t>
      </w:r>
      <w:r w:rsidR="00837121" w:rsidRPr="00E62FB3">
        <w:rPr>
          <w:color w:val="808080" w:themeColor="background1" w:themeShade="80"/>
        </w:rPr>
        <w:t xml:space="preserve"> </w:t>
      </w:r>
      <w:r w:rsidR="006C7F30" w:rsidRPr="00E62FB3">
        <w:rPr>
          <w:b/>
          <w:color w:val="808080" w:themeColor="background1" w:themeShade="80"/>
        </w:rPr>
        <w:t>Provide the citation</w:t>
      </w:r>
      <w:r w:rsidRPr="00E62FB3">
        <w:rPr>
          <w:b/>
          <w:color w:val="808080" w:themeColor="background1" w:themeShade="80"/>
        </w:rPr>
        <w:t>(s)</w:t>
      </w:r>
      <w:r w:rsidR="009E6B86" w:rsidRPr="00E62FB3">
        <w:rPr>
          <w:b/>
          <w:color w:val="808080" w:themeColor="background1" w:themeShade="80"/>
        </w:rPr>
        <w:t xml:space="preserve"> </w:t>
      </w:r>
      <w:r w:rsidRPr="00E62FB3">
        <w:rPr>
          <w:b/>
          <w:color w:val="808080" w:themeColor="background1" w:themeShade="80"/>
        </w:rPr>
        <w:t>for the</w:t>
      </w:r>
      <w:r w:rsidR="006C7F30" w:rsidRPr="00E62FB3">
        <w:rPr>
          <w:b/>
          <w:color w:val="808080" w:themeColor="background1" w:themeShade="80"/>
        </w:rPr>
        <w:t xml:space="preserve"> evidence.</w:t>
      </w:r>
    </w:p>
    <w:sectPr w:rsidR="00837121" w:rsidRPr="00E62FB3">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E594E" w14:textId="77777777" w:rsidR="00837EF8" w:rsidRDefault="00837EF8" w:rsidP="007E37A5">
      <w:r>
        <w:separator/>
      </w:r>
    </w:p>
  </w:endnote>
  <w:endnote w:type="continuationSeparator" w:id="0">
    <w:p w14:paraId="6C6C0C2E" w14:textId="77777777" w:rsidR="00837EF8" w:rsidRDefault="00837EF8" w:rsidP="007E37A5">
      <w:r>
        <w:continuationSeparator/>
      </w:r>
    </w:p>
  </w:endnote>
  <w:endnote w:type="continuationNotice" w:id="1">
    <w:p w14:paraId="3BE545EF" w14:textId="77777777" w:rsidR="00837EF8" w:rsidRDefault="00837E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34664EBC"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75285A">
      <w:rPr>
        <w:noProof/>
      </w:rPr>
      <w:t>1</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0D3D7" w14:textId="77777777" w:rsidR="00837EF8" w:rsidRDefault="00837EF8" w:rsidP="007E37A5">
      <w:r>
        <w:separator/>
      </w:r>
    </w:p>
  </w:footnote>
  <w:footnote w:type="continuationSeparator" w:id="0">
    <w:p w14:paraId="0B35E86B" w14:textId="77777777" w:rsidR="00837EF8" w:rsidRDefault="00837EF8" w:rsidP="007E37A5">
      <w:r>
        <w:continuationSeparator/>
      </w:r>
    </w:p>
  </w:footnote>
  <w:footnote w:type="continuationNotice" w:id="1">
    <w:p w14:paraId="6847706F" w14:textId="77777777" w:rsidR="00837EF8" w:rsidRDefault="00837E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6C73C1F"/>
    <w:multiLevelType w:val="hybridMultilevel"/>
    <w:tmpl w:val="7C320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CBA51C9"/>
    <w:multiLevelType w:val="hybridMultilevel"/>
    <w:tmpl w:val="8DD6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4BD2DD0"/>
    <w:multiLevelType w:val="hybridMultilevel"/>
    <w:tmpl w:val="639E1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774E88"/>
    <w:multiLevelType w:val="hybridMultilevel"/>
    <w:tmpl w:val="FC3AE47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0F11DF"/>
    <w:multiLevelType w:val="hybridMultilevel"/>
    <w:tmpl w:val="3C8C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
  </w:num>
  <w:num w:numId="4">
    <w:abstractNumId w:val="2"/>
  </w:num>
  <w:num w:numId="5">
    <w:abstractNumId w:val="4"/>
  </w:num>
  <w:num w:numId="6">
    <w:abstractNumId w:val="3"/>
  </w:num>
  <w:num w:numId="7">
    <w:abstractNumId w:val="13"/>
  </w:num>
  <w:num w:numId="8">
    <w:abstractNumId w:val="12"/>
  </w:num>
  <w:num w:numId="9">
    <w:abstractNumId w:val="14"/>
  </w:num>
  <w:num w:numId="10">
    <w:abstractNumId w:val="0"/>
  </w:num>
  <w:num w:numId="11">
    <w:abstractNumId w:val="7"/>
  </w:num>
  <w:num w:numId="12">
    <w:abstractNumId w:val="5"/>
  </w:num>
  <w:num w:numId="13">
    <w:abstractNumId w:val="10"/>
  </w:num>
  <w:num w:numId="14">
    <w:abstractNumId w:val="8"/>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Formattin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01CCE"/>
    <w:rsid w:val="000034C3"/>
    <w:rsid w:val="00010081"/>
    <w:rsid w:val="00015986"/>
    <w:rsid w:val="000160E6"/>
    <w:rsid w:val="000166D9"/>
    <w:rsid w:val="000179C9"/>
    <w:rsid w:val="000231F6"/>
    <w:rsid w:val="00024526"/>
    <w:rsid w:val="000272F9"/>
    <w:rsid w:val="00030F43"/>
    <w:rsid w:val="00031F7D"/>
    <w:rsid w:val="0003227D"/>
    <w:rsid w:val="00037923"/>
    <w:rsid w:val="00040DCF"/>
    <w:rsid w:val="00042084"/>
    <w:rsid w:val="00052C0B"/>
    <w:rsid w:val="0005496E"/>
    <w:rsid w:val="00061CF3"/>
    <w:rsid w:val="00063601"/>
    <w:rsid w:val="00073079"/>
    <w:rsid w:val="0007593F"/>
    <w:rsid w:val="00077907"/>
    <w:rsid w:val="00080C4A"/>
    <w:rsid w:val="0008526F"/>
    <w:rsid w:val="000869E1"/>
    <w:rsid w:val="000905D8"/>
    <w:rsid w:val="00090B0D"/>
    <w:rsid w:val="00094782"/>
    <w:rsid w:val="00095EC9"/>
    <w:rsid w:val="00096A37"/>
    <w:rsid w:val="000A0810"/>
    <w:rsid w:val="000A58D5"/>
    <w:rsid w:val="000A60CD"/>
    <w:rsid w:val="000A6EC9"/>
    <w:rsid w:val="000B627F"/>
    <w:rsid w:val="000B6F8C"/>
    <w:rsid w:val="000C14F5"/>
    <w:rsid w:val="000D2692"/>
    <w:rsid w:val="000D649E"/>
    <w:rsid w:val="000D6D06"/>
    <w:rsid w:val="000D6E4A"/>
    <w:rsid w:val="000E1DEB"/>
    <w:rsid w:val="000E34DB"/>
    <w:rsid w:val="000E5C93"/>
    <w:rsid w:val="000F4A7F"/>
    <w:rsid w:val="001016C5"/>
    <w:rsid w:val="00106B5D"/>
    <w:rsid w:val="00114848"/>
    <w:rsid w:val="00116A73"/>
    <w:rsid w:val="00120934"/>
    <w:rsid w:val="00123B4C"/>
    <w:rsid w:val="00126450"/>
    <w:rsid w:val="00132070"/>
    <w:rsid w:val="0013690F"/>
    <w:rsid w:val="00141875"/>
    <w:rsid w:val="0014347E"/>
    <w:rsid w:val="00154438"/>
    <w:rsid w:val="001551F6"/>
    <w:rsid w:val="0015535B"/>
    <w:rsid w:val="00156120"/>
    <w:rsid w:val="00156C4E"/>
    <w:rsid w:val="00157E57"/>
    <w:rsid w:val="00160DA5"/>
    <w:rsid w:val="00162036"/>
    <w:rsid w:val="00162F33"/>
    <w:rsid w:val="001632DD"/>
    <w:rsid w:val="00170E46"/>
    <w:rsid w:val="00171115"/>
    <w:rsid w:val="00171C15"/>
    <w:rsid w:val="00176E60"/>
    <w:rsid w:val="00181939"/>
    <w:rsid w:val="00187858"/>
    <w:rsid w:val="0019186B"/>
    <w:rsid w:val="0019208A"/>
    <w:rsid w:val="00194913"/>
    <w:rsid w:val="00194D9A"/>
    <w:rsid w:val="001952F0"/>
    <w:rsid w:val="00196F1D"/>
    <w:rsid w:val="001A1020"/>
    <w:rsid w:val="001A196B"/>
    <w:rsid w:val="001A430E"/>
    <w:rsid w:val="001A6D05"/>
    <w:rsid w:val="001B38BF"/>
    <w:rsid w:val="001B772D"/>
    <w:rsid w:val="001C3F0C"/>
    <w:rsid w:val="001C472C"/>
    <w:rsid w:val="001C58C9"/>
    <w:rsid w:val="001C7339"/>
    <w:rsid w:val="001D1DF9"/>
    <w:rsid w:val="001D2DDD"/>
    <w:rsid w:val="001D363D"/>
    <w:rsid w:val="001D5B5D"/>
    <w:rsid w:val="001E078E"/>
    <w:rsid w:val="001E4780"/>
    <w:rsid w:val="001E6153"/>
    <w:rsid w:val="001F5641"/>
    <w:rsid w:val="00201FF9"/>
    <w:rsid w:val="00205857"/>
    <w:rsid w:val="00212ABB"/>
    <w:rsid w:val="00214F08"/>
    <w:rsid w:val="002236BC"/>
    <w:rsid w:val="002256FE"/>
    <w:rsid w:val="00230499"/>
    <w:rsid w:val="0023102D"/>
    <w:rsid w:val="00235ADC"/>
    <w:rsid w:val="00235E61"/>
    <w:rsid w:val="0023652B"/>
    <w:rsid w:val="00236F87"/>
    <w:rsid w:val="002429B0"/>
    <w:rsid w:val="0024337A"/>
    <w:rsid w:val="00243C1E"/>
    <w:rsid w:val="00244F99"/>
    <w:rsid w:val="0025118B"/>
    <w:rsid w:val="00255FA4"/>
    <w:rsid w:val="002608AD"/>
    <w:rsid w:val="00265702"/>
    <w:rsid w:val="002662B2"/>
    <w:rsid w:val="0027147E"/>
    <w:rsid w:val="002717C7"/>
    <w:rsid w:val="002744F4"/>
    <w:rsid w:val="002875E9"/>
    <w:rsid w:val="00287C71"/>
    <w:rsid w:val="00287EB3"/>
    <w:rsid w:val="002978C5"/>
    <w:rsid w:val="002A25AF"/>
    <w:rsid w:val="002A47BA"/>
    <w:rsid w:val="002A6777"/>
    <w:rsid w:val="002B06BD"/>
    <w:rsid w:val="002C0E48"/>
    <w:rsid w:val="002C2DEB"/>
    <w:rsid w:val="002C4CA7"/>
    <w:rsid w:val="002C6F04"/>
    <w:rsid w:val="002E2177"/>
    <w:rsid w:val="002E2E41"/>
    <w:rsid w:val="002E346D"/>
    <w:rsid w:val="002E78CD"/>
    <w:rsid w:val="002F20A7"/>
    <w:rsid w:val="003008F4"/>
    <w:rsid w:val="00302B1D"/>
    <w:rsid w:val="0030520B"/>
    <w:rsid w:val="00305508"/>
    <w:rsid w:val="00307FA5"/>
    <w:rsid w:val="00310802"/>
    <w:rsid w:val="00324D64"/>
    <w:rsid w:val="00324DB6"/>
    <w:rsid w:val="0032704D"/>
    <w:rsid w:val="00331345"/>
    <w:rsid w:val="00334A36"/>
    <w:rsid w:val="003354BE"/>
    <w:rsid w:val="00340576"/>
    <w:rsid w:val="003434E6"/>
    <w:rsid w:val="00343715"/>
    <w:rsid w:val="0035053D"/>
    <w:rsid w:val="00352B52"/>
    <w:rsid w:val="003538A0"/>
    <w:rsid w:val="003556B6"/>
    <w:rsid w:val="003571D4"/>
    <w:rsid w:val="00357432"/>
    <w:rsid w:val="0035760D"/>
    <w:rsid w:val="00363ECC"/>
    <w:rsid w:val="00372970"/>
    <w:rsid w:val="0038078B"/>
    <w:rsid w:val="00381814"/>
    <w:rsid w:val="00385DE5"/>
    <w:rsid w:val="003865E1"/>
    <w:rsid w:val="0039020B"/>
    <w:rsid w:val="00393BFF"/>
    <w:rsid w:val="00395263"/>
    <w:rsid w:val="003956E0"/>
    <w:rsid w:val="0039609A"/>
    <w:rsid w:val="00397500"/>
    <w:rsid w:val="003A34CB"/>
    <w:rsid w:val="003A7B47"/>
    <w:rsid w:val="003B1CC5"/>
    <w:rsid w:val="003B23DE"/>
    <w:rsid w:val="003B4BFA"/>
    <w:rsid w:val="003B65CE"/>
    <w:rsid w:val="003B7149"/>
    <w:rsid w:val="003C1163"/>
    <w:rsid w:val="003C399F"/>
    <w:rsid w:val="003C546A"/>
    <w:rsid w:val="003C6D4F"/>
    <w:rsid w:val="003D2FD9"/>
    <w:rsid w:val="003D5E56"/>
    <w:rsid w:val="003D6721"/>
    <w:rsid w:val="003E039E"/>
    <w:rsid w:val="003F3174"/>
    <w:rsid w:val="003F71EB"/>
    <w:rsid w:val="0040230E"/>
    <w:rsid w:val="00403F8C"/>
    <w:rsid w:val="0040551F"/>
    <w:rsid w:val="00407F5F"/>
    <w:rsid w:val="004157F0"/>
    <w:rsid w:val="0041662F"/>
    <w:rsid w:val="00416A42"/>
    <w:rsid w:val="00422917"/>
    <w:rsid w:val="0042375F"/>
    <w:rsid w:val="00423DD0"/>
    <w:rsid w:val="004274AF"/>
    <w:rsid w:val="00434084"/>
    <w:rsid w:val="004358D7"/>
    <w:rsid w:val="00440687"/>
    <w:rsid w:val="0044131D"/>
    <w:rsid w:val="00441ADA"/>
    <w:rsid w:val="00444FB3"/>
    <w:rsid w:val="0044764E"/>
    <w:rsid w:val="004563C2"/>
    <w:rsid w:val="00457E46"/>
    <w:rsid w:val="004678C8"/>
    <w:rsid w:val="004922E4"/>
    <w:rsid w:val="004929A0"/>
    <w:rsid w:val="00496AF8"/>
    <w:rsid w:val="004A18E6"/>
    <w:rsid w:val="004A575D"/>
    <w:rsid w:val="004A6AC9"/>
    <w:rsid w:val="004B0ECF"/>
    <w:rsid w:val="004B2E6C"/>
    <w:rsid w:val="004B321C"/>
    <w:rsid w:val="004B65C6"/>
    <w:rsid w:val="004C0D6F"/>
    <w:rsid w:val="004C76B7"/>
    <w:rsid w:val="004C7821"/>
    <w:rsid w:val="004D1A13"/>
    <w:rsid w:val="004D1DC7"/>
    <w:rsid w:val="004D2C4C"/>
    <w:rsid w:val="004D594B"/>
    <w:rsid w:val="004D690C"/>
    <w:rsid w:val="004E23E8"/>
    <w:rsid w:val="004E3982"/>
    <w:rsid w:val="004E7215"/>
    <w:rsid w:val="004F7D7E"/>
    <w:rsid w:val="00500B0C"/>
    <w:rsid w:val="005014BE"/>
    <w:rsid w:val="00503D9A"/>
    <w:rsid w:val="00505C21"/>
    <w:rsid w:val="00510BDA"/>
    <w:rsid w:val="00513771"/>
    <w:rsid w:val="00517B69"/>
    <w:rsid w:val="00523F77"/>
    <w:rsid w:val="0053498C"/>
    <w:rsid w:val="00537150"/>
    <w:rsid w:val="00540984"/>
    <w:rsid w:val="00543851"/>
    <w:rsid w:val="00546230"/>
    <w:rsid w:val="00551504"/>
    <w:rsid w:val="00553767"/>
    <w:rsid w:val="0055559D"/>
    <w:rsid w:val="005569AE"/>
    <w:rsid w:val="00557008"/>
    <w:rsid w:val="00564A50"/>
    <w:rsid w:val="005743CD"/>
    <w:rsid w:val="0057736E"/>
    <w:rsid w:val="0058116F"/>
    <w:rsid w:val="005857F8"/>
    <w:rsid w:val="00585AD1"/>
    <w:rsid w:val="00593638"/>
    <w:rsid w:val="005953B6"/>
    <w:rsid w:val="005B0A0A"/>
    <w:rsid w:val="005B0D18"/>
    <w:rsid w:val="005B12C3"/>
    <w:rsid w:val="005B1DBB"/>
    <w:rsid w:val="005B409D"/>
    <w:rsid w:val="005C2AE8"/>
    <w:rsid w:val="005C5E5D"/>
    <w:rsid w:val="005D0FDB"/>
    <w:rsid w:val="005D25E9"/>
    <w:rsid w:val="005D6D59"/>
    <w:rsid w:val="005E75E1"/>
    <w:rsid w:val="005F043F"/>
    <w:rsid w:val="005F21F3"/>
    <w:rsid w:val="005F60E2"/>
    <w:rsid w:val="005F6558"/>
    <w:rsid w:val="006009B4"/>
    <w:rsid w:val="00601DBC"/>
    <w:rsid w:val="0061327A"/>
    <w:rsid w:val="00614445"/>
    <w:rsid w:val="006150E6"/>
    <w:rsid w:val="00617390"/>
    <w:rsid w:val="00623420"/>
    <w:rsid w:val="00630A6D"/>
    <w:rsid w:val="00634768"/>
    <w:rsid w:val="006354B7"/>
    <w:rsid w:val="0063596F"/>
    <w:rsid w:val="00642FC0"/>
    <w:rsid w:val="00644118"/>
    <w:rsid w:val="00644378"/>
    <w:rsid w:val="0064751B"/>
    <w:rsid w:val="0065763B"/>
    <w:rsid w:val="006709EB"/>
    <w:rsid w:val="00672824"/>
    <w:rsid w:val="00676BD4"/>
    <w:rsid w:val="00677BB2"/>
    <w:rsid w:val="00680FBD"/>
    <w:rsid w:val="0068184A"/>
    <w:rsid w:val="00683B18"/>
    <w:rsid w:val="00691928"/>
    <w:rsid w:val="00693A83"/>
    <w:rsid w:val="006A0249"/>
    <w:rsid w:val="006B4BE7"/>
    <w:rsid w:val="006B5C51"/>
    <w:rsid w:val="006C069F"/>
    <w:rsid w:val="006C3297"/>
    <w:rsid w:val="006C39C7"/>
    <w:rsid w:val="006C7F30"/>
    <w:rsid w:val="006D43FF"/>
    <w:rsid w:val="006D5BF9"/>
    <w:rsid w:val="006E3985"/>
    <w:rsid w:val="006E6FDD"/>
    <w:rsid w:val="006F0F02"/>
    <w:rsid w:val="006F105F"/>
    <w:rsid w:val="006F1824"/>
    <w:rsid w:val="006F2CEE"/>
    <w:rsid w:val="006F4B7F"/>
    <w:rsid w:val="006F6E88"/>
    <w:rsid w:val="006F760B"/>
    <w:rsid w:val="00701CC3"/>
    <w:rsid w:val="0070293E"/>
    <w:rsid w:val="0071331C"/>
    <w:rsid w:val="00714996"/>
    <w:rsid w:val="00714D5C"/>
    <w:rsid w:val="00724801"/>
    <w:rsid w:val="00731C06"/>
    <w:rsid w:val="00734949"/>
    <w:rsid w:val="00734E8B"/>
    <w:rsid w:val="00735912"/>
    <w:rsid w:val="007367D3"/>
    <w:rsid w:val="00736823"/>
    <w:rsid w:val="00736AEC"/>
    <w:rsid w:val="00736E0F"/>
    <w:rsid w:val="0073760F"/>
    <w:rsid w:val="00741DF5"/>
    <w:rsid w:val="007434FA"/>
    <w:rsid w:val="0075285A"/>
    <w:rsid w:val="0075549C"/>
    <w:rsid w:val="007573F0"/>
    <w:rsid w:val="00765156"/>
    <w:rsid w:val="00767669"/>
    <w:rsid w:val="00773485"/>
    <w:rsid w:val="00773BBD"/>
    <w:rsid w:val="00774B18"/>
    <w:rsid w:val="00776E8F"/>
    <w:rsid w:val="00776F6D"/>
    <w:rsid w:val="0078023E"/>
    <w:rsid w:val="0078044A"/>
    <w:rsid w:val="007836D1"/>
    <w:rsid w:val="007855D9"/>
    <w:rsid w:val="00792721"/>
    <w:rsid w:val="00795B01"/>
    <w:rsid w:val="007A5104"/>
    <w:rsid w:val="007A68A2"/>
    <w:rsid w:val="007B62B2"/>
    <w:rsid w:val="007B6A2F"/>
    <w:rsid w:val="007C0297"/>
    <w:rsid w:val="007C1887"/>
    <w:rsid w:val="007C6585"/>
    <w:rsid w:val="007D1F4A"/>
    <w:rsid w:val="007D4775"/>
    <w:rsid w:val="007D4BDE"/>
    <w:rsid w:val="007D5DC6"/>
    <w:rsid w:val="007D6C6B"/>
    <w:rsid w:val="007E0052"/>
    <w:rsid w:val="007E268B"/>
    <w:rsid w:val="007E37A5"/>
    <w:rsid w:val="007E5511"/>
    <w:rsid w:val="007E68A4"/>
    <w:rsid w:val="007E6D61"/>
    <w:rsid w:val="007F0D00"/>
    <w:rsid w:val="007F1692"/>
    <w:rsid w:val="007F49D8"/>
    <w:rsid w:val="007F6796"/>
    <w:rsid w:val="00801C29"/>
    <w:rsid w:val="008025C2"/>
    <w:rsid w:val="00803243"/>
    <w:rsid w:val="00805940"/>
    <w:rsid w:val="008076F7"/>
    <w:rsid w:val="00810788"/>
    <w:rsid w:val="008120BC"/>
    <w:rsid w:val="0081599C"/>
    <w:rsid w:val="00820384"/>
    <w:rsid w:val="00825D8F"/>
    <w:rsid w:val="00826B37"/>
    <w:rsid w:val="00837121"/>
    <w:rsid w:val="00837EF8"/>
    <w:rsid w:val="008427A5"/>
    <w:rsid w:val="008471E5"/>
    <w:rsid w:val="00850C35"/>
    <w:rsid w:val="00851466"/>
    <w:rsid w:val="00853B9B"/>
    <w:rsid w:val="00854B74"/>
    <w:rsid w:val="00857AAE"/>
    <w:rsid w:val="00863E43"/>
    <w:rsid w:val="008647C3"/>
    <w:rsid w:val="008659ED"/>
    <w:rsid w:val="008708DC"/>
    <w:rsid w:val="00870987"/>
    <w:rsid w:val="0087564A"/>
    <w:rsid w:val="0087606F"/>
    <w:rsid w:val="00881160"/>
    <w:rsid w:val="0088196A"/>
    <w:rsid w:val="0088371C"/>
    <w:rsid w:val="00897A5B"/>
    <w:rsid w:val="008A318C"/>
    <w:rsid w:val="008A45F3"/>
    <w:rsid w:val="008A629F"/>
    <w:rsid w:val="008B1F25"/>
    <w:rsid w:val="008B51D9"/>
    <w:rsid w:val="008B652E"/>
    <w:rsid w:val="008C0CF8"/>
    <w:rsid w:val="008C0D56"/>
    <w:rsid w:val="008C1C84"/>
    <w:rsid w:val="008C1F61"/>
    <w:rsid w:val="008C3900"/>
    <w:rsid w:val="008D05B7"/>
    <w:rsid w:val="008D0AD0"/>
    <w:rsid w:val="008D2ADF"/>
    <w:rsid w:val="008D5ECC"/>
    <w:rsid w:val="008D6A91"/>
    <w:rsid w:val="008D7225"/>
    <w:rsid w:val="008F1611"/>
    <w:rsid w:val="008F1DC6"/>
    <w:rsid w:val="008F2ACB"/>
    <w:rsid w:val="008F658F"/>
    <w:rsid w:val="008F6F51"/>
    <w:rsid w:val="008F7222"/>
    <w:rsid w:val="00901037"/>
    <w:rsid w:val="009046AA"/>
    <w:rsid w:val="00905C5B"/>
    <w:rsid w:val="00905EF3"/>
    <w:rsid w:val="00907CBE"/>
    <w:rsid w:val="00923295"/>
    <w:rsid w:val="00925F11"/>
    <w:rsid w:val="009267E9"/>
    <w:rsid w:val="00935265"/>
    <w:rsid w:val="009405B4"/>
    <w:rsid w:val="0094689F"/>
    <w:rsid w:val="00946DC5"/>
    <w:rsid w:val="009477D6"/>
    <w:rsid w:val="0095315C"/>
    <w:rsid w:val="00953ED3"/>
    <w:rsid w:val="00955AFA"/>
    <w:rsid w:val="0095727B"/>
    <w:rsid w:val="0096285F"/>
    <w:rsid w:val="00965FF6"/>
    <w:rsid w:val="009846D6"/>
    <w:rsid w:val="0098657F"/>
    <w:rsid w:val="00991BBD"/>
    <w:rsid w:val="00993D17"/>
    <w:rsid w:val="009A096E"/>
    <w:rsid w:val="009A09C2"/>
    <w:rsid w:val="009A3236"/>
    <w:rsid w:val="009B5A93"/>
    <w:rsid w:val="009B5BEA"/>
    <w:rsid w:val="009B73A4"/>
    <w:rsid w:val="009C14E2"/>
    <w:rsid w:val="009C291F"/>
    <w:rsid w:val="009D03CE"/>
    <w:rsid w:val="009D0889"/>
    <w:rsid w:val="009D0CC5"/>
    <w:rsid w:val="009D586C"/>
    <w:rsid w:val="009D71C8"/>
    <w:rsid w:val="009E2B6B"/>
    <w:rsid w:val="009E37BD"/>
    <w:rsid w:val="009E6B86"/>
    <w:rsid w:val="009E6C08"/>
    <w:rsid w:val="00A00745"/>
    <w:rsid w:val="00A024D2"/>
    <w:rsid w:val="00A03301"/>
    <w:rsid w:val="00A07585"/>
    <w:rsid w:val="00A12762"/>
    <w:rsid w:val="00A13484"/>
    <w:rsid w:val="00A13867"/>
    <w:rsid w:val="00A158CA"/>
    <w:rsid w:val="00A1667B"/>
    <w:rsid w:val="00A23B49"/>
    <w:rsid w:val="00A251EC"/>
    <w:rsid w:val="00A26FED"/>
    <w:rsid w:val="00A30A8A"/>
    <w:rsid w:val="00A421D4"/>
    <w:rsid w:val="00A4394E"/>
    <w:rsid w:val="00A44FF0"/>
    <w:rsid w:val="00A50E55"/>
    <w:rsid w:val="00A56978"/>
    <w:rsid w:val="00A620C2"/>
    <w:rsid w:val="00A657EA"/>
    <w:rsid w:val="00A67EB1"/>
    <w:rsid w:val="00A73C17"/>
    <w:rsid w:val="00A77150"/>
    <w:rsid w:val="00A80DDD"/>
    <w:rsid w:val="00A8180F"/>
    <w:rsid w:val="00A81EC5"/>
    <w:rsid w:val="00A82EDF"/>
    <w:rsid w:val="00A9011D"/>
    <w:rsid w:val="00A9075E"/>
    <w:rsid w:val="00A91A47"/>
    <w:rsid w:val="00A95D2B"/>
    <w:rsid w:val="00AA5587"/>
    <w:rsid w:val="00AA5AAA"/>
    <w:rsid w:val="00AA6760"/>
    <w:rsid w:val="00AB3079"/>
    <w:rsid w:val="00AB4ECE"/>
    <w:rsid w:val="00AB6679"/>
    <w:rsid w:val="00AB7446"/>
    <w:rsid w:val="00AB7E91"/>
    <w:rsid w:val="00AC1E53"/>
    <w:rsid w:val="00AD79C8"/>
    <w:rsid w:val="00AE0464"/>
    <w:rsid w:val="00AE185F"/>
    <w:rsid w:val="00AE6CE0"/>
    <w:rsid w:val="00AF4696"/>
    <w:rsid w:val="00B058A6"/>
    <w:rsid w:val="00B1011B"/>
    <w:rsid w:val="00B117D0"/>
    <w:rsid w:val="00B11B9D"/>
    <w:rsid w:val="00B13998"/>
    <w:rsid w:val="00B17810"/>
    <w:rsid w:val="00B20021"/>
    <w:rsid w:val="00B35C5F"/>
    <w:rsid w:val="00B439DD"/>
    <w:rsid w:val="00B440A1"/>
    <w:rsid w:val="00B52E0F"/>
    <w:rsid w:val="00B62845"/>
    <w:rsid w:val="00B71156"/>
    <w:rsid w:val="00B73F16"/>
    <w:rsid w:val="00B74629"/>
    <w:rsid w:val="00B7680F"/>
    <w:rsid w:val="00B8392F"/>
    <w:rsid w:val="00B85868"/>
    <w:rsid w:val="00B91F58"/>
    <w:rsid w:val="00B96407"/>
    <w:rsid w:val="00BA1EB1"/>
    <w:rsid w:val="00BA579E"/>
    <w:rsid w:val="00BB19BA"/>
    <w:rsid w:val="00BB28E8"/>
    <w:rsid w:val="00BC0C08"/>
    <w:rsid w:val="00BC1924"/>
    <w:rsid w:val="00BC4575"/>
    <w:rsid w:val="00BD1359"/>
    <w:rsid w:val="00BD613F"/>
    <w:rsid w:val="00BE2295"/>
    <w:rsid w:val="00BE6373"/>
    <w:rsid w:val="00BF2329"/>
    <w:rsid w:val="00BF533A"/>
    <w:rsid w:val="00C02B87"/>
    <w:rsid w:val="00C13948"/>
    <w:rsid w:val="00C16416"/>
    <w:rsid w:val="00C27459"/>
    <w:rsid w:val="00C30C22"/>
    <w:rsid w:val="00C41794"/>
    <w:rsid w:val="00C46677"/>
    <w:rsid w:val="00C501D9"/>
    <w:rsid w:val="00C5180E"/>
    <w:rsid w:val="00C54E40"/>
    <w:rsid w:val="00C55F56"/>
    <w:rsid w:val="00C567A1"/>
    <w:rsid w:val="00C57BA4"/>
    <w:rsid w:val="00C60040"/>
    <w:rsid w:val="00C601A4"/>
    <w:rsid w:val="00C613EB"/>
    <w:rsid w:val="00C668EE"/>
    <w:rsid w:val="00C6769D"/>
    <w:rsid w:val="00C71C1A"/>
    <w:rsid w:val="00C82EF9"/>
    <w:rsid w:val="00C83C6B"/>
    <w:rsid w:val="00C84623"/>
    <w:rsid w:val="00C8771F"/>
    <w:rsid w:val="00C95FF8"/>
    <w:rsid w:val="00CA2C18"/>
    <w:rsid w:val="00CA6146"/>
    <w:rsid w:val="00CB06C9"/>
    <w:rsid w:val="00CB1E41"/>
    <w:rsid w:val="00CB271C"/>
    <w:rsid w:val="00CB7CAC"/>
    <w:rsid w:val="00CC0F87"/>
    <w:rsid w:val="00CC18A0"/>
    <w:rsid w:val="00CC3E82"/>
    <w:rsid w:val="00CC7ED1"/>
    <w:rsid w:val="00CD05C1"/>
    <w:rsid w:val="00CD0C61"/>
    <w:rsid w:val="00CD130B"/>
    <w:rsid w:val="00CD1952"/>
    <w:rsid w:val="00CE4F96"/>
    <w:rsid w:val="00CE663B"/>
    <w:rsid w:val="00CE76A9"/>
    <w:rsid w:val="00CF0AB1"/>
    <w:rsid w:val="00CF4182"/>
    <w:rsid w:val="00CF46D9"/>
    <w:rsid w:val="00CF4B9B"/>
    <w:rsid w:val="00CF55E6"/>
    <w:rsid w:val="00CF5AD6"/>
    <w:rsid w:val="00CF772F"/>
    <w:rsid w:val="00CF7D87"/>
    <w:rsid w:val="00D048DB"/>
    <w:rsid w:val="00D06BE1"/>
    <w:rsid w:val="00D14F0B"/>
    <w:rsid w:val="00D178CA"/>
    <w:rsid w:val="00D2083C"/>
    <w:rsid w:val="00D23995"/>
    <w:rsid w:val="00D2686C"/>
    <w:rsid w:val="00D27F87"/>
    <w:rsid w:val="00D3311C"/>
    <w:rsid w:val="00D413EF"/>
    <w:rsid w:val="00D41CFE"/>
    <w:rsid w:val="00D53405"/>
    <w:rsid w:val="00D5457B"/>
    <w:rsid w:val="00D72995"/>
    <w:rsid w:val="00D73685"/>
    <w:rsid w:val="00D74254"/>
    <w:rsid w:val="00D7579F"/>
    <w:rsid w:val="00D8081A"/>
    <w:rsid w:val="00D879B7"/>
    <w:rsid w:val="00D9148E"/>
    <w:rsid w:val="00D92935"/>
    <w:rsid w:val="00D92BC7"/>
    <w:rsid w:val="00DA2E60"/>
    <w:rsid w:val="00DA51C7"/>
    <w:rsid w:val="00DA58BC"/>
    <w:rsid w:val="00DA7FA2"/>
    <w:rsid w:val="00DB4ACB"/>
    <w:rsid w:val="00DC0179"/>
    <w:rsid w:val="00DC2D8D"/>
    <w:rsid w:val="00DC706A"/>
    <w:rsid w:val="00DC7F67"/>
    <w:rsid w:val="00DD0599"/>
    <w:rsid w:val="00DE0FAE"/>
    <w:rsid w:val="00DE1F5D"/>
    <w:rsid w:val="00DE2AC9"/>
    <w:rsid w:val="00DE50D8"/>
    <w:rsid w:val="00DE6734"/>
    <w:rsid w:val="00DE7538"/>
    <w:rsid w:val="00DE7938"/>
    <w:rsid w:val="00DF07DC"/>
    <w:rsid w:val="00DF1E5E"/>
    <w:rsid w:val="00DF278A"/>
    <w:rsid w:val="00DF6B2E"/>
    <w:rsid w:val="00DF7FCB"/>
    <w:rsid w:val="00E1635C"/>
    <w:rsid w:val="00E1664B"/>
    <w:rsid w:val="00E22724"/>
    <w:rsid w:val="00E23FFA"/>
    <w:rsid w:val="00E24F80"/>
    <w:rsid w:val="00E309AD"/>
    <w:rsid w:val="00E30D12"/>
    <w:rsid w:val="00E3394E"/>
    <w:rsid w:val="00E35241"/>
    <w:rsid w:val="00E41417"/>
    <w:rsid w:val="00E41581"/>
    <w:rsid w:val="00E42806"/>
    <w:rsid w:val="00E42FAA"/>
    <w:rsid w:val="00E504DF"/>
    <w:rsid w:val="00E536D3"/>
    <w:rsid w:val="00E555CF"/>
    <w:rsid w:val="00E57BE2"/>
    <w:rsid w:val="00E62A95"/>
    <w:rsid w:val="00E62FB3"/>
    <w:rsid w:val="00E647BB"/>
    <w:rsid w:val="00E64E32"/>
    <w:rsid w:val="00E743A8"/>
    <w:rsid w:val="00E746A2"/>
    <w:rsid w:val="00E82F2D"/>
    <w:rsid w:val="00E86050"/>
    <w:rsid w:val="00E86BCC"/>
    <w:rsid w:val="00E90D06"/>
    <w:rsid w:val="00E95B53"/>
    <w:rsid w:val="00E97E59"/>
    <w:rsid w:val="00EA79C9"/>
    <w:rsid w:val="00EB66AC"/>
    <w:rsid w:val="00EB77E5"/>
    <w:rsid w:val="00EC0FED"/>
    <w:rsid w:val="00EC1225"/>
    <w:rsid w:val="00EC2247"/>
    <w:rsid w:val="00EC77C5"/>
    <w:rsid w:val="00ED0453"/>
    <w:rsid w:val="00ED4AEA"/>
    <w:rsid w:val="00ED74CC"/>
    <w:rsid w:val="00EE1F87"/>
    <w:rsid w:val="00EE3931"/>
    <w:rsid w:val="00EE3F31"/>
    <w:rsid w:val="00EE5AF6"/>
    <w:rsid w:val="00EE669E"/>
    <w:rsid w:val="00EF2CEF"/>
    <w:rsid w:val="00EF75F2"/>
    <w:rsid w:val="00F0790B"/>
    <w:rsid w:val="00F1092D"/>
    <w:rsid w:val="00F120F2"/>
    <w:rsid w:val="00F13470"/>
    <w:rsid w:val="00F1723D"/>
    <w:rsid w:val="00F408AC"/>
    <w:rsid w:val="00F42C20"/>
    <w:rsid w:val="00F431D8"/>
    <w:rsid w:val="00F54B65"/>
    <w:rsid w:val="00F61BBA"/>
    <w:rsid w:val="00F62A3C"/>
    <w:rsid w:val="00F63E8D"/>
    <w:rsid w:val="00F675DD"/>
    <w:rsid w:val="00F67706"/>
    <w:rsid w:val="00F67D9A"/>
    <w:rsid w:val="00F75109"/>
    <w:rsid w:val="00F75C11"/>
    <w:rsid w:val="00F81FE3"/>
    <w:rsid w:val="00F90F82"/>
    <w:rsid w:val="00F92D42"/>
    <w:rsid w:val="00F92D75"/>
    <w:rsid w:val="00F93E84"/>
    <w:rsid w:val="00F964E9"/>
    <w:rsid w:val="00F97327"/>
    <w:rsid w:val="00FA1A8C"/>
    <w:rsid w:val="00FA296F"/>
    <w:rsid w:val="00FA2A0A"/>
    <w:rsid w:val="00FA7323"/>
    <w:rsid w:val="00FB1299"/>
    <w:rsid w:val="00FC1556"/>
    <w:rsid w:val="00FC166B"/>
    <w:rsid w:val="00FC1ACD"/>
    <w:rsid w:val="00FC32D3"/>
    <w:rsid w:val="00FC5D7C"/>
    <w:rsid w:val="00FC722D"/>
    <w:rsid w:val="00FD1E13"/>
    <w:rsid w:val="00FD4D82"/>
    <w:rsid w:val="00FD5A50"/>
    <w:rsid w:val="00FE249F"/>
    <w:rsid w:val="00FE2634"/>
    <w:rsid w:val="00FE57AE"/>
    <w:rsid w:val="00FF7F0E"/>
    <w:rsid w:val="043290A6"/>
    <w:rsid w:val="29077CDC"/>
    <w:rsid w:val="2B455B83"/>
    <w:rsid w:val="58A212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B8DA2C"/>
  <w15:docId w15:val="{57BFF148-E4F0-4F3A-9B22-F33EBC132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styleId="UnresolvedMention">
    <w:name w:val="Unresolved Mention"/>
    <w:basedOn w:val="DefaultParagraphFont"/>
    <w:uiPriority w:val="99"/>
    <w:semiHidden/>
    <w:unhideWhenUsed/>
    <w:rsid w:val="00DE6734"/>
    <w:rPr>
      <w:color w:val="808080"/>
      <w:shd w:val="clear" w:color="auto" w:fill="E6E6E6"/>
    </w:rPr>
  </w:style>
  <w:style w:type="character" w:customStyle="1" w:styleId="normaltextrun">
    <w:name w:val="normaltextrun"/>
    <w:basedOn w:val="DefaultParagraphFont"/>
    <w:rsid w:val="003C6D4F"/>
  </w:style>
  <w:style w:type="paragraph" w:styleId="NoSpacing">
    <w:name w:val="No Spacing"/>
    <w:uiPriority w:val="1"/>
    <w:qFormat/>
    <w:rsid w:val="00E860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gradeworkinggroup.org"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dx.doi.org/10.15585/mmwr.rr6803a1"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hyperlink" Target="https://www.cdc.gov/mmwr/volumes/67/rr/pdfs/rr6702a1-H.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qaalliance.org/files/PrinciplesofEfficiencyMeasurementApril2006.doc"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01226E"/>
    <w:rsid w:val="00160241"/>
    <w:rsid w:val="001F47A0"/>
    <w:rsid w:val="001F6B3E"/>
    <w:rsid w:val="002425E6"/>
    <w:rsid w:val="002B5F47"/>
    <w:rsid w:val="003A1E4B"/>
    <w:rsid w:val="003F333E"/>
    <w:rsid w:val="00455EB5"/>
    <w:rsid w:val="00461C1C"/>
    <w:rsid w:val="004E2027"/>
    <w:rsid w:val="005F21F3"/>
    <w:rsid w:val="00616B02"/>
    <w:rsid w:val="007944AF"/>
    <w:rsid w:val="008F6A9B"/>
    <w:rsid w:val="00A77B15"/>
    <w:rsid w:val="00B7777F"/>
    <w:rsid w:val="00BE0F2D"/>
    <w:rsid w:val="00C03643"/>
    <w:rsid w:val="00C2797F"/>
    <w:rsid w:val="00C66A46"/>
    <w:rsid w:val="00C80225"/>
    <w:rsid w:val="00CE0618"/>
    <w:rsid w:val="00D228C9"/>
    <w:rsid w:val="00D2552B"/>
    <w:rsid w:val="00D75B64"/>
    <w:rsid w:val="00DB5324"/>
    <w:rsid w:val="00E25961"/>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8" ma:contentTypeDescription="Create a new document." ma:contentTypeScope="" ma:versionID="40f0f5d9b073a67672677cdbf390ce3b">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5bcb151596019b85dc59b2e0546d91e0"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2.xml><?xml version="1.0" encoding="utf-8"?>
<ds:datastoreItem xmlns:ds="http://schemas.openxmlformats.org/officeDocument/2006/customXml" ds:itemID="{9EA361A0-813C-4DC7-AC1C-4264BCB03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2CDBE7-7F08-4F52-B308-EE351D989842}">
  <ds:schemaRefs>
    <ds:schemaRef ds:uri="http://purl.org/dc/dcmitype/"/>
    <ds:schemaRef ds:uri="76bce2c7-2e52-4525-a6e0-24f8a73e605d"/>
    <ds:schemaRef ds:uri="64615f93-1352-4a7e-b7a8-3b07e39b2009"/>
    <ds:schemaRef ds:uri="http://schemas.microsoft.com/office/2006/metadata/properties"/>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B1CDD78D-1192-4A01-9DA1-D98C2F745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2840</Words>
  <Characters>16188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18991</CharactersWithSpaces>
  <SharedDoc>false</SharedDoc>
  <HLinks>
    <vt:vector size="78" baseType="variant">
      <vt:variant>
        <vt:i4>786517</vt:i4>
      </vt:variant>
      <vt:variant>
        <vt:i4>36</vt:i4>
      </vt:variant>
      <vt:variant>
        <vt:i4>0</vt:i4>
      </vt:variant>
      <vt:variant>
        <vt:i4>5</vt:i4>
      </vt:variant>
      <vt:variant>
        <vt:lpwstr>https://www.cdc.gov/mmwr/volumes/68/rr/pdfs/rr6803-H.pdf</vt:lpwstr>
      </vt:variant>
      <vt:variant>
        <vt:lpwstr/>
      </vt:variant>
      <vt:variant>
        <vt:i4>67</vt:i4>
      </vt:variant>
      <vt:variant>
        <vt:i4>33</vt:i4>
      </vt:variant>
      <vt:variant>
        <vt:i4>0</vt:i4>
      </vt:variant>
      <vt:variant>
        <vt:i4>5</vt:i4>
      </vt:variant>
      <vt:variant>
        <vt:lpwstr>http://dx.doi.org/10.15585/mmwr.rr6803a1</vt:lpwstr>
      </vt:variant>
      <vt:variant>
        <vt:lpwstr/>
      </vt:variant>
      <vt:variant>
        <vt:i4>3342395</vt:i4>
      </vt:variant>
      <vt:variant>
        <vt:i4>30</vt:i4>
      </vt:variant>
      <vt:variant>
        <vt:i4>0</vt:i4>
      </vt:variant>
      <vt:variant>
        <vt:i4>5</vt:i4>
      </vt:variant>
      <vt:variant>
        <vt:lpwstr>https://www.cdc.gov/mmwr/volumes/67/rr/pdfs/rr6702a1-H.pdf</vt:lpwstr>
      </vt:variant>
      <vt:variant>
        <vt:lpwstr/>
      </vt:variant>
      <vt:variant>
        <vt:i4>6619257</vt:i4>
      </vt:variant>
      <vt:variant>
        <vt:i4>27</vt:i4>
      </vt:variant>
      <vt:variant>
        <vt:i4>0</vt:i4>
      </vt:variant>
      <vt:variant>
        <vt:i4>5</vt:i4>
      </vt:variant>
      <vt:variant>
        <vt:lpwstr>http://www.aqaalliance.org/files/PrinciplesofEfficiencyMeasurementApril2006.doc</vt:lpwstr>
      </vt:variant>
      <vt:variant>
        <vt:lpwstr/>
      </vt:variant>
      <vt:variant>
        <vt:i4>4587580</vt:i4>
      </vt:variant>
      <vt:variant>
        <vt:i4>24</vt:i4>
      </vt:variant>
      <vt:variant>
        <vt:i4>0</vt:i4>
      </vt:variant>
      <vt:variant>
        <vt:i4>5</vt:i4>
      </vt:variant>
      <vt:variant>
        <vt:lpwstr>http://www.qualityforum.org/Publications/2010/01/Measurement_Framework__Evaluating_Efficiency_Across_Patient-Focused_Episodes_of_Care.aspx</vt:lpwstr>
      </vt:variant>
      <vt:variant>
        <vt:lpwstr/>
      </vt:variant>
      <vt:variant>
        <vt:i4>5373974</vt:i4>
      </vt:variant>
      <vt:variant>
        <vt:i4>21</vt:i4>
      </vt:variant>
      <vt:variant>
        <vt:i4>0</vt:i4>
      </vt:variant>
      <vt:variant>
        <vt:i4>5</vt:i4>
      </vt:variant>
      <vt:variant>
        <vt:lpwstr>http://www.gradeworkinggroup.org/</vt:lpwstr>
      </vt:variant>
      <vt:variant>
        <vt:lpwstr/>
      </vt:variant>
      <vt:variant>
        <vt:i4>655386</vt:i4>
      </vt:variant>
      <vt:variant>
        <vt:i4>18</vt:i4>
      </vt:variant>
      <vt:variant>
        <vt:i4>0</vt:i4>
      </vt:variant>
      <vt:variant>
        <vt:i4>5</vt:i4>
      </vt:variant>
      <vt:variant>
        <vt:lpwstr/>
      </vt:variant>
      <vt:variant>
        <vt:lpwstr>Note6</vt:lpwstr>
      </vt:variant>
      <vt:variant>
        <vt:i4>655386</vt:i4>
      </vt:variant>
      <vt:variant>
        <vt:i4>15</vt:i4>
      </vt:variant>
      <vt:variant>
        <vt:i4>0</vt:i4>
      </vt:variant>
      <vt:variant>
        <vt:i4>5</vt:i4>
      </vt:variant>
      <vt:variant>
        <vt:lpwstr/>
      </vt:variant>
      <vt:variant>
        <vt:lpwstr>Note4</vt:lpwstr>
      </vt:variant>
      <vt:variant>
        <vt:i4>655386</vt:i4>
      </vt:variant>
      <vt:variant>
        <vt:i4>12</vt:i4>
      </vt:variant>
      <vt:variant>
        <vt:i4>0</vt:i4>
      </vt:variant>
      <vt:variant>
        <vt:i4>5</vt:i4>
      </vt:variant>
      <vt:variant>
        <vt:lpwstr/>
      </vt:variant>
      <vt:variant>
        <vt:lpwstr>Note4</vt:lpwstr>
      </vt:variant>
      <vt:variant>
        <vt:i4>655386</vt:i4>
      </vt:variant>
      <vt:variant>
        <vt:i4>9</vt:i4>
      </vt:variant>
      <vt:variant>
        <vt:i4>0</vt:i4>
      </vt:variant>
      <vt:variant>
        <vt:i4>5</vt:i4>
      </vt:variant>
      <vt:variant>
        <vt:lpwstr/>
      </vt:variant>
      <vt:variant>
        <vt:lpwstr>Note5</vt:lpwstr>
      </vt:variant>
      <vt:variant>
        <vt:i4>655386</vt:i4>
      </vt:variant>
      <vt:variant>
        <vt:i4>6</vt:i4>
      </vt:variant>
      <vt:variant>
        <vt:i4>0</vt:i4>
      </vt:variant>
      <vt:variant>
        <vt:i4>5</vt:i4>
      </vt:variant>
      <vt:variant>
        <vt:lpwstr/>
      </vt:variant>
      <vt:variant>
        <vt:lpwstr>Note4</vt:lpwstr>
      </vt:variant>
      <vt:variant>
        <vt:i4>655386</vt:i4>
      </vt:variant>
      <vt:variant>
        <vt:i4>3</vt:i4>
      </vt:variant>
      <vt:variant>
        <vt:i4>0</vt:i4>
      </vt:variant>
      <vt:variant>
        <vt:i4>5</vt:i4>
      </vt:variant>
      <vt:variant>
        <vt:lpwstr/>
      </vt:variant>
      <vt:variant>
        <vt:lpwstr>Note3</vt:lpwstr>
      </vt:variant>
      <vt:variant>
        <vt:i4>5177423</vt:i4>
      </vt:variant>
      <vt:variant>
        <vt:i4>0</vt:i4>
      </vt:variant>
      <vt:variant>
        <vt:i4>0</vt:i4>
      </vt:variant>
      <vt:variant>
        <vt:i4>5</vt:i4>
      </vt:variant>
      <vt:variant>
        <vt:lpwstr>http://www.qualityforum.org/Measuring_Performance/Submitting_Standards.aspx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Pace</dc:creator>
  <cp:keywords/>
  <cp:lastModifiedBy>Brittany Wade</cp:lastModifiedBy>
  <cp:revision>2</cp:revision>
  <dcterms:created xsi:type="dcterms:W3CDTF">2019-11-14T22:39:00Z</dcterms:created>
  <dcterms:modified xsi:type="dcterms:W3CDTF">2019-11-14T22:39:00Z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y fmtid="{D5CDD505-2E9C-101B-9397-08002B2CF9AE}" pid="3" name="ProjectId">
    <vt:lpwstr>-1</vt:lpwstr>
  </property>
  <property fmtid="{D5CDD505-2E9C-101B-9397-08002B2CF9AE}" pid="4" name="FileId">
    <vt:lpwstr>845592</vt:lpwstr>
  </property>
  <property fmtid="{D5CDD505-2E9C-101B-9397-08002B2CF9AE}" pid="5" name="InsertAsFootnote">
    <vt:lpwstr>False</vt:lpwstr>
  </property>
  <property fmtid="{D5CDD505-2E9C-101B-9397-08002B2CF9AE}" pid="6" name="StyleId">
    <vt:lpwstr>http://www.zotero.org/styles/vancouver</vt:lpwstr>
  </property>
</Properties>
</file>