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B23DA8" w14:textId="77777777" w:rsidR="0077564D" w:rsidRDefault="0077564D" w:rsidP="00927027">
      <w:pPr>
        <w:contextualSpacing/>
        <w:jc w:val="center"/>
        <w:rPr>
          <w:b/>
          <w:smallCaps/>
          <w:noProof/>
          <w:sz w:val="24"/>
          <w:szCs w:val="24"/>
        </w:rPr>
      </w:pPr>
    </w:p>
    <w:p w14:paraId="0CABCF53" w14:textId="5A2FE8B0"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77777777"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howingPlcHdr/>
        </w:sdtPr>
        <w:sdtEndPr>
          <w:rPr>
            <w:rStyle w:val="DefaultParagraphFont"/>
            <w:rFonts w:cstheme="minorHAnsi"/>
            <w:b/>
            <w:noProof/>
            <w:color w:val="auto"/>
          </w:rPr>
        </w:sdtEndPr>
        <w:sdtContent>
          <w:r w:rsidRPr="00870134">
            <w:rPr>
              <w:rStyle w:val="PlaceholderText"/>
            </w:rPr>
            <w:t xml:space="preserve">Click here to enter </w:t>
          </w:r>
          <w:r>
            <w:rPr>
              <w:rStyle w:val="PlaceholderText"/>
            </w:rPr>
            <w:t>NQF number</w:t>
          </w:r>
        </w:sdtContent>
      </w:sdt>
    </w:p>
    <w:p w14:paraId="0CABCF56" w14:textId="0A7BD345"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DB424E">
            <w:rPr>
              <w:rStyle w:val="Style1"/>
              <w:rFonts w:cstheme="minorHAnsi"/>
            </w:rPr>
            <w:t xml:space="preserve">Medicare Spending per Beneficiary Post-Acute Care Measure for </w:t>
          </w:r>
          <w:r w:rsidR="00D10415">
            <w:rPr>
              <w:rStyle w:val="Style1"/>
              <w:rFonts w:cstheme="minorHAnsi"/>
            </w:rPr>
            <w:t>Inpatient Rehabilitation Facilities</w:t>
          </w:r>
        </w:sdtContent>
      </w:sdt>
    </w:p>
    <w:p w14:paraId="0CABCF57" w14:textId="2CD07FD7"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20-01-02T00:00:00Z">
            <w:dateFormat w:val="M/d/yyyy"/>
            <w:lid w:val="en-US"/>
            <w:storeMappedDataAs w:val="dateTime"/>
            <w:calendar w:val="gregorian"/>
          </w:date>
        </w:sdtPr>
        <w:sdtEndPr>
          <w:rPr>
            <w:rStyle w:val="DefaultParagraphFont"/>
            <w:noProof/>
            <w:color w:val="auto"/>
            <w:u w:val="none"/>
          </w:rPr>
        </w:sdtEndPr>
        <w:sdtContent>
          <w:r w:rsidR="00041BAD">
            <w:rPr>
              <w:rStyle w:val="Style2"/>
              <w:rFonts w:cstheme="minorHAnsi"/>
            </w:rPr>
            <w:t>1</w:t>
          </w:r>
          <w:r w:rsidR="00DB424E">
            <w:rPr>
              <w:rStyle w:val="Style2"/>
              <w:rFonts w:cstheme="minorHAnsi"/>
            </w:rPr>
            <w:t>/</w:t>
          </w:r>
          <w:r w:rsidR="00041BAD">
            <w:rPr>
              <w:rStyle w:val="Style2"/>
              <w:rFonts w:cstheme="minorHAnsi"/>
            </w:rPr>
            <w:t>2</w:t>
          </w:r>
          <w:r w:rsidR="00DB424E">
            <w:rPr>
              <w:rStyle w:val="Style2"/>
              <w:rFonts w:cstheme="minorHAnsi"/>
            </w:rPr>
            <w:t>/20</w:t>
          </w:r>
          <w:r w:rsidR="00041BAD">
            <w:rPr>
              <w:rStyle w:val="Style2"/>
              <w:rFonts w:cstheme="minorHAnsi"/>
            </w:rPr>
            <w:t>20</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186AE1"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186AE1"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186AE1"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014C9A47" w:rsidR="000B7D57" w:rsidRPr="00C775CE" w:rsidRDefault="00186AE1" w:rsidP="00CD364B">
            <w:pPr>
              <w:autoSpaceDE w:val="0"/>
              <w:autoSpaceDN w:val="0"/>
              <w:adjustRightInd w:val="0"/>
              <w:rPr>
                <w:rFonts w:cstheme="minorHAnsi"/>
                <w:bCs/>
              </w:rPr>
            </w:pPr>
            <w:sdt>
              <w:sdtPr>
                <w:rPr>
                  <w:rFonts w:cstheme="minorHAnsi"/>
                  <w:bCs/>
                </w:rPr>
                <w:id w:val="1280841322"/>
                <w14:checkbox>
                  <w14:checked w14:val="1"/>
                  <w14:checkedState w14:val="2612" w14:font="MS Gothic"/>
                  <w14:uncheckedState w14:val="2610" w14:font="MS Gothic"/>
                </w14:checkbox>
              </w:sdtPr>
              <w:sdtEndPr/>
              <w:sdtContent>
                <w:r w:rsidR="00DB424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55B36514" w:rsidR="000B7D57" w:rsidRPr="00C775CE" w:rsidRDefault="00186AE1"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186AE1"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186AE1"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nonresponders)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5B282E" w:rsidRDefault="00145149" w:rsidP="00FA2920">
            <w:pPr>
              <w:pStyle w:val="FootnoteText"/>
              <w:rPr>
                <w:rFonts w:asciiTheme="minorHAnsi" w:hAnsiTheme="minorHAnsi" w:cstheme="minorHAnsi"/>
                <w:color w:val="auto"/>
              </w:rPr>
            </w:pPr>
            <w:bookmarkStart w:id="6" w:name="Note12"/>
            <w:bookmarkEnd w:id="6"/>
            <w:r w:rsidRPr="005B282E">
              <w:rPr>
                <w:rFonts w:asciiTheme="minorHAnsi" w:hAnsiTheme="minorHAnsi" w:cstheme="minorHAnsi"/>
                <w:b/>
                <w:color w:val="auto"/>
              </w:rPr>
              <w:t>12.</w:t>
            </w:r>
            <w:r w:rsidRPr="005B282E">
              <w:rPr>
                <w:rFonts w:asciiTheme="minorHAnsi" w:hAnsiTheme="minorHAnsi" w:cstheme="minorHAnsi"/>
                <w:color w:val="auto"/>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5B282E" w:rsidRDefault="00145149" w:rsidP="00145149">
            <w:pPr>
              <w:autoSpaceDE w:val="0"/>
              <w:autoSpaceDN w:val="0"/>
              <w:adjustRightInd w:val="0"/>
              <w:rPr>
                <w:rFonts w:cstheme="minorHAnsi"/>
                <w:b/>
                <w:sz w:val="20"/>
                <w:szCs w:val="20"/>
              </w:rPr>
            </w:pPr>
            <w:bookmarkStart w:id="7" w:name="Note13"/>
            <w:bookmarkEnd w:id="7"/>
            <w:r w:rsidRPr="005B282E">
              <w:rPr>
                <w:rFonts w:cstheme="minorHAnsi"/>
                <w:b/>
                <w:sz w:val="20"/>
                <w:szCs w:val="20"/>
              </w:rPr>
              <w:t>13.</w:t>
            </w:r>
            <w:r w:rsidRPr="005B282E">
              <w:rPr>
                <w:rFonts w:cstheme="minorHAnsi"/>
                <w:sz w:val="20"/>
                <w:szCs w:val="20"/>
              </w:rPr>
              <w:t xml:space="preserve"> Patient preference is not a clinical exception to eligibility and can be influenced by provider interventions.</w:t>
            </w:r>
          </w:p>
          <w:p w14:paraId="0CABCF8E" w14:textId="51FE465E" w:rsidR="00145149" w:rsidRPr="005B282E" w:rsidRDefault="00145149" w:rsidP="00FA2920">
            <w:pPr>
              <w:pStyle w:val="FootnoteText"/>
              <w:rPr>
                <w:rFonts w:asciiTheme="minorHAnsi" w:hAnsiTheme="minorHAnsi" w:cstheme="minorHAnsi"/>
                <w:b/>
                <w:bCs/>
                <w:color w:val="auto"/>
              </w:rPr>
            </w:pPr>
            <w:bookmarkStart w:id="8" w:name="Note14"/>
            <w:bookmarkEnd w:id="8"/>
            <w:r w:rsidRPr="005B282E">
              <w:rPr>
                <w:rFonts w:asciiTheme="minorHAnsi" w:hAnsiTheme="minorHAnsi" w:cstheme="minorHAnsi"/>
                <w:b/>
                <w:color w:val="auto"/>
              </w:rPr>
              <w:t xml:space="preserve">14. </w:t>
            </w:r>
            <w:r w:rsidRPr="005B282E">
              <w:rPr>
                <w:rFonts w:asciiTheme="minorHAnsi" w:hAnsiTheme="minorHAnsi" w:cstheme="minorHAnsi"/>
                <w:color w:val="auto"/>
              </w:rPr>
              <w:t>Risk factors that influence outcomes should not be specified as exclusions</w:t>
            </w:r>
            <w:bookmarkStart w:id="9" w:name="Note15"/>
            <w:bookmarkEnd w:id="9"/>
            <w:r w:rsidR="00651D44" w:rsidRPr="005B282E">
              <w:rPr>
                <w:rFonts w:asciiTheme="minorHAnsi" w:hAnsiTheme="minorHAnsi" w:cstheme="minorHAnsi"/>
                <w:color w:val="auto"/>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w:t>
            </w:r>
            <w:r w:rsidR="00145149" w:rsidRPr="00A831B4">
              <w:rPr>
                <w:rFonts w:cstheme="minorHAnsi"/>
                <w:sz w:val="20"/>
                <w:szCs w:val="20"/>
              </w:rPr>
              <w:lastRenderedPageBreak/>
              <w:t>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CF1289" w:rsidRDefault="002B5016" w:rsidP="00CF1289">
      <w:pPr>
        <w:pStyle w:val="Heading1"/>
      </w:pPr>
      <w:r w:rsidRPr="00CF1289">
        <w:lastRenderedPageBreak/>
        <w:t xml:space="preserve">1. </w:t>
      </w:r>
      <w:r w:rsidR="00021170" w:rsidRPr="00CF1289">
        <w:t>DATA/SAMPLE USED FOR ALL TESTING</w:t>
      </w:r>
      <w:r w:rsidR="006327D8" w:rsidRPr="00CF1289">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4ED3BA9F" w14:textId="0E6631D9" w:rsidR="00C64278" w:rsidRPr="00C64278" w:rsidRDefault="004348CC" w:rsidP="00C64278">
      <w:pPr>
        <w:pStyle w:val="Heading2"/>
      </w:pPr>
      <w:r w:rsidRPr="00C64278">
        <w:t>What t</w:t>
      </w:r>
      <w:r w:rsidR="00857EE8" w:rsidRPr="00C64278">
        <w:t xml:space="preserve">ype of data was used </w:t>
      </w:r>
      <w:r w:rsidR="000851B2" w:rsidRPr="00C64278">
        <w:t>for</w:t>
      </w:r>
      <w:r w:rsidR="00857EE8" w:rsidRPr="00C64278">
        <w:t xml:space="preserve"> </w:t>
      </w:r>
      <w:r w:rsidRPr="00C64278">
        <w:t xml:space="preserve">testing? </w:t>
      </w:r>
    </w:p>
    <w:p w14:paraId="0CABCF96" w14:textId="4ADB0175" w:rsidR="00A01494" w:rsidRPr="00C64278" w:rsidRDefault="004348CC" w:rsidP="00C64278">
      <w:pPr>
        <w:autoSpaceDE w:val="0"/>
        <w:autoSpaceDN w:val="0"/>
        <w:adjustRightInd w:val="0"/>
        <w:spacing w:after="0" w:line="240" w:lineRule="auto"/>
        <w:rPr>
          <w:rFonts w:cstheme="minorHAnsi"/>
          <w:bCs/>
        </w:rPr>
      </w:pPr>
      <w:r w:rsidRPr="00C64278">
        <w:rPr>
          <w:rFonts w:cstheme="minorHAnsi"/>
          <w:bCs/>
        </w:rPr>
        <w:t>(</w:t>
      </w:r>
      <w:r w:rsidR="003B1006" w:rsidRPr="00C64278">
        <w:rPr>
          <w:rFonts w:cstheme="minorHAnsi"/>
          <w:bCs/>
          <w:i/>
        </w:rPr>
        <w:t>Check all the sources of</w:t>
      </w:r>
      <w:r w:rsidR="00A01494" w:rsidRPr="00C64278">
        <w:rPr>
          <w:rFonts w:cstheme="minorHAnsi"/>
          <w:bCs/>
          <w:i/>
        </w:rPr>
        <w:t xml:space="preserve"> data identified in the measure specifications and data used for testing the measure</w:t>
      </w:r>
      <w:r w:rsidR="00A01494" w:rsidRPr="00C64278">
        <w:rPr>
          <w:rFonts w:cstheme="minorHAnsi"/>
          <w:bCs/>
        </w:rPr>
        <w:t xml:space="preserve">. </w:t>
      </w:r>
      <w:r w:rsidR="00A01494" w:rsidRPr="00C64278">
        <w:rPr>
          <w:rFonts w:cstheme="minorHAnsi"/>
          <w:bCs/>
          <w:i/>
        </w:rPr>
        <w:t>T</w:t>
      </w:r>
      <w:r w:rsidR="00F435AA" w:rsidRPr="00C64278">
        <w:rPr>
          <w:rFonts w:cstheme="minorHAnsi"/>
          <w:bCs/>
          <w:i/>
        </w:rPr>
        <w:t xml:space="preserve">esting </w:t>
      </w:r>
      <w:r w:rsidR="009A25B1" w:rsidRPr="00C64278">
        <w:rPr>
          <w:rFonts w:cstheme="minorHAnsi"/>
          <w:bCs/>
          <w:i/>
        </w:rPr>
        <w:t>must be provided for</w:t>
      </w:r>
      <w:r w:rsidRPr="00C64278">
        <w:rPr>
          <w:rFonts w:cstheme="minorHAnsi"/>
          <w:bCs/>
          <w:i/>
        </w:rPr>
        <w:t xml:space="preserve"> </w:t>
      </w:r>
      <w:r w:rsidR="004B6CEE" w:rsidRPr="00C64278">
        <w:rPr>
          <w:rFonts w:cstheme="minorHAnsi"/>
          <w:bCs/>
          <w:i/>
          <w:u w:val="single"/>
        </w:rPr>
        <w:t>all</w:t>
      </w:r>
      <w:r w:rsidR="004B6CEE" w:rsidRPr="00C64278">
        <w:rPr>
          <w:rFonts w:cstheme="minorHAnsi"/>
          <w:bCs/>
          <w:i/>
        </w:rPr>
        <w:t xml:space="preserve"> the </w:t>
      </w:r>
      <w:r w:rsidR="00840A41" w:rsidRPr="00C64278">
        <w:rPr>
          <w:rFonts w:cstheme="minorHAnsi"/>
          <w:bCs/>
          <w:i/>
        </w:rPr>
        <w:t xml:space="preserve">sources </w:t>
      </w:r>
      <w:r w:rsidRPr="00C64278">
        <w:rPr>
          <w:rFonts w:cstheme="minorHAnsi"/>
          <w:bCs/>
          <w:i/>
        </w:rPr>
        <w:t xml:space="preserve">of data specified and intended for </w:t>
      </w:r>
      <w:r w:rsidR="005A7634" w:rsidRPr="00C64278">
        <w:rPr>
          <w:rFonts w:cstheme="minorHAnsi"/>
          <w:bCs/>
          <w:i/>
        </w:rPr>
        <w:t xml:space="preserve">measure </w:t>
      </w:r>
      <w:r w:rsidRPr="00C64278">
        <w:rPr>
          <w:rFonts w:cstheme="minorHAnsi"/>
          <w:bCs/>
          <w:i/>
        </w:rPr>
        <w:t>implementation</w:t>
      </w:r>
      <w:r w:rsidR="00840A41" w:rsidRPr="00C64278">
        <w:rPr>
          <w:rFonts w:cstheme="minorHAnsi"/>
          <w:bCs/>
          <w:i/>
        </w:rPr>
        <w:t xml:space="preserve">. </w:t>
      </w:r>
      <w:r w:rsidR="00840A41" w:rsidRPr="00C64278">
        <w:rPr>
          <w:rFonts w:cstheme="minorHAnsi"/>
          <w:b/>
          <w:bCs/>
          <w:i/>
        </w:rPr>
        <w:t xml:space="preserve">If different </w:t>
      </w:r>
      <w:r w:rsidR="00C14CCC" w:rsidRPr="00C64278">
        <w:rPr>
          <w:rFonts w:cstheme="minorHAnsi"/>
          <w:b/>
          <w:bCs/>
          <w:i/>
        </w:rPr>
        <w:t xml:space="preserve">data </w:t>
      </w:r>
      <w:r w:rsidR="00840A41" w:rsidRPr="00C64278">
        <w:rPr>
          <w:rFonts w:cstheme="minorHAnsi"/>
          <w:b/>
          <w:bCs/>
          <w:i/>
        </w:rPr>
        <w:t>sources are used for the numerator and denominator, indicate N [numerator] or D [denominator] after the checkbox.</w:t>
      </w:r>
      <w:r w:rsidR="00A01494" w:rsidRPr="00C64278">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186AE1"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186AE1"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64CB1149" w:rsidR="00A01494" w:rsidRPr="000F1B7A" w:rsidRDefault="00186AE1" w:rsidP="000F1B7A">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DB424E">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3C7E2AA4" w:rsidR="00A01494" w:rsidRPr="000F1B7A" w:rsidRDefault="00186AE1" w:rsidP="000F1B7A">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DB424E">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38318C23" w:rsidR="00A01494" w:rsidRPr="000F1B7A" w:rsidRDefault="00186AE1"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562084B1" w:rsidR="00A01494" w:rsidRPr="000F1B7A" w:rsidRDefault="00186AE1"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186AE1"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186AE1"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186AE1"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186AE1"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123E506C" w:rsidR="00A01494" w:rsidRPr="000F1B7A" w:rsidRDefault="00186AE1" w:rsidP="00DB424E">
            <w:pPr>
              <w:autoSpaceDE w:val="0"/>
              <w:autoSpaceDN w:val="0"/>
              <w:adjustRightInd w:val="0"/>
              <w:rPr>
                <w:rFonts w:cstheme="minorHAnsi"/>
                <w:bCs/>
              </w:rPr>
            </w:pPr>
            <w:sdt>
              <w:sdtPr>
                <w:rPr>
                  <w:rFonts w:cstheme="minorHAnsi"/>
                  <w:bCs/>
                  <w:color w:val="0000FF"/>
                </w:rPr>
                <w:id w:val="1316375390"/>
                <w14:checkbox>
                  <w14:checked w14:val="1"/>
                  <w14:checkedState w14:val="2612" w14:font="MS Gothic"/>
                  <w14:uncheckedState w14:val="2610" w14:font="MS Gothic"/>
                </w14:checkbox>
              </w:sdtPr>
              <w:sdtEndPr/>
              <w:sdtContent>
                <w:r w:rsidR="00DB424E">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text/>
              </w:sdtPr>
              <w:sdtEndPr>
                <w:rPr>
                  <w:rStyle w:val="DefaultParagraphFont"/>
                  <w:rFonts w:cstheme="minorHAnsi"/>
                  <w:bCs/>
                  <w:color w:val="auto"/>
                </w:rPr>
              </w:sdtEndPr>
              <w:sdtContent>
                <w:r w:rsidR="00683442">
                  <w:rPr>
                    <w:rStyle w:val="Style1"/>
                  </w:rPr>
                  <w:t>Medicare enrollment database; Minimum Data Set (MDS).</w:t>
                </w:r>
              </w:sdtContent>
            </w:sdt>
          </w:p>
        </w:tc>
        <w:tc>
          <w:tcPr>
            <w:tcW w:w="4847" w:type="dxa"/>
          </w:tcPr>
          <w:p w14:paraId="0CABCFAB" w14:textId="77018773" w:rsidR="00A01494" w:rsidRPr="000F1B7A" w:rsidRDefault="00186AE1" w:rsidP="00DB3627">
            <w:pPr>
              <w:autoSpaceDE w:val="0"/>
              <w:autoSpaceDN w:val="0"/>
              <w:adjustRightInd w:val="0"/>
              <w:rPr>
                <w:rFonts w:cstheme="minorHAnsi"/>
                <w:bCs/>
              </w:rPr>
            </w:pPr>
            <w:sdt>
              <w:sdtPr>
                <w:rPr>
                  <w:rFonts w:cstheme="minorHAnsi"/>
                  <w:bCs/>
                  <w:color w:val="0000FF"/>
                </w:rPr>
                <w:id w:val="1689098749"/>
                <w14:checkbox>
                  <w14:checked w14:val="1"/>
                  <w14:checkedState w14:val="2612" w14:font="MS Gothic"/>
                  <w14:uncheckedState w14:val="2610" w14:font="MS Gothic"/>
                </w14:checkbox>
              </w:sdtPr>
              <w:sdtEndPr/>
              <w:sdtContent>
                <w:r w:rsidR="00DB424E">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Fonts w:cs="Calibri"/>
                  <w:color w:val="0000FF"/>
                </w:rPr>
                <w:id w:val="1976178076"/>
                <w:text/>
              </w:sdtPr>
              <w:sdtEndPr/>
              <w:sdtContent>
                <w:r w:rsidR="008066EC" w:rsidRPr="008066EC">
                  <w:rPr>
                    <w:rFonts w:cs="Calibri"/>
                    <w:color w:val="0000FF"/>
                  </w:rPr>
                  <w:t>Medicare enrollment database; Minimum Data Set (MDS)</w:t>
                </w:r>
                <w:r w:rsidR="008066EC">
                  <w:rPr>
                    <w:rFonts w:cs="Calibri"/>
                    <w:color w:val="0000FF"/>
                  </w:rPr>
                  <w:t xml:space="preserve">; </w:t>
                </w:r>
                <w:r w:rsidR="008066EC" w:rsidRPr="008066EC">
                  <w:rPr>
                    <w:rFonts w:cs="Calibri"/>
                    <w:color w:val="0000FF"/>
                  </w:rPr>
                  <w:t>Provider of Services File; American Community Survey; Rural Urban Continuum Codes; IRF Compare; and Common Medicare Environment (CME) database.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1583305F" w14:textId="7D9300C6" w:rsidR="00C64278" w:rsidRDefault="004348CC" w:rsidP="00C64278">
      <w:pPr>
        <w:pStyle w:val="Heading2"/>
      </w:pPr>
      <w:r w:rsidRPr="00A25024">
        <w:t>If an existing data</w:t>
      </w:r>
      <w:r w:rsidR="006327D8" w:rsidRPr="00A25024">
        <w:t>set</w:t>
      </w:r>
      <w:r w:rsidR="003605B4">
        <w:t xml:space="preserve"> was used</w:t>
      </w:r>
      <w:r w:rsidRPr="00A25024">
        <w:t xml:space="preserve">, identify the </w:t>
      </w:r>
      <w:r w:rsidR="009E1846">
        <w:t xml:space="preserve">specific </w:t>
      </w:r>
      <w:r w:rsidRPr="00A25024">
        <w:t>data</w:t>
      </w:r>
      <w:r w:rsidR="006327D8" w:rsidRPr="00A25024">
        <w:t>set</w:t>
      </w:r>
      <w:r w:rsidR="00DB3627" w:rsidRPr="00A25024">
        <w:t xml:space="preserve"> </w:t>
      </w:r>
    </w:p>
    <w:p w14:paraId="0CABCFAE" w14:textId="6F6875FC" w:rsidR="00C355B9" w:rsidRDefault="00DB3627" w:rsidP="00DB3627">
      <w:pPr>
        <w:autoSpaceDE w:val="0"/>
        <w:autoSpaceDN w:val="0"/>
        <w:adjustRightInd w:val="0"/>
        <w:spacing w:after="0" w:line="240" w:lineRule="auto"/>
        <w:rPr>
          <w:rFonts w:cstheme="minorHAnsi"/>
          <w:bCs/>
        </w:rPr>
      </w:pPr>
      <w:r w:rsidRPr="00A25024">
        <w:rPr>
          <w:rFonts w:cstheme="minorHAnsi"/>
          <w:bCs/>
        </w:rPr>
        <w:t>(</w:t>
      </w:r>
      <w:r w:rsidR="001C7B02">
        <w:rPr>
          <w:rFonts w:cstheme="minorHAnsi"/>
          <w:bCs/>
          <w:i/>
        </w:rPr>
        <w:t xml:space="preserve">the dataset used for testing must be consistent with the measure specifications for target population and healthcare entities being measured; </w:t>
      </w:r>
      <w:r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0CABCFAF" w14:textId="77777777" w:rsidR="009E1846" w:rsidRDefault="009E1846" w:rsidP="00DB3627">
      <w:pPr>
        <w:autoSpaceDE w:val="0"/>
        <w:autoSpaceDN w:val="0"/>
        <w:adjustRightInd w:val="0"/>
        <w:spacing w:after="0" w:line="240" w:lineRule="auto"/>
        <w:rPr>
          <w:rFonts w:cstheme="minorHAnsi"/>
          <w:b/>
        </w:rPr>
      </w:pPr>
    </w:p>
    <w:p w14:paraId="12D59D18" w14:textId="26A1ECF1" w:rsidR="00DB424E" w:rsidRPr="00DB424E" w:rsidRDefault="000759D0" w:rsidP="005B46AA">
      <w:pPr>
        <w:autoSpaceDE w:val="0"/>
        <w:autoSpaceDN w:val="0"/>
        <w:adjustRightInd w:val="0"/>
        <w:spacing w:after="0" w:line="240" w:lineRule="auto"/>
        <w:ind w:firstLine="360"/>
        <w:rPr>
          <w:rStyle w:val="Style1"/>
        </w:rPr>
      </w:pPr>
      <w:r>
        <w:rPr>
          <w:rStyle w:val="Style1"/>
        </w:rPr>
        <w:t xml:space="preserve">The </w:t>
      </w:r>
      <w:r w:rsidR="00DB424E" w:rsidRPr="00DB424E">
        <w:rPr>
          <w:rStyle w:val="Style1"/>
        </w:rPr>
        <w:t xml:space="preserve">Medicare Spending per Beneficiary Post-Acute Care for </w:t>
      </w:r>
      <w:r w:rsidR="00F13064">
        <w:rPr>
          <w:rStyle w:val="Style1"/>
        </w:rPr>
        <w:t>Inpatient Rehabilitation Facilities</w:t>
      </w:r>
      <w:r w:rsidR="00DB424E" w:rsidRPr="00DB424E">
        <w:rPr>
          <w:rStyle w:val="Style1"/>
        </w:rPr>
        <w:t xml:space="preserve"> (MSPB</w:t>
      </w:r>
      <w:r w:rsidR="00B6296E">
        <w:rPr>
          <w:rStyle w:val="Style1"/>
        </w:rPr>
        <w:t>-</w:t>
      </w:r>
      <w:r w:rsidR="00DB424E" w:rsidRPr="00DB424E">
        <w:rPr>
          <w:rStyle w:val="Style1"/>
        </w:rPr>
        <w:t>PAC</w:t>
      </w:r>
      <w:r w:rsidR="00B6296E">
        <w:rPr>
          <w:rStyle w:val="Style1"/>
        </w:rPr>
        <w:t xml:space="preserve"> </w:t>
      </w:r>
      <w:r w:rsidR="00F13064">
        <w:rPr>
          <w:rStyle w:val="Style1"/>
        </w:rPr>
        <w:t>IRF</w:t>
      </w:r>
      <w:r w:rsidR="00DB424E" w:rsidRPr="00DB424E">
        <w:rPr>
          <w:rStyle w:val="Style1"/>
        </w:rPr>
        <w:t xml:space="preserve">) </w:t>
      </w:r>
      <w:r>
        <w:rPr>
          <w:rStyle w:val="Style1"/>
        </w:rPr>
        <w:t xml:space="preserve">measure </w:t>
      </w:r>
      <w:r w:rsidR="00DB424E" w:rsidRPr="00DB424E">
        <w:rPr>
          <w:rStyle w:val="Style1"/>
        </w:rPr>
        <w:t>is based on Medicare fee-for service (FFS) administrative claims and uses data in the Medicare enrollment database and Minimum Data Set (MDS). The enrollment files provide information such as date of birth, date of death, sex, reason for Medicare eligibility, and</w:t>
      </w:r>
      <w:r w:rsidR="00683442">
        <w:rPr>
          <w:rStyle w:val="Style1"/>
        </w:rPr>
        <w:t xml:space="preserve"> enrollment</w:t>
      </w:r>
      <w:r w:rsidR="00DB424E" w:rsidRPr="00DB424E">
        <w:rPr>
          <w:rStyle w:val="Style1"/>
        </w:rPr>
        <w:t xml:space="preserve"> in Medicare FFS. The MDS is used to construct a risk adjustment variable, indicating beneficiaries who have been institutionalized for at least 90 days in a given year. The data elements from the Medicare FFS claims are those basic to the operation of the Medicare payment systems and include data such as date of service, dat</w:t>
      </w:r>
      <w:r w:rsidR="00683442">
        <w:rPr>
          <w:rStyle w:val="Style1"/>
        </w:rPr>
        <w:t>e</w:t>
      </w:r>
      <w:r w:rsidR="00DB424E" w:rsidRPr="00DB424E">
        <w:rPr>
          <w:rStyle w:val="Style1"/>
        </w:rPr>
        <w:t xml:space="preserve"> of admission, date of discharge, diagnoses, procedures, and revenue center codes. The Medicare FFS claims d</w:t>
      </w:r>
      <w:r w:rsidR="00DB424E">
        <w:rPr>
          <w:rStyle w:val="Style1"/>
        </w:rPr>
        <w:t xml:space="preserve">ata files are used to identify </w:t>
      </w:r>
      <w:r w:rsidR="00DB424E" w:rsidRPr="00DB424E">
        <w:rPr>
          <w:rStyle w:val="Style1"/>
        </w:rPr>
        <w:t xml:space="preserve">Medicare services from </w:t>
      </w:r>
      <w:r w:rsidR="008E1673">
        <w:rPr>
          <w:rStyle w:val="Style1"/>
        </w:rPr>
        <w:t xml:space="preserve">IRF </w:t>
      </w:r>
      <w:r w:rsidR="00DB424E" w:rsidRPr="00DB424E">
        <w:rPr>
          <w:rStyle w:val="Style1"/>
        </w:rPr>
        <w:t xml:space="preserve">and other settings (e.g., </w:t>
      </w:r>
      <w:r w:rsidR="00683442">
        <w:rPr>
          <w:rStyle w:val="Style1"/>
        </w:rPr>
        <w:t>inpatient and outpatient hospitals</w:t>
      </w:r>
      <w:r w:rsidR="00DB424E" w:rsidRPr="00DB424E">
        <w:rPr>
          <w:rStyle w:val="Style1"/>
        </w:rPr>
        <w:t xml:space="preserve">) within the episode window. No data beyond </w:t>
      </w:r>
      <w:r w:rsidR="00E363E4">
        <w:rPr>
          <w:rStyle w:val="Style1"/>
        </w:rPr>
        <w:t>what agencies submit in of</w:t>
      </w:r>
      <w:r w:rsidR="00DB424E" w:rsidRPr="00DB424E">
        <w:rPr>
          <w:rStyle w:val="Style1"/>
        </w:rPr>
        <w:t xml:space="preserve"> the normal course of business are required</w:t>
      </w:r>
      <w:r w:rsidR="00E363E4">
        <w:rPr>
          <w:rStyle w:val="Style1"/>
        </w:rPr>
        <w:t xml:space="preserve"> to calculate this measure</w:t>
      </w:r>
      <w:r w:rsidR="00DB424E" w:rsidRPr="00DB424E">
        <w:rPr>
          <w:rStyle w:val="Style1"/>
        </w:rPr>
        <w:t>.</w:t>
      </w:r>
    </w:p>
    <w:p w14:paraId="5BE6317C" w14:textId="77777777" w:rsidR="00DB424E" w:rsidRDefault="00DB424E" w:rsidP="00DB3627">
      <w:pPr>
        <w:autoSpaceDE w:val="0"/>
        <w:autoSpaceDN w:val="0"/>
        <w:adjustRightInd w:val="0"/>
        <w:spacing w:after="0" w:line="240" w:lineRule="auto"/>
        <w:rPr>
          <w:rFonts w:cstheme="minorHAnsi"/>
          <w:b/>
        </w:rPr>
      </w:pPr>
    </w:p>
    <w:p w14:paraId="7907A2F6" w14:textId="605F8C80" w:rsidR="00DB424E" w:rsidRDefault="00DB424E" w:rsidP="00932E8F">
      <w:pPr>
        <w:autoSpaceDE w:val="0"/>
        <w:autoSpaceDN w:val="0"/>
        <w:adjustRightInd w:val="0"/>
        <w:spacing w:after="0" w:line="240" w:lineRule="auto"/>
        <w:ind w:firstLine="360"/>
        <w:rPr>
          <w:rStyle w:val="Style1"/>
        </w:rPr>
      </w:pPr>
      <w:r w:rsidRPr="00DB424E">
        <w:rPr>
          <w:rStyle w:val="Style1"/>
        </w:rPr>
        <w:t xml:space="preserve">This measure submission is based on </w:t>
      </w:r>
      <w:r w:rsidR="008440C0">
        <w:rPr>
          <w:rStyle w:val="Style1"/>
        </w:rPr>
        <w:t>fiscal</w:t>
      </w:r>
      <w:r w:rsidRPr="00DB424E">
        <w:rPr>
          <w:rStyle w:val="Style1"/>
        </w:rPr>
        <w:t xml:space="preserve"> year (</w:t>
      </w:r>
      <w:r w:rsidR="008440C0">
        <w:rPr>
          <w:rStyle w:val="Style1"/>
        </w:rPr>
        <w:t>F</w:t>
      </w:r>
      <w:r w:rsidRPr="00DB424E">
        <w:rPr>
          <w:rStyle w:val="Style1"/>
        </w:rPr>
        <w:t>Y) 2016-2017 data, which were the most recent data available at the time of our analyses. We used the data sources listed below to develop the claims analytic file for me</w:t>
      </w:r>
      <w:r>
        <w:rPr>
          <w:rStyle w:val="Style1"/>
        </w:rPr>
        <w:t xml:space="preserve">asure specification and testing: </w:t>
      </w:r>
    </w:p>
    <w:p w14:paraId="238C52A9" w14:textId="77777777" w:rsidR="00DB424E" w:rsidRDefault="00DB424E" w:rsidP="00DB3627">
      <w:pPr>
        <w:autoSpaceDE w:val="0"/>
        <w:autoSpaceDN w:val="0"/>
        <w:adjustRightInd w:val="0"/>
        <w:spacing w:after="0" w:line="240" w:lineRule="auto"/>
        <w:rPr>
          <w:rStyle w:val="Style1"/>
        </w:rPr>
      </w:pPr>
    </w:p>
    <w:p w14:paraId="5A1E609A" w14:textId="5447E7C1" w:rsidR="00F527DE" w:rsidRDefault="00DB424E" w:rsidP="00DB424E">
      <w:pPr>
        <w:pStyle w:val="ListParagraph"/>
        <w:numPr>
          <w:ilvl w:val="0"/>
          <w:numId w:val="31"/>
        </w:numPr>
        <w:autoSpaceDE w:val="0"/>
        <w:autoSpaceDN w:val="0"/>
        <w:adjustRightInd w:val="0"/>
        <w:spacing w:after="0" w:line="240" w:lineRule="auto"/>
        <w:rPr>
          <w:rStyle w:val="Style1"/>
        </w:rPr>
      </w:pPr>
      <w:r w:rsidRPr="000878FF">
        <w:rPr>
          <w:rStyle w:val="Style1"/>
          <w:b/>
        </w:rPr>
        <w:t>Medicare Fee-For-Services claims and enrollment data</w:t>
      </w:r>
      <w:r w:rsidRPr="00DB424E">
        <w:rPr>
          <w:rStyle w:val="Style1"/>
        </w:rPr>
        <w:t>: We access inpatient, outpatient, carrier, skilled nursing facility, home health, durable medical equipment, and hospice claims</w:t>
      </w:r>
      <w:r w:rsidR="00D10415">
        <w:rPr>
          <w:rStyle w:val="Style1"/>
        </w:rPr>
        <w:t xml:space="preserve"> </w:t>
      </w:r>
      <w:r w:rsidRPr="00DB424E">
        <w:rPr>
          <w:rStyle w:val="Style1"/>
        </w:rPr>
        <w:t xml:space="preserve">through the Centers for Medicare &amp; Medicaid Services (CMS) Common Working File (CWF). The data dictionary for all Medicare FFS claims, demographic, and enrollment data are available at: </w:t>
      </w:r>
      <w:hyperlink r:id="rId13" w:history="1">
        <w:r w:rsidRPr="00930CC9">
          <w:rPr>
            <w:rStyle w:val="Hyperlink"/>
            <w:rFonts w:eastAsia="Trebuchet MS" w:cstheme="minorHAnsi"/>
            <w:color w:val="948A54" w:themeColor="background2" w:themeShade="80"/>
            <w:u w:val="none"/>
          </w:rPr>
          <w:t>https://www.resdac.org/cms-data?tid%5B%5D=4931&amp;tid_1%5B%5D=1&amp;=Find+Data+Files</w:t>
        </w:r>
      </w:hyperlink>
      <w:r w:rsidRPr="00930CC9">
        <w:rPr>
          <w:rStyle w:val="Style1"/>
        </w:rPr>
        <w:t>.</w:t>
      </w:r>
      <w:r w:rsidRPr="00DB424E">
        <w:rPr>
          <w:rStyle w:val="Style1"/>
        </w:rPr>
        <w:t xml:space="preserve"> General information about the CWF is available at: </w:t>
      </w:r>
      <w:hyperlink r:id="rId14" w:history="1">
        <w:r w:rsidRPr="00930CC9">
          <w:rPr>
            <w:rStyle w:val="Hyperlink"/>
            <w:rFonts w:eastAsia="Trebuchet MS" w:cstheme="minorHAnsi"/>
            <w:color w:val="948A54" w:themeColor="background2" w:themeShade="80"/>
            <w:u w:val="none"/>
          </w:rPr>
          <w:t>https://www.cms.gov/Regulations-and-Guidance/Guidance/Manuals/Downloads/clm104c27.pdf</w:t>
        </w:r>
      </w:hyperlink>
      <w:r w:rsidRPr="00DB424E">
        <w:rPr>
          <w:rStyle w:val="Style1"/>
        </w:rPr>
        <w:t xml:space="preserve">. </w:t>
      </w:r>
    </w:p>
    <w:p w14:paraId="5ED127E5" w14:textId="77777777" w:rsidR="00F527DE" w:rsidRDefault="00F527DE" w:rsidP="00F21CE6">
      <w:pPr>
        <w:autoSpaceDE w:val="0"/>
        <w:autoSpaceDN w:val="0"/>
        <w:adjustRightInd w:val="0"/>
        <w:spacing w:after="0" w:line="240" w:lineRule="auto"/>
        <w:ind w:left="720"/>
        <w:rPr>
          <w:rStyle w:val="Style1"/>
        </w:rPr>
      </w:pPr>
    </w:p>
    <w:p w14:paraId="7CCCFB51" w14:textId="471652B3" w:rsidR="00F527DE" w:rsidRDefault="00F527DE" w:rsidP="00F527DE">
      <w:pPr>
        <w:pStyle w:val="ListParagraph"/>
        <w:numPr>
          <w:ilvl w:val="0"/>
          <w:numId w:val="31"/>
        </w:numPr>
        <w:autoSpaceDE w:val="0"/>
        <w:autoSpaceDN w:val="0"/>
        <w:adjustRightInd w:val="0"/>
        <w:spacing w:after="0" w:line="240" w:lineRule="auto"/>
        <w:rPr>
          <w:rStyle w:val="Style1"/>
        </w:rPr>
      </w:pPr>
      <w:r w:rsidRPr="007207AC">
        <w:rPr>
          <w:rStyle w:val="Style1"/>
          <w:b/>
        </w:rPr>
        <w:t>Minimum Data Set</w:t>
      </w:r>
      <w:r>
        <w:rPr>
          <w:rStyle w:val="Style1"/>
          <w:b/>
        </w:rPr>
        <w:t xml:space="preserve"> (MDS)</w:t>
      </w:r>
      <w:r>
        <w:rPr>
          <w:rStyle w:val="Style1"/>
        </w:rPr>
        <w:t>:</w:t>
      </w:r>
      <w:r w:rsidR="00B52257">
        <w:rPr>
          <w:rStyle w:val="Style1"/>
        </w:rPr>
        <w:t xml:space="preserve"> Acumen obtains the MDS through the Quality Improvement and Evaluation System (QIES).</w:t>
      </w:r>
      <w:r>
        <w:rPr>
          <w:rStyle w:val="Style1"/>
        </w:rPr>
        <w:t xml:space="preserve"> </w:t>
      </w:r>
      <w:r w:rsidRPr="00DB424E">
        <w:rPr>
          <w:rStyle w:val="Style1"/>
        </w:rPr>
        <w:t>The data dictionary for</w:t>
      </w:r>
      <w:r w:rsidR="00E363E4">
        <w:rPr>
          <w:rStyle w:val="Style1"/>
        </w:rPr>
        <w:t xml:space="preserve"> the</w:t>
      </w:r>
      <w:r w:rsidRPr="00DB424E">
        <w:rPr>
          <w:rStyle w:val="Style1"/>
        </w:rPr>
        <w:t xml:space="preserve"> </w:t>
      </w:r>
      <w:r>
        <w:rPr>
          <w:rStyle w:val="Style1"/>
        </w:rPr>
        <w:t>MDS</w:t>
      </w:r>
      <w:r w:rsidRPr="00DB424E">
        <w:rPr>
          <w:rStyle w:val="Style1"/>
        </w:rPr>
        <w:t xml:space="preserve"> data </w:t>
      </w:r>
      <w:r w:rsidR="00E363E4">
        <w:rPr>
          <w:rStyle w:val="Style1"/>
        </w:rPr>
        <w:t>is</w:t>
      </w:r>
      <w:r w:rsidRPr="00DB424E">
        <w:rPr>
          <w:rStyle w:val="Style1"/>
        </w:rPr>
        <w:t xml:space="preserve"> available at:</w:t>
      </w:r>
      <w:r>
        <w:rPr>
          <w:rStyle w:val="Hyperlink"/>
        </w:rPr>
        <w:t xml:space="preserve"> </w:t>
      </w:r>
      <w:hyperlink r:id="rId15" w:history="1">
        <w:r w:rsidRPr="00930CC9">
          <w:rPr>
            <w:rStyle w:val="Hyperlink"/>
            <w:rFonts w:eastAsia="Trebuchet MS" w:cstheme="minorHAnsi"/>
            <w:color w:val="948A54" w:themeColor="background2" w:themeShade="80"/>
            <w:u w:val="none"/>
          </w:rPr>
          <w:t>https://www.resdac.org/cms-data/files/mds-3.0/data-documentation</w:t>
        </w:r>
      </w:hyperlink>
      <w:r w:rsidRPr="00DB424E">
        <w:rPr>
          <w:rStyle w:val="Style1"/>
        </w:rPr>
        <w:t>.</w:t>
      </w:r>
    </w:p>
    <w:p w14:paraId="5A6CCDC8" w14:textId="77777777" w:rsidR="00F527DE" w:rsidRDefault="00F527DE" w:rsidP="00DB424E">
      <w:pPr>
        <w:autoSpaceDE w:val="0"/>
        <w:autoSpaceDN w:val="0"/>
        <w:adjustRightInd w:val="0"/>
        <w:spacing w:after="0" w:line="240" w:lineRule="auto"/>
        <w:rPr>
          <w:rStyle w:val="Style1"/>
        </w:rPr>
      </w:pPr>
    </w:p>
    <w:p w14:paraId="2CB079EE" w14:textId="77777777" w:rsidR="00F527DE" w:rsidRDefault="00F527DE" w:rsidP="00932E8F">
      <w:pPr>
        <w:autoSpaceDE w:val="0"/>
        <w:autoSpaceDN w:val="0"/>
        <w:adjustRightInd w:val="0"/>
        <w:spacing w:after="0" w:line="240" w:lineRule="auto"/>
        <w:ind w:firstLine="360"/>
        <w:rPr>
          <w:rStyle w:val="Style1"/>
        </w:rPr>
      </w:pPr>
      <w:r>
        <w:rPr>
          <w:rStyle w:val="Style1"/>
        </w:rPr>
        <w:t>We used two mappings to group diagnosis and procedure codes for use in identifying clinical events, implementing exclusions and applying risk adjustment:</w:t>
      </w:r>
    </w:p>
    <w:p w14:paraId="359DEFC3" w14:textId="09426F57" w:rsidR="00F527DE" w:rsidRPr="00DB424E" w:rsidRDefault="00F527DE" w:rsidP="00DB424E">
      <w:pPr>
        <w:autoSpaceDE w:val="0"/>
        <w:autoSpaceDN w:val="0"/>
        <w:adjustRightInd w:val="0"/>
        <w:spacing w:after="0" w:line="240" w:lineRule="auto"/>
        <w:rPr>
          <w:rStyle w:val="Style1"/>
        </w:rPr>
      </w:pPr>
      <w:r>
        <w:rPr>
          <w:rStyle w:val="Style1"/>
        </w:rPr>
        <w:t xml:space="preserve">  </w:t>
      </w:r>
    </w:p>
    <w:p w14:paraId="01ED537C" w14:textId="1AA2157B" w:rsidR="00DB424E" w:rsidRPr="00DB424E" w:rsidRDefault="00DB424E" w:rsidP="00F527DE">
      <w:pPr>
        <w:pStyle w:val="ListParagraph"/>
        <w:numPr>
          <w:ilvl w:val="0"/>
          <w:numId w:val="31"/>
        </w:numPr>
        <w:autoSpaceDE w:val="0"/>
        <w:autoSpaceDN w:val="0"/>
        <w:adjustRightInd w:val="0"/>
        <w:spacing w:after="0" w:line="240" w:lineRule="auto"/>
        <w:rPr>
          <w:rStyle w:val="Style1"/>
        </w:rPr>
      </w:pPr>
      <w:r w:rsidRPr="000878FF">
        <w:rPr>
          <w:rStyle w:val="Style1"/>
          <w:b/>
        </w:rPr>
        <w:t xml:space="preserve">Agency for Healthcare Research and Quality (AHRQ) Clinical Classifications Software (CCS) groupings </w:t>
      </w:r>
      <w:r w:rsidR="00F527DE">
        <w:rPr>
          <w:rStyle w:val="Style1"/>
          <w:b/>
        </w:rPr>
        <w:t>for Services and Procedures</w:t>
      </w:r>
      <w:r w:rsidRPr="00DB424E">
        <w:rPr>
          <w:rStyle w:val="Style1"/>
        </w:rPr>
        <w:t>: Software is available for download at</w:t>
      </w:r>
      <w:r w:rsidR="00E66E1F">
        <w:rPr>
          <w:rStyle w:val="Style1"/>
        </w:rPr>
        <w:t>:</w:t>
      </w:r>
      <w:r w:rsidRPr="00DB424E">
        <w:rPr>
          <w:rStyle w:val="Style1"/>
        </w:rPr>
        <w:t xml:space="preserve"> </w:t>
      </w:r>
      <w:r w:rsidR="00F527DE" w:rsidRPr="00930CC9">
        <w:rPr>
          <w:rStyle w:val="Hyperlink"/>
          <w:rFonts w:eastAsia="Trebuchet MS" w:cstheme="minorHAnsi"/>
          <w:color w:val="948A54" w:themeColor="background2" w:themeShade="80"/>
          <w:u w:val="none"/>
        </w:rPr>
        <w:t>https://www.hcup-us.ahrq.gov/toolssoftware/ccs_svcsproc/ccssvcproc.jsp</w:t>
      </w:r>
    </w:p>
    <w:p w14:paraId="08A860EB" w14:textId="77777777" w:rsidR="00DB424E" w:rsidRPr="00DB424E" w:rsidRDefault="00DB424E" w:rsidP="00DB424E">
      <w:pPr>
        <w:autoSpaceDE w:val="0"/>
        <w:autoSpaceDN w:val="0"/>
        <w:adjustRightInd w:val="0"/>
        <w:spacing w:after="0" w:line="240" w:lineRule="auto"/>
        <w:rPr>
          <w:rStyle w:val="Style1"/>
        </w:rPr>
      </w:pPr>
    </w:p>
    <w:p w14:paraId="3E9AC992" w14:textId="3E6F858D" w:rsidR="00DB424E" w:rsidRPr="00DB424E" w:rsidRDefault="00DB424E" w:rsidP="000878FF">
      <w:pPr>
        <w:pStyle w:val="ListParagraph"/>
        <w:numPr>
          <w:ilvl w:val="0"/>
          <w:numId w:val="31"/>
        </w:numPr>
        <w:autoSpaceDE w:val="0"/>
        <w:autoSpaceDN w:val="0"/>
        <w:adjustRightInd w:val="0"/>
        <w:spacing w:after="0" w:line="240" w:lineRule="auto"/>
        <w:rPr>
          <w:rStyle w:val="Style1"/>
        </w:rPr>
      </w:pPr>
      <w:r w:rsidRPr="000878FF">
        <w:rPr>
          <w:rStyle w:val="Style1"/>
          <w:b/>
        </w:rPr>
        <w:t>CMS-Hierarchical Condition Category (HCC) mappings of ICD-9 and ICD-10 codes</w:t>
      </w:r>
      <w:r w:rsidRPr="00DB424E">
        <w:rPr>
          <w:rStyle w:val="Style1"/>
        </w:rPr>
        <w:t xml:space="preserve">: </w:t>
      </w:r>
      <w:r w:rsidR="0051364E">
        <w:rPr>
          <w:rStyle w:val="Style1"/>
        </w:rPr>
        <w:t xml:space="preserve">We used </w:t>
      </w:r>
      <w:r w:rsidR="00F527DE">
        <w:rPr>
          <w:rStyle w:val="Style1"/>
        </w:rPr>
        <w:t>the Version 22 CMS-</w:t>
      </w:r>
      <w:r w:rsidR="0051364E">
        <w:rPr>
          <w:rStyle w:val="Style1"/>
        </w:rPr>
        <w:t xml:space="preserve">HCC </w:t>
      </w:r>
      <w:r w:rsidR="00F527DE">
        <w:rPr>
          <w:rStyle w:val="Style1"/>
        </w:rPr>
        <w:t xml:space="preserve">mapping, which </w:t>
      </w:r>
      <w:r w:rsidR="00B52257">
        <w:rPr>
          <w:rStyle w:val="Style1"/>
        </w:rPr>
        <w:t>is</w:t>
      </w:r>
      <w:r w:rsidRPr="00DB424E">
        <w:rPr>
          <w:rStyle w:val="Style1"/>
        </w:rPr>
        <w:t xml:space="preserve"> included in the software available at: </w:t>
      </w:r>
      <w:hyperlink r:id="rId16" w:history="1">
        <w:r w:rsidRPr="00930CC9">
          <w:rPr>
            <w:rStyle w:val="Hyperlink"/>
            <w:rFonts w:eastAsia="Trebuchet MS" w:cstheme="minorHAnsi"/>
            <w:color w:val="948A54" w:themeColor="background2" w:themeShade="80"/>
            <w:u w:val="none"/>
          </w:rPr>
          <w:t>https://www.cms.gov/Medicare/Health-Plans/MedicareAdvtgSpecRateStats/Risk-Adjustors.html</w:t>
        </w:r>
      </w:hyperlink>
      <w:r w:rsidRPr="00DB424E">
        <w:rPr>
          <w:rStyle w:val="Style1"/>
        </w:rPr>
        <w:t xml:space="preserve">. </w:t>
      </w:r>
    </w:p>
    <w:p w14:paraId="5333ACB7" w14:textId="77777777" w:rsidR="00DB424E" w:rsidRPr="00DB424E" w:rsidRDefault="00DB424E" w:rsidP="00DB424E">
      <w:pPr>
        <w:autoSpaceDE w:val="0"/>
        <w:autoSpaceDN w:val="0"/>
        <w:adjustRightInd w:val="0"/>
        <w:spacing w:after="0" w:line="240" w:lineRule="auto"/>
        <w:rPr>
          <w:rStyle w:val="Style1"/>
        </w:rPr>
      </w:pPr>
    </w:p>
    <w:p w14:paraId="0075C578" w14:textId="4C9DF9EB" w:rsidR="00DB424E" w:rsidRPr="00DB424E" w:rsidRDefault="00DB424E" w:rsidP="00932E8F">
      <w:pPr>
        <w:autoSpaceDE w:val="0"/>
        <w:autoSpaceDN w:val="0"/>
        <w:adjustRightInd w:val="0"/>
        <w:spacing w:after="0" w:line="240" w:lineRule="auto"/>
        <w:ind w:firstLine="360"/>
        <w:rPr>
          <w:rStyle w:val="Style1"/>
        </w:rPr>
      </w:pPr>
      <w:r w:rsidRPr="00DB424E">
        <w:rPr>
          <w:rStyle w:val="Style1"/>
        </w:rPr>
        <w:t xml:space="preserve">We used </w:t>
      </w:r>
      <w:r w:rsidR="00ED0C0F">
        <w:rPr>
          <w:rStyle w:val="Style1"/>
        </w:rPr>
        <w:t>five</w:t>
      </w:r>
      <w:r w:rsidR="00ED0C0F" w:rsidRPr="00DB424E">
        <w:rPr>
          <w:rStyle w:val="Style1"/>
        </w:rPr>
        <w:t xml:space="preserve"> </w:t>
      </w:r>
      <w:r w:rsidRPr="00DB424E">
        <w:rPr>
          <w:rStyle w:val="Style1"/>
        </w:rPr>
        <w:t xml:space="preserve">additional data sources for measure testing only, not for specification: </w:t>
      </w:r>
    </w:p>
    <w:p w14:paraId="41255008" w14:textId="77777777" w:rsidR="00DB424E" w:rsidRPr="00DB424E" w:rsidRDefault="00DB424E" w:rsidP="00DB424E">
      <w:pPr>
        <w:autoSpaceDE w:val="0"/>
        <w:autoSpaceDN w:val="0"/>
        <w:adjustRightInd w:val="0"/>
        <w:spacing w:after="0" w:line="240" w:lineRule="auto"/>
        <w:rPr>
          <w:rStyle w:val="Style1"/>
        </w:rPr>
      </w:pPr>
    </w:p>
    <w:p w14:paraId="4F7C08AA" w14:textId="57635AF9" w:rsidR="00DB424E" w:rsidRPr="00930CC9" w:rsidRDefault="00DB424E" w:rsidP="000878FF">
      <w:pPr>
        <w:pStyle w:val="ListParagraph"/>
        <w:numPr>
          <w:ilvl w:val="0"/>
          <w:numId w:val="31"/>
        </w:numPr>
        <w:autoSpaceDE w:val="0"/>
        <w:autoSpaceDN w:val="0"/>
        <w:adjustRightInd w:val="0"/>
        <w:spacing w:after="0" w:line="240" w:lineRule="auto"/>
        <w:rPr>
          <w:rStyle w:val="Hyperlink"/>
          <w:rFonts w:eastAsia="Trebuchet MS" w:cstheme="minorHAnsi"/>
          <w:color w:val="948A54" w:themeColor="background2" w:themeShade="80"/>
          <w:u w:val="none"/>
        </w:rPr>
      </w:pPr>
      <w:r w:rsidRPr="000878FF">
        <w:rPr>
          <w:rStyle w:val="Style1"/>
          <w:b/>
        </w:rPr>
        <w:t>2017 American Community Survey (ACS) 5-year estimate</w:t>
      </w:r>
      <w:r w:rsidR="000878FF">
        <w:rPr>
          <w:rStyle w:val="Style1"/>
        </w:rPr>
        <w:t>:</w:t>
      </w:r>
      <w:r w:rsidRPr="00DB424E">
        <w:rPr>
          <w:rStyle w:val="Style1"/>
        </w:rPr>
        <w:t xml:space="preserve"> We used the ACS to obtain the ZIP Code Tabulation Area (ZCTA) level measures needed to compute the Agency for Healthcare Research and Quality (AHRQ) Socioeconomic Status (SES) index score for social risk factor testing. This information is </w:t>
      </w:r>
      <w:r w:rsidR="00CB5BB5">
        <w:rPr>
          <w:rStyle w:val="Style1"/>
        </w:rPr>
        <w:t>available</w:t>
      </w:r>
      <w:r w:rsidRPr="00DB424E">
        <w:rPr>
          <w:rStyle w:val="Style1"/>
        </w:rPr>
        <w:t xml:space="preserve"> </w:t>
      </w:r>
      <w:r w:rsidR="00CB5BB5">
        <w:rPr>
          <w:rStyle w:val="Style1"/>
        </w:rPr>
        <w:t>on</w:t>
      </w:r>
      <w:r w:rsidRPr="00DB424E">
        <w:rPr>
          <w:rStyle w:val="Style1"/>
        </w:rPr>
        <w:t xml:space="preserve"> </w:t>
      </w:r>
      <w:r w:rsidR="00CB5BB5">
        <w:rPr>
          <w:rStyle w:val="Style1"/>
        </w:rPr>
        <w:t xml:space="preserve">the </w:t>
      </w:r>
      <w:r w:rsidRPr="00DB424E">
        <w:rPr>
          <w:rStyle w:val="Style1"/>
        </w:rPr>
        <w:t xml:space="preserve">US Census website: </w:t>
      </w:r>
      <w:hyperlink r:id="rId17" w:history="1">
        <w:r w:rsidRPr="00930CC9">
          <w:rPr>
            <w:rStyle w:val="Hyperlink"/>
            <w:rFonts w:eastAsia="Trebuchet MS" w:cstheme="minorHAnsi"/>
            <w:color w:val="948A54" w:themeColor="background2" w:themeShade="80"/>
            <w:u w:val="none"/>
          </w:rPr>
          <w:t>http://factfinder.census.gov/faces/nav/jsf/pages/searchresults.xhtml?refresh=t</w:t>
        </w:r>
      </w:hyperlink>
    </w:p>
    <w:p w14:paraId="64654B2E" w14:textId="77777777" w:rsidR="00DB424E" w:rsidRPr="00DB424E" w:rsidRDefault="00DB424E" w:rsidP="00DB424E">
      <w:pPr>
        <w:autoSpaceDE w:val="0"/>
        <w:autoSpaceDN w:val="0"/>
        <w:adjustRightInd w:val="0"/>
        <w:spacing w:after="0" w:line="240" w:lineRule="auto"/>
        <w:rPr>
          <w:rStyle w:val="Style1"/>
        </w:rPr>
      </w:pPr>
    </w:p>
    <w:p w14:paraId="1D02135B" w14:textId="1BA967D4" w:rsidR="00DB424E" w:rsidRPr="00DB424E" w:rsidRDefault="00DB424E" w:rsidP="000878FF">
      <w:pPr>
        <w:pStyle w:val="ListParagraph"/>
        <w:numPr>
          <w:ilvl w:val="0"/>
          <w:numId w:val="31"/>
        </w:numPr>
        <w:autoSpaceDE w:val="0"/>
        <w:autoSpaceDN w:val="0"/>
        <w:adjustRightInd w:val="0"/>
        <w:spacing w:after="0" w:line="240" w:lineRule="auto"/>
        <w:rPr>
          <w:rStyle w:val="Style1"/>
        </w:rPr>
      </w:pPr>
      <w:r w:rsidRPr="000878FF">
        <w:rPr>
          <w:rStyle w:val="Style1"/>
          <w:b/>
        </w:rPr>
        <w:t>Rural-Urban Continuum Codes 2013</w:t>
      </w:r>
      <w:r w:rsidR="000878FF">
        <w:rPr>
          <w:rStyle w:val="Style1"/>
        </w:rPr>
        <w:t>:</w:t>
      </w:r>
      <w:r w:rsidRPr="00DB424E">
        <w:rPr>
          <w:rStyle w:val="Style1"/>
        </w:rPr>
        <w:t xml:space="preserve"> We used this data source to construct rural-urban identifiers</w:t>
      </w:r>
      <w:r w:rsidR="00CB5BB5">
        <w:rPr>
          <w:rStyle w:val="Style1"/>
        </w:rPr>
        <w:t xml:space="preserve"> to test the impact of</w:t>
      </w:r>
      <w:r w:rsidRPr="00DB424E">
        <w:rPr>
          <w:rStyle w:val="Style1"/>
        </w:rPr>
        <w:t xml:space="preserve"> social risk factor</w:t>
      </w:r>
      <w:r w:rsidR="00CB5BB5">
        <w:rPr>
          <w:rStyle w:val="Style1"/>
        </w:rPr>
        <w:t>s on measure performance</w:t>
      </w:r>
      <w:r w:rsidRPr="00DB424E">
        <w:rPr>
          <w:rStyle w:val="Style1"/>
        </w:rPr>
        <w:t>. These codes include county FIPS indicators which are then merged onto</w:t>
      </w:r>
      <w:r w:rsidR="00CB5BB5">
        <w:rPr>
          <w:rStyle w:val="Style1"/>
        </w:rPr>
        <w:t xml:space="preserve"> the</w:t>
      </w:r>
      <w:r w:rsidRPr="00DB424E">
        <w:rPr>
          <w:rStyle w:val="Style1"/>
        </w:rPr>
        <w:t xml:space="preserve"> episode file</w:t>
      </w:r>
      <w:r w:rsidR="00CB5BB5">
        <w:rPr>
          <w:rStyle w:val="Style1"/>
        </w:rPr>
        <w:t>s</w:t>
      </w:r>
      <w:r w:rsidRPr="00DB424E">
        <w:rPr>
          <w:rStyle w:val="Style1"/>
        </w:rPr>
        <w:t xml:space="preserve">. </w:t>
      </w:r>
      <w:r w:rsidR="00CB5BB5">
        <w:rPr>
          <w:rStyle w:val="Style1"/>
        </w:rPr>
        <w:t>Additional</w:t>
      </w:r>
      <w:r w:rsidRPr="00DB424E">
        <w:rPr>
          <w:rStyle w:val="Style1"/>
        </w:rPr>
        <w:t xml:space="preserve"> information on this data source can be found at: </w:t>
      </w:r>
      <w:hyperlink r:id="rId18" w:history="1">
        <w:r w:rsidRPr="00930CC9">
          <w:rPr>
            <w:rStyle w:val="Hyperlink"/>
            <w:rFonts w:eastAsia="Trebuchet MS" w:cstheme="minorHAnsi"/>
            <w:color w:val="948A54" w:themeColor="background2" w:themeShade="80"/>
            <w:u w:val="none"/>
          </w:rPr>
          <w:t>https://www.ers.usda.gov/data-products/rural-urban-continuum-codes/</w:t>
        </w:r>
      </w:hyperlink>
    </w:p>
    <w:p w14:paraId="73AD5642" w14:textId="77777777" w:rsidR="00DB424E" w:rsidRPr="00DB424E" w:rsidRDefault="00DB424E" w:rsidP="00DB424E">
      <w:pPr>
        <w:autoSpaceDE w:val="0"/>
        <w:autoSpaceDN w:val="0"/>
        <w:adjustRightInd w:val="0"/>
        <w:spacing w:after="0" w:line="240" w:lineRule="auto"/>
        <w:rPr>
          <w:rStyle w:val="Style1"/>
        </w:rPr>
      </w:pPr>
    </w:p>
    <w:p w14:paraId="5BD317C3" w14:textId="6592AF9A" w:rsidR="00DB424E" w:rsidRPr="00930CC9" w:rsidRDefault="00DB424E" w:rsidP="000878FF">
      <w:pPr>
        <w:pStyle w:val="ListParagraph"/>
        <w:numPr>
          <w:ilvl w:val="0"/>
          <w:numId w:val="31"/>
        </w:numPr>
        <w:autoSpaceDE w:val="0"/>
        <w:autoSpaceDN w:val="0"/>
        <w:adjustRightInd w:val="0"/>
        <w:spacing w:after="0" w:line="240" w:lineRule="auto"/>
        <w:rPr>
          <w:rStyle w:val="Hyperlink"/>
          <w:rFonts w:eastAsia="Trebuchet MS" w:cstheme="minorHAnsi"/>
          <w:color w:val="948A54" w:themeColor="background2" w:themeShade="80"/>
          <w:u w:val="none"/>
        </w:rPr>
      </w:pPr>
      <w:r w:rsidRPr="000878FF">
        <w:rPr>
          <w:rStyle w:val="Style1"/>
          <w:b/>
        </w:rPr>
        <w:t>Provider of Services Current Files (POS File)</w:t>
      </w:r>
      <w:r w:rsidRPr="000878FF">
        <w:rPr>
          <w:rStyle w:val="Style1"/>
        </w:rPr>
        <w:t>:</w:t>
      </w:r>
      <w:r w:rsidRPr="00DB424E">
        <w:rPr>
          <w:rStyle w:val="Style1"/>
        </w:rPr>
        <w:t xml:space="preserve"> We used this data source to describe the characteristics of </w:t>
      </w:r>
      <w:r w:rsidR="00D10415">
        <w:rPr>
          <w:rStyle w:val="Style1"/>
        </w:rPr>
        <w:t>Inpatient Rehabilitation Facilities</w:t>
      </w:r>
      <w:r w:rsidRPr="00DB424E">
        <w:rPr>
          <w:rStyle w:val="Style1"/>
        </w:rPr>
        <w:t xml:space="preserve"> (</w:t>
      </w:r>
      <w:r w:rsidR="00D10415">
        <w:rPr>
          <w:rStyle w:val="Style1"/>
        </w:rPr>
        <w:t>IRF</w:t>
      </w:r>
      <w:r w:rsidRPr="00DB424E">
        <w:rPr>
          <w:rStyle w:val="Style1"/>
        </w:rPr>
        <w:t xml:space="preserve">s) included in specification and testing, such as census region, ownership type, and rurality, reported in Table 1. The POS file contains data on characteristics of hospitals and other types of healthcare facilities, including the name and address of the facility and the type of Medicare services the facility provides, among other information. The data are collected through the CMS Regional Offices. General information about the POS Files is available at: </w:t>
      </w:r>
      <w:hyperlink r:id="rId19" w:history="1">
        <w:r w:rsidRPr="00930CC9">
          <w:rPr>
            <w:rStyle w:val="Hyperlink"/>
            <w:rFonts w:eastAsia="Trebuchet MS" w:cstheme="minorHAnsi"/>
            <w:color w:val="948A54" w:themeColor="background2" w:themeShade="80"/>
            <w:u w:val="none"/>
          </w:rPr>
          <w:t>https://www.cms.gov/Research-Statistics-Data-and-Systems/Downloadable-Public-Use-Files/Provider-of-Services/index.html</w:t>
        </w:r>
      </w:hyperlink>
    </w:p>
    <w:p w14:paraId="4C43825C" w14:textId="77777777" w:rsidR="00DB424E" w:rsidRPr="00DB424E" w:rsidRDefault="00DB424E" w:rsidP="00DB424E">
      <w:pPr>
        <w:autoSpaceDE w:val="0"/>
        <w:autoSpaceDN w:val="0"/>
        <w:adjustRightInd w:val="0"/>
        <w:spacing w:after="0" w:line="240" w:lineRule="auto"/>
        <w:rPr>
          <w:rStyle w:val="Style1"/>
        </w:rPr>
      </w:pPr>
    </w:p>
    <w:p w14:paraId="3624B811" w14:textId="7C7C0C03" w:rsidR="00ED0C0F" w:rsidRPr="005B2207" w:rsidRDefault="00ED0C0F" w:rsidP="00917D86">
      <w:pPr>
        <w:pStyle w:val="ListParagraph"/>
        <w:numPr>
          <w:ilvl w:val="0"/>
          <w:numId w:val="31"/>
        </w:numPr>
        <w:autoSpaceDE w:val="0"/>
        <w:autoSpaceDN w:val="0"/>
        <w:adjustRightInd w:val="0"/>
        <w:spacing w:after="0" w:line="240" w:lineRule="auto"/>
        <w:rPr>
          <w:rStyle w:val="Style1"/>
        </w:rPr>
      </w:pPr>
      <w:r>
        <w:rPr>
          <w:rStyle w:val="Style1"/>
          <w:b/>
        </w:rPr>
        <w:t>IRF Compare data</w:t>
      </w:r>
      <w:r>
        <w:rPr>
          <w:rStyle w:val="Style1"/>
        </w:rPr>
        <w:t xml:space="preserve">: We used this data source to examine the relationship between MSPB and assessment-based quality measures. The </w:t>
      </w:r>
      <w:r w:rsidR="00917D86">
        <w:rPr>
          <w:rStyle w:val="Style1"/>
        </w:rPr>
        <w:t>IRF</w:t>
      </w:r>
      <w:r>
        <w:rPr>
          <w:rStyle w:val="Style1"/>
        </w:rPr>
        <w:t xml:space="preserve"> Compare data include publicly reported </w:t>
      </w:r>
      <w:r w:rsidR="00917D86">
        <w:rPr>
          <w:rStyle w:val="Style1"/>
        </w:rPr>
        <w:t>IRF</w:t>
      </w:r>
      <w:r>
        <w:rPr>
          <w:rStyle w:val="Style1"/>
        </w:rPr>
        <w:t xml:space="preserve"> quality measures. The data are available at </w:t>
      </w:r>
      <w:r w:rsidR="00917D86" w:rsidRPr="00917D86">
        <w:rPr>
          <w:rStyle w:val="Style1"/>
          <w:color w:val="948A54"/>
        </w:rPr>
        <w:t>https://data.medicare.gov/data/inpatient-rehabilitation-facility-compare</w:t>
      </w:r>
    </w:p>
    <w:p w14:paraId="5452EF55" w14:textId="77777777" w:rsidR="00ED0C0F" w:rsidRPr="00337CF1" w:rsidRDefault="00ED0C0F" w:rsidP="005B2207">
      <w:pPr>
        <w:pStyle w:val="ListParagraph"/>
        <w:autoSpaceDE w:val="0"/>
        <w:autoSpaceDN w:val="0"/>
        <w:adjustRightInd w:val="0"/>
        <w:spacing w:after="0" w:line="240" w:lineRule="auto"/>
        <w:rPr>
          <w:rStyle w:val="Style1"/>
        </w:rPr>
      </w:pPr>
    </w:p>
    <w:p w14:paraId="594BEC71" w14:textId="19A5D9C0" w:rsidR="00DB424E" w:rsidRDefault="00DB424E" w:rsidP="000878FF">
      <w:pPr>
        <w:pStyle w:val="ListParagraph"/>
        <w:numPr>
          <w:ilvl w:val="0"/>
          <w:numId w:val="31"/>
        </w:numPr>
        <w:autoSpaceDE w:val="0"/>
        <w:autoSpaceDN w:val="0"/>
        <w:adjustRightInd w:val="0"/>
        <w:spacing w:after="0" w:line="240" w:lineRule="auto"/>
        <w:rPr>
          <w:rStyle w:val="Style1"/>
        </w:rPr>
      </w:pPr>
      <w:r w:rsidRPr="000878FF">
        <w:rPr>
          <w:rStyle w:val="Style1"/>
          <w:b/>
        </w:rPr>
        <w:t>Common Medicare Environment (CME) database</w:t>
      </w:r>
      <w:r w:rsidRPr="00DB424E">
        <w:rPr>
          <w:rStyle w:val="Style1"/>
        </w:rPr>
        <w:t>: We extracted patient-level dual eligibility information from the CME database for social risk factor testing. CMS has designated the CME database as the single, enterprise-wide authoritative source for Medicare beneficiary enrollment and demographic data. The CME database integrates and standardizes different types of beneficiary data from CMS legacy systems. The CME database receives information from the</w:t>
      </w:r>
      <w:r w:rsidR="00B52257">
        <w:rPr>
          <w:rStyle w:val="Style1"/>
        </w:rPr>
        <w:t xml:space="preserve"> Enrollment Database (</w:t>
      </w:r>
      <w:r w:rsidRPr="00DB424E">
        <w:rPr>
          <w:rStyle w:val="Style1"/>
        </w:rPr>
        <w:t>EDB</w:t>
      </w:r>
      <w:r w:rsidR="00B52257">
        <w:rPr>
          <w:rStyle w:val="Style1"/>
        </w:rPr>
        <w:t>)</w:t>
      </w:r>
      <w:r w:rsidRPr="00DB424E">
        <w:rPr>
          <w:rStyle w:val="Style1"/>
        </w:rPr>
        <w:t xml:space="preserve"> and also contains additional information not available in the EDB. Description of the CME is available at: </w:t>
      </w:r>
      <w:hyperlink r:id="rId20" w:history="1">
        <w:r w:rsidR="000878FF" w:rsidRPr="00930CC9">
          <w:rPr>
            <w:rStyle w:val="Hyperlink"/>
            <w:rFonts w:eastAsia="Trebuchet MS" w:cstheme="minorHAnsi"/>
            <w:color w:val="948A54" w:themeColor="background2" w:themeShade="80"/>
            <w:u w:val="none"/>
          </w:rPr>
          <w:t>https://www.ccwdata.org/documents/10280/19002256/medicare-enrollment-impact-of-conversion-from-edb-to-cme.pdf</w:t>
        </w:r>
      </w:hyperlink>
    </w:p>
    <w:p w14:paraId="07CA0B18" w14:textId="77777777" w:rsidR="000878FF" w:rsidRPr="00DB424E" w:rsidRDefault="000878FF" w:rsidP="000878FF">
      <w:pPr>
        <w:autoSpaceDE w:val="0"/>
        <w:autoSpaceDN w:val="0"/>
        <w:adjustRightInd w:val="0"/>
        <w:spacing w:after="0" w:line="240" w:lineRule="auto"/>
        <w:rPr>
          <w:rStyle w:val="Style1"/>
        </w:rPr>
      </w:pPr>
    </w:p>
    <w:p w14:paraId="2B61163B" w14:textId="0AE4CD08" w:rsidR="00C64278" w:rsidRDefault="000574AB" w:rsidP="00C64278">
      <w:pPr>
        <w:pStyle w:val="Heading2"/>
      </w:pPr>
      <w:r w:rsidRPr="00A25024">
        <w:t xml:space="preserve">What </w:t>
      </w:r>
      <w:r w:rsidR="000968F8" w:rsidRPr="00A25024">
        <w:t xml:space="preserve">are the </w:t>
      </w:r>
      <w:r w:rsidRPr="00A25024">
        <w:t xml:space="preserve">dates of </w:t>
      </w:r>
      <w:r w:rsidR="000968F8" w:rsidRPr="00A25024">
        <w:t xml:space="preserve">the </w:t>
      </w:r>
      <w:r w:rsidRPr="00A25024">
        <w:t xml:space="preserve">data </w:t>
      </w:r>
      <w:r w:rsidR="000968F8" w:rsidRPr="00A25024">
        <w:t>used in testing?</w:t>
      </w:r>
    </w:p>
    <w:p w14:paraId="0CABCFB0" w14:textId="2D35E3B3" w:rsidR="0004593A" w:rsidRPr="00A25024" w:rsidRDefault="00080CF7" w:rsidP="00DB3627">
      <w:pPr>
        <w:autoSpaceDE w:val="0"/>
        <w:autoSpaceDN w:val="0"/>
        <w:adjustRightInd w:val="0"/>
        <w:spacing w:after="0" w:line="240" w:lineRule="auto"/>
        <w:rPr>
          <w:rFonts w:cstheme="minorHAnsi"/>
          <w:bCs/>
        </w:rPr>
      </w:pPr>
      <w:r w:rsidRPr="00A25024">
        <w:rPr>
          <w:rFonts w:cstheme="minorHAnsi"/>
        </w:rPr>
        <w:t xml:space="preserve"> </w:t>
      </w:r>
      <w:r w:rsidR="000574AB" w:rsidRPr="00A25024">
        <w:rPr>
          <w:rFonts w:cstheme="minorHAnsi"/>
        </w:rPr>
        <w:t xml:space="preserve"> </w:t>
      </w:r>
      <w:sdt>
        <w:sdtPr>
          <w:rPr>
            <w:rStyle w:val="Style1"/>
          </w:rPr>
          <w:id w:val="950514773"/>
          <w:text/>
        </w:sdtPr>
        <w:sdtEndPr>
          <w:rPr>
            <w:rStyle w:val="Style1"/>
          </w:rPr>
        </w:sdtEndPr>
        <w:sdtContent>
          <w:r w:rsidR="00A42FE7">
            <w:rPr>
              <w:rStyle w:val="Style1"/>
            </w:rPr>
            <w:t>Fiscal</w:t>
          </w:r>
          <w:r w:rsidR="00A42FE7" w:rsidRPr="00DB424E">
            <w:rPr>
              <w:rStyle w:val="Style1"/>
            </w:rPr>
            <w:t xml:space="preserve"> years 2016 and 2017</w:t>
          </w:r>
        </w:sdtContent>
      </w:sdt>
    </w:p>
    <w:p w14:paraId="0CABCFB1" w14:textId="77777777" w:rsidR="000574AB" w:rsidRDefault="000574AB" w:rsidP="00DB3627">
      <w:pPr>
        <w:autoSpaceDE w:val="0"/>
        <w:autoSpaceDN w:val="0"/>
        <w:adjustRightInd w:val="0"/>
        <w:spacing w:after="0" w:line="240" w:lineRule="auto"/>
        <w:rPr>
          <w:rFonts w:cstheme="minorHAnsi"/>
          <w:bCs/>
        </w:rPr>
      </w:pPr>
    </w:p>
    <w:p w14:paraId="74BFCE21" w14:textId="20502196" w:rsidR="00C64278" w:rsidRDefault="00021170" w:rsidP="00C64278">
      <w:pPr>
        <w:pStyle w:val="Heading2"/>
      </w:pPr>
      <w:r w:rsidRPr="00A25024">
        <w:t>What level</w:t>
      </w:r>
      <w:r w:rsidR="006327D8" w:rsidRPr="00A25024">
        <w:t>s</w:t>
      </w:r>
      <w:r w:rsidRPr="00A25024">
        <w:t xml:space="preserve"> of analysis w</w:t>
      </w:r>
      <w:r w:rsidR="006327D8" w:rsidRPr="00A25024">
        <w:t>ere</w:t>
      </w:r>
      <w:r w:rsidRPr="00A25024">
        <w:t xml:space="preserve"> </w:t>
      </w:r>
      <w:r w:rsidR="006327D8" w:rsidRPr="00A25024">
        <w:t>tested</w:t>
      </w:r>
      <w:r w:rsidRPr="00A25024">
        <w:t>?</w:t>
      </w:r>
    </w:p>
    <w:p w14:paraId="0CABCFB2" w14:textId="400E0417" w:rsidR="000414E8" w:rsidRDefault="00021170" w:rsidP="00DB3627">
      <w:pPr>
        <w:autoSpaceDE w:val="0"/>
        <w:autoSpaceDN w:val="0"/>
        <w:adjustRightInd w:val="0"/>
        <w:spacing w:after="0" w:line="240" w:lineRule="auto"/>
        <w:rPr>
          <w:rFonts w:cstheme="minorHAnsi"/>
          <w:bCs/>
        </w:rPr>
      </w:pPr>
      <w:r w:rsidRPr="00A25024">
        <w:rPr>
          <w:rFonts w:cstheme="minorHAnsi"/>
          <w:bCs/>
        </w:rPr>
        <w:t xml:space="preserve"> (</w:t>
      </w:r>
      <w:r w:rsidR="00F435AA" w:rsidRPr="00A25024">
        <w:rPr>
          <w:rFonts w:cstheme="minorHAnsi"/>
          <w:bCs/>
          <w:i/>
        </w:rPr>
        <w:t xml:space="preserve">testing </w:t>
      </w:r>
      <w:r w:rsidR="009A25B1">
        <w:rPr>
          <w:rFonts w:cstheme="minorHAnsi"/>
          <w:bCs/>
          <w:i/>
        </w:rPr>
        <w:t>must be provided for</w:t>
      </w:r>
      <w:r w:rsidRPr="00A25024">
        <w:rPr>
          <w:rFonts w:cstheme="minorHAnsi"/>
          <w:bCs/>
          <w:i/>
        </w:rPr>
        <w:t xml:space="preserve"> </w:t>
      </w:r>
      <w:r w:rsidRPr="00A25024">
        <w:rPr>
          <w:rFonts w:cstheme="minorHAnsi"/>
          <w:bCs/>
          <w:i/>
          <w:u w:val="single"/>
        </w:rPr>
        <w:t>all</w:t>
      </w:r>
      <w:r w:rsidRPr="00A25024">
        <w:rPr>
          <w:rFonts w:cstheme="minorHAnsi"/>
          <w:bCs/>
          <w:i/>
        </w:rPr>
        <w:t xml:space="preserve"> the levels specified and intended for </w:t>
      </w:r>
      <w:r w:rsidR="005A7634" w:rsidRPr="00A25024">
        <w:rPr>
          <w:rFonts w:cstheme="minorHAnsi"/>
          <w:bCs/>
          <w:i/>
        </w:rPr>
        <w:t xml:space="preserve">measure </w:t>
      </w:r>
      <w:r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186AE1"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186AE1"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77777777" w:rsidR="000414E8" w:rsidRPr="00A01494" w:rsidRDefault="00186AE1"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77777777" w:rsidR="000414E8" w:rsidRPr="00A01494" w:rsidRDefault="00186AE1"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6838F1B5" w:rsidR="000414E8" w:rsidRPr="00A01494" w:rsidRDefault="00186AE1"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0878FF">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19A53454" w:rsidR="000414E8" w:rsidRPr="00A01494" w:rsidRDefault="00186AE1"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0878FF">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186AE1"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186AE1"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186AE1"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186AE1"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8891483" w14:textId="39609AA2" w:rsidR="00C64278" w:rsidRDefault="004348CC" w:rsidP="00C64278">
      <w:pPr>
        <w:pStyle w:val="Heading2"/>
      </w:pPr>
      <w:r w:rsidRPr="00A25024">
        <w:t xml:space="preserve">How many and which </w:t>
      </w:r>
      <w:r w:rsidRPr="00A25024">
        <w:rPr>
          <w:u w:val="single"/>
        </w:rPr>
        <w:t>measured entities</w:t>
      </w:r>
      <w:r w:rsidRPr="00A25024">
        <w:t xml:space="preserve"> were included in the testing</w:t>
      </w:r>
      <w:r w:rsidR="004B6CEE" w:rsidRPr="00A25024">
        <w:t xml:space="preserve"> and analysis</w:t>
      </w:r>
      <w:r w:rsidR="00AA65A6">
        <w:t xml:space="preserve"> </w:t>
      </w:r>
      <w:r w:rsidR="00616EB5">
        <w:t>(</w:t>
      </w:r>
      <w:r w:rsidR="00AA65A6">
        <w:t>by level of analysis and data source</w:t>
      </w:r>
      <w:r w:rsidR="00616EB5">
        <w:t>)</w:t>
      </w:r>
      <w:r w:rsidRPr="00A25024">
        <w:t>?</w:t>
      </w:r>
    </w:p>
    <w:p w14:paraId="0CABCFC7" w14:textId="14652D57" w:rsidR="002E78A0" w:rsidRDefault="004348CC" w:rsidP="00DB3627">
      <w:pPr>
        <w:autoSpaceDE w:val="0"/>
        <w:autoSpaceDN w:val="0"/>
        <w:adjustRightInd w:val="0"/>
        <w:spacing w:after="0" w:line="240" w:lineRule="auto"/>
        <w:rPr>
          <w:rFonts w:cstheme="minorHAnsi"/>
          <w:bCs/>
        </w:rPr>
      </w:pPr>
      <w:r w:rsidRPr="00A25024">
        <w:rPr>
          <w:rFonts w:cstheme="minorHAnsi"/>
          <w:bCs/>
        </w:rPr>
        <w:t xml:space="preserve"> (</w:t>
      </w:r>
      <w:r w:rsidRPr="00A25024">
        <w:rPr>
          <w:rFonts w:cstheme="minorHAnsi"/>
          <w:bCs/>
          <w:i/>
        </w:rPr>
        <w:t xml:space="preserve">identify </w:t>
      </w:r>
      <w:r w:rsidR="00F435AA" w:rsidRPr="00A25024">
        <w:rPr>
          <w:rFonts w:cstheme="minorHAnsi"/>
          <w:bCs/>
          <w:i/>
        </w:rPr>
        <w:t>the number</w:t>
      </w:r>
      <w:r w:rsidRPr="00A25024">
        <w:rPr>
          <w:rFonts w:cstheme="minorHAnsi"/>
          <w:bCs/>
          <w:i/>
        </w:rPr>
        <w:t xml:space="preserve"> </w:t>
      </w:r>
      <w:r w:rsidR="005A7634" w:rsidRPr="00A25024">
        <w:rPr>
          <w:rFonts w:cstheme="minorHAnsi"/>
          <w:bCs/>
          <w:i/>
        </w:rPr>
        <w:t>and descriptive</w:t>
      </w:r>
      <w:r w:rsidRPr="00A25024">
        <w:rPr>
          <w:rFonts w:cstheme="minorHAnsi"/>
          <w:bCs/>
          <w:i/>
        </w:rPr>
        <w:t xml:space="preserve"> characteristics</w:t>
      </w:r>
      <w:r w:rsidR="00DA7277" w:rsidRPr="00A25024">
        <w:rPr>
          <w:rFonts w:cstheme="minorHAnsi"/>
          <w:bCs/>
          <w:i/>
        </w:rPr>
        <w:t xml:space="preserve"> </w:t>
      </w:r>
      <w:r w:rsidRPr="00A25024">
        <w:rPr>
          <w:rFonts w:cstheme="minorHAnsi"/>
          <w:bCs/>
          <w:i/>
        </w:rPr>
        <w:t>of measured entities included in the analysis</w:t>
      </w:r>
      <w:r w:rsidR="00DA7277" w:rsidRPr="00A25024">
        <w:rPr>
          <w:rFonts w:cstheme="minorHAnsi"/>
          <w:bCs/>
          <w:i/>
        </w:rPr>
        <w:t xml:space="preserve"> (e.g., size, location, type)</w:t>
      </w:r>
      <w:r w:rsidRPr="00A25024">
        <w:rPr>
          <w:rFonts w:cstheme="minorHAnsi"/>
          <w:bCs/>
          <w:i/>
        </w:rPr>
        <w:t xml:space="preserve">; if </w:t>
      </w:r>
      <w:r w:rsidR="000968F8" w:rsidRPr="00A25024">
        <w:rPr>
          <w:rFonts w:cstheme="minorHAnsi"/>
          <w:bCs/>
          <w:i/>
        </w:rPr>
        <w:t xml:space="preserve">a </w:t>
      </w:r>
      <w:r w:rsidRPr="00A25024">
        <w:rPr>
          <w:rFonts w:cstheme="minorHAnsi"/>
          <w:bCs/>
          <w:i/>
        </w:rPr>
        <w:t>sample</w:t>
      </w:r>
      <w:r w:rsidR="00E310B9" w:rsidRPr="00A25024">
        <w:rPr>
          <w:rFonts w:cstheme="minorHAnsi"/>
          <w:bCs/>
          <w:i/>
        </w:rPr>
        <w:t xml:space="preserve"> was used</w:t>
      </w:r>
      <w:r w:rsidRPr="00A25024">
        <w:rPr>
          <w:rFonts w:cstheme="minorHAnsi"/>
          <w:bCs/>
          <w:i/>
        </w:rPr>
        <w:t xml:space="preserve">, </w:t>
      </w:r>
      <w:r w:rsidR="000968F8" w:rsidRPr="00A25024">
        <w:rPr>
          <w:rFonts w:cstheme="minorHAnsi"/>
          <w:bCs/>
          <w:i/>
        </w:rPr>
        <w:t xml:space="preserve">describe </w:t>
      </w:r>
      <w:r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Pr="00A25024">
        <w:rPr>
          <w:rFonts w:cstheme="minorHAnsi"/>
          <w:bCs/>
        </w:rPr>
        <w:t xml:space="preserve">) </w:t>
      </w:r>
    </w:p>
    <w:p w14:paraId="2009DC40" w14:textId="77777777" w:rsidR="009D4F63" w:rsidRDefault="009D4F63" w:rsidP="00DB3627">
      <w:pPr>
        <w:autoSpaceDE w:val="0"/>
        <w:autoSpaceDN w:val="0"/>
        <w:adjustRightInd w:val="0"/>
        <w:spacing w:after="0" w:line="240" w:lineRule="auto"/>
        <w:rPr>
          <w:rFonts w:cstheme="minorHAnsi"/>
          <w:bCs/>
        </w:rPr>
      </w:pPr>
    </w:p>
    <w:p w14:paraId="6E320E85" w14:textId="766761B1" w:rsidR="00853F4A" w:rsidRPr="00853F4A" w:rsidRDefault="00853F4A" w:rsidP="00932E8F">
      <w:pPr>
        <w:autoSpaceDE w:val="0"/>
        <w:autoSpaceDN w:val="0"/>
        <w:adjustRightInd w:val="0"/>
        <w:spacing w:after="0" w:line="240" w:lineRule="auto"/>
        <w:ind w:firstLine="720"/>
        <w:rPr>
          <w:rStyle w:val="Style1"/>
        </w:rPr>
      </w:pPr>
      <w:r w:rsidRPr="00853F4A">
        <w:rPr>
          <w:rStyle w:val="Style1"/>
        </w:rPr>
        <w:t xml:space="preserve">This </w:t>
      </w:r>
      <w:r w:rsidRPr="00AD2E50">
        <w:rPr>
          <w:rStyle w:val="Style1"/>
        </w:rPr>
        <w:t xml:space="preserve">measure is based on national data. All </w:t>
      </w:r>
      <w:r w:rsidR="00F13064" w:rsidRPr="008C7D29">
        <w:rPr>
          <w:rStyle w:val="Style1"/>
        </w:rPr>
        <w:t>IRFs</w:t>
      </w:r>
      <w:r w:rsidRPr="00AD2E50">
        <w:rPr>
          <w:rStyle w:val="Style1"/>
        </w:rPr>
        <w:t xml:space="preserve"> paid under Medicare’s</w:t>
      </w:r>
      <w:r w:rsidR="00F13064" w:rsidRPr="008C7D29">
        <w:rPr>
          <w:rStyle w:val="Style1"/>
        </w:rPr>
        <w:t xml:space="preserve"> IRF</w:t>
      </w:r>
      <w:r w:rsidRPr="00AD2E50">
        <w:rPr>
          <w:rStyle w:val="Style1"/>
        </w:rPr>
        <w:t xml:space="preserve"> Prospective Payment System</w:t>
      </w:r>
      <w:r w:rsidR="008D014E" w:rsidRPr="00AD2E50">
        <w:rPr>
          <w:rStyle w:val="Style1"/>
        </w:rPr>
        <w:t xml:space="preserve"> (PPS)</w:t>
      </w:r>
      <w:r w:rsidRPr="00AD2E50">
        <w:rPr>
          <w:rStyle w:val="Style1"/>
        </w:rPr>
        <w:t xml:space="preserve"> and included in the </w:t>
      </w:r>
      <w:r w:rsidR="00F13064" w:rsidRPr="00AD2E50">
        <w:rPr>
          <w:rStyle w:val="Style1"/>
        </w:rPr>
        <w:t xml:space="preserve">IRF </w:t>
      </w:r>
      <w:r w:rsidRPr="00AD2E50">
        <w:rPr>
          <w:rStyle w:val="Style1"/>
        </w:rPr>
        <w:t xml:space="preserve">Quality Reporting Program (QRP) were included, provided they had an eligible episode. A total of </w:t>
      </w:r>
      <w:r w:rsidR="009B2CB0" w:rsidRPr="00AD2E50">
        <w:rPr>
          <w:rStyle w:val="Style1"/>
        </w:rPr>
        <w:t>1,161</w:t>
      </w:r>
      <w:r w:rsidRPr="00AD2E50">
        <w:rPr>
          <w:rStyle w:val="Style1"/>
        </w:rPr>
        <w:t xml:space="preserve"> </w:t>
      </w:r>
      <w:r w:rsidR="00F13064" w:rsidRPr="008C7D29">
        <w:rPr>
          <w:rStyle w:val="Style1"/>
        </w:rPr>
        <w:t>IRF</w:t>
      </w:r>
      <w:r w:rsidR="00F13064" w:rsidRPr="00AD2E50">
        <w:rPr>
          <w:rStyle w:val="Style1"/>
        </w:rPr>
        <w:t xml:space="preserve">s </w:t>
      </w:r>
      <w:r w:rsidRPr="00AD2E50">
        <w:rPr>
          <w:rStyle w:val="Style1"/>
        </w:rPr>
        <w:t xml:space="preserve">with eligible episodes in </w:t>
      </w:r>
      <w:r w:rsidR="007278B0">
        <w:rPr>
          <w:rStyle w:val="Style1"/>
        </w:rPr>
        <w:t>F</w:t>
      </w:r>
      <w:r w:rsidRPr="00AD2E50">
        <w:rPr>
          <w:rStyle w:val="Style1"/>
        </w:rPr>
        <w:t>Y 2016-2017 were included in measure specification</w:t>
      </w:r>
      <w:r w:rsidRPr="00853F4A">
        <w:rPr>
          <w:rStyle w:val="Style1"/>
        </w:rPr>
        <w:t xml:space="preserve">, testing, and analysis, with differences noted in </w:t>
      </w:r>
      <w:r w:rsidRPr="00932E8F">
        <w:rPr>
          <w:rStyle w:val="Style1"/>
          <w:b/>
        </w:rPr>
        <w:t>section 1.7</w:t>
      </w:r>
      <w:r w:rsidRPr="00853F4A">
        <w:rPr>
          <w:rStyle w:val="Style1"/>
        </w:rPr>
        <w:t xml:space="preserve">. </w:t>
      </w:r>
      <w:r w:rsidR="001C3ABA" w:rsidRPr="00932E8F">
        <w:rPr>
          <w:rStyle w:val="Style1"/>
          <w:b/>
        </w:rPr>
        <w:fldChar w:fldCharType="begin"/>
      </w:r>
      <w:r w:rsidR="001C3ABA" w:rsidRPr="00932E8F">
        <w:rPr>
          <w:rStyle w:val="Style1"/>
          <w:b/>
        </w:rPr>
        <w:instrText xml:space="preserve"> REF _Ref24010606 \h </w:instrText>
      </w:r>
      <w:r w:rsidR="001C3ABA" w:rsidRPr="001C3ABA">
        <w:rPr>
          <w:rStyle w:val="Style1"/>
          <w:b/>
        </w:rPr>
        <w:instrText xml:space="preserve"> \* MERGEFORMAT </w:instrText>
      </w:r>
      <w:r w:rsidR="001C3ABA" w:rsidRPr="00932E8F">
        <w:rPr>
          <w:rStyle w:val="Style1"/>
          <w:b/>
        </w:rPr>
      </w:r>
      <w:r w:rsidR="001C3ABA" w:rsidRPr="00932E8F">
        <w:rPr>
          <w:rStyle w:val="Style1"/>
          <w:b/>
        </w:rPr>
        <w:fldChar w:fldCharType="separate"/>
      </w:r>
      <w:r w:rsidR="00B6644A" w:rsidRPr="00932E8F">
        <w:rPr>
          <w:b/>
          <w:color w:val="0000FF"/>
        </w:rPr>
        <w:t xml:space="preserve">Table </w:t>
      </w:r>
      <w:r w:rsidR="00B6644A">
        <w:rPr>
          <w:b/>
          <w:noProof/>
          <w:color w:val="0000FF"/>
        </w:rPr>
        <w:t>1</w:t>
      </w:r>
      <w:r w:rsidR="001C3ABA" w:rsidRPr="00932E8F">
        <w:rPr>
          <w:rStyle w:val="Style1"/>
          <w:b/>
        </w:rPr>
        <w:fldChar w:fldCharType="end"/>
      </w:r>
      <w:r w:rsidR="001C3ABA" w:rsidRPr="00932E8F">
        <w:rPr>
          <w:rStyle w:val="Style1"/>
          <w:b/>
        </w:rPr>
        <w:t xml:space="preserve"> </w:t>
      </w:r>
      <w:r w:rsidR="008D014E">
        <w:rPr>
          <w:rStyle w:val="Style1"/>
        </w:rPr>
        <w:t>summarizes the frequency of</w:t>
      </w:r>
      <w:r w:rsidR="00F13064">
        <w:rPr>
          <w:rStyle w:val="Style1"/>
        </w:rPr>
        <w:t xml:space="preserve"> I</w:t>
      </w:r>
      <w:r w:rsidR="00F13064" w:rsidRPr="00F13064">
        <w:rPr>
          <w:rStyle w:val="Style1"/>
        </w:rPr>
        <w:t>RF</w:t>
      </w:r>
      <w:r w:rsidR="008D014E" w:rsidRPr="00F13064">
        <w:rPr>
          <w:rStyle w:val="Style1"/>
        </w:rPr>
        <w:t>s</w:t>
      </w:r>
      <w:r w:rsidR="008D014E">
        <w:rPr>
          <w:rStyle w:val="Style1"/>
        </w:rPr>
        <w:t xml:space="preserve"> by census region, ownership type, and rurality. </w:t>
      </w:r>
      <w:r w:rsidR="001C3ABA">
        <w:rPr>
          <w:rStyle w:val="Style1"/>
        </w:rPr>
        <w:t xml:space="preserve"> </w:t>
      </w:r>
      <w:r w:rsidRPr="00853F4A">
        <w:rPr>
          <w:rStyle w:val="Style1"/>
        </w:rPr>
        <w:t xml:space="preserve">Throughout this form, we use “K” to refer to number of providers. </w:t>
      </w:r>
    </w:p>
    <w:p w14:paraId="15CF6026" w14:textId="43D138F8" w:rsidR="009D4F63" w:rsidRDefault="009D4F63" w:rsidP="00DB3627">
      <w:pPr>
        <w:autoSpaceDE w:val="0"/>
        <w:autoSpaceDN w:val="0"/>
        <w:adjustRightInd w:val="0"/>
        <w:spacing w:after="0" w:line="240" w:lineRule="auto"/>
        <w:rPr>
          <w:rFonts w:cstheme="minorHAnsi"/>
          <w:bCs/>
        </w:rPr>
      </w:pPr>
    </w:p>
    <w:p w14:paraId="2DB0BECD" w14:textId="77777777" w:rsidR="00C32CAA" w:rsidRDefault="00C32CAA">
      <w:pPr>
        <w:rPr>
          <w:b/>
          <w:color w:val="0000FF"/>
        </w:rPr>
      </w:pPr>
      <w:bookmarkStart w:id="11" w:name="_Ref24010606"/>
      <w:r>
        <w:rPr>
          <w:b/>
          <w:color w:val="0000FF"/>
        </w:rPr>
        <w:br w:type="page"/>
      </w:r>
    </w:p>
    <w:p w14:paraId="4C836406" w14:textId="685205AD" w:rsidR="00932E8F" w:rsidRDefault="00932E8F" w:rsidP="00DB3627">
      <w:pPr>
        <w:autoSpaceDE w:val="0"/>
        <w:autoSpaceDN w:val="0"/>
        <w:adjustRightInd w:val="0"/>
        <w:spacing w:after="0" w:line="240" w:lineRule="auto"/>
        <w:rPr>
          <w:rFonts w:cstheme="minorHAnsi"/>
          <w:bCs/>
        </w:rPr>
      </w:pPr>
      <w:r w:rsidRPr="00932E8F">
        <w:rPr>
          <w:b/>
          <w:color w:val="0000FF"/>
        </w:rPr>
        <w:t xml:space="preserve">Table </w:t>
      </w:r>
      <w:r w:rsidRPr="00932E8F">
        <w:rPr>
          <w:b/>
          <w:bCs/>
          <w:color w:val="0000FF"/>
        </w:rPr>
        <w:fldChar w:fldCharType="begin"/>
      </w:r>
      <w:r w:rsidRPr="00932E8F">
        <w:rPr>
          <w:b/>
          <w:color w:val="0000FF"/>
        </w:rPr>
        <w:instrText xml:space="preserve"> SEQ Table \* ARABIC </w:instrText>
      </w:r>
      <w:r w:rsidRPr="00932E8F">
        <w:rPr>
          <w:b/>
          <w:bCs/>
          <w:color w:val="0000FF"/>
        </w:rPr>
        <w:fldChar w:fldCharType="separate"/>
      </w:r>
      <w:r w:rsidR="00B6644A">
        <w:rPr>
          <w:b/>
          <w:noProof/>
          <w:color w:val="0000FF"/>
        </w:rPr>
        <w:t>1</w:t>
      </w:r>
      <w:r w:rsidRPr="00932E8F">
        <w:rPr>
          <w:b/>
          <w:bCs/>
          <w:color w:val="0000FF"/>
        </w:rPr>
        <w:fldChar w:fldCharType="end"/>
      </w:r>
      <w:bookmarkEnd w:id="11"/>
      <w:r w:rsidRPr="00932E8F">
        <w:rPr>
          <w:rFonts w:eastAsia="SimSun" w:cstheme="minorHAnsi"/>
          <w:bCs/>
          <w:color w:val="0000FF"/>
          <w:szCs w:val="18"/>
        </w:rPr>
        <w:t xml:space="preserve">. </w:t>
      </w:r>
      <w:r w:rsidRPr="009B2CB0">
        <w:rPr>
          <w:b/>
          <w:color w:val="0000FF"/>
        </w:rPr>
        <w:t xml:space="preserve">Characteristics of </w:t>
      </w:r>
      <w:r w:rsidR="00F13064" w:rsidRPr="008C7D29">
        <w:rPr>
          <w:b/>
          <w:color w:val="0000FF"/>
        </w:rPr>
        <w:t>IRF</w:t>
      </w:r>
      <w:r w:rsidRPr="009B2CB0">
        <w:rPr>
          <w:b/>
          <w:color w:val="0000FF"/>
        </w:rPr>
        <w:t>s included</w:t>
      </w:r>
      <w:r w:rsidRPr="00932E8F">
        <w:rPr>
          <w:b/>
          <w:color w:val="0000FF"/>
        </w:rPr>
        <w:t xml:space="preserve"> in Specification and Testing of the </w:t>
      </w:r>
      <w:r w:rsidR="007278B0">
        <w:rPr>
          <w:b/>
          <w:color w:val="0000FF"/>
        </w:rPr>
        <w:t>F</w:t>
      </w:r>
      <w:r w:rsidRPr="00932E8F">
        <w:rPr>
          <w:b/>
          <w:color w:val="0000FF"/>
        </w:rPr>
        <w:t xml:space="preserve">Y 2016-2017 MSPB-PAC </w:t>
      </w:r>
      <w:r w:rsidR="00F13064">
        <w:rPr>
          <w:b/>
          <w:color w:val="0000FF"/>
        </w:rPr>
        <w:t>IRF</w:t>
      </w:r>
      <w:r w:rsidRPr="00932E8F">
        <w:rPr>
          <w:b/>
          <w:color w:val="0000FF"/>
        </w:rPr>
        <w:t xml:space="preserve"> Measure (K = 1</w:t>
      </w:r>
      <w:r w:rsidR="00F13064">
        <w:rPr>
          <w:b/>
          <w:color w:val="0000FF"/>
        </w:rPr>
        <w:t>,</w:t>
      </w:r>
      <w:r w:rsidR="00F13064" w:rsidRPr="00C337B3">
        <w:rPr>
          <w:b/>
          <w:color w:val="0000FF"/>
        </w:rPr>
        <w:t>161</w:t>
      </w:r>
      <w:r w:rsidRPr="00C337B3">
        <w:rPr>
          <w:b/>
          <w:color w:val="0000FF"/>
        </w:rPr>
        <w:t>*</w:t>
      </w:r>
      <w:r w:rsidR="006958E9" w:rsidRPr="00C337B3">
        <w:rPr>
          <w:b/>
          <w:color w:val="0000FF"/>
        </w:rPr>
        <w:t>)</w:t>
      </w:r>
    </w:p>
    <w:tbl>
      <w:tblPr>
        <w:tblW w:w="0" w:type="auto"/>
        <w:tblLayout w:type="fixed"/>
        <w:tblLook w:val="06A0" w:firstRow="1" w:lastRow="0" w:firstColumn="1" w:lastColumn="0" w:noHBand="1" w:noVBand="1"/>
      </w:tblPr>
      <w:tblGrid>
        <w:gridCol w:w="3870"/>
        <w:gridCol w:w="1800"/>
      </w:tblGrid>
      <w:tr w:rsidR="00EE1014" w:rsidRPr="00EE1014" w14:paraId="537E363A" w14:textId="77777777" w:rsidTr="00932E8F">
        <w:trPr>
          <w:tblHeader/>
        </w:trPr>
        <w:tc>
          <w:tcPr>
            <w:tcW w:w="3870" w:type="dxa"/>
            <w:tcBorders>
              <w:top w:val="single" w:sz="8" w:space="0" w:color="auto"/>
              <w:left w:val="nil"/>
              <w:bottom w:val="single" w:sz="4" w:space="0" w:color="auto"/>
              <w:right w:val="nil"/>
            </w:tcBorders>
            <w:shd w:val="clear" w:color="000000" w:fill="D9D9D9"/>
            <w:noWrap/>
            <w:vAlign w:val="center"/>
            <w:hideMark/>
          </w:tcPr>
          <w:p w14:paraId="439D2CB4" w14:textId="59F43DDD" w:rsidR="00EE1014" w:rsidRPr="00EE1014" w:rsidRDefault="00EE1014" w:rsidP="00EE1014">
            <w:pPr>
              <w:spacing w:after="0" w:line="240" w:lineRule="auto"/>
              <w:rPr>
                <w:rFonts w:ascii="Calibri" w:eastAsia="Times New Roman" w:hAnsi="Calibri" w:cs="Calibri"/>
                <w:b/>
                <w:bCs/>
                <w:color w:val="0000FF"/>
              </w:rPr>
            </w:pPr>
            <w:r w:rsidRPr="00EE1014">
              <w:rPr>
                <w:rFonts w:ascii="Calibri" w:eastAsia="Times New Roman" w:hAnsi="Calibri"/>
                <w:b/>
                <w:bCs/>
                <w:color w:val="0000FF"/>
              </w:rPr>
              <w:t xml:space="preserve">Characteristic </w:t>
            </w:r>
            <w:r w:rsidRPr="00EE1014">
              <w:rPr>
                <w:rFonts w:ascii="Calibri" w:eastAsia="Times New Roman" w:hAnsi="Calibri" w:cs="Calibri"/>
                <w:color w:val="000000"/>
                <w:sz w:val="16"/>
                <w:szCs w:val="16"/>
              </w:rPr>
              <w:t> </w:t>
            </w:r>
          </w:p>
        </w:tc>
        <w:tc>
          <w:tcPr>
            <w:tcW w:w="1800" w:type="dxa"/>
            <w:tcBorders>
              <w:top w:val="single" w:sz="8" w:space="0" w:color="auto"/>
              <w:left w:val="nil"/>
              <w:bottom w:val="single" w:sz="4" w:space="0" w:color="auto"/>
              <w:right w:val="nil"/>
            </w:tcBorders>
            <w:shd w:val="clear" w:color="000000" w:fill="D9D9D9"/>
            <w:noWrap/>
            <w:vAlign w:val="center"/>
            <w:hideMark/>
          </w:tcPr>
          <w:p w14:paraId="7FC8C017" w14:textId="77777777" w:rsidR="00EE1014" w:rsidRPr="00EE1014" w:rsidRDefault="00EE1014" w:rsidP="00EE1014">
            <w:pPr>
              <w:spacing w:after="0" w:line="240" w:lineRule="auto"/>
              <w:jc w:val="right"/>
              <w:rPr>
                <w:rFonts w:ascii="Calibri" w:eastAsia="Times New Roman" w:hAnsi="Calibri" w:cs="Calibri"/>
                <w:b/>
                <w:bCs/>
                <w:color w:val="0000FF"/>
              </w:rPr>
            </w:pPr>
            <w:r w:rsidRPr="00EE1014">
              <w:rPr>
                <w:rFonts w:ascii="Calibri" w:eastAsia="Times New Roman" w:hAnsi="Calibri"/>
                <w:b/>
                <w:bCs/>
                <w:color w:val="0000FF"/>
              </w:rPr>
              <w:t>K (%)</w:t>
            </w:r>
          </w:p>
        </w:tc>
      </w:tr>
      <w:tr w:rsidR="00EE1014" w:rsidRPr="00EE1014" w14:paraId="109C4A55" w14:textId="77777777" w:rsidTr="00932E8F">
        <w:tc>
          <w:tcPr>
            <w:tcW w:w="3870" w:type="dxa"/>
            <w:tcBorders>
              <w:top w:val="nil"/>
              <w:left w:val="nil"/>
              <w:bottom w:val="nil"/>
              <w:right w:val="nil"/>
            </w:tcBorders>
            <w:shd w:val="clear" w:color="auto" w:fill="auto"/>
            <w:noWrap/>
            <w:vAlign w:val="center"/>
            <w:hideMark/>
          </w:tcPr>
          <w:p w14:paraId="2BF34349" w14:textId="77777777" w:rsidR="00EE1014" w:rsidRPr="00EE1014" w:rsidRDefault="00EE1014" w:rsidP="00EE1014">
            <w:pPr>
              <w:spacing w:after="0" w:line="240" w:lineRule="auto"/>
              <w:rPr>
                <w:rFonts w:ascii="Calibri" w:eastAsia="Times New Roman" w:hAnsi="Calibri" w:cs="Calibri"/>
                <w:b/>
                <w:bCs/>
                <w:color w:val="0000FF"/>
              </w:rPr>
            </w:pPr>
            <w:r w:rsidRPr="00EE1014">
              <w:rPr>
                <w:rFonts w:ascii="Calibri" w:eastAsia="Times New Roman" w:hAnsi="Calibri"/>
                <w:b/>
                <w:bCs/>
                <w:color w:val="0000FF"/>
              </w:rPr>
              <w:t>Census Region</w:t>
            </w:r>
          </w:p>
        </w:tc>
        <w:tc>
          <w:tcPr>
            <w:tcW w:w="1800" w:type="dxa"/>
            <w:tcBorders>
              <w:top w:val="nil"/>
              <w:left w:val="nil"/>
              <w:bottom w:val="nil"/>
              <w:right w:val="nil"/>
            </w:tcBorders>
            <w:shd w:val="clear" w:color="auto" w:fill="auto"/>
            <w:noWrap/>
            <w:vAlign w:val="center"/>
            <w:hideMark/>
          </w:tcPr>
          <w:p w14:paraId="2E6916CC" w14:textId="77777777" w:rsidR="00EE1014" w:rsidRPr="00EE1014" w:rsidRDefault="00EE1014" w:rsidP="00EE1014">
            <w:pPr>
              <w:spacing w:after="0" w:line="240" w:lineRule="auto"/>
              <w:rPr>
                <w:rFonts w:ascii="Calibri" w:eastAsia="Times New Roman" w:hAnsi="Calibri" w:cs="Calibri"/>
                <w:b/>
                <w:bCs/>
                <w:color w:val="0000FF"/>
              </w:rPr>
            </w:pPr>
          </w:p>
        </w:tc>
      </w:tr>
      <w:tr w:rsidR="00EE1014" w:rsidRPr="00EE1014" w14:paraId="237DEFC8" w14:textId="77777777" w:rsidTr="00932E8F">
        <w:tc>
          <w:tcPr>
            <w:tcW w:w="3870" w:type="dxa"/>
            <w:tcBorders>
              <w:top w:val="nil"/>
              <w:left w:val="nil"/>
              <w:bottom w:val="nil"/>
              <w:right w:val="nil"/>
            </w:tcBorders>
            <w:shd w:val="clear" w:color="auto" w:fill="auto"/>
            <w:noWrap/>
            <w:vAlign w:val="center"/>
            <w:hideMark/>
          </w:tcPr>
          <w:p w14:paraId="56DC5786" w14:textId="77777777" w:rsidR="00EE1014" w:rsidRPr="00EE1014" w:rsidRDefault="00EE1014" w:rsidP="00EE1014">
            <w:pPr>
              <w:spacing w:after="0" w:line="240" w:lineRule="auto"/>
              <w:rPr>
                <w:rFonts w:ascii="Calibri" w:eastAsia="Times New Roman" w:hAnsi="Calibri" w:cs="Calibri"/>
                <w:color w:val="0000FF"/>
              </w:rPr>
            </w:pPr>
            <w:r w:rsidRPr="00EE1014">
              <w:rPr>
                <w:rFonts w:ascii="Calibri" w:eastAsia="Times New Roman" w:hAnsi="Calibri"/>
                <w:color w:val="0000FF"/>
              </w:rPr>
              <w:t>New England</w:t>
            </w:r>
          </w:p>
        </w:tc>
        <w:tc>
          <w:tcPr>
            <w:tcW w:w="1800" w:type="dxa"/>
            <w:tcBorders>
              <w:top w:val="nil"/>
              <w:left w:val="nil"/>
              <w:bottom w:val="nil"/>
              <w:right w:val="nil"/>
            </w:tcBorders>
            <w:shd w:val="clear" w:color="auto" w:fill="auto"/>
            <w:noWrap/>
            <w:vAlign w:val="center"/>
            <w:hideMark/>
          </w:tcPr>
          <w:p w14:paraId="5E1695CE" w14:textId="49EE26BC" w:rsidR="00EE1014" w:rsidRPr="00EE1014" w:rsidRDefault="00F13064" w:rsidP="00EE1014">
            <w:pPr>
              <w:spacing w:after="0" w:line="240" w:lineRule="auto"/>
              <w:jc w:val="right"/>
              <w:rPr>
                <w:rFonts w:ascii="Calibri" w:eastAsia="Times New Roman" w:hAnsi="Calibri" w:cs="Calibri"/>
                <w:color w:val="0000FF"/>
              </w:rPr>
            </w:pPr>
            <w:r>
              <w:rPr>
                <w:rFonts w:ascii="Calibri" w:eastAsia="Times New Roman" w:hAnsi="Calibri"/>
                <w:color w:val="0000FF"/>
                <w:szCs w:val="20"/>
              </w:rPr>
              <w:t>34</w:t>
            </w:r>
            <w:r w:rsidR="00EE1014" w:rsidRPr="00EE1014">
              <w:rPr>
                <w:rFonts w:ascii="Calibri" w:eastAsia="Times New Roman" w:hAnsi="Calibri"/>
                <w:color w:val="0000FF"/>
                <w:szCs w:val="20"/>
              </w:rPr>
              <w:t xml:space="preserve"> (</w:t>
            </w:r>
            <w:r>
              <w:rPr>
                <w:rFonts w:ascii="Calibri" w:eastAsia="Times New Roman" w:hAnsi="Calibri"/>
                <w:color w:val="0000FF"/>
                <w:szCs w:val="20"/>
              </w:rPr>
              <w:t>2.93</w:t>
            </w:r>
            <w:r w:rsidR="00EE1014" w:rsidRPr="00EE1014">
              <w:rPr>
                <w:rFonts w:ascii="Calibri" w:eastAsia="Times New Roman" w:hAnsi="Calibri"/>
                <w:color w:val="0000FF"/>
                <w:szCs w:val="20"/>
              </w:rPr>
              <w:t>%)</w:t>
            </w:r>
          </w:p>
        </w:tc>
      </w:tr>
      <w:tr w:rsidR="00EE1014" w:rsidRPr="00EE1014" w14:paraId="2C390FCC" w14:textId="77777777" w:rsidTr="00932E8F">
        <w:tc>
          <w:tcPr>
            <w:tcW w:w="3870" w:type="dxa"/>
            <w:tcBorders>
              <w:top w:val="nil"/>
              <w:left w:val="nil"/>
              <w:bottom w:val="nil"/>
              <w:right w:val="nil"/>
            </w:tcBorders>
            <w:shd w:val="clear" w:color="auto" w:fill="auto"/>
            <w:noWrap/>
            <w:vAlign w:val="center"/>
            <w:hideMark/>
          </w:tcPr>
          <w:p w14:paraId="31648D5F" w14:textId="77777777" w:rsidR="00EE1014" w:rsidRPr="00EE1014" w:rsidRDefault="00EE1014" w:rsidP="00EE1014">
            <w:pPr>
              <w:spacing w:after="0" w:line="240" w:lineRule="auto"/>
              <w:rPr>
                <w:rFonts w:ascii="Calibri" w:eastAsia="Times New Roman" w:hAnsi="Calibri" w:cs="Calibri"/>
                <w:color w:val="0000FF"/>
              </w:rPr>
            </w:pPr>
            <w:r w:rsidRPr="00EE1014">
              <w:rPr>
                <w:rFonts w:ascii="Calibri" w:eastAsia="Times New Roman" w:hAnsi="Calibri"/>
                <w:color w:val="0000FF"/>
              </w:rPr>
              <w:t>Mid Atlantic</w:t>
            </w:r>
          </w:p>
        </w:tc>
        <w:tc>
          <w:tcPr>
            <w:tcW w:w="1800" w:type="dxa"/>
            <w:tcBorders>
              <w:top w:val="nil"/>
              <w:left w:val="nil"/>
              <w:bottom w:val="nil"/>
              <w:right w:val="nil"/>
            </w:tcBorders>
            <w:shd w:val="clear" w:color="auto" w:fill="auto"/>
            <w:noWrap/>
            <w:vAlign w:val="center"/>
            <w:hideMark/>
          </w:tcPr>
          <w:p w14:paraId="79903473" w14:textId="33FB93E5" w:rsidR="00EE1014" w:rsidRPr="00EE1014" w:rsidRDefault="00F13064" w:rsidP="00EE1014">
            <w:pPr>
              <w:spacing w:after="0" w:line="240" w:lineRule="auto"/>
              <w:jc w:val="right"/>
              <w:rPr>
                <w:rFonts w:ascii="Calibri" w:eastAsia="Times New Roman" w:hAnsi="Calibri" w:cs="Calibri"/>
                <w:color w:val="0000FF"/>
              </w:rPr>
            </w:pPr>
            <w:r>
              <w:rPr>
                <w:rFonts w:ascii="Calibri" w:eastAsia="Times New Roman" w:hAnsi="Calibri"/>
                <w:color w:val="0000FF"/>
              </w:rPr>
              <w:t>149</w:t>
            </w:r>
            <w:r w:rsidR="00EE1014" w:rsidRPr="00EE1014">
              <w:rPr>
                <w:rFonts w:ascii="Calibri" w:eastAsia="Times New Roman" w:hAnsi="Calibri"/>
                <w:color w:val="0000FF"/>
              </w:rPr>
              <w:t xml:space="preserve"> (</w:t>
            </w:r>
            <w:r>
              <w:rPr>
                <w:rFonts w:ascii="Calibri" w:eastAsia="Times New Roman" w:hAnsi="Calibri"/>
                <w:color w:val="0000FF"/>
              </w:rPr>
              <w:t>12.83</w:t>
            </w:r>
            <w:r w:rsidR="00EE1014" w:rsidRPr="00EE1014">
              <w:rPr>
                <w:rFonts w:ascii="Calibri" w:eastAsia="Times New Roman" w:hAnsi="Calibri"/>
                <w:color w:val="0000FF"/>
              </w:rPr>
              <w:t>%)</w:t>
            </w:r>
          </w:p>
        </w:tc>
      </w:tr>
      <w:tr w:rsidR="00EE1014" w:rsidRPr="00EE1014" w14:paraId="1A0AB199" w14:textId="77777777" w:rsidTr="00932E8F">
        <w:tc>
          <w:tcPr>
            <w:tcW w:w="3870" w:type="dxa"/>
            <w:tcBorders>
              <w:top w:val="nil"/>
              <w:left w:val="nil"/>
              <w:bottom w:val="nil"/>
              <w:right w:val="nil"/>
            </w:tcBorders>
            <w:shd w:val="clear" w:color="auto" w:fill="auto"/>
            <w:noWrap/>
            <w:vAlign w:val="center"/>
            <w:hideMark/>
          </w:tcPr>
          <w:p w14:paraId="241FCDDE" w14:textId="77777777" w:rsidR="00EE1014" w:rsidRPr="00EE1014" w:rsidRDefault="00EE1014" w:rsidP="00EE1014">
            <w:pPr>
              <w:spacing w:after="0" w:line="240" w:lineRule="auto"/>
              <w:rPr>
                <w:rFonts w:ascii="Calibri" w:eastAsia="Times New Roman" w:hAnsi="Calibri" w:cs="Calibri"/>
                <w:color w:val="0000FF"/>
              </w:rPr>
            </w:pPr>
            <w:r w:rsidRPr="00EE1014">
              <w:rPr>
                <w:rFonts w:ascii="Calibri" w:eastAsia="Times New Roman" w:hAnsi="Calibri"/>
                <w:color w:val="0000FF"/>
              </w:rPr>
              <w:t>East North Central</w:t>
            </w:r>
          </w:p>
        </w:tc>
        <w:tc>
          <w:tcPr>
            <w:tcW w:w="1800" w:type="dxa"/>
            <w:tcBorders>
              <w:top w:val="nil"/>
              <w:left w:val="nil"/>
              <w:bottom w:val="nil"/>
              <w:right w:val="nil"/>
            </w:tcBorders>
            <w:shd w:val="clear" w:color="auto" w:fill="auto"/>
            <w:noWrap/>
            <w:vAlign w:val="center"/>
            <w:hideMark/>
          </w:tcPr>
          <w:p w14:paraId="73297F6F" w14:textId="316153F4" w:rsidR="00EE1014" w:rsidRPr="00EE1014" w:rsidRDefault="00F13064">
            <w:pPr>
              <w:spacing w:after="0" w:line="240" w:lineRule="auto"/>
              <w:jc w:val="right"/>
              <w:rPr>
                <w:rFonts w:ascii="Calibri" w:eastAsia="Times New Roman" w:hAnsi="Calibri" w:cs="Calibri"/>
                <w:color w:val="0000FF"/>
              </w:rPr>
            </w:pPr>
            <w:r>
              <w:rPr>
                <w:rFonts w:ascii="Calibri" w:eastAsia="Times New Roman" w:hAnsi="Calibri"/>
                <w:color w:val="0000FF"/>
              </w:rPr>
              <w:t>199</w:t>
            </w:r>
            <w:r w:rsidR="00EE1014" w:rsidRPr="00EE1014">
              <w:rPr>
                <w:rFonts w:ascii="Calibri" w:eastAsia="Times New Roman" w:hAnsi="Calibri"/>
                <w:color w:val="0000FF"/>
              </w:rPr>
              <w:t xml:space="preserve"> (</w:t>
            </w:r>
            <w:r>
              <w:rPr>
                <w:rFonts w:ascii="Calibri" w:eastAsia="Times New Roman" w:hAnsi="Calibri"/>
                <w:color w:val="0000FF"/>
              </w:rPr>
              <w:t>17</w:t>
            </w:r>
            <w:r w:rsidR="00EE1014" w:rsidRPr="00EE1014">
              <w:rPr>
                <w:rFonts w:ascii="Calibri" w:eastAsia="Times New Roman" w:hAnsi="Calibri"/>
                <w:color w:val="0000FF"/>
              </w:rPr>
              <w:t>.14%)</w:t>
            </w:r>
          </w:p>
        </w:tc>
      </w:tr>
      <w:tr w:rsidR="00EE1014" w:rsidRPr="00EE1014" w14:paraId="65F4A331" w14:textId="77777777" w:rsidTr="00932E8F">
        <w:tc>
          <w:tcPr>
            <w:tcW w:w="3870" w:type="dxa"/>
            <w:tcBorders>
              <w:top w:val="nil"/>
              <w:left w:val="nil"/>
              <w:bottom w:val="nil"/>
              <w:right w:val="nil"/>
            </w:tcBorders>
            <w:shd w:val="clear" w:color="auto" w:fill="auto"/>
            <w:noWrap/>
            <w:vAlign w:val="center"/>
            <w:hideMark/>
          </w:tcPr>
          <w:p w14:paraId="274C0031" w14:textId="77777777" w:rsidR="00EE1014" w:rsidRPr="00EE1014" w:rsidRDefault="00EE1014" w:rsidP="00EE1014">
            <w:pPr>
              <w:spacing w:after="0" w:line="240" w:lineRule="auto"/>
              <w:rPr>
                <w:rFonts w:ascii="Calibri" w:eastAsia="Times New Roman" w:hAnsi="Calibri" w:cs="Calibri"/>
                <w:color w:val="0000FF"/>
              </w:rPr>
            </w:pPr>
            <w:r w:rsidRPr="00EE1014">
              <w:rPr>
                <w:rFonts w:ascii="Calibri" w:eastAsia="Times New Roman" w:hAnsi="Calibri"/>
                <w:color w:val="0000FF"/>
              </w:rPr>
              <w:t>West North Central</w:t>
            </w:r>
          </w:p>
        </w:tc>
        <w:tc>
          <w:tcPr>
            <w:tcW w:w="1800" w:type="dxa"/>
            <w:tcBorders>
              <w:top w:val="nil"/>
              <w:left w:val="nil"/>
              <w:bottom w:val="nil"/>
              <w:right w:val="nil"/>
            </w:tcBorders>
            <w:shd w:val="clear" w:color="auto" w:fill="auto"/>
            <w:noWrap/>
            <w:vAlign w:val="center"/>
            <w:hideMark/>
          </w:tcPr>
          <w:p w14:paraId="29B027D3" w14:textId="5EB0CB28" w:rsidR="00EE1014" w:rsidRPr="00EE1014" w:rsidRDefault="00F13064">
            <w:pPr>
              <w:spacing w:after="0" w:line="240" w:lineRule="auto"/>
              <w:jc w:val="right"/>
              <w:rPr>
                <w:rFonts w:ascii="Calibri" w:eastAsia="Times New Roman" w:hAnsi="Calibri" w:cs="Calibri"/>
                <w:color w:val="0000FF"/>
              </w:rPr>
            </w:pPr>
            <w:r>
              <w:rPr>
                <w:rFonts w:ascii="Calibri" w:eastAsia="Times New Roman" w:hAnsi="Calibri"/>
                <w:color w:val="0000FF"/>
              </w:rPr>
              <w:t>96</w:t>
            </w:r>
            <w:r w:rsidR="00EE1014" w:rsidRPr="00EE1014">
              <w:rPr>
                <w:rFonts w:ascii="Calibri" w:eastAsia="Times New Roman" w:hAnsi="Calibri"/>
                <w:color w:val="0000FF"/>
              </w:rPr>
              <w:t xml:space="preserve"> (</w:t>
            </w:r>
            <w:r>
              <w:rPr>
                <w:rFonts w:ascii="Calibri" w:eastAsia="Times New Roman" w:hAnsi="Calibri"/>
                <w:color w:val="0000FF"/>
              </w:rPr>
              <w:t>8.27</w:t>
            </w:r>
            <w:r w:rsidR="00EE1014" w:rsidRPr="00EE1014">
              <w:rPr>
                <w:rFonts w:ascii="Calibri" w:eastAsia="Times New Roman" w:hAnsi="Calibri"/>
                <w:color w:val="0000FF"/>
              </w:rPr>
              <w:t>%)</w:t>
            </w:r>
          </w:p>
        </w:tc>
      </w:tr>
      <w:tr w:rsidR="00EE1014" w:rsidRPr="00EE1014" w14:paraId="0F579C54" w14:textId="77777777" w:rsidTr="00932E8F">
        <w:tc>
          <w:tcPr>
            <w:tcW w:w="3870" w:type="dxa"/>
            <w:tcBorders>
              <w:top w:val="nil"/>
              <w:left w:val="nil"/>
              <w:bottom w:val="nil"/>
              <w:right w:val="nil"/>
            </w:tcBorders>
            <w:shd w:val="clear" w:color="auto" w:fill="auto"/>
            <w:noWrap/>
            <w:vAlign w:val="center"/>
            <w:hideMark/>
          </w:tcPr>
          <w:p w14:paraId="75256AF6" w14:textId="77777777" w:rsidR="00EE1014" w:rsidRPr="00EE1014" w:rsidRDefault="00EE1014" w:rsidP="00EE1014">
            <w:pPr>
              <w:spacing w:after="0" w:line="240" w:lineRule="auto"/>
              <w:rPr>
                <w:rFonts w:ascii="Calibri" w:eastAsia="Times New Roman" w:hAnsi="Calibri" w:cs="Calibri"/>
                <w:color w:val="0000FF"/>
              </w:rPr>
            </w:pPr>
            <w:r w:rsidRPr="00EE1014">
              <w:rPr>
                <w:rFonts w:ascii="Calibri" w:eastAsia="Times New Roman" w:hAnsi="Calibri"/>
                <w:color w:val="0000FF"/>
              </w:rPr>
              <w:t>South Atlantic</w:t>
            </w:r>
          </w:p>
        </w:tc>
        <w:tc>
          <w:tcPr>
            <w:tcW w:w="1800" w:type="dxa"/>
            <w:tcBorders>
              <w:top w:val="nil"/>
              <w:left w:val="nil"/>
              <w:bottom w:val="nil"/>
              <w:right w:val="nil"/>
            </w:tcBorders>
            <w:shd w:val="clear" w:color="auto" w:fill="auto"/>
            <w:noWrap/>
            <w:vAlign w:val="center"/>
            <w:hideMark/>
          </w:tcPr>
          <w:p w14:paraId="3785493E" w14:textId="11A35E53" w:rsidR="00EE1014" w:rsidRPr="00EE1014" w:rsidRDefault="00EE1014">
            <w:pPr>
              <w:spacing w:after="0" w:line="240" w:lineRule="auto"/>
              <w:jc w:val="right"/>
              <w:rPr>
                <w:rFonts w:ascii="Calibri" w:eastAsia="Times New Roman" w:hAnsi="Calibri" w:cs="Calibri"/>
                <w:color w:val="0000FF"/>
              </w:rPr>
            </w:pPr>
            <w:r w:rsidRPr="00EE1014">
              <w:rPr>
                <w:rFonts w:ascii="Calibri" w:eastAsia="Times New Roman" w:hAnsi="Calibri"/>
                <w:color w:val="0000FF"/>
              </w:rPr>
              <w:t xml:space="preserve">  1</w:t>
            </w:r>
            <w:r w:rsidR="00F13064">
              <w:rPr>
                <w:rFonts w:ascii="Calibri" w:eastAsia="Times New Roman" w:hAnsi="Calibri"/>
                <w:color w:val="0000FF"/>
              </w:rPr>
              <w:t>6</w:t>
            </w:r>
            <w:r w:rsidRPr="00EE1014">
              <w:rPr>
                <w:rFonts w:ascii="Calibri" w:eastAsia="Times New Roman" w:hAnsi="Calibri"/>
                <w:color w:val="0000FF"/>
              </w:rPr>
              <w:t>3 (1</w:t>
            </w:r>
            <w:r w:rsidR="00F13064">
              <w:rPr>
                <w:rFonts w:ascii="Calibri" w:eastAsia="Times New Roman" w:hAnsi="Calibri"/>
                <w:color w:val="0000FF"/>
              </w:rPr>
              <w:t>4.04</w:t>
            </w:r>
            <w:r w:rsidRPr="00EE1014">
              <w:rPr>
                <w:rFonts w:ascii="Calibri" w:eastAsia="Times New Roman" w:hAnsi="Calibri"/>
                <w:color w:val="0000FF"/>
              </w:rPr>
              <w:t>%)</w:t>
            </w:r>
          </w:p>
        </w:tc>
      </w:tr>
      <w:tr w:rsidR="00EE1014" w:rsidRPr="00EE1014" w14:paraId="54FCAF22" w14:textId="77777777" w:rsidTr="00932E8F">
        <w:tc>
          <w:tcPr>
            <w:tcW w:w="3870" w:type="dxa"/>
            <w:tcBorders>
              <w:top w:val="nil"/>
              <w:left w:val="nil"/>
              <w:bottom w:val="nil"/>
              <w:right w:val="nil"/>
            </w:tcBorders>
            <w:shd w:val="clear" w:color="auto" w:fill="auto"/>
            <w:noWrap/>
            <w:vAlign w:val="center"/>
            <w:hideMark/>
          </w:tcPr>
          <w:p w14:paraId="2F14FCF6" w14:textId="54DF989D" w:rsidR="00EE1014" w:rsidRPr="00EE1014" w:rsidRDefault="00EE1014" w:rsidP="005C015D">
            <w:pPr>
              <w:spacing w:after="0" w:line="240" w:lineRule="auto"/>
              <w:rPr>
                <w:rFonts w:ascii="Calibri" w:eastAsia="Times New Roman" w:hAnsi="Calibri" w:cs="Calibri"/>
                <w:color w:val="0000FF"/>
              </w:rPr>
            </w:pPr>
            <w:r w:rsidRPr="00EE1014">
              <w:rPr>
                <w:rFonts w:ascii="Calibri" w:eastAsia="Times New Roman" w:hAnsi="Calibri"/>
                <w:color w:val="0000FF"/>
              </w:rPr>
              <w:t xml:space="preserve">East South </w:t>
            </w:r>
            <w:r w:rsidR="005C015D">
              <w:rPr>
                <w:rFonts w:ascii="Calibri" w:eastAsia="Times New Roman" w:hAnsi="Calibri"/>
                <w:color w:val="0000FF"/>
              </w:rPr>
              <w:t>Central</w:t>
            </w:r>
            <w:r w:rsidR="005C015D" w:rsidRPr="00EE1014">
              <w:rPr>
                <w:rFonts w:ascii="Calibri" w:eastAsia="Times New Roman" w:hAnsi="Calibri"/>
                <w:color w:val="0000FF"/>
              </w:rPr>
              <w:t xml:space="preserve"> </w:t>
            </w:r>
          </w:p>
        </w:tc>
        <w:tc>
          <w:tcPr>
            <w:tcW w:w="1800" w:type="dxa"/>
            <w:tcBorders>
              <w:top w:val="nil"/>
              <w:left w:val="nil"/>
              <w:bottom w:val="nil"/>
              <w:right w:val="nil"/>
            </w:tcBorders>
            <w:shd w:val="clear" w:color="auto" w:fill="auto"/>
            <w:noWrap/>
            <w:vAlign w:val="center"/>
            <w:hideMark/>
          </w:tcPr>
          <w:p w14:paraId="533936EB" w14:textId="45EFB97D" w:rsidR="00EE1014" w:rsidRPr="00EE1014" w:rsidRDefault="00F13064">
            <w:pPr>
              <w:spacing w:after="0" w:line="240" w:lineRule="auto"/>
              <w:jc w:val="right"/>
              <w:rPr>
                <w:rFonts w:ascii="Calibri" w:eastAsia="Times New Roman" w:hAnsi="Calibri" w:cs="Calibri"/>
                <w:color w:val="0000FF"/>
              </w:rPr>
            </w:pPr>
            <w:r>
              <w:rPr>
                <w:rFonts w:ascii="Calibri" w:eastAsia="Times New Roman" w:hAnsi="Calibri"/>
                <w:color w:val="0000FF"/>
              </w:rPr>
              <w:t>77</w:t>
            </w:r>
            <w:r w:rsidR="00EE1014" w:rsidRPr="00EE1014">
              <w:rPr>
                <w:rFonts w:ascii="Calibri" w:eastAsia="Times New Roman" w:hAnsi="Calibri"/>
                <w:color w:val="0000FF"/>
              </w:rPr>
              <w:t xml:space="preserve"> (</w:t>
            </w:r>
            <w:r>
              <w:rPr>
                <w:rFonts w:ascii="Calibri" w:eastAsia="Times New Roman" w:hAnsi="Calibri"/>
                <w:color w:val="0000FF"/>
              </w:rPr>
              <w:t>6.63</w:t>
            </w:r>
            <w:r w:rsidR="00EE1014" w:rsidRPr="00EE1014">
              <w:rPr>
                <w:rFonts w:ascii="Calibri" w:eastAsia="Times New Roman" w:hAnsi="Calibri"/>
                <w:color w:val="0000FF"/>
              </w:rPr>
              <w:t>%)</w:t>
            </w:r>
          </w:p>
        </w:tc>
      </w:tr>
      <w:tr w:rsidR="00EE1014" w:rsidRPr="00EE1014" w14:paraId="56348773" w14:textId="77777777" w:rsidTr="00932E8F">
        <w:tc>
          <w:tcPr>
            <w:tcW w:w="3870" w:type="dxa"/>
            <w:tcBorders>
              <w:top w:val="nil"/>
              <w:left w:val="nil"/>
              <w:bottom w:val="nil"/>
              <w:right w:val="nil"/>
            </w:tcBorders>
            <w:shd w:val="clear" w:color="auto" w:fill="auto"/>
            <w:noWrap/>
            <w:vAlign w:val="center"/>
            <w:hideMark/>
          </w:tcPr>
          <w:p w14:paraId="7CD79C6A" w14:textId="20EEB460" w:rsidR="00EE1014" w:rsidRPr="00EE1014" w:rsidRDefault="00EE1014">
            <w:pPr>
              <w:spacing w:after="0" w:line="240" w:lineRule="auto"/>
              <w:rPr>
                <w:rFonts w:ascii="Calibri" w:eastAsia="Times New Roman" w:hAnsi="Calibri" w:cs="Calibri"/>
                <w:color w:val="0000FF"/>
              </w:rPr>
            </w:pPr>
            <w:r w:rsidRPr="00EE1014">
              <w:rPr>
                <w:rFonts w:ascii="Calibri" w:eastAsia="Times New Roman" w:hAnsi="Calibri"/>
                <w:color w:val="0000FF"/>
              </w:rPr>
              <w:t xml:space="preserve">West South </w:t>
            </w:r>
            <w:r w:rsidR="005C015D">
              <w:rPr>
                <w:rFonts w:ascii="Calibri" w:eastAsia="Times New Roman" w:hAnsi="Calibri"/>
                <w:color w:val="0000FF"/>
              </w:rPr>
              <w:t>Central</w:t>
            </w:r>
            <w:r w:rsidR="005C015D" w:rsidRPr="00EE1014">
              <w:rPr>
                <w:rFonts w:ascii="Calibri" w:eastAsia="Times New Roman" w:hAnsi="Calibri"/>
                <w:color w:val="0000FF"/>
              </w:rPr>
              <w:t xml:space="preserve"> </w:t>
            </w:r>
          </w:p>
        </w:tc>
        <w:tc>
          <w:tcPr>
            <w:tcW w:w="1800" w:type="dxa"/>
            <w:tcBorders>
              <w:top w:val="nil"/>
              <w:left w:val="nil"/>
              <w:bottom w:val="nil"/>
              <w:right w:val="nil"/>
            </w:tcBorders>
            <w:shd w:val="clear" w:color="auto" w:fill="auto"/>
            <w:noWrap/>
            <w:vAlign w:val="center"/>
            <w:hideMark/>
          </w:tcPr>
          <w:p w14:paraId="76989261" w14:textId="4DC2219C" w:rsidR="00EE1014" w:rsidRPr="00EE1014" w:rsidRDefault="00F13064" w:rsidP="0015588C">
            <w:pPr>
              <w:spacing w:after="0" w:line="240" w:lineRule="auto"/>
              <w:jc w:val="right"/>
              <w:rPr>
                <w:rFonts w:ascii="Calibri" w:eastAsia="Times New Roman" w:hAnsi="Calibri" w:cs="Calibri"/>
                <w:color w:val="0000FF"/>
              </w:rPr>
            </w:pPr>
            <w:r>
              <w:rPr>
                <w:rFonts w:ascii="Calibri" w:eastAsia="Times New Roman" w:hAnsi="Calibri"/>
                <w:color w:val="0000FF"/>
              </w:rPr>
              <w:t>23</w:t>
            </w:r>
            <w:r w:rsidR="0015588C">
              <w:rPr>
                <w:rFonts w:ascii="Calibri" w:eastAsia="Times New Roman" w:hAnsi="Calibri"/>
                <w:color w:val="0000FF"/>
              </w:rPr>
              <w:t>1</w:t>
            </w:r>
            <w:r w:rsidR="00EE1014" w:rsidRPr="00EE1014">
              <w:rPr>
                <w:rFonts w:ascii="Calibri" w:eastAsia="Times New Roman" w:hAnsi="Calibri"/>
                <w:color w:val="0000FF"/>
              </w:rPr>
              <w:t xml:space="preserve"> (</w:t>
            </w:r>
            <w:r w:rsidR="0015588C">
              <w:rPr>
                <w:rFonts w:ascii="Calibri" w:eastAsia="Times New Roman" w:hAnsi="Calibri"/>
                <w:color w:val="0000FF"/>
              </w:rPr>
              <w:t>19.90</w:t>
            </w:r>
            <w:r w:rsidR="00EE1014" w:rsidRPr="00EE1014">
              <w:rPr>
                <w:rFonts w:ascii="Calibri" w:eastAsia="Times New Roman" w:hAnsi="Calibri"/>
                <w:color w:val="0000FF"/>
              </w:rPr>
              <w:t>%)</w:t>
            </w:r>
          </w:p>
        </w:tc>
      </w:tr>
      <w:tr w:rsidR="00EE1014" w:rsidRPr="00EE1014" w14:paraId="491BAE41" w14:textId="77777777" w:rsidTr="00932E8F">
        <w:tc>
          <w:tcPr>
            <w:tcW w:w="3870" w:type="dxa"/>
            <w:tcBorders>
              <w:top w:val="nil"/>
              <w:left w:val="nil"/>
              <w:bottom w:val="nil"/>
              <w:right w:val="nil"/>
            </w:tcBorders>
            <w:shd w:val="clear" w:color="auto" w:fill="auto"/>
            <w:noWrap/>
            <w:vAlign w:val="center"/>
            <w:hideMark/>
          </w:tcPr>
          <w:p w14:paraId="383D3C7E" w14:textId="77777777" w:rsidR="00EE1014" w:rsidRPr="00EE1014" w:rsidRDefault="00EE1014" w:rsidP="00EE1014">
            <w:pPr>
              <w:spacing w:after="0" w:line="240" w:lineRule="auto"/>
              <w:rPr>
                <w:rFonts w:ascii="Calibri" w:eastAsia="Times New Roman" w:hAnsi="Calibri" w:cs="Calibri"/>
                <w:color w:val="0000FF"/>
              </w:rPr>
            </w:pPr>
            <w:r w:rsidRPr="00EE1014">
              <w:rPr>
                <w:rFonts w:ascii="Calibri" w:eastAsia="Times New Roman" w:hAnsi="Calibri"/>
                <w:color w:val="0000FF"/>
              </w:rPr>
              <w:t>Mountain</w:t>
            </w:r>
          </w:p>
        </w:tc>
        <w:tc>
          <w:tcPr>
            <w:tcW w:w="1800" w:type="dxa"/>
            <w:tcBorders>
              <w:top w:val="nil"/>
              <w:left w:val="nil"/>
              <w:bottom w:val="nil"/>
              <w:right w:val="nil"/>
            </w:tcBorders>
            <w:shd w:val="clear" w:color="auto" w:fill="auto"/>
            <w:noWrap/>
            <w:vAlign w:val="center"/>
            <w:hideMark/>
          </w:tcPr>
          <w:p w14:paraId="20466EF7" w14:textId="365DA6BE" w:rsidR="00EE1014" w:rsidRPr="00EE1014" w:rsidRDefault="00F13064">
            <w:pPr>
              <w:spacing w:after="0" w:line="240" w:lineRule="auto"/>
              <w:jc w:val="right"/>
              <w:rPr>
                <w:rFonts w:ascii="Calibri" w:eastAsia="Times New Roman" w:hAnsi="Calibri" w:cs="Calibri"/>
                <w:color w:val="0000FF"/>
              </w:rPr>
            </w:pPr>
            <w:r>
              <w:rPr>
                <w:rFonts w:ascii="Calibri" w:eastAsia="Times New Roman" w:hAnsi="Calibri"/>
                <w:color w:val="0000FF"/>
              </w:rPr>
              <w:t>88</w:t>
            </w:r>
            <w:r w:rsidR="00EE1014" w:rsidRPr="00EE1014">
              <w:rPr>
                <w:rFonts w:ascii="Calibri" w:eastAsia="Times New Roman" w:hAnsi="Calibri"/>
                <w:color w:val="0000FF"/>
              </w:rPr>
              <w:t xml:space="preserve"> (</w:t>
            </w:r>
            <w:r>
              <w:rPr>
                <w:rFonts w:ascii="Calibri" w:eastAsia="Times New Roman" w:hAnsi="Calibri"/>
                <w:color w:val="0000FF"/>
              </w:rPr>
              <w:t>7.58</w:t>
            </w:r>
            <w:r w:rsidR="00EE1014" w:rsidRPr="00EE1014">
              <w:rPr>
                <w:rFonts w:ascii="Calibri" w:eastAsia="Times New Roman" w:hAnsi="Calibri"/>
                <w:color w:val="0000FF"/>
              </w:rPr>
              <w:t>%)</w:t>
            </w:r>
          </w:p>
        </w:tc>
      </w:tr>
      <w:tr w:rsidR="00EE1014" w:rsidRPr="00EE1014" w14:paraId="4FE46879" w14:textId="77777777" w:rsidTr="00932E8F">
        <w:tc>
          <w:tcPr>
            <w:tcW w:w="3870" w:type="dxa"/>
            <w:tcBorders>
              <w:top w:val="nil"/>
              <w:left w:val="nil"/>
              <w:bottom w:val="nil"/>
              <w:right w:val="nil"/>
            </w:tcBorders>
            <w:shd w:val="clear" w:color="auto" w:fill="auto"/>
            <w:noWrap/>
            <w:vAlign w:val="center"/>
            <w:hideMark/>
          </w:tcPr>
          <w:p w14:paraId="45F8DA1D" w14:textId="77777777" w:rsidR="00EE1014" w:rsidRPr="00EE1014" w:rsidRDefault="00EE1014" w:rsidP="00EE1014">
            <w:pPr>
              <w:spacing w:after="0" w:line="240" w:lineRule="auto"/>
              <w:rPr>
                <w:rFonts w:ascii="Calibri" w:eastAsia="Times New Roman" w:hAnsi="Calibri" w:cs="Calibri"/>
                <w:color w:val="0000FF"/>
              </w:rPr>
            </w:pPr>
            <w:r w:rsidRPr="00EE1014">
              <w:rPr>
                <w:rFonts w:ascii="Calibri" w:eastAsia="Times New Roman" w:hAnsi="Calibri"/>
                <w:color w:val="0000FF"/>
              </w:rPr>
              <w:t>Pacific</w:t>
            </w:r>
          </w:p>
        </w:tc>
        <w:tc>
          <w:tcPr>
            <w:tcW w:w="1800" w:type="dxa"/>
            <w:tcBorders>
              <w:top w:val="nil"/>
              <w:left w:val="nil"/>
              <w:bottom w:val="nil"/>
              <w:right w:val="nil"/>
            </w:tcBorders>
            <w:shd w:val="clear" w:color="auto" w:fill="auto"/>
            <w:noWrap/>
            <w:vAlign w:val="center"/>
            <w:hideMark/>
          </w:tcPr>
          <w:p w14:paraId="76D476F4" w14:textId="4472BDFF" w:rsidR="00EE1014" w:rsidRPr="00EE1014" w:rsidRDefault="00EE1014">
            <w:pPr>
              <w:spacing w:after="0" w:line="240" w:lineRule="auto"/>
              <w:jc w:val="right"/>
              <w:rPr>
                <w:rFonts w:ascii="Calibri" w:eastAsia="Times New Roman" w:hAnsi="Calibri" w:cs="Calibri"/>
                <w:color w:val="0000FF"/>
              </w:rPr>
            </w:pPr>
            <w:r w:rsidRPr="00EE1014">
              <w:rPr>
                <w:rFonts w:ascii="Calibri" w:eastAsia="Times New Roman" w:hAnsi="Calibri"/>
                <w:color w:val="0000FF"/>
              </w:rPr>
              <w:t>1</w:t>
            </w:r>
            <w:r w:rsidR="00F13064">
              <w:rPr>
                <w:rFonts w:ascii="Calibri" w:eastAsia="Times New Roman" w:hAnsi="Calibri"/>
                <w:color w:val="0000FF"/>
              </w:rPr>
              <w:t>04</w:t>
            </w:r>
            <w:r w:rsidRPr="00EE1014">
              <w:rPr>
                <w:rFonts w:ascii="Calibri" w:eastAsia="Times New Roman" w:hAnsi="Calibri"/>
                <w:color w:val="0000FF"/>
              </w:rPr>
              <w:t xml:space="preserve"> (</w:t>
            </w:r>
            <w:r w:rsidR="00F13064">
              <w:rPr>
                <w:rFonts w:ascii="Calibri" w:eastAsia="Times New Roman" w:hAnsi="Calibri"/>
                <w:color w:val="0000FF"/>
              </w:rPr>
              <w:t>8.96</w:t>
            </w:r>
            <w:r w:rsidRPr="00EE1014">
              <w:rPr>
                <w:rFonts w:ascii="Calibri" w:eastAsia="Times New Roman" w:hAnsi="Calibri"/>
                <w:color w:val="0000FF"/>
              </w:rPr>
              <w:t>%)</w:t>
            </w:r>
          </w:p>
        </w:tc>
      </w:tr>
      <w:tr w:rsidR="00EE1014" w:rsidRPr="00EE1014" w14:paraId="1C7A585E" w14:textId="77777777" w:rsidTr="00932E8F">
        <w:tc>
          <w:tcPr>
            <w:tcW w:w="3870" w:type="dxa"/>
            <w:tcBorders>
              <w:top w:val="nil"/>
              <w:left w:val="nil"/>
              <w:bottom w:val="nil"/>
              <w:right w:val="nil"/>
            </w:tcBorders>
            <w:shd w:val="clear" w:color="auto" w:fill="auto"/>
            <w:noWrap/>
            <w:vAlign w:val="center"/>
            <w:hideMark/>
          </w:tcPr>
          <w:p w14:paraId="0888D149" w14:textId="77777777" w:rsidR="00EE1014" w:rsidRPr="00EE1014" w:rsidRDefault="00EE1014" w:rsidP="00EE1014">
            <w:pPr>
              <w:spacing w:after="0" w:line="240" w:lineRule="auto"/>
              <w:rPr>
                <w:rFonts w:ascii="Calibri" w:eastAsia="Times New Roman" w:hAnsi="Calibri" w:cs="Calibri"/>
                <w:color w:val="0000FF"/>
              </w:rPr>
            </w:pPr>
            <w:r w:rsidRPr="00EE1014">
              <w:rPr>
                <w:rFonts w:ascii="Calibri" w:eastAsia="Times New Roman" w:hAnsi="Calibri"/>
                <w:color w:val="0000FF"/>
              </w:rPr>
              <w:t>U.S. Territories</w:t>
            </w:r>
          </w:p>
        </w:tc>
        <w:tc>
          <w:tcPr>
            <w:tcW w:w="1800" w:type="dxa"/>
            <w:tcBorders>
              <w:top w:val="nil"/>
              <w:left w:val="nil"/>
              <w:bottom w:val="nil"/>
              <w:right w:val="nil"/>
            </w:tcBorders>
            <w:shd w:val="clear" w:color="auto" w:fill="auto"/>
            <w:noWrap/>
            <w:vAlign w:val="center"/>
            <w:hideMark/>
          </w:tcPr>
          <w:p w14:paraId="03D1A382" w14:textId="08FE7FBC" w:rsidR="00EE1014" w:rsidRPr="00EE1014" w:rsidRDefault="00F13064">
            <w:pPr>
              <w:spacing w:after="0" w:line="240" w:lineRule="auto"/>
              <w:jc w:val="right"/>
              <w:rPr>
                <w:rFonts w:ascii="Calibri" w:eastAsia="Times New Roman" w:hAnsi="Calibri" w:cs="Calibri"/>
                <w:color w:val="0000FF"/>
              </w:rPr>
            </w:pPr>
            <w:r>
              <w:rPr>
                <w:rFonts w:ascii="Calibri" w:eastAsia="Times New Roman" w:hAnsi="Calibri"/>
                <w:color w:val="0000FF"/>
              </w:rPr>
              <w:t>6</w:t>
            </w:r>
            <w:r w:rsidR="00EE1014" w:rsidRPr="00EE1014">
              <w:rPr>
                <w:rFonts w:ascii="Calibri" w:eastAsia="Times New Roman" w:hAnsi="Calibri"/>
                <w:color w:val="0000FF"/>
              </w:rPr>
              <w:t xml:space="preserve"> (0.</w:t>
            </w:r>
            <w:r>
              <w:rPr>
                <w:rFonts w:ascii="Calibri" w:eastAsia="Times New Roman" w:hAnsi="Calibri"/>
                <w:color w:val="0000FF"/>
              </w:rPr>
              <w:t>52</w:t>
            </w:r>
            <w:r w:rsidR="00EE1014" w:rsidRPr="00EE1014">
              <w:rPr>
                <w:rFonts w:ascii="Calibri" w:eastAsia="Times New Roman" w:hAnsi="Calibri"/>
                <w:color w:val="0000FF"/>
              </w:rPr>
              <w:t>%)</w:t>
            </w:r>
          </w:p>
        </w:tc>
      </w:tr>
      <w:tr w:rsidR="00EE1014" w:rsidRPr="00EE1014" w14:paraId="7C521405" w14:textId="77777777" w:rsidTr="00932E8F">
        <w:tc>
          <w:tcPr>
            <w:tcW w:w="3870" w:type="dxa"/>
            <w:tcBorders>
              <w:top w:val="nil"/>
              <w:left w:val="nil"/>
              <w:bottom w:val="nil"/>
              <w:right w:val="nil"/>
            </w:tcBorders>
            <w:shd w:val="clear" w:color="auto" w:fill="auto"/>
            <w:noWrap/>
            <w:vAlign w:val="center"/>
            <w:hideMark/>
          </w:tcPr>
          <w:p w14:paraId="1C9CD316" w14:textId="1A1E3E22" w:rsidR="00EE1014" w:rsidRPr="00EE1014" w:rsidRDefault="00EE1014" w:rsidP="00EE1014">
            <w:pPr>
              <w:spacing w:after="0" w:line="240" w:lineRule="auto"/>
              <w:rPr>
                <w:rFonts w:ascii="Calibri" w:eastAsia="Times New Roman" w:hAnsi="Calibri" w:cs="Calibri"/>
                <w:b/>
                <w:bCs/>
                <w:color w:val="0000FF"/>
              </w:rPr>
            </w:pPr>
            <w:r w:rsidRPr="00EE1014">
              <w:rPr>
                <w:rFonts w:ascii="Calibri" w:eastAsia="Times New Roman" w:hAnsi="Calibri"/>
                <w:b/>
                <w:bCs/>
                <w:color w:val="0000FF"/>
              </w:rPr>
              <w:t xml:space="preserve">Ownership type </w:t>
            </w:r>
          </w:p>
        </w:tc>
        <w:tc>
          <w:tcPr>
            <w:tcW w:w="1800" w:type="dxa"/>
            <w:tcBorders>
              <w:top w:val="nil"/>
              <w:left w:val="nil"/>
              <w:bottom w:val="nil"/>
              <w:right w:val="nil"/>
            </w:tcBorders>
            <w:shd w:val="clear" w:color="auto" w:fill="auto"/>
            <w:noWrap/>
            <w:vAlign w:val="center"/>
            <w:hideMark/>
          </w:tcPr>
          <w:p w14:paraId="475AAAAA" w14:textId="77777777" w:rsidR="00EE1014" w:rsidRPr="00EE1014" w:rsidRDefault="00EE1014" w:rsidP="00EE1014">
            <w:pPr>
              <w:spacing w:after="0" w:line="240" w:lineRule="auto"/>
              <w:rPr>
                <w:rFonts w:ascii="Calibri" w:eastAsia="Times New Roman" w:hAnsi="Calibri" w:cs="Calibri"/>
                <w:b/>
                <w:bCs/>
                <w:color w:val="0000FF"/>
              </w:rPr>
            </w:pPr>
          </w:p>
        </w:tc>
      </w:tr>
      <w:tr w:rsidR="00EE1014" w:rsidRPr="00EE1014" w14:paraId="18827B47" w14:textId="77777777" w:rsidTr="00932E8F">
        <w:tc>
          <w:tcPr>
            <w:tcW w:w="3870" w:type="dxa"/>
            <w:tcBorders>
              <w:top w:val="nil"/>
              <w:left w:val="nil"/>
              <w:bottom w:val="nil"/>
              <w:right w:val="nil"/>
            </w:tcBorders>
            <w:shd w:val="clear" w:color="auto" w:fill="auto"/>
            <w:noWrap/>
            <w:vAlign w:val="center"/>
            <w:hideMark/>
          </w:tcPr>
          <w:p w14:paraId="73D702F8" w14:textId="77777777" w:rsidR="00EE1014" w:rsidRPr="00EE1014" w:rsidRDefault="00EE1014" w:rsidP="00EE1014">
            <w:pPr>
              <w:spacing w:after="0" w:line="240" w:lineRule="auto"/>
              <w:rPr>
                <w:rFonts w:ascii="Calibri" w:eastAsia="Times New Roman" w:hAnsi="Calibri" w:cs="Calibri"/>
                <w:color w:val="0000FF"/>
              </w:rPr>
            </w:pPr>
            <w:r w:rsidRPr="00EE1014">
              <w:rPr>
                <w:rFonts w:ascii="Calibri" w:eastAsia="Times New Roman" w:hAnsi="Calibri"/>
                <w:color w:val="0000FF"/>
              </w:rPr>
              <w:t>Government</w:t>
            </w:r>
          </w:p>
        </w:tc>
        <w:tc>
          <w:tcPr>
            <w:tcW w:w="1800" w:type="dxa"/>
            <w:tcBorders>
              <w:top w:val="nil"/>
              <w:left w:val="nil"/>
              <w:bottom w:val="nil"/>
              <w:right w:val="nil"/>
            </w:tcBorders>
            <w:shd w:val="clear" w:color="auto" w:fill="auto"/>
            <w:noWrap/>
            <w:vAlign w:val="center"/>
            <w:hideMark/>
          </w:tcPr>
          <w:p w14:paraId="1A99C760" w14:textId="407E2E69" w:rsidR="00EE1014" w:rsidRPr="00EE1014" w:rsidRDefault="009B2CB0">
            <w:pPr>
              <w:spacing w:after="0" w:line="240" w:lineRule="auto"/>
              <w:jc w:val="right"/>
              <w:rPr>
                <w:rFonts w:ascii="Calibri" w:eastAsia="Times New Roman" w:hAnsi="Calibri" w:cs="Calibri"/>
                <w:color w:val="0000FF"/>
              </w:rPr>
            </w:pPr>
            <w:r>
              <w:rPr>
                <w:rFonts w:ascii="Calibri" w:eastAsia="Times New Roman" w:hAnsi="Calibri"/>
                <w:color w:val="0000FF"/>
              </w:rPr>
              <w:t>121</w:t>
            </w:r>
            <w:r w:rsidR="00EE1014" w:rsidRPr="00EE1014">
              <w:rPr>
                <w:rFonts w:ascii="Calibri" w:eastAsia="Times New Roman" w:hAnsi="Calibri"/>
                <w:color w:val="0000FF"/>
              </w:rPr>
              <w:t xml:space="preserve"> (</w:t>
            </w:r>
            <w:r>
              <w:rPr>
                <w:rFonts w:ascii="Calibri" w:eastAsia="Times New Roman" w:hAnsi="Calibri"/>
                <w:color w:val="0000FF"/>
              </w:rPr>
              <w:t>10.42</w:t>
            </w:r>
            <w:r w:rsidR="00EE1014" w:rsidRPr="00EE1014">
              <w:rPr>
                <w:rFonts w:ascii="Calibri" w:eastAsia="Times New Roman" w:hAnsi="Calibri"/>
                <w:color w:val="0000FF"/>
              </w:rPr>
              <w:t>%)</w:t>
            </w:r>
          </w:p>
        </w:tc>
      </w:tr>
      <w:tr w:rsidR="00EE1014" w:rsidRPr="00EE1014" w14:paraId="1719D885" w14:textId="77777777" w:rsidTr="00932E8F">
        <w:tc>
          <w:tcPr>
            <w:tcW w:w="3870" w:type="dxa"/>
            <w:tcBorders>
              <w:top w:val="nil"/>
              <w:left w:val="nil"/>
              <w:bottom w:val="nil"/>
              <w:right w:val="nil"/>
            </w:tcBorders>
            <w:shd w:val="clear" w:color="auto" w:fill="auto"/>
            <w:noWrap/>
            <w:vAlign w:val="center"/>
            <w:hideMark/>
          </w:tcPr>
          <w:p w14:paraId="60C01E9E" w14:textId="77777777" w:rsidR="00EE1014" w:rsidRPr="00EE1014" w:rsidRDefault="00EE1014" w:rsidP="00EE1014">
            <w:pPr>
              <w:spacing w:after="0" w:line="240" w:lineRule="auto"/>
              <w:rPr>
                <w:rFonts w:ascii="Calibri" w:eastAsia="Times New Roman" w:hAnsi="Calibri" w:cs="Calibri"/>
                <w:color w:val="0000FF"/>
              </w:rPr>
            </w:pPr>
            <w:r w:rsidRPr="00EE1014">
              <w:rPr>
                <w:rFonts w:ascii="Calibri" w:eastAsia="Times New Roman" w:hAnsi="Calibri"/>
                <w:color w:val="0000FF"/>
              </w:rPr>
              <w:t>Proprietary</w:t>
            </w:r>
          </w:p>
        </w:tc>
        <w:tc>
          <w:tcPr>
            <w:tcW w:w="1800" w:type="dxa"/>
            <w:tcBorders>
              <w:top w:val="nil"/>
              <w:left w:val="nil"/>
              <w:bottom w:val="nil"/>
              <w:right w:val="nil"/>
            </w:tcBorders>
            <w:shd w:val="clear" w:color="auto" w:fill="auto"/>
            <w:noWrap/>
            <w:vAlign w:val="center"/>
            <w:hideMark/>
          </w:tcPr>
          <w:p w14:paraId="45638CB5" w14:textId="50C7982A" w:rsidR="00EE1014" w:rsidRPr="00EE1014" w:rsidRDefault="009B2CB0">
            <w:pPr>
              <w:spacing w:after="0" w:line="240" w:lineRule="auto"/>
              <w:jc w:val="right"/>
              <w:rPr>
                <w:rFonts w:ascii="Calibri" w:eastAsia="Times New Roman" w:hAnsi="Calibri" w:cs="Calibri"/>
                <w:color w:val="0000FF"/>
              </w:rPr>
            </w:pPr>
            <w:r>
              <w:rPr>
                <w:rFonts w:ascii="Calibri" w:eastAsia="Times New Roman" w:hAnsi="Calibri"/>
                <w:color w:val="0000FF"/>
              </w:rPr>
              <w:t>382</w:t>
            </w:r>
            <w:r w:rsidR="00EE1014" w:rsidRPr="00EE1014">
              <w:rPr>
                <w:rFonts w:ascii="Calibri" w:eastAsia="Times New Roman" w:hAnsi="Calibri"/>
                <w:color w:val="0000FF"/>
              </w:rPr>
              <w:t xml:space="preserve"> (</w:t>
            </w:r>
            <w:r>
              <w:rPr>
                <w:rFonts w:ascii="Calibri" w:eastAsia="Times New Roman" w:hAnsi="Calibri"/>
                <w:color w:val="0000FF"/>
              </w:rPr>
              <w:t>32.90</w:t>
            </w:r>
            <w:r w:rsidR="00EE1014" w:rsidRPr="00EE1014">
              <w:rPr>
                <w:rFonts w:ascii="Calibri" w:eastAsia="Times New Roman" w:hAnsi="Calibri"/>
                <w:color w:val="0000FF"/>
              </w:rPr>
              <w:t>%)</w:t>
            </w:r>
          </w:p>
        </w:tc>
      </w:tr>
      <w:tr w:rsidR="00EE1014" w:rsidRPr="00A7397E" w14:paraId="25755F7B" w14:textId="77777777" w:rsidTr="00932E8F">
        <w:tc>
          <w:tcPr>
            <w:tcW w:w="3870" w:type="dxa"/>
            <w:tcBorders>
              <w:top w:val="nil"/>
              <w:left w:val="nil"/>
              <w:bottom w:val="nil"/>
              <w:right w:val="nil"/>
            </w:tcBorders>
            <w:shd w:val="clear" w:color="auto" w:fill="auto"/>
            <w:noWrap/>
            <w:vAlign w:val="center"/>
            <w:hideMark/>
          </w:tcPr>
          <w:p w14:paraId="559414D9" w14:textId="77777777" w:rsidR="00EE1014" w:rsidRPr="00A7397E" w:rsidRDefault="00EE1014" w:rsidP="00EE1014">
            <w:pPr>
              <w:spacing w:after="0" w:line="240" w:lineRule="auto"/>
              <w:rPr>
                <w:rFonts w:ascii="Calibri" w:eastAsia="Times New Roman" w:hAnsi="Calibri" w:cs="Calibri"/>
                <w:color w:val="0000FF"/>
              </w:rPr>
            </w:pPr>
            <w:r w:rsidRPr="00A7397E">
              <w:rPr>
                <w:rFonts w:ascii="Calibri" w:eastAsia="Times New Roman" w:hAnsi="Calibri"/>
                <w:color w:val="0000FF"/>
              </w:rPr>
              <w:t>Not-For-Profit</w:t>
            </w:r>
          </w:p>
        </w:tc>
        <w:tc>
          <w:tcPr>
            <w:tcW w:w="1800" w:type="dxa"/>
            <w:tcBorders>
              <w:top w:val="nil"/>
              <w:left w:val="nil"/>
              <w:bottom w:val="nil"/>
              <w:right w:val="nil"/>
            </w:tcBorders>
            <w:shd w:val="clear" w:color="auto" w:fill="auto"/>
            <w:noWrap/>
            <w:vAlign w:val="center"/>
            <w:hideMark/>
          </w:tcPr>
          <w:p w14:paraId="2CF09AF4" w14:textId="78A5176C" w:rsidR="00EE1014" w:rsidRPr="00A7397E" w:rsidRDefault="009B2CB0">
            <w:pPr>
              <w:spacing w:after="0" w:line="240" w:lineRule="auto"/>
              <w:jc w:val="right"/>
              <w:rPr>
                <w:rFonts w:ascii="Calibri" w:eastAsia="Times New Roman" w:hAnsi="Calibri" w:cs="Calibri"/>
                <w:color w:val="0000FF"/>
              </w:rPr>
            </w:pPr>
            <w:r w:rsidRPr="00A7397E">
              <w:rPr>
                <w:rFonts w:ascii="Calibri" w:eastAsia="Times New Roman" w:hAnsi="Calibri"/>
                <w:color w:val="0000FF"/>
              </w:rPr>
              <w:t>635</w:t>
            </w:r>
            <w:r w:rsidR="00EE1014" w:rsidRPr="00A7397E">
              <w:rPr>
                <w:rFonts w:ascii="Calibri" w:eastAsia="Times New Roman" w:hAnsi="Calibri"/>
                <w:color w:val="0000FF"/>
              </w:rPr>
              <w:t xml:space="preserve"> (</w:t>
            </w:r>
            <w:r w:rsidRPr="00A7397E">
              <w:rPr>
                <w:rFonts w:ascii="Calibri" w:eastAsia="Times New Roman" w:hAnsi="Calibri"/>
                <w:color w:val="0000FF"/>
              </w:rPr>
              <w:t>54.69</w:t>
            </w:r>
            <w:r w:rsidR="00EE1014" w:rsidRPr="00A7397E">
              <w:rPr>
                <w:rFonts w:ascii="Calibri" w:eastAsia="Times New Roman" w:hAnsi="Calibri"/>
                <w:color w:val="0000FF"/>
              </w:rPr>
              <w:t>%)</w:t>
            </w:r>
          </w:p>
        </w:tc>
      </w:tr>
      <w:tr w:rsidR="009B2CB0" w:rsidRPr="00A7397E" w14:paraId="7E4A8395" w14:textId="77777777" w:rsidTr="00932E8F">
        <w:tc>
          <w:tcPr>
            <w:tcW w:w="3870" w:type="dxa"/>
            <w:tcBorders>
              <w:top w:val="nil"/>
              <w:left w:val="nil"/>
              <w:bottom w:val="nil"/>
              <w:right w:val="nil"/>
            </w:tcBorders>
            <w:shd w:val="clear" w:color="auto" w:fill="auto"/>
            <w:noWrap/>
            <w:vAlign w:val="center"/>
          </w:tcPr>
          <w:p w14:paraId="25909886" w14:textId="0110BA54" w:rsidR="009B2CB0" w:rsidRPr="00A7397E" w:rsidRDefault="009B2CB0" w:rsidP="00EE1014">
            <w:pPr>
              <w:spacing w:after="0" w:line="240" w:lineRule="auto"/>
              <w:rPr>
                <w:rFonts w:ascii="Calibri" w:eastAsia="Times New Roman" w:hAnsi="Calibri"/>
                <w:color w:val="0000FF"/>
              </w:rPr>
            </w:pPr>
            <w:r w:rsidRPr="00A7397E">
              <w:rPr>
                <w:rFonts w:ascii="Calibri" w:eastAsia="Times New Roman" w:hAnsi="Calibri"/>
                <w:color w:val="0000FF"/>
              </w:rPr>
              <w:t>Physician Ownership</w:t>
            </w:r>
          </w:p>
        </w:tc>
        <w:tc>
          <w:tcPr>
            <w:tcW w:w="1800" w:type="dxa"/>
            <w:tcBorders>
              <w:top w:val="nil"/>
              <w:left w:val="nil"/>
              <w:bottom w:val="nil"/>
              <w:right w:val="nil"/>
            </w:tcBorders>
            <w:shd w:val="clear" w:color="auto" w:fill="auto"/>
            <w:noWrap/>
            <w:vAlign w:val="center"/>
          </w:tcPr>
          <w:p w14:paraId="37381A02" w14:textId="52205BD3" w:rsidR="009B2CB0" w:rsidRPr="00A7397E" w:rsidRDefault="009B2CB0" w:rsidP="009B2CB0">
            <w:pPr>
              <w:spacing w:after="0" w:line="240" w:lineRule="auto"/>
              <w:jc w:val="right"/>
              <w:rPr>
                <w:rFonts w:ascii="Calibri" w:eastAsia="Times New Roman" w:hAnsi="Calibri"/>
                <w:color w:val="0000FF"/>
              </w:rPr>
            </w:pPr>
            <w:r w:rsidRPr="00A7397E">
              <w:rPr>
                <w:rFonts w:ascii="Calibri" w:eastAsia="Times New Roman" w:hAnsi="Calibri"/>
                <w:color w:val="0000FF"/>
              </w:rPr>
              <w:t>6 (0.52%)</w:t>
            </w:r>
          </w:p>
        </w:tc>
      </w:tr>
      <w:tr w:rsidR="009B2CB0" w:rsidRPr="00A7397E" w14:paraId="7E0E4DCD" w14:textId="77777777" w:rsidTr="00932E8F">
        <w:tc>
          <w:tcPr>
            <w:tcW w:w="3870" w:type="dxa"/>
            <w:tcBorders>
              <w:top w:val="nil"/>
              <w:left w:val="nil"/>
              <w:bottom w:val="nil"/>
              <w:right w:val="nil"/>
            </w:tcBorders>
            <w:shd w:val="clear" w:color="auto" w:fill="auto"/>
            <w:noWrap/>
            <w:vAlign w:val="center"/>
          </w:tcPr>
          <w:p w14:paraId="7128DA42" w14:textId="5BFF2EE5" w:rsidR="009B2CB0" w:rsidRPr="00A7397E" w:rsidRDefault="009B2CB0" w:rsidP="00EE1014">
            <w:pPr>
              <w:spacing w:after="0" w:line="240" w:lineRule="auto"/>
              <w:rPr>
                <w:rFonts w:ascii="Calibri" w:eastAsia="Times New Roman" w:hAnsi="Calibri"/>
                <w:color w:val="0000FF"/>
              </w:rPr>
            </w:pPr>
            <w:r w:rsidRPr="00A7397E">
              <w:rPr>
                <w:rFonts w:ascii="Calibri" w:eastAsia="Times New Roman" w:hAnsi="Calibri"/>
                <w:color w:val="0000FF"/>
              </w:rPr>
              <w:t>Tribal</w:t>
            </w:r>
          </w:p>
        </w:tc>
        <w:tc>
          <w:tcPr>
            <w:tcW w:w="1800" w:type="dxa"/>
            <w:tcBorders>
              <w:top w:val="nil"/>
              <w:left w:val="nil"/>
              <w:bottom w:val="nil"/>
              <w:right w:val="nil"/>
            </w:tcBorders>
            <w:shd w:val="clear" w:color="auto" w:fill="auto"/>
            <w:noWrap/>
            <w:vAlign w:val="center"/>
          </w:tcPr>
          <w:p w14:paraId="474A077E" w14:textId="5AE13D66" w:rsidR="009B2CB0" w:rsidRPr="00A7397E" w:rsidRDefault="009B2CB0" w:rsidP="009B2CB0">
            <w:pPr>
              <w:spacing w:after="0" w:line="240" w:lineRule="auto"/>
              <w:jc w:val="right"/>
              <w:rPr>
                <w:rFonts w:ascii="Calibri" w:eastAsia="Times New Roman" w:hAnsi="Calibri"/>
                <w:color w:val="0000FF"/>
              </w:rPr>
            </w:pPr>
            <w:r w:rsidRPr="00A7397E">
              <w:rPr>
                <w:rFonts w:ascii="Calibri" w:eastAsia="Times New Roman" w:hAnsi="Calibri"/>
                <w:color w:val="0000FF"/>
              </w:rPr>
              <w:t>1 (0.09%)</w:t>
            </w:r>
          </w:p>
        </w:tc>
      </w:tr>
      <w:tr w:rsidR="00EE1014" w:rsidRPr="00EE1014" w14:paraId="4305AA1D" w14:textId="77777777" w:rsidTr="00932E8F">
        <w:tc>
          <w:tcPr>
            <w:tcW w:w="3870" w:type="dxa"/>
            <w:tcBorders>
              <w:top w:val="nil"/>
              <w:left w:val="nil"/>
              <w:bottom w:val="nil"/>
              <w:right w:val="nil"/>
            </w:tcBorders>
            <w:shd w:val="clear" w:color="auto" w:fill="auto"/>
            <w:noWrap/>
            <w:vAlign w:val="center"/>
            <w:hideMark/>
          </w:tcPr>
          <w:p w14:paraId="22DCA72F" w14:textId="77777777" w:rsidR="00EE1014" w:rsidRPr="00EE1014" w:rsidRDefault="00EE1014" w:rsidP="00EE1014">
            <w:pPr>
              <w:spacing w:after="0" w:line="240" w:lineRule="auto"/>
              <w:rPr>
                <w:rFonts w:ascii="Calibri" w:eastAsia="Times New Roman" w:hAnsi="Calibri" w:cs="Calibri"/>
                <w:b/>
                <w:bCs/>
                <w:color w:val="0000FF"/>
              </w:rPr>
            </w:pPr>
            <w:r w:rsidRPr="00EE1014">
              <w:rPr>
                <w:rFonts w:ascii="Calibri" w:eastAsia="Times New Roman" w:hAnsi="Calibri"/>
                <w:b/>
                <w:bCs/>
                <w:color w:val="0000FF"/>
              </w:rPr>
              <w:t>Rurality</w:t>
            </w:r>
          </w:p>
        </w:tc>
        <w:tc>
          <w:tcPr>
            <w:tcW w:w="1800" w:type="dxa"/>
            <w:tcBorders>
              <w:top w:val="nil"/>
              <w:left w:val="nil"/>
              <w:bottom w:val="nil"/>
              <w:right w:val="nil"/>
            </w:tcBorders>
            <w:shd w:val="clear" w:color="auto" w:fill="auto"/>
            <w:noWrap/>
            <w:vAlign w:val="center"/>
            <w:hideMark/>
          </w:tcPr>
          <w:p w14:paraId="06068414" w14:textId="77777777" w:rsidR="00EE1014" w:rsidRPr="00EE1014" w:rsidRDefault="00EE1014" w:rsidP="00EE1014">
            <w:pPr>
              <w:spacing w:after="0" w:line="240" w:lineRule="auto"/>
              <w:rPr>
                <w:rFonts w:ascii="Calibri" w:eastAsia="Times New Roman" w:hAnsi="Calibri" w:cs="Calibri"/>
                <w:b/>
                <w:bCs/>
                <w:color w:val="0000FF"/>
              </w:rPr>
            </w:pPr>
          </w:p>
        </w:tc>
      </w:tr>
      <w:tr w:rsidR="00EE1014" w:rsidRPr="00EE1014" w14:paraId="7A92066F" w14:textId="77777777" w:rsidTr="005B2207">
        <w:tc>
          <w:tcPr>
            <w:tcW w:w="3870" w:type="dxa"/>
            <w:tcBorders>
              <w:top w:val="nil"/>
              <w:left w:val="nil"/>
              <w:right w:val="nil"/>
            </w:tcBorders>
            <w:shd w:val="clear" w:color="auto" w:fill="auto"/>
            <w:noWrap/>
            <w:vAlign w:val="center"/>
            <w:hideMark/>
          </w:tcPr>
          <w:p w14:paraId="4B5BF2E0" w14:textId="77777777" w:rsidR="00EE1014" w:rsidRPr="00EE1014" w:rsidRDefault="00EE1014" w:rsidP="00EE1014">
            <w:pPr>
              <w:spacing w:after="0" w:line="240" w:lineRule="auto"/>
              <w:rPr>
                <w:rFonts w:ascii="Calibri" w:eastAsia="Times New Roman" w:hAnsi="Calibri" w:cs="Calibri"/>
                <w:color w:val="0000FF"/>
              </w:rPr>
            </w:pPr>
            <w:r w:rsidRPr="00EE1014">
              <w:rPr>
                <w:rFonts w:ascii="Calibri" w:eastAsia="Times New Roman" w:hAnsi="Calibri"/>
                <w:color w:val="0000FF"/>
              </w:rPr>
              <w:t>Rural</w:t>
            </w:r>
          </w:p>
        </w:tc>
        <w:tc>
          <w:tcPr>
            <w:tcW w:w="1800" w:type="dxa"/>
            <w:tcBorders>
              <w:top w:val="nil"/>
              <w:left w:val="nil"/>
              <w:right w:val="nil"/>
            </w:tcBorders>
            <w:shd w:val="clear" w:color="auto" w:fill="auto"/>
            <w:noWrap/>
            <w:vAlign w:val="center"/>
            <w:hideMark/>
          </w:tcPr>
          <w:p w14:paraId="21815B23" w14:textId="1A3C63B3" w:rsidR="00EE1014" w:rsidRPr="00EE1014" w:rsidRDefault="009B2CB0">
            <w:pPr>
              <w:spacing w:after="0" w:line="240" w:lineRule="auto"/>
              <w:jc w:val="right"/>
              <w:rPr>
                <w:rFonts w:ascii="Calibri" w:eastAsia="Times New Roman" w:hAnsi="Calibri" w:cs="Calibri"/>
                <w:color w:val="0000FF"/>
              </w:rPr>
            </w:pPr>
            <w:r>
              <w:rPr>
                <w:rFonts w:ascii="Calibri" w:eastAsia="Times New Roman" w:hAnsi="Calibri"/>
                <w:color w:val="0000FF"/>
              </w:rPr>
              <w:t>144</w:t>
            </w:r>
            <w:r w:rsidR="00EE1014" w:rsidRPr="00EE1014">
              <w:rPr>
                <w:rFonts w:ascii="Calibri" w:eastAsia="Times New Roman" w:hAnsi="Calibri"/>
                <w:color w:val="0000FF"/>
              </w:rPr>
              <w:t xml:space="preserve"> (</w:t>
            </w:r>
            <w:r>
              <w:rPr>
                <w:rFonts w:ascii="Calibri" w:eastAsia="Times New Roman" w:hAnsi="Calibri"/>
                <w:color w:val="0000FF"/>
              </w:rPr>
              <w:t>12.40</w:t>
            </w:r>
            <w:r w:rsidR="00EE1014" w:rsidRPr="00EE1014">
              <w:rPr>
                <w:rFonts w:ascii="Calibri" w:eastAsia="Times New Roman" w:hAnsi="Calibri"/>
                <w:color w:val="0000FF"/>
              </w:rPr>
              <w:t>%)</w:t>
            </w:r>
          </w:p>
        </w:tc>
      </w:tr>
      <w:tr w:rsidR="00EE1014" w:rsidRPr="00EE1014" w14:paraId="7A3677BF" w14:textId="77777777" w:rsidTr="005B2207">
        <w:tc>
          <w:tcPr>
            <w:tcW w:w="3870" w:type="dxa"/>
            <w:tcBorders>
              <w:top w:val="nil"/>
              <w:left w:val="nil"/>
              <w:bottom w:val="single" w:sz="4" w:space="0" w:color="auto"/>
              <w:right w:val="nil"/>
            </w:tcBorders>
            <w:shd w:val="clear" w:color="auto" w:fill="auto"/>
            <w:noWrap/>
            <w:vAlign w:val="center"/>
            <w:hideMark/>
          </w:tcPr>
          <w:p w14:paraId="4F0DBD6B" w14:textId="77777777" w:rsidR="00EE1014" w:rsidRPr="00EE1014" w:rsidRDefault="00EE1014" w:rsidP="00EE1014">
            <w:pPr>
              <w:spacing w:after="0" w:line="240" w:lineRule="auto"/>
              <w:rPr>
                <w:rFonts w:ascii="Calibri" w:eastAsia="Times New Roman" w:hAnsi="Calibri" w:cs="Calibri"/>
                <w:color w:val="0000FF"/>
              </w:rPr>
            </w:pPr>
            <w:r w:rsidRPr="00EE1014">
              <w:rPr>
                <w:rFonts w:ascii="Calibri" w:eastAsia="Times New Roman" w:hAnsi="Calibri"/>
                <w:color w:val="0000FF"/>
              </w:rPr>
              <w:t xml:space="preserve">Urban </w:t>
            </w:r>
          </w:p>
        </w:tc>
        <w:tc>
          <w:tcPr>
            <w:tcW w:w="1800" w:type="dxa"/>
            <w:tcBorders>
              <w:top w:val="nil"/>
              <w:left w:val="nil"/>
              <w:bottom w:val="single" w:sz="4" w:space="0" w:color="auto"/>
              <w:right w:val="nil"/>
            </w:tcBorders>
            <w:shd w:val="clear" w:color="auto" w:fill="auto"/>
            <w:noWrap/>
            <w:vAlign w:val="center"/>
            <w:hideMark/>
          </w:tcPr>
          <w:p w14:paraId="5D289DB1" w14:textId="6222AC8F" w:rsidR="00EE1014" w:rsidRPr="00EE1014" w:rsidRDefault="009B2CB0">
            <w:pPr>
              <w:spacing w:after="0" w:line="240" w:lineRule="auto"/>
              <w:jc w:val="right"/>
              <w:rPr>
                <w:rFonts w:ascii="Calibri" w:eastAsia="Times New Roman" w:hAnsi="Calibri" w:cs="Calibri"/>
                <w:color w:val="0000FF"/>
              </w:rPr>
            </w:pPr>
            <w:r>
              <w:rPr>
                <w:rFonts w:ascii="Calibri" w:eastAsia="Times New Roman" w:hAnsi="Calibri"/>
                <w:color w:val="0000FF"/>
              </w:rPr>
              <w:t>1</w:t>
            </w:r>
            <w:r w:rsidR="00A42FE7">
              <w:rPr>
                <w:rFonts w:ascii="Calibri" w:eastAsia="Times New Roman" w:hAnsi="Calibri"/>
                <w:color w:val="0000FF"/>
              </w:rPr>
              <w:t>,</w:t>
            </w:r>
            <w:r>
              <w:rPr>
                <w:rFonts w:ascii="Calibri" w:eastAsia="Times New Roman" w:hAnsi="Calibri"/>
                <w:color w:val="0000FF"/>
              </w:rPr>
              <w:t xml:space="preserve">003 </w:t>
            </w:r>
            <w:r w:rsidR="00EE1014" w:rsidRPr="00EE1014">
              <w:rPr>
                <w:rFonts w:ascii="Calibri" w:eastAsia="Times New Roman" w:hAnsi="Calibri"/>
                <w:color w:val="0000FF"/>
              </w:rPr>
              <w:t>(8</w:t>
            </w:r>
            <w:r>
              <w:rPr>
                <w:rFonts w:ascii="Calibri" w:eastAsia="Times New Roman" w:hAnsi="Calibri"/>
                <w:color w:val="0000FF"/>
              </w:rPr>
              <w:t>6.39</w:t>
            </w:r>
            <w:r w:rsidR="00EE1014" w:rsidRPr="00EE1014">
              <w:rPr>
                <w:rFonts w:ascii="Calibri" w:eastAsia="Times New Roman" w:hAnsi="Calibri"/>
                <w:color w:val="0000FF"/>
              </w:rPr>
              <w:t>%)</w:t>
            </w:r>
          </w:p>
        </w:tc>
      </w:tr>
    </w:tbl>
    <w:p w14:paraId="026D771B" w14:textId="0A57ABC9" w:rsidR="009D4F63" w:rsidRPr="005B2207" w:rsidRDefault="009D4F63" w:rsidP="009D4F63">
      <w:pPr>
        <w:autoSpaceDE w:val="0"/>
        <w:autoSpaceDN w:val="0"/>
        <w:adjustRightInd w:val="0"/>
        <w:spacing w:after="0" w:line="240" w:lineRule="auto"/>
        <w:rPr>
          <w:rStyle w:val="Style1"/>
          <w:sz w:val="18"/>
          <w:highlight w:val="yellow"/>
        </w:rPr>
      </w:pPr>
      <w:bookmarkStart w:id="12" w:name="_Hlk517254725"/>
      <w:r w:rsidRPr="00F2316D">
        <w:rPr>
          <w:rStyle w:val="Style1"/>
          <w:sz w:val="18"/>
        </w:rPr>
        <w:t xml:space="preserve">Analysis of Medicare Claims File for </w:t>
      </w:r>
      <w:r w:rsidR="00D10415">
        <w:rPr>
          <w:rStyle w:val="Style1"/>
          <w:sz w:val="18"/>
        </w:rPr>
        <w:t>IRF</w:t>
      </w:r>
      <w:r w:rsidRPr="007278B0">
        <w:rPr>
          <w:rStyle w:val="Style1"/>
          <w:sz w:val="18"/>
        </w:rPr>
        <w:t xml:space="preserve"> </w:t>
      </w:r>
      <w:r w:rsidR="007278B0">
        <w:rPr>
          <w:rStyle w:val="Style1"/>
          <w:sz w:val="18"/>
        </w:rPr>
        <w:t>F</w:t>
      </w:r>
      <w:r w:rsidRPr="007278B0">
        <w:rPr>
          <w:rStyle w:val="Style1"/>
          <w:sz w:val="18"/>
        </w:rPr>
        <w:t xml:space="preserve">Y 2016-2017 and </w:t>
      </w:r>
      <w:r w:rsidRPr="00FC20FC">
        <w:rPr>
          <w:rStyle w:val="Style1"/>
          <w:sz w:val="18"/>
        </w:rPr>
        <w:t>2016-2017 POS.</w:t>
      </w:r>
    </w:p>
    <w:bookmarkEnd w:id="12"/>
    <w:p w14:paraId="54867268" w14:textId="18D92FFB" w:rsidR="009D4F63" w:rsidRDefault="006463A6" w:rsidP="00DB3627">
      <w:pPr>
        <w:autoSpaceDE w:val="0"/>
        <w:autoSpaceDN w:val="0"/>
        <w:adjustRightInd w:val="0"/>
        <w:spacing w:after="0" w:line="240" w:lineRule="auto"/>
        <w:rPr>
          <w:rStyle w:val="Style1"/>
          <w:sz w:val="18"/>
        </w:rPr>
      </w:pPr>
      <w:r w:rsidRPr="00920F85">
        <w:rPr>
          <w:rStyle w:val="Style1"/>
          <w:sz w:val="18"/>
        </w:rPr>
        <w:t>*Provider</w:t>
      </w:r>
      <w:r w:rsidR="00920F85" w:rsidRPr="008C7D29">
        <w:rPr>
          <w:rStyle w:val="Style1"/>
          <w:sz w:val="18"/>
        </w:rPr>
        <w:t xml:space="preserve"> census region and rurality</w:t>
      </w:r>
      <w:r w:rsidRPr="00920F85">
        <w:rPr>
          <w:rStyle w:val="Style1"/>
          <w:sz w:val="18"/>
        </w:rPr>
        <w:t xml:space="preserve"> information </w:t>
      </w:r>
      <w:r w:rsidR="006958E9" w:rsidRPr="00920F85">
        <w:rPr>
          <w:rStyle w:val="Style1"/>
          <w:sz w:val="18"/>
        </w:rPr>
        <w:t>was</w:t>
      </w:r>
      <w:r w:rsidRPr="00920F85">
        <w:rPr>
          <w:rStyle w:val="Style1"/>
          <w:sz w:val="18"/>
        </w:rPr>
        <w:t xml:space="preserve"> not available for </w:t>
      </w:r>
      <w:r w:rsidR="00A7397E" w:rsidRPr="008C7D29">
        <w:rPr>
          <w:rStyle w:val="Style1"/>
          <w:sz w:val="18"/>
        </w:rPr>
        <w:t>14</w:t>
      </w:r>
      <w:r w:rsidR="00A7397E" w:rsidRPr="00920F85">
        <w:rPr>
          <w:rStyle w:val="Style1"/>
          <w:sz w:val="18"/>
        </w:rPr>
        <w:t xml:space="preserve"> </w:t>
      </w:r>
      <w:r w:rsidR="00A97B3D" w:rsidRPr="008C7D29">
        <w:rPr>
          <w:rStyle w:val="Style1"/>
          <w:sz w:val="18"/>
        </w:rPr>
        <w:t>IRF</w:t>
      </w:r>
      <w:r w:rsidRPr="00920F85">
        <w:rPr>
          <w:rStyle w:val="Style1"/>
          <w:sz w:val="18"/>
        </w:rPr>
        <w:t>s</w:t>
      </w:r>
      <w:r w:rsidR="007278B0" w:rsidRPr="007278B0">
        <w:rPr>
          <w:rStyle w:val="Style1"/>
          <w:sz w:val="18"/>
        </w:rPr>
        <w:t xml:space="preserve">. </w:t>
      </w:r>
      <w:r w:rsidR="007278B0">
        <w:rPr>
          <w:rStyle w:val="Style1"/>
          <w:sz w:val="18"/>
        </w:rPr>
        <w:t>P</w:t>
      </w:r>
      <w:r w:rsidR="00920F85" w:rsidRPr="008C7D29">
        <w:rPr>
          <w:rStyle w:val="Style1"/>
          <w:sz w:val="18"/>
        </w:rPr>
        <w:t>rovider ownership type information was not available for 16 IRFs</w:t>
      </w:r>
      <w:r w:rsidRPr="00920F85">
        <w:rPr>
          <w:rStyle w:val="Style1"/>
          <w:sz w:val="18"/>
        </w:rPr>
        <w:t>.</w:t>
      </w:r>
      <w:r w:rsidRPr="00F2316D">
        <w:rPr>
          <w:rStyle w:val="Style1"/>
          <w:sz w:val="18"/>
        </w:rPr>
        <w:t xml:space="preserve">  </w:t>
      </w:r>
    </w:p>
    <w:p w14:paraId="098D1CAC" w14:textId="7E5D3985" w:rsidR="005B10D8" w:rsidRDefault="005B10D8" w:rsidP="00DB3627">
      <w:pPr>
        <w:autoSpaceDE w:val="0"/>
        <w:autoSpaceDN w:val="0"/>
        <w:adjustRightInd w:val="0"/>
        <w:spacing w:after="0" w:line="240" w:lineRule="auto"/>
        <w:rPr>
          <w:rStyle w:val="Style1"/>
          <w:sz w:val="18"/>
        </w:rPr>
      </w:pPr>
    </w:p>
    <w:p w14:paraId="10E70704" w14:textId="18E4F401" w:rsidR="00C64278" w:rsidRDefault="007422FD" w:rsidP="00C64278">
      <w:pPr>
        <w:pStyle w:val="Heading2"/>
      </w:pPr>
      <w:r w:rsidRPr="00A25024">
        <w:t xml:space="preserve">How many and which </w:t>
      </w:r>
      <w:r w:rsidRPr="00A25024">
        <w:rPr>
          <w:u w:val="single"/>
        </w:rPr>
        <w:t>patients</w:t>
      </w:r>
      <w:r w:rsidRPr="00A25024">
        <w:t xml:space="preserve"> were included in the testing and analysis</w:t>
      </w:r>
      <w:r w:rsidR="00AA65A6">
        <w:t xml:space="preserve"> </w:t>
      </w:r>
      <w:r w:rsidR="00616EB5">
        <w:t>(</w:t>
      </w:r>
      <w:r w:rsidR="00AA65A6">
        <w:t>by level of analysis and data source</w:t>
      </w:r>
      <w:r w:rsidR="00616EB5">
        <w:t>)</w:t>
      </w:r>
      <w:r w:rsidRPr="00A25024">
        <w:t>?</w:t>
      </w:r>
    </w:p>
    <w:p w14:paraId="0CABCFC9" w14:textId="5AD3F83C" w:rsidR="007422FD" w:rsidRDefault="007422FD" w:rsidP="00DB3627">
      <w:pPr>
        <w:autoSpaceDE w:val="0"/>
        <w:autoSpaceDN w:val="0"/>
        <w:adjustRightInd w:val="0"/>
        <w:spacing w:after="0" w:line="240" w:lineRule="auto"/>
        <w:rPr>
          <w:rFonts w:cstheme="minorHAnsi"/>
          <w:bCs/>
        </w:rPr>
      </w:pPr>
      <w:r w:rsidRPr="00A25024">
        <w:rPr>
          <w:rFonts w:cstheme="minorHAnsi"/>
          <w:bCs/>
        </w:rPr>
        <w:t xml:space="preserve"> (</w:t>
      </w:r>
      <w:r w:rsidRPr="00A25024">
        <w:rPr>
          <w:rFonts w:cstheme="minorHAnsi"/>
          <w:bCs/>
          <w:i/>
        </w:rPr>
        <w:t xml:space="preserve">identify </w:t>
      </w:r>
      <w:r w:rsidR="00F435AA" w:rsidRPr="00A25024">
        <w:rPr>
          <w:rFonts w:cstheme="minorHAnsi"/>
          <w:bCs/>
          <w:i/>
        </w:rPr>
        <w:t>the number</w:t>
      </w:r>
      <w:r w:rsidRPr="00A25024">
        <w:rPr>
          <w:rFonts w:cstheme="minorHAnsi"/>
          <w:bCs/>
          <w:i/>
        </w:rPr>
        <w:t xml:space="preserve"> and </w:t>
      </w:r>
      <w:r w:rsidR="005A7634" w:rsidRPr="00A25024">
        <w:rPr>
          <w:rFonts w:cstheme="minorHAnsi"/>
          <w:bCs/>
          <w:i/>
        </w:rPr>
        <w:t xml:space="preserve">descriptive </w:t>
      </w:r>
      <w:r w:rsidRPr="00A25024">
        <w:rPr>
          <w:rFonts w:cstheme="minorHAnsi"/>
          <w:bCs/>
          <w:i/>
        </w:rPr>
        <w:t>characteristics of patients</w:t>
      </w:r>
      <w:r w:rsidR="00DA7277" w:rsidRPr="00A25024">
        <w:rPr>
          <w:rFonts w:cstheme="minorHAnsi"/>
          <w:bCs/>
          <w:i/>
        </w:rPr>
        <w:t xml:space="preserve"> </w:t>
      </w:r>
      <w:r w:rsidRPr="00A25024">
        <w:rPr>
          <w:rFonts w:cstheme="minorHAnsi"/>
          <w:bCs/>
          <w:i/>
        </w:rPr>
        <w:t>included in the analysis</w:t>
      </w:r>
      <w:r w:rsidR="00DA7277" w:rsidRPr="00A25024">
        <w:rPr>
          <w:rFonts w:cstheme="minorHAnsi"/>
          <w:bCs/>
          <w:i/>
        </w:rPr>
        <w:t xml:space="preserve"> (e.g., age, sex, race, diagnosis)</w:t>
      </w:r>
      <w:r w:rsidRPr="00A25024">
        <w:rPr>
          <w:rFonts w:cstheme="minorHAnsi"/>
          <w:bCs/>
          <w:i/>
        </w:rPr>
        <w:t>; if a sample</w:t>
      </w:r>
      <w:r w:rsidR="00E310B9" w:rsidRPr="00A25024">
        <w:rPr>
          <w:rFonts w:cstheme="minorHAnsi"/>
          <w:bCs/>
          <w:i/>
        </w:rPr>
        <w:t xml:space="preserve"> was used</w:t>
      </w:r>
      <w:r w:rsidRPr="00A25024">
        <w:rPr>
          <w:rFonts w:cstheme="minorHAnsi"/>
          <w:bCs/>
          <w:i/>
        </w:rPr>
        <w:t xml:space="preserve">, describe how </w:t>
      </w:r>
      <w:r w:rsidR="005A7634" w:rsidRPr="00A25024">
        <w:rPr>
          <w:rFonts w:cstheme="minorHAnsi"/>
          <w:bCs/>
          <w:i/>
        </w:rPr>
        <w:t xml:space="preserve">patients were </w:t>
      </w:r>
      <w:r w:rsidRPr="00A25024">
        <w:rPr>
          <w:rFonts w:cstheme="minorHAnsi"/>
          <w:bCs/>
          <w:i/>
        </w:rPr>
        <w:t>selected</w:t>
      </w:r>
      <w:r w:rsidR="005A7634" w:rsidRPr="00A25024">
        <w:rPr>
          <w:rFonts w:cstheme="minorHAnsi"/>
          <w:bCs/>
          <w:i/>
        </w:rPr>
        <w:t xml:space="preserve"> for inclusion in the sample</w:t>
      </w:r>
      <w:r w:rsidRPr="00A25024">
        <w:rPr>
          <w:rFonts w:cstheme="minorHAnsi"/>
          <w:bCs/>
        </w:rPr>
        <w:t xml:space="preserve">) </w:t>
      </w:r>
      <w:r w:rsidRPr="00A25024">
        <w:rPr>
          <w:rFonts w:cstheme="minorHAnsi"/>
          <w:bCs/>
        </w:rPr>
        <w:br/>
      </w:r>
    </w:p>
    <w:p w14:paraId="1A0A43FA" w14:textId="1A71F287" w:rsidR="006463A6" w:rsidRPr="00F2316D" w:rsidRDefault="006463A6" w:rsidP="00932E8F">
      <w:pPr>
        <w:autoSpaceDE w:val="0"/>
        <w:autoSpaceDN w:val="0"/>
        <w:spacing w:after="0" w:line="240" w:lineRule="auto"/>
        <w:ind w:firstLine="720"/>
        <w:rPr>
          <w:rStyle w:val="Style1"/>
          <w:color w:val="auto"/>
        </w:rPr>
      </w:pPr>
      <w:r w:rsidRPr="006463A6">
        <w:rPr>
          <w:rStyle w:val="Style1"/>
        </w:rPr>
        <w:t xml:space="preserve">Measure specification and testing was based on national data. All eligible </w:t>
      </w:r>
      <w:r w:rsidR="009B2CB0">
        <w:rPr>
          <w:rStyle w:val="Style1"/>
        </w:rPr>
        <w:t>IRF</w:t>
      </w:r>
      <w:r w:rsidR="009B2CB0" w:rsidRPr="006463A6">
        <w:rPr>
          <w:rStyle w:val="Style1"/>
        </w:rPr>
        <w:t xml:space="preserve"> </w:t>
      </w:r>
      <w:r w:rsidRPr="006463A6">
        <w:rPr>
          <w:rStyle w:val="Style1"/>
        </w:rPr>
        <w:t xml:space="preserve">patient episodes with </w:t>
      </w:r>
      <w:r w:rsidR="007278B0">
        <w:rPr>
          <w:rStyle w:val="Style1"/>
        </w:rPr>
        <w:t>IRF</w:t>
      </w:r>
      <w:r w:rsidRPr="006463A6">
        <w:rPr>
          <w:rStyle w:val="Style1"/>
        </w:rPr>
        <w:t xml:space="preserve"> discharges between </w:t>
      </w:r>
      <w:r w:rsidR="009975D3" w:rsidRPr="005B2207">
        <w:rPr>
          <w:rStyle w:val="Style1"/>
        </w:rPr>
        <w:t>October</w:t>
      </w:r>
      <w:r w:rsidR="009975D3" w:rsidRPr="00FC20FC">
        <w:rPr>
          <w:rStyle w:val="Style1"/>
        </w:rPr>
        <w:t xml:space="preserve"> </w:t>
      </w:r>
      <w:r w:rsidRPr="00FC20FC">
        <w:rPr>
          <w:rStyle w:val="Style1"/>
        </w:rPr>
        <w:t xml:space="preserve">1, </w:t>
      </w:r>
      <w:r w:rsidR="009975D3" w:rsidRPr="009975D3">
        <w:rPr>
          <w:rStyle w:val="Style1"/>
        </w:rPr>
        <w:t>201</w:t>
      </w:r>
      <w:r w:rsidR="009975D3" w:rsidRPr="005B2207">
        <w:rPr>
          <w:rStyle w:val="Style1"/>
        </w:rPr>
        <w:t>5</w:t>
      </w:r>
      <w:r w:rsidRPr="00FC20FC">
        <w:rPr>
          <w:rStyle w:val="Style1"/>
        </w:rPr>
        <w:t xml:space="preserve">, and </w:t>
      </w:r>
      <w:r w:rsidR="009975D3" w:rsidRPr="005B2207">
        <w:rPr>
          <w:rStyle w:val="Style1"/>
        </w:rPr>
        <w:t>September 30</w:t>
      </w:r>
      <w:r w:rsidRPr="00FC20FC">
        <w:rPr>
          <w:rStyle w:val="Style1"/>
        </w:rPr>
        <w:t>, 2017</w:t>
      </w:r>
      <w:r w:rsidRPr="006463A6">
        <w:rPr>
          <w:rStyle w:val="Style1"/>
        </w:rPr>
        <w:t xml:space="preserve">, were included in the measure. </w:t>
      </w:r>
      <w:r w:rsidRPr="006C1389">
        <w:rPr>
          <w:rStyle w:val="Style1"/>
        </w:rPr>
        <w:t xml:space="preserve">For patients with multiple </w:t>
      </w:r>
      <w:r w:rsidR="009B2CB0" w:rsidRPr="006C1389">
        <w:rPr>
          <w:rStyle w:val="Style1"/>
        </w:rPr>
        <w:t>IRF</w:t>
      </w:r>
      <w:r w:rsidRPr="006C1389">
        <w:rPr>
          <w:rStyle w:val="Style1"/>
        </w:rPr>
        <w:t xml:space="preserve"> episodes during the measurement period, all eligible episodes were included.</w:t>
      </w:r>
      <w:r w:rsidRPr="006463A6">
        <w:rPr>
          <w:rStyle w:val="Style1"/>
        </w:rPr>
        <w:t xml:space="preserve"> </w:t>
      </w:r>
      <w:r w:rsidR="006C1389" w:rsidRPr="006C1389">
        <w:rPr>
          <w:rStyle w:val="Style1"/>
        </w:rPr>
        <w:t xml:space="preserve">Readmissions of the same patient to the same provider within 7 or fewer days after discharge do not trigger a new episode and instead </w:t>
      </w:r>
      <w:r w:rsidR="006C1389">
        <w:rPr>
          <w:rStyle w:val="Style1"/>
        </w:rPr>
        <w:t>were</w:t>
      </w:r>
      <w:r w:rsidR="006C1389" w:rsidRPr="006C1389">
        <w:rPr>
          <w:rStyle w:val="Style1"/>
        </w:rPr>
        <w:t xml:space="preserve"> included in the treatment period of the original episode to reflect the likelihood that these closely adjacent stays are related. </w:t>
      </w:r>
      <w:r w:rsidRPr="006463A6">
        <w:rPr>
          <w:rStyle w:val="Style1"/>
        </w:rPr>
        <w:t xml:space="preserve">A total of </w:t>
      </w:r>
      <w:r w:rsidR="00CD5D77">
        <w:rPr>
          <w:rStyle w:val="Style1"/>
        </w:rPr>
        <w:t xml:space="preserve">630,737 </w:t>
      </w:r>
      <w:r w:rsidRPr="006463A6">
        <w:rPr>
          <w:rStyle w:val="Style1"/>
        </w:rPr>
        <w:t xml:space="preserve">patient episodes were included after sample exclusions were applied. Note that the MSPB score calculation removes outliers at the 1st and 99th percentile of the residual distribution and subsequent testing and analyses were conducted on these </w:t>
      </w:r>
      <w:r w:rsidR="007278B0">
        <w:rPr>
          <w:rStyle w:val="Style1"/>
        </w:rPr>
        <w:t>618,123</w:t>
      </w:r>
      <w:r w:rsidR="00F2316D">
        <w:rPr>
          <w:rStyle w:val="Style1"/>
        </w:rPr>
        <w:t xml:space="preserve"> </w:t>
      </w:r>
      <w:r w:rsidRPr="006463A6">
        <w:rPr>
          <w:rStyle w:val="Style1"/>
        </w:rPr>
        <w:t xml:space="preserve">episodes. </w:t>
      </w:r>
      <w:r w:rsidR="005B10D8" w:rsidRPr="00932E8F">
        <w:rPr>
          <w:rStyle w:val="Style1"/>
          <w:b/>
        </w:rPr>
        <w:fldChar w:fldCharType="begin"/>
      </w:r>
      <w:r w:rsidR="005B10D8" w:rsidRPr="00932E8F">
        <w:rPr>
          <w:rStyle w:val="Style1"/>
          <w:b/>
        </w:rPr>
        <w:instrText xml:space="preserve"> REF _Ref22633556 \h </w:instrText>
      </w:r>
      <w:r w:rsidR="001C3ABA" w:rsidRPr="001C3ABA">
        <w:rPr>
          <w:rStyle w:val="Style1"/>
          <w:b/>
        </w:rPr>
        <w:instrText xml:space="preserve"> \* MERGEFORMAT </w:instrText>
      </w:r>
      <w:r w:rsidR="005B10D8" w:rsidRPr="00932E8F">
        <w:rPr>
          <w:rStyle w:val="Style1"/>
          <w:b/>
        </w:rPr>
      </w:r>
      <w:r w:rsidR="005B10D8" w:rsidRPr="00932E8F">
        <w:rPr>
          <w:rStyle w:val="Style1"/>
          <w:b/>
        </w:rPr>
        <w:fldChar w:fldCharType="separate"/>
      </w:r>
      <w:r w:rsidR="00B6644A" w:rsidRPr="00495623">
        <w:rPr>
          <w:b/>
          <w:color w:val="0000FF"/>
        </w:rPr>
        <w:t xml:space="preserve">Table </w:t>
      </w:r>
      <w:r w:rsidR="00B6644A" w:rsidRPr="00495623">
        <w:rPr>
          <w:b/>
          <w:noProof/>
          <w:color w:val="0000FF"/>
        </w:rPr>
        <w:t>2</w:t>
      </w:r>
      <w:r w:rsidR="005B10D8" w:rsidRPr="00932E8F">
        <w:rPr>
          <w:rStyle w:val="Style1"/>
          <w:b/>
        </w:rPr>
        <w:fldChar w:fldCharType="end"/>
      </w:r>
      <w:r w:rsidRPr="00932E8F">
        <w:rPr>
          <w:rStyle w:val="Style1"/>
          <w:b/>
        </w:rPr>
        <w:t xml:space="preserve"> </w:t>
      </w:r>
      <w:r w:rsidRPr="006463A6">
        <w:rPr>
          <w:rStyle w:val="Style1"/>
        </w:rPr>
        <w:t>presents demographic characteristics of the patient episodes. Throughout this form, we use “N” to refer to number of patient episodes.</w:t>
      </w:r>
    </w:p>
    <w:p w14:paraId="05641DBF" w14:textId="77777777" w:rsidR="006463A6" w:rsidRDefault="006463A6" w:rsidP="00DB3627">
      <w:pPr>
        <w:autoSpaceDE w:val="0"/>
        <w:autoSpaceDN w:val="0"/>
        <w:adjustRightInd w:val="0"/>
        <w:spacing w:after="0" w:line="240" w:lineRule="auto"/>
        <w:rPr>
          <w:rFonts w:cstheme="minorHAnsi"/>
          <w:bCs/>
        </w:rPr>
      </w:pPr>
    </w:p>
    <w:p w14:paraId="45969E58" w14:textId="2993B3D2" w:rsidR="00DB08A4" w:rsidRPr="00DB08A4" w:rsidRDefault="005B10D8" w:rsidP="006958E9">
      <w:pPr>
        <w:pStyle w:val="Caption"/>
        <w:spacing w:after="0"/>
        <w:rPr>
          <w:rStyle w:val="Style1"/>
        </w:rPr>
      </w:pPr>
      <w:bookmarkStart w:id="13" w:name="_Ref22633556"/>
      <w:r>
        <w:t xml:space="preserve">Table </w:t>
      </w:r>
      <w:r w:rsidR="008107BD">
        <w:rPr>
          <w:noProof/>
        </w:rPr>
        <w:fldChar w:fldCharType="begin"/>
      </w:r>
      <w:r w:rsidR="008107BD">
        <w:rPr>
          <w:noProof/>
        </w:rPr>
        <w:instrText xml:space="preserve"> SEQ Table \* ARABIC </w:instrText>
      </w:r>
      <w:r w:rsidR="008107BD">
        <w:rPr>
          <w:noProof/>
        </w:rPr>
        <w:fldChar w:fldCharType="separate"/>
      </w:r>
      <w:r w:rsidR="00B6644A">
        <w:rPr>
          <w:noProof/>
        </w:rPr>
        <w:t>2</w:t>
      </w:r>
      <w:r w:rsidR="008107BD">
        <w:rPr>
          <w:noProof/>
        </w:rPr>
        <w:fldChar w:fldCharType="end"/>
      </w:r>
      <w:bookmarkEnd w:id="13"/>
      <w:r w:rsidR="00DB08A4" w:rsidRPr="00DB08A4">
        <w:rPr>
          <w:rStyle w:val="Style1"/>
          <w:b w:val="0"/>
        </w:rPr>
        <w:t xml:space="preserve">. </w:t>
      </w:r>
      <w:r w:rsidR="00DB08A4" w:rsidRPr="006958E9">
        <w:rPr>
          <w:rStyle w:val="Style1"/>
        </w:rPr>
        <w:t xml:space="preserve">Demographic Characteristics of Episodes Included in Specification and Testing of the MSPB-PAC </w:t>
      </w:r>
      <w:r w:rsidR="009B2CB0">
        <w:rPr>
          <w:rStyle w:val="Style1"/>
        </w:rPr>
        <w:t>IRF</w:t>
      </w:r>
      <w:r w:rsidR="00DB08A4" w:rsidRPr="006958E9">
        <w:rPr>
          <w:rStyle w:val="Style1"/>
        </w:rPr>
        <w:t xml:space="preserve"> Measure (N = </w:t>
      </w:r>
      <w:r w:rsidR="00CD5D77" w:rsidRPr="008C7D29">
        <w:rPr>
          <w:rStyle w:val="Style1"/>
        </w:rPr>
        <w:t>630,737</w:t>
      </w:r>
      <w:r w:rsidR="00DB08A4" w:rsidRPr="005A5888">
        <w:rPr>
          <w:rStyle w:val="Style1"/>
        </w:rPr>
        <w:t>)</w:t>
      </w:r>
      <w:r w:rsidR="00DB08A4" w:rsidRPr="00DB08A4">
        <w:rPr>
          <w:rStyle w:val="Style1"/>
          <w:b w:val="0"/>
        </w:rPr>
        <w:t xml:space="preserve"> </w:t>
      </w:r>
    </w:p>
    <w:tbl>
      <w:tblPr>
        <w:tblStyle w:val="ListTable6Colorful1"/>
        <w:tblW w:w="0" w:type="auto"/>
        <w:tblInd w:w="27" w:type="dxa"/>
        <w:tblLayout w:type="fixed"/>
        <w:tblLook w:val="06A0" w:firstRow="1" w:lastRow="0" w:firstColumn="1" w:lastColumn="0" w:noHBand="1" w:noVBand="1"/>
      </w:tblPr>
      <w:tblGrid>
        <w:gridCol w:w="2340"/>
        <w:gridCol w:w="1980"/>
        <w:gridCol w:w="1153"/>
        <w:gridCol w:w="377"/>
        <w:gridCol w:w="1639"/>
      </w:tblGrid>
      <w:tr w:rsidR="00DB08A4" w:rsidRPr="00DB08A4" w14:paraId="5F280D72" w14:textId="77777777" w:rsidTr="00C32CAA">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340" w:type="dxa"/>
            <w:shd w:val="clear" w:color="auto" w:fill="D9D9D9"/>
          </w:tcPr>
          <w:p w14:paraId="06D6E148" w14:textId="77777777" w:rsidR="00DB08A4" w:rsidRPr="00DB08A4" w:rsidRDefault="00DB08A4" w:rsidP="000B0F90">
            <w:pPr>
              <w:autoSpaceDE w:val="0"/>
              <w:autoSpaceDN w:val="0"/>
              <w:adjustRightInd w:val="0"/>
              <w:rPr>
                <w:rStyle w:val="Style1"/>
              </w:rPr>
            </w:pPr>
            <w:r w:rsidRPr="00DB08A4">
              <w:rPr>
                <w:rStyle w:val="Style1"/>
              </w:rPr>
              <w:t>Characteristic</w:t>
            </w:r>
          </w:p>
        </w:tc>
        <w:tc>
          <w:tcPr>
            <w:tcW w:w="1980" w:type="dxa"/>
            <w:shd w:val="clear" w:color="auto" w:fill="D9D9D9"/>
          </w:tcPr>
          <w:p w14:paraId="7C8D4B30" w14:textId="77777777" w:rsidR="00DB08A4" w:rsidRPr="00DB08A4" w:rsidRDefault="00DB08A4" w:rsidP="00DB08A4">
            <w:pPr>
              <w:autoSpaceDE w:val="0"/>
              <w:autoSpaceDN w:val="0"/>
              <w:adjustRightInd w:val="0"/>
              <w:cnfStyle w:val="100000000000" w:firstRow="1" w:lastRow="0" w:firstColumn="0" w:lastColumn="0" w:oddVBand="0" w:evenVBand="0" w:oddHBand="0" w:evenHBand="0" w:firstRowFirstColumn="0" w:firstRowLastColumn="0" w:lastRowFirstColumn="0" w:lastRowLastColumn="0"/>
              <w:rPr>
                <w:rStyle w:val="Style1"/>
              </w:rPr>
            </w:pPr>
            <w:r w:rsidRPr="00DB08A4">
              <w:rPr>
                <w:rStyle w:val="Style1"/>
              </w:rPr>
              <w:t>N (%)</w:t>
            </w:r>
          </w:p>
        </w:tc>
        <w:tc>
          <w:tcPr>
            <w:tcW w:w="1530" w:type="dxa"/>
            <w:gridSpan w:val="2"/>
            <w:shd w:val="clear" w:color="auto" w:fill="D9D9D9"/>
          </w:tcPr>
          <w:p w14:paraId="538A6DF1" w14:textId="77777777" w:rsidR="00DB08A4" w:rsidRPr="00DB08A4" w:rsidRDefault="00DB08A4" w:rsidP="000B0F90">
            <w:pPr>
              <w:autoSpaceDE w:val="0"/>
              <w:autoSpaceDN w:val="0"/>
              <w:adjustRightInd w:val="0"/>
              <w:cnfStyle w:val="100000000000" w:firstRow="1" w:lastRow="0" w:firstColumn="0" w:lastColumn="0" w:oddVBand="0" w:evenVBand="0" w:oddHBand="0" w:evenHBand="0" w:firstRowFirstColumn="0" w:firstRowLastColumn="0" w:lastRowFirstColumn="0" w:lastRowLastColumn="0"/>
              <w:rPr>
                <w:rStyle w:val="Style1"/>
              </w:rPr>
            </w:pPr>
            <w:r w:rsidRPr="00DB08A4">
              <w:rPr>
                <w:rStyle w:val="Style1"/>
              </w:rPr>
              <w:t>Characteristic</w:t>
            </w:r>
          </w:p>
        </w:tc>
        <w:tc>
          <w:tcPr>
            <w:tcW w:w="1639" w:type="dxa"/>
            <w:shd w:val="clear" w:color="auto" w:fill="D9D9D9"/>
          </w:tcPr>
          <w:p w14:paraId="00A899FC" w14:textId="77777777" w:rsidR="00DB08A4" w:rsidRPr="00DB08A4" w:rsidRDefault="00DB08A4" w:rsidP="00DB08A4">
            <w:pPr>
              <w:autoSpaceDE w:val="0"/>
              <w:autoSpaceDN w:val="0"/>
              <w:adjustRightInd w:val="0"/>
              <w:cnfStyle w:val="100000000000" w:firstRow="1" w:lastRow="0" w:firstColumn="0" w:lastColumn="0" w:oddVBand="0" w:evenVBand="0" w:oddHBand="0" w:evenHBand="0" w:firstRowFirstColumn="0" w:firstRowLastColumn="0" w:lastRowFirstColumn="0" w:lastRowLastColumn="0"/>
              <w:rPr>
                <w:rStyle w:val="Style1"/>
              </w:rPr>
            </w:pPr>
            <w:r w:rsidRPr="00DB08A4">
              <w:rPr>
                <w:rStyle w:val="Style1"/>
              </w:rPr>
              <w:t>N (%)</w:t>
            </w:r>
          </w:p>
        </w:tc>
      </w:tr>
      <w:tr w:rsidR="00DB08A4" w:rsidRPr="00DB08A4" w14:paraId="688A64E1" w14:textId="77777777" w:rsidTr="000B0F90">
        <w:tc>
          <w:tcPr>
            <w:cnfStyle w:val="001000000000" w:firstRow="0" w:lastRow="0" w:firstColumn="1" w:lastColumn="0" w:oddVBand="0" w:evenVBand="0" w:oddHBand="0" w:evenHBand="0" w:firstRowFirstColumn="0" w:firstRowLastColumn="0" w:lastRowFirstColumn="0" w:lastRowLastColumn="0"/>
            <w:tcW w:w="2340" w:type="dxa"/>
          </w:tcPr>
          <w:p w14:paraId="1E98B166" w14:textId="77777777" w:rsidR="00DB08A4" w:rsidRPr="00DB08A4" w:rsidRDefault="00DB08A4" w:rsidP="000B0F90">
            <w:pPr>
              <w:autoSpaceDE w:val="0"/>
              <w:autoSpaceDN w:val="0"/>
              <w:adjustRightInd w:val="0"/>
              <w:rPr>
                <w:rStyle w:val="Style1"/>
              </w:rPr>
            </w:pPr>
            <w:r w:rsidRPr="00DB08A4">
              <w:rPr>
                <w:rStyle w:val="Style1"/>
              </w:rPr>
              <w:t>Male</w:t>
            </w:r>
          </w:p>
        </w:tc>
        <w:tc>
          <w:tcPr>
            <w:tcW w:w="1980" w:type="dxa"/>
          </w:tcPr>
          <w:p w14:paraId="62DA52F8" w14:textId="3A1AAD2A" w:rsidR="00DB08A4" w:rsidRPr="00DB08A4" w:rsidRDefault="009B2CB0">
            <w:pPr>
              <w:autoSpaceDE w:val="0"/>
              <w:autoSpaceDN w:val="0"/>
              <w:adjustRightInd w:val="0"/>
              <w:cnfStyle w:val="000000000000" w:firstRow="0" w:lastRow="0" w:firstColumn="0" w:lastColumn="0" w:oddVBand="0" w:evenVBand="0" w:oddHBand="0" w:evenHBand="0" w:firstRowFirstColumn="0" w:firstRowLastColumn="0" w:lastRowFirstColumn="0" w:lastRowLastColumn="0"/>
              <w:rPr>
                <w:rStyle w:val="Style1"/>
                <w:rFonts w:eastAsiaTheme="minorEastAsia"/>
              </w:rPr>
            </w:pPr>
            <w:r>
              <w:rPr>
                <w:rStyle w:val="Style1"/>
              </w:rPr>
              <w:t xml:space="preserve">277,802 (44.04%) </w:t>
            </w:r>
          </w:p>
        </w:tc>
        <w:tc>
          <w:tcPr>
            <w:tcW w:w="1153" w:type="dxa"/>
          </w:tcPr>
          <w:p w14:paraId="6CADE7C8" w14:textId="76239E47" w:rsidR="00DB08A4" w:rsidRPr="00DB08A4" w:rsidRDefault="00DB08A4">
            <w:pPr>
              <w:autoSpaceDE w:val="0"/>
              <w:autoSpaceDN w:val="0"/>
              <w:adjustRightInd w:val="0"/>
              <w:cnfStyle w:val="000000000000" w:firstRow="0" w:lastRow="0" w:firstColumn="0" w:lastColumn="0" w:oddVBand="0" w:evenVBand="0" w:oddHBand="0" w:evenHBand="0" w:firstRowFirstColumn="0" w:firstRowLastColumn="0" w:lastRowFirstColumn="0" w:lastRowLastColumn="0"/>
              <w:rPr>
                <w:rStyle w:val="Style1"/>
                <w:rFonts w:eastAsiaTheme="minorEastAsia"/>
                <w:b/>
              </w:rPr>
            </w:pPr>
            <w:r w:rsidRPr="00DB08A4">
              <w:rPr>
                <w:rStyle w:val="Style1"/>
                <w:b/>
              </w:rPr>
              <w:t>Race</w:t>
            </w:r>
            <w:r w:rsidR="009C33C8">
              <w:rPr>
                <w:rStyle w:val="Style1"/>
                <w:b/>
              </w:rPr>
              <w:t>*</w:t>
            </w:r>
          </w:p>
        </w:tc>
        <w:tc>
          <w:tcPr>
            <w:tcW w:w="2016" w:type="dxa"/>
            <w:gridSpan w:val="2"/>
          </w:tcPr>
          <w:p w14:paraId="66A1CEE0" w14:textId="77777777" w:rsidR="00DB08A4" w:rsidRPr="00DB08A4" w:rsidRDefault="00DB08A4" w:rsidP="00DB08A4">
            <w:pPr>
              <w:autoSpaceDE w:val="0"/>
              <w:autoSpaceDN w:val="0"/>
              <w:adjustRightInd w:val="0"/>
              <w:cnfStyle w:val="000000000000" w:firstRow="0" w:lastRow="0" w:firstColumn="0" w:lastColumn="0" w:oddVBand="0" w:evenVBand="0" w:oddHBand="0" w:evenHBand="0" w:firstRowFirstColumn="0" w:firstRowLastColumn="0" w:lastRowFirstColumn="0" w:lastRowLastColumn="0"/>
              <w:rPr>
                <w:rStyle w:val="Style1"/>
                <w:b/>
              </w:rPr>
            </w:pPr>
          </w:p>
        </w:tc>
      </w:tr>
      <w:tr w:rsidR="00DB08A4" w:rsidRPr="00DB08A4" w14:paraId="15C52064" w14:textId="77777777" w:rsidTr="000B0F90">
        <w:tc>
          <w:tcPr>
            <w:cnfStyle w:val="001000000000" w:firstRow="0" w:lastRow="0" w:firstColumn="1" w:lastColumn="0" w:oddVBand="0" w:evenVBand="0" w:oddHBand="0" w:evenHBand="0" w:firstRowFirstColumn="0" w:firstRowLastColumn="0" w:lastRowFirstColumn="0" w:lastRowLastColumn="0"/>
            <w:tcW w:w="2340" w:type="dxa"/>
          </w:tcPr>
          <w:p w14:paraId="204CEF18" w14:textId="77777777" w:rsidR="00DB08A4" w:rsidRPr="00DB08A4" w:rsidRDefault="00DB08A4" w:rsidP="000B0F90">
            <w:pPr>
              <w:autoSpaceDE w:val="0"/>
              <w:autoSpaceDN w:val="0"/>
              <w:adjustRightInd w:val="0"/>
              <w:rPr>
                <w:rStyle w:val="Style1"/>
              </w:rPr>
            </w:pPr>
            <w:r w:rsidRPr="00DB08A4">
              <w:rPr>
                <w:rStyle w:val="Style1"/>
              </w:rPr>
              <w:t>Female</w:t>
            </w:r>
          </w:p>
        </w:tc>
        <w:tc>
          <w:tcPr>
            <w:tcW w:w="1980" w:type="dxa"/>
          </w:tcPr>
          <w:p w14:paraId="427D4003" w14:textId="0E836E27" w:rsidR="00DB08A4" w:rsidRPr="00DB08A4" w:rsidRDefault="009B2CB0">
            <w:pPr>
              <w:autoSpaceDE w:val="0"/>
              <w:autoSpaceDN w:val="0"/>
              <w:adjustRightInd w:val="0"/>
              <w:cnfStyle w:val="000000000000" w:firstRow="0" w:lastRow="0" w:firstColumn="0" w:lastColumn="0" w:oddVBand="0" w:evenVBand="0" w:oddHBand="0" w:evenHBand="0" w:firstRowFirstColumn="0" w:firstRowLastColumn="0" w:lastRowFirstColumn="0" w:lastRowLastColumn="0"/>
              <w:rPr>
                <w:rStyle w:val="Style1"/>
                <w:rFonts w:eastAsiaTheme="minorEastAsia"/>
              </w:rPr>
            </w:pPr>
            <w:r>
              <w:rPr>
                <w:rStyle w:val="Style1"/>
              </w:rPr>
              <w:t>352,935 (55.96%)</w:t>
            </w:r>
          </w:p>
        </w:tc>
        <w:tc>
          <w:tcPr>
            <w:tcW w:w="1153" w:type="dxa"/>
          </w:tcPr>
          <w:p w14:paraId="5A0D9A31" w14:textId="77777777" w:rsidR="00DB08A4" w:rsidRPr="00DB08A4" w:rsidRDefault="00DB08A4" w:rsidP="000B0F90">
            <w:pPr>
              <w:autoSpaceDE w:val="0"/>
              <w:autoSpaceDN w:val="0"/>
              <w:adjustRightInd w:val="0"/>
              <w:cnfStyle w:val="000000000000" w:firstRow="0" w:lastRow="0" w:firstColumn="0" w:lastColumn="0" w:oddVBand="0" w:evenVBand="0" w:oddHBand="0" w:evenHBand="0" w:firstRowFirstColumn="0" w:firstRowLastColumn="0" w:lastRowFirstColumn="0" w:lastRowLastColumn="0"/>
              <w:rPr>
                <w:rStyle w:val="Style1"/>
                <w:b/>
              </w:rPr>
            </w:pPr>
            <w:r w:rsidRPr="00DB08A4">
              <w:rPr>
                <w:rStyle w:val="Style1"/>
                <w:b/>
              </w:rPr>
              <w:t xml:space="preserve">   White</w:t>
            </w:r>
          </w:p>
        </w:tc>
        <w:tc>
          <w:tcPr>
            <w:tcW w:w="2016" w:type="dxa"/>
            <w:gridSpan w:val="2"/>
          </w:tcPr>
          <w:p w14:paraId="56E1213E" w14:textId="0A2AA66A" w:rsidR="00DB08A4" w:rsidRPr="00DB08A4" w:rsidRDefault="00CD5D77">
            <w:pPr>
              <w:autoSpaceDE w:val="0"/>
              <w:autoSpaceDN w:val="0"/>
              <w:adjustRightInd w:val="0"/>
              <w:cnfStyle w:val="000000000000" w:firstRow="0" w:lastRow="0" w:firstColumn="0" w:lastColumn="0" w:oddVBand="0" w:evenVBand="0" w:oddHBand="0" w:evenHBand="0" w:firstRowFirstColumn="0" w:firstRowLastColumn="0" w:lastRowFirstColumn="0" w:lastRowLastColumn="0"/>
              <w:rPr>
                <w:rStyle w:val="Style1"/>
                <w:rFonts w:eastAsiaTheme="minorEastAsia"/>
              </w:rPr>
            </w:pPr>
            <w:r>
              <w:rPr>
                <w:rStyle w:val="Style1"/>
              </w:rPr>
              <w:t xml:space="preserve">532,063 </w:t>
            </w:r>
            <w:r w:rsidR="00DB08A4">
              <w:rPr>
                <w:rStyle w:val="Style1"/>
              </w:rPr>
              <w:t>(</w:t>
            </w:r>
            <w:r>
              <w:rPr>
                <w:rStyle w:val="Style1"/>
              </w:rPr>
              <w:t>84.36</w:t>
            </w:r>
            <w:r w:rsidR="00DB08A4" w:rsidRPr="00DB08A4">
              <w:rPr>
                <w:rStyle w:val="Style1"/>
              </w:rPr>
              <w:t>%)</w:t>
            </w:r>
          </w:p>
        </w:tc>
      </w:tr>
      <w:tr w:rsidR="00DB08A4" w:rsidRPr="00DB08A4" w14:paraId="6660BE77" w14:textId="77777777" w:rsidTr="000B0F90">
        <w:tc>
          <w:tcPr>
            <w:cnfStyle w:val="001000000000" w:firstRow="0" w:lastRow="0" w:firstColumn="1" w:lastColumn="0" w:oddVBand="0" w:evenVBand="0" w:oddHBand="0" w:evenHBand="0" w:firstRowFirstColumn="0" w:firstRowLastColumn="0" w:lastRowFirstColumn="0" w:lastRowLastColumn="0"/>
            <w:tcW w:w="2340" w:type="dxa"/>
          </w:tcPr>
          <w:p w14:paraId="46786023" w14:textId="77777777" w:rsidR="00DB08A4" w:rsidRPr="00DB08A4" w:rsidRDefault="00DB08A4" w:rsidP="000B0F90">
            <w:pPr>
              <w:autoSpaceDE w:val="0"/>
              <w:autoSpaceDN w:val="0"/>
              <w:adjustRightInd w:val="0"/>
              <w:rPr>
                <w:rStyle w:val="Style1"/>
              </w:rPr>
            </w:pPr>
            <w:r w:rsidRPr="00DB08A4">
              <w:rPr>
                <w:rStyle w:val="Style1"/>
              </w:rPr>
              <w:t>Male under 65 years</w:t>
            </w:r>
          </w:p>
        </w:tc>
        <w:tc>
          <w:tcPr>
            <w:tcW w:w="1980" w:type="dxa"/>
          </w:tcPr>
          <w:p w14:paraId="130D0751" w14:textId="0B480283" w:rsidR="00DB08A4" w:rsidRPr="0059181B" w:rsidRDefault="009B2CB0">
            <w:pPr>
              <w:autoSpaceDE w:val="0"/>
              <w:autoSpaceDN w:val="0"/>
              <w:adjustRightInd w:val="0"/>
              <w:cnfStyle w:val="000000000000" w:firstRow="0" w:lastRow="0" w:firstColumn="0" w:lastColumn="0" w:oddVBand="0" w:evenVBand="0" w:oddHBand="0" w:evenHBand="0" w:firstRowFirstColumn="0" w:firstRowLastColumn="0" w:lastRowFirstColumn="0" w:lastRowLastColumn="0"/>
              <w:rPr>
                <w:rStyle w:val="Style1"/>
                <w:rFonts w:eastAsiaTheme="minorEastAsia"/>
              </w:rPr>
            </w:pPr>
            <w:r w:rsidRPr="0059181B">
              <w:rPr>
                <w:rStyle w:val="Style1"/>
              </w:rPr>
              <w:t>37,648 (5.</w:t>
            </w:r>
            <w:r w:rsidR="004B7E0B" w:rsidRPr="005B2207">
              <w:rPr>
                <w:rStyle w:val="Style1"/>
              </w:rPr>
              <w:t>85</w:t>
            </w:r>
            <w:r w:rsidRPr="0059181B">
              <w:rPr>
                <w:rStyle w:val="Style1"/>
              </w:rPr>
              <w:t>%)</w:t>
            </w:r>
          </w:p>
        </w:tc>
        <w:tc>
          <w:tcPr>
            <w:tcW w:w="1153" w:type="dxa"/>
          </w:tcPr>
          <w:p w14:paraId="75DE77C7" w14:textId="77777777" w:rsidR="00DB08A4" w:rsidRPr="00DB08A4" w:rsidRDefault="00DB08A4" w:rsidP="000B0F90">
            <w:pPr>
              <w:autoSpaceDE w:val="0"/>
              <w:autoSpaceDN w:val="0"/>
              <w:adjustRightInd w:val="0"/>
              <w:cnfStyle w:val="000000000000" w:firstRow="0" w:lastRow="0" w:firstColumn="0" w:lastColumn="0" w:oddVBand="0" w:evenVBand="0" w:oddHBand="0" w:evenHBand="0" w:firstRowFirstColumn="0" w:firstRowLastColumn="0" w:lastRowFirstColumn="0" w:lastRowLastColumn="0"/>
              <w:rPr>
                <w:rStyle w:val="Style1"/>
                <w:b/>
              </w:rPr>
            </w:pPr>
            <w:r w:rsidRPr="00DB08A4">
              <w:rPr>
                <w:rStyle w:val="Style1"/>
                <w:b/>
              </w:rPr>
              <w:t xml:space="preserve">   Black</w:t>
            </w:r>
          </w:p>
        </w:tc>
        <w:tc>
          <w:tcPr>
            <w:tcW w:w="2016" w:type="dxa"/>
            <w:gridSpan w:val="2"/>
          </w:tcPr>
          <w:p w14:paraId="72A606D3" w14:textId="396FC59B" w:rsidR="00DB08A4" w:rsidRPr="00DB08A4" w:rsidRDefault="00CD5D77">
            <w:pPr>
              <w:autoSpaceDE w:val="0"/>
              <w:autoSpaceDN w:val="0"/>
              <w:adjustRightInd w:val="0"/>
              <w:cnfStyle w:val="000000000000" w:firstRow="0" w:lastRow="0" w:firstColumn="0" w:lastColumn="0" w:oddVBand="0" w:evenVBand="0" w:oddHBand="0" w:evenHBand="0" w:firstRowFirstColumn="0" w:firstRowLastColumn="0" w:lastRowFirstColumn="0" w:lastRowLastColumn="0"/>
              <w:rPr>
                <w:rStyle w:val="Style1"/>
                <w:rFonts w:eastAsiaTheme="minorEastAsia"/>
              </w:rPr>
            </w:pPr>
            <w:r>
              <w:rPr>
                <w:rStyle w:val="Style1"/>
              </w:rPr>
              <w:t xml:space="preserve">65,840 </w:t>
            </w:r>
            <w:r w:rsidR="00DB08A4">
              <w:rPr>
                <w:rStyle w:val="Style1"/>
              </w:rPr>
              <w:t>(1</w:t>
            </w:r>
            <w:r>
              <w:rPr>
                <w:rStyle w:val="Style1"/>
              </w:rPr>
              <w:t>0.44</w:t>
            </w:r>
            <w:r w:rsidR="00DB08A4" w:rsidRPr="00DB08A4">
              <w:rPr>
                <w:rStyle w:val="Style1"/>
              </w:rPr>
              <w:t>%)</w:t>
            </w:r>
          </w:p>
        </w:tc>
      </w:tr>
      <w:tr w:rsidR="00DB08A4" w:rsidRPr="00DB08A4" w14:paraId="4D331915" w14:textId="77777777" w:rsidTr="000B0F90">
        <w:tc>
          <w:tcPr>
            <w:cnfStyle w:val="001000000000" w:firstRow="0" w:lastRow="0" w:firstColumn="1" w:lastColumn="0" w:oddVBand="0" w:evenVBand="0" w:oddHBand="0" w:evenHBand="0" w:firstRowFirstColumn="0" w:firstRowLastColumn="0" w:lastRowFirstColumn="0" w:lastRowLastColumn="0"/>
            <w:tcW w:w="2340" w:type="dxa"/>
          </w:tcPr>
          <w:p w14:paraId="2877D823" w14:textId="77777777" w:rsidR="00DB08A4" w:rsidRPr="00DB08A4" w:rsidRDefault="00DB08A4" w:rsidP="000B0F90">
            <w:pPr>
              <w:autoSpaceDE w:val="0"/>
              <w:autoSpaceDN w:val="0"/>
              <w:adjustRightInd w:val="0"/>
              <w:rPr>
                <w:rStyle w:val="Style1"/>
              </w:rPr>
            </w:pPr>
            <w:r w:rsidRPr="00DB08A4">
              <w:rPr>
                <w:rStyle w:val="Style1"/>
              </w:rPr>
              <w:t>Female under 65 years</w:t>
            </w:r>
          </w:p>
        </w:tc>
        <w:tc>
          <w:tcPr>
            <w:tcW w:w="1980" w:type="dxa"/>
          </w:tcPr>
          <w:p w14:paraId="18AB88B0" w14:textId="6AB47056" w:rsidR="00DB08A4" w:rsidRPr="0059181B" w:rsidRDefault="009B2CB0">
            <w:pPr>
              <w:autoSpaceDE w:val="0"/>
              <w:autoSpaceDN w:val="0"/>
              <w:adjustRightInd w:val="0"/>
              <w:cnfStyle w:val="000000000000" w:firstRow="0" w:lastRow="0" w:firstColumn="0" w:lastColumn="0" w:oddVBand="0" w:evenVBand="0" w:oddHBand="0" w:evenHBand="0" w:firstRowFirstColumn="0" w:firstRowLastColumn="0" w:lastRowFirstColumn="0" w:lastRowLastColumn="0"/>
              <w:rPr>
                <w:rStyle w:val="Style1"/>
                <w:rFonts w:eastAsiaTheme="minorEastAsia"/>
              </w:rPr>
            </w:pPr>
            <w:r w:rsidRPr="0059181B">
              <w:rPr>
                <w:rStyle w:val="Style1"/>
              </w:rPr>
              <w:t>36,880 (</w:t>
            </w:r>
            <w:r w:rsidR="004B7E0B" w:rsidRPr="005B2207">
              <w:rPr>
                <w:rStyle w:val="Style1"/>
              </w:rPr>
              <w:t>5.97</w:t>
            </w:r>
            <w:r w:rsidRPr="0059181B">
              <w:rPr>
                <w:rStyle w:val="Style1"/>
              </w:rPr>
              <w:t xml:space="preserve">%) </w:t>
            </w:r>
          </w:p>
        </w:tc>
        <w:tc>
          <w:tcPr>
            <w:tcW w:w="1153" w:type="dxa"/>
          </w:tcPr>
          <w:p w14:paraId="07A796D7" w14:textId="77777777" w:rsidR="00DB08A4" w:rsidRPr="00DB08A4" w:rsidRDefault="00DB08A4" w:rsidP="000B0F90">
            <w:pPr>
              <w:autoSpaceDE w:val="0"/>
              <w:autoSpaceDN w:val="0"/>
              <w:adjustRightInd w:val="0"/>
              <w:cnfStyle w:val="000000000000" w:firstRow="0" w:lastRow="0" w:firstColumn="0" w:lastColumn="0" w:oddVBand="0" w:evenVBand="0" w:oddHBand="0" w:evenHBand="0" w:firstRowFirstColumn="0" w:firstRowLastColumn="0" w:lastRowFirstColumn="0" w:lastRowLastColumn="0"/>
              <w:rPr>
                <w:rStyle w:val="Style1"/>
                <w:b/>
              </w:rPr>
            </w:pPr>
            <w:r w:rsidRPr="00DB08A4">
              <w:rPr>
                <w:rStyle w:val="Style1"/>
                <w:b/>
              </w:rPr>
              <w:t xml:space="preserve">   Other</w:t>
            </w:r>
          </w:p>
        </w:tc>
        <w:tc>
          <w:tcPr>
            <w:tcW w:w="2016" w:type="dxa"/>
            <w:gridSpan w:val="2"/>
          </w:tcPr>
          <w:p w14:paraId="435273D9" w14:textId="16B854E9" w:rsidR="00DB08A4" w:rsidRPr="00DB08A4" w:rsidRDefault="009C33C8" w:rsidP="009C33C8">
            <w:pPr>
              <w:autoSpaceDE w:val="0"/>
              <w:autoSpaceDN w:val="0"/>
              <w:adjustRightInd w:val="0"/>
              <w:cnfStyle w:val="000000000000" w:firstRow="0" w:lastRow="0" w:firstColumn="0" w:lastColumn="0" w:oddVBand="0" w:evenVBand="0" w:oddHBand="0" w:evenHBand="0" w:firstRowFirstColumn="0" w:firstRowLastColumn="0" w:lastRowFirstColumn="0" w:lastRowLastColumn="0"/>
              <w:rPr>
                <w:rStyle w:val="Style1"/>
                <w:rFonts w:eastAsiaTheme="minorEastAsia"/>
              </w:rPr>
            </w:pPr>
            <w:r>
              <w:rPr>
                <w:rStyle w:val="Style1"/>
              </w:rPr>
              <w:t>28,592</w:t>
            </w:r>
            <w:r w:rsidR="00F83738">
              <w:rPr>
                <w:rStyle w:val="Style1"/>
              </w:rPr>
              <w:t xml:space="preserve"> (</w:t>
            </w:r>
            <w:r>
              <w:rPr>
                <w:rStyle w:val="Style1"/>
              </w:rPr>
              <w:t>4.53</w:t>
            </w:r>
            <w:r w:rsidR="00C05348">
              <w:rPr>
                <w:rStyle w:val="Style1"/>
              </w:rPr>
              <w:t>%)</w:t>
            </w:r>
          </w:p>
        </w:tc>
      </w:tr>
    </w:tbl>
    <w:p w14:paraId="377EA1D8" w14:textId="55F2EA8F" w:rsidR="00A97B3D" w:rsidRDefault="00DB08A4" w:rsidP="00DB3627">
      <w:pPr>
        <w:autoSpaceDE w:val="0"/>
        <w:autoSpaceDN w:val="0"/>
        <w:adjustRightInd w:val="0"/>
        <w:spacing w:after="0" w:line="240" w:lineRule="auto"/>
        <w:rPr>
          <w:rStyle w:val="Style1"/>
          <w:sz w:val="20"/>
        </w:rPr>
      </w:pPr>
      <w:r w:rsidRPr="00DB08A4">
        <w:rPr>
          <w:rStyle w:val="Style1"/>
          <w:sz w:val="20"/>
        </w:rPr>
        <w:t xml:space="preserve"> Analysis of Medicare Claims File for </w:t>
      </w:r>
      <w:r w:rsidR="00A7397E" w:rsidRPr="00FE4F0A">
        <w:rPr>
          <w:rStyle w:val="Style1"/>
          <w:sz w:val="20"/>
        </w:rPr>
        <w:t>IRF</w:t>
      </w:r>
      <w:r w:rsidRPr="007278B0">
        <w:rPr>
          <w:rStyle w:val="Style1"/>
          <w:sz w:val="20"/>
        </w:rPr>
        <w:t xml:space="preserve"> </w:t>
      </w:r>
      <w:r w:rsidR="007278B0" w:rsidRPr="008C7D29">
        <w:rPr>
          <w:rStyle w:val="Style1"/>
          <w:sz w:val="20"/>
        </w:rPr>
        <w:t>F</w:t>
      </w:r>
      <w:r w:rsidRPr="00FE4F0A">
        <w:rPr>
          <w:rStyle w:val="Style1"/>
          <w:sz w:val="20"/>
        </w:rPr>
        <w:t>Y 2016-2017 and Medicare Enrollment database.</w:t>
      </w:r>
    </w:p>
    <w:p w14:paraId="6CD5CD2D" w14:textId="2FCC375B" w:rsidR="006463A6" w:rsidRDefault="009C33C8" w:rsidP="00DB3627">
      <w:pPr>
        <w:autoSpaceDE w:val="0"/>
        <w:autoSpaceDN w:val="0"/>
        <w:adjustRightInd w:val="0"/>
        <w:spacing w:after="0" w:line="240" w:lineRule="auto"/>
        <w:rPr>
          <w:rStyle w:val="Style1"/>
          <w:sz w:val="20"/>
        </w:rPr>
      </w:pPr>
      <w:r>
        <w:rPr>
          <w:rStyle w:val="Style1"/>
          <w:sz w:val="20"/>
        </w:rPr>
        <w:t>*Race information was not available for 4,242</w:t>
      </w:r>
      <w:r w:rsidR="00A6442E">
        <w:rPr>
          <w:rStyle w:val="Style1"/>
          <w:sz w:val="20"/>
        </w:rPr>
        <w:t xml:space="preserve"> (0.67%) </w:t>
      </w:r>
      <w:r>
        <w:rPr>
          <w:rStyle w:val="Style1"/>
          <w:sz w:val="20"/>
        </w:rPr>
        <w:t>episodes</w:t>
      </w:r>
    </w:p>
    <w:p w14:paraId="0500421E" w14:textId="77777777" w:rsidR="009C33C8" w:rsidRDefault="009C33C8" w:rsidP="00DB3627">
      <w:pPr>
        <w:autoSpaceDE w:val="0"/>
        <w:autoSpaceDN w:val="0"/>
        <w:adjustRightInd w:val="0"/>
        <w:spacing w:after="0" w:line="240" w:lineRule="auto"/>
        <w:rPr>
          <w:rFonts w:cstheme="minorHAnsi"/>
          <w:bCs/>
        </w:rPr>
      </w:pPr>
    </w:p>
    <w:p w14:paraId="0CABCFCA" w14:textId="68848E67" w:rsidR="0021054A" w:rsidRDefault="000574AB" w:rsidP="00853F4A">
      <w:pPr>
        <w:pStyle w:val="Heading2"/>
      </w:pPr>
      <w:r w:rsidRPr="00A25024">
        <w:t>If there are differences in the data</w:t>
      </w:r>
      <w:r w:rsidR="009726E1" w:rsidRPr="00A25024">
        <w:t xml:space="preserve"> or sample</w:t>
      </w:r>
      <w:r w:rsidRPr="00A25024">
        <w:t xml:space="preserve"> used for different </w:t>
      </w:r>
      <w:r w:rsidR="000968F8" w:rsidRPr="00A25024">
        <w:t>aspects</w:t>
      </w:r>
      <w:r w:rsidRPr="00A25024">
        <w:t xml:space="preserve"> of testing (e.g., reliability, validi</w:t>
      </w:r>
      <w:r w:rsidR="007422FD" w:rsidRPr="00A25024">
        <w:t>ty, exclusions, risk adjustment</w:t>
      </w:r>
      <w:r w:rsidRPr="00A25024">
        <w:t xml:space="preserve">), identify </w:t>
      </w:r>
      <w:r w:rsidR="005A7634" w:rsidRPr="00A25024">
        <w:t xml:space="preserve">how the data or sample are different for </w:t>
      </w:r>
      <w:r w:rsidRPr="00A25024">
        <w:t xml:space="preserve">each </w:t>
      </w:r>
      <w:r w:rsidR="000968F8" w:rsidRPr="00A25024">
        <w:t>aspect</w:t>
      </w:r>
      <w:r w:rsidRPr="00A25024">
        <w:t xml:space="preserve"> of testing reported </w:t>
      </w:r>
      <w:r w:rsidR="00857EE8" w:rsidRPr="00A25024">
        <w:t>below</w:t>
      </w:r>
      <w:r w:rsidR="00E37E1B">
        <w:t>.</w:t>
      </w:r>
    </w:p>
    <w:p w14:paraId="4D44EEA8" w14:textId="77777777" w:rsidR="00853F4A" w:rsidRDefault="00853F4A" w:rsidP="00E37E1B">
      <w:pPr>
        <w:autoSpaceDE w:val="0"/>
        <w:autoSpaceDN w:val="0"/>
        <w:adjustRightInd w:val="0"/>
        <w:spacing w:after="0" w:line="240" w:lineRule="auto"/>
        <w:rPr>
          <w:rFonts w:cstheme="minorHAnsi"/>
          <w:bCs/>
        </w:rPr>
      </w:pPr>
    </w:p>
    <w:p w14:paraId="2F33050E" w14:textId="37E59E68" w:rsidR="00853F4A" w:rsidRPr="00853F4A" w:rsidRDefault="00B6296E" w:rsidP="00932E8F">
      <w:pPr>
        <w:autoSpaceDE w:val="0"/>
        <w:autoSpaceDN w:val="0"/>
        <w:adjustRightInd w:val="0"/>
        <w:spacing w:after="0" w:line="240" w:lineRule="auto"/>
        <w:ind w:firstLine="390"/>
        <w:rPr>
          <w:rStyle w:val="Style1"/>
        </w:rPr>
      </w:pPr>
      <w:r>
        <w:rPr>
          <w:rStyle w:val="Style1"/>
        </w:rPr>
        <w:t xml:space="preserve">MSPB-PAC </w:t>
      </w:r>
      <w:r w:rsidR="001C580A">
        <w:rPr>
          <w:rStyle w:val="Style1"/>
        </w:rPr>
        <w:t>IRF</w:t>
      </w:r>
      <w:r w:rsidR="0003793C">
        <w:rPr>
          <w:rStyle w:val="Style1"/>
        </w:rPr>
        <w:t xml:space="preserve"> </w:t>
      </w:r>
      <w:r w:rsidR="00853F4A" w:rsidRPr="00853F4A">
        <w:rPr>
          <w:rStyle w:val="Style1"/>
        </w:rPr>
        <w:t xml:space="preserve">score calculation removes outliers </w:t>
      </w:r>
      <w:r w:rsidR="00E079C1">
        <w:rPr>
          <w:rStyle w:val="Style1"/>
        </w:rPr>
        <w:t>in</w:t>
      </w:r>
      <w:r w:rsidR="00853F4A" w:rsidRPr="00853F4A">
        <w:rPr>
          <w:rStyle w:val="Style1"/>
        </w:rPr>
        <w:t xml:space="preserve"> the 1st and 99th percentile</w:t>
      </w:r>
      <w:r w:rsidR="00E079C1">
        <w:rPr>
          <w:rStyle w:val="Style1"/>
        </w:rPr>
        <w:t>s</w:t>
      </w:r>
      <w:r w:rsidR="00853F4A" w:rsidRPr="00853F4A">
        <w:rPr>
          <w:rStyle w:val="Style1"/>
        </w:rPr>
        <w:t xml:space="preserve"> of the residual distribution and subsequent testing and analyses were conducted on these </w:t>
      </w:r>
      <w:r w:rsidR="007278B0">
        <w:rPr>
          <w:rStyle w:val="Style1"/>
        </w:rPr>
        <w:t xml:space="preserve">618,123 </w:t>
      </w:r>
      <w:r w:rsidR="00853F4A" w:rsidRPr="00853F4A">
        <w:rPr>
          <w:rStyle w:val="Style1"/>
        </w:rPr>
        <w:t xml:space="preserve">episodes. </w:t>
      </w:r>
    </w:p>
    <w:p w14:paraId="5355BBE8" w14:textId="77777777" w:rsidR="00853F4A" w:rsidRPr="00853F4A" w:rsidRDefault="00853F4A" w:rsidP="004A5072">
      <w:pPr>
        <w:autoSpaceDE w:val="0"/>
        <w:autoSpaceDN w:val="0"/>
        <w:adjustRightInd w:val="0"/>
        <w:spacing w:after="0" w:line="240" w:lineRule="auto"/>
        <w:rPr>
          <w:rStyle w:val="Style1"/>
        </w:rPr>
      </w:pPr>
    </w:p>
    <w:p w14:paraId="1B169A9C" w14:textId="3AD82A55" w:rsidR="00853F4A" w:rsidRPr="00853F4A" w:rsidRDefault="00853F4A" w:rsidP="00932E8F">
      <w:pPr>
        <w:autoSpaceDE w:val="0"/>
        <w:autoSpaceDN w:val="0"/>
        <w:adjustRightInd w:val="0"/>
        <w:spacing w:after="0" w:line="240" w:lineRule="auto"/>
        <w:ind w:firstLine="390"/>
        <w:rPr>
          <w:rStyle w:val="Style1"/>
        </w:rPr>
      </w:pPr>
      <w:r w:rsidRPr="00853F4A">
        <w:rPr>
          <w:rStyle w:val="Style1"/>
        </w:rPr>
        <w:t>There were a total of 1</w:t>
      </w:r>
      <w:r w:rsidR="001C580A">
        <w:rPr>
          <w:rStyle w:val="Style1"/>
        </w:rPr>
        <w:t>,161 IRF</w:t>
      </w:r>
      <w:r w:rsidRPr="00853F4A">
        <w:rPr>
          <w:rStyle w:val="Style1"/>
        </w:rPr>
        <w:t xml:space="preserve">s with </w:t>
      </w:r>
      <w:r w:rsidR="007278B0">
        <w:rPr>
          <w:rStyle w:val="Style1"/>
        </w:rPr>
        <w:t>F</w:t>
      </w:r>
      <w:r w:rsidRPr="00853F4A">
        <w:rPr>
          <w:rStyle w:val="Style1"/>
        </w:rPr>
        <w:t xml:space="preserve">Y 2016-2017 </w:t>
      </w:r>
      <w:r w:rsidR="004C3950">
        <w:rPr>
          <w:rStyle w:val="Style1"/>
        </w:rPr>
        <w:t>episodes. Facility</w:t>
      </w:r>
      <w:r w:rsidRPr="005A5888">
        <w:rPr>
          <w:rStyle w:val="Style1"/>
        </w:rPr>
        <w:t>-level performance measure score reliability and validity testing was restricted to the 1</w:t>
      </w:r>
      <w:r w:rsidR="00A540C1" w:rsidRPr="008C7D29">
        <w:rPr>
          <w:rStyle w:val="Style1"/>
        </w:rPr>
        <w:t>,147 IRFs</w:t>
      </w:r>
      <w:r w:rsidRPr="005A5888">
        <w:rPr>
          <w:rStyle w:val="Style1"/>
        </w:rPr>
        <w:t xml:space="preserve"> with 20 or more episodes in </w:t>
      </w:r>
      <w:r w:rsidR="007278B0">
        <w:rPr>
          <w:rStyle w:val="Style1"/>
        </w:rPr>
        <w:t>F</w:t>
      </w:r>
      <w:r w:rsidRPr="005A5888">
        <w:rPr>
          <w:rStyle w:val="Style1"/>
        </w:rPr>
        <w:t>Y 2016-2017. We applied this restriction because this measure is only to be publicly reported for providers with a minimum of 20 stays in the two-year measure calculation period.</w:t>
      </w:r>
      <w:r w:rsidRPr="00853F4A">
        <w:rPr>
          <w:rStyle w:val="Style1"/>
        </w:rPr>
        <w:t xml:space="preserve"> </w:t>
      </w:r>
    </w:p>
    <w:p w14:paraId="1B0B0E2B" w14:textId="77777777" w:rsidR="00853F4A" w:rsidRDefault="00853F4A" w:rsidP="00853F4A">
      <w:pPr>
        <w:autoSpaceDE w:val="0"/>
        <w:autoSpaceDN w:val="0"/>
        <w:adjustRightInd w:val="0"/>
        <w:spacing w:after="0" w:line="240" w:lineRule="auto"/>
        <w:rPr>
          <w:rFonts w:cstheme="minorHAnsi"/>
          <w:bCs/>
        </w:rPr>
      </w:pPr>
    </w:p>
    <w:p w14:paraId="6EC647BD" w14:textId="6B961F22" w:rsidR="00C64278" w:rsidRDefault="0021054A" w:rsidP="005B2207">
      <w:pPr>
        <w:pStyle w:val="Heading2"/>
      </w:pPr>
      <w:r w:rsidRPr="00AF2D68">
        <w:t xml:space="preserve">What were the </w:t>
      </w:r>
      <w:r w:rsidR="009C7513" w:rsidRPr="00AF2D68">
        <w:t>social risk factors</w:t>
      </w:r>
      <w:r w:rsidRPr="00AF2D68">
        <w:t xml:space="preserve"> that were available and analyzed</w:t>
      </w:r>
      <w:r>
        <w:t xml:space="preserve">? </w:t>
      </w:r>
    </w:p>
    <w:p w14:paraId="0CABCFCC" w14:textId="073DF400" w:rsidR="0021054A" w:rsidRDefault="0021054A" w:rsidP="00E37E1B">
      <w:pPr>
        <w:autoSpaceDE w:val="0"/>
        <w:autoSpaceDN w:val="0"/>
        <w:adjustRightInd w:val="0"/>
        <w:spacing w:after="0" w:line="240" w:lineRule="auto"/>
        <w:rPr>
          <w:rFonts w:cstheme="minorHAnsi"/>
          <w:bCs/>
        </w:rPr>
      </w:pPr>
      <w:r>
        <w:rPr>
          <w:rFonts w:cstheme="minorHAnsi"/>
          <w:bCs/>
        </w:rPr>
        <w:t xml:space="preserve">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11C3E560" w14:textId="77777777" w:rsidR="00853F4A" w:rsidRDefault="00853F4A" w:rsidP="00E37E1B">
      <w:pPr>
        <w:autoSpaceDE w:val="0"/>
        <w:autoSpaceDN w:val="0"/>
        <w:adjustRightInd w:val="0"/>
        <w:spacing w:after="0" w:line="240" w:lineRule="auto"/>
        <w:rPr>
          <w:rFonts w:cstheme="minorHAnsi"/>
          <w:bCs/>
        </w:rPr>
      </w:pPr>
    </w:p>
    <w:p w14:paraId="3C163052" w14:textId="06EDF0B2" w:rsidR="00DF173E" w:rsidRDefault="00DF173E" w:rsidP="00932E8F">
      <w:pPr>
        <w:autoSpaceDE w:val="0"/>
        <w:autoSpaceDN w:val="0"/>
        <w:adjustRightInd w:val="0"/>
        <w:spacing w:after="0" w:line="240" w:lineRule="auto"/>
        <w:ind w:firstLine="360"/>
        <w:rPr>
          <w:rFonts w:eastAsia="Calibri" w:cstheme="minorHAnsi"/>
          <w:color w:val="0000FF"/>
        </w:rPr>
      </w:pPr>
      <w:r>
        <w:rPr>
          <w:bCs/>
          <w:color w:val="0000FF"/>
        </w:rPr>
        <w:t>W</w:t>
      </w:r>
      <w:r w:rsidRPr="00DF173E">
        <w:rPr>
          <w:bCs/>
          <w:color w:val="0000FF"/>
        </w:rPr>
        <w:t xml:space="preserve">e analyzed </w:t>
      </w:r>
      <w:r w:rsidRPr="00DF173E">
        <w:rPr>
          <w:rFonts w:eastAsia="Calibri" w:cstheme="minorHAnsi"/>
          <w:color w:val="0000FF"/>
        </w:rPr>
        <w:t xml:space="preserve">the impact of the following beneficiary-level and </w:t>
      </w:r>
      <w:r>
        <w:rPr>
          <w:rFonts w:eastAsia="Calibri" w:cstheme="minorHAnsi"/>
          <w:color w:val="0000FF"/>
        </w:rPr>
        <w:t>community</w:t>
      </w:r>
      <w:r w:rsidRPr="00DF173E">
        <w:rPr>
          <w:rFonts w:eastAsia="Calibri" w:cstheme="minorHAnsi"/>
          <w:color w:val="0000FF"/>
        </w:rPr>
        <w:t xml:space="preserve">-level social risk factors: </w:t>
      </w:r>
    </w:p>
    <w:p w14:paraId="3CFDD46A" w14:textId="15859C9C" w:rsidR="00DF173E" w:rsidRPr="00DF173E" w:rsidRDefault="00D10332" w:rsidP="00DF173E">
      <w:pPr>
        <w:pStyle w:val="ListParagraph"/>
        <w:numPr>
          <w:ilvl w:val="0"/>
          <w:numId w:val="32"/>
        </w:numPr>
        <w:autoSpaceDE w:val="0"/>
        <w:autoSpaceDN w:val="0"/>
        <w:adjustRightInd w:val="0"/>
        <w:spacing w:after="0" w:line="240" w:lineRule="auto"/>
        <w:rPr>
          <w:rFonts w:cstheme="minorHAnsi"/>
          <w:bCs/>
        </w:rPr>
      </w:pPr>
      <w:r>
        <w:rPr>
          <w:rFonts w:eastAsia="Calibri" w:cstheme="minorHAnsi"/>
          <w:color w:val="0000FF"/>
        </w:rPr>
        <w:t>Med</w:t>
      </w:r>
      <w:r w:rsidR="009B29E4">
        <w:rPr>
          <w:rFonts w:eastAsia="Calibri" w:cstheme="minorHAnsi"/>
          <w:color w:val="0000FF"/>
        </w:rPr>
        <w:t>icare/Medicaid</w:t>
      </w:r>
      <w:r>
        <w:rPr>
          <w:rFonts w:eastAsia="Calibri" w:cstheme="minorHAnsi"/>
          <w:color w:val="0000FF"/>
        </w:rPr>
        <w:t xml:space="preserve"> d</w:t>
      </w:r>
      <w:r w:rsidR="00DF173E" w:rsidRPr="00DF173E">
        <w:rPr>
          <w:rFonts w:eastAsia="Calibri" w:cstheme="minorHAnsi"/>
          <w:color w:val="0000FF"/>
        </w:rPr>
        <w:t xml:space="preserve">ual eligibility, </w:t>
      </w:r>
    </w:p>
    <w:p w14:paraId="02536AEB" w14:textId="77777777" w:rsidR="00DF173E" w:rsidRPr="00DF173E" w:rsidRDefault="00DF173E" w:rsidP="00DF173E">
      <w:pPr>
        <w:pStyle w:val="ListParagraph"/>
        <w:numPr>
          <w:ilvl w:val="0"/>
          <w:numId w:val="32"/>
        </w:numPr>
        <w:autoSpaceDE w:val="0"/>
        <w:autoSpaceDN w:val="0"/>
        <w:adjustRightInd w:val="0"/>
        <w:spacing w:after="0" w:line="240" w:lineRule="auto"/>
        <w:rPr>
          <w:rFonts w:cstheme="minorHAnsi"/>
          <w:bCs/>
        </w:rPr>
      </w:pPr>
      <w:r>
        <w:rPr>
          <w:rFonts w:eastAsia="Calibri" w:cstheme="minorHAnsi"/>
          <w:color w:val="0000FF"/>
        </w:rPr>
        <w:t>R</w:t>
      </w:r>
      <w:r w:rsidRPr="00DF173E">
        <w:rPr>
          <w:rFonts w:eastAsia="Calibri" w:cstheme="minorHAnsi"/>
          <w:color w:val="0000FF"/>
        </w:rPr>
        <w:t xml:space="preserve">ace/ethnicity, </w:t>
      </w:r>
    </w:p>
    <w:p w14:paraId="1FE6F375" w14:textId="6CCD867B" w:rsidR="00DF173E" w:rsidRPr="00DF173E" w:rsidRDefault="00DF173E" w:rsidP="00DF173E">
      <w:pPr>
        <w:pStyle w:val="ListParagraph"/>
        <w:numPr>
          <w:ilvl w:val="0"/>
          <w:numId w:val="32"/>
        </w:numPr>
        <w:autoSpaceDE w:val="0"/>
        <w:autoSpaceDN w:val="0"/>
        <w:adjustRightInd w:val="0"/>
        <w:spacing w:after="0" w:line="240" w:lineRule="auto"/>
        <w:rPr>
          <w:rFonts w:cstheme="minorHAnsi"/>
          <w:bCs/>
        </w:rPr>
      </w:pPr>
      <w:r>
        <w:rPr>
          <w:rFonts w:eastAsia="Calibri" w:cstheme="minorHAnsi"/>
          <w:color w:val="0000FF"/>
        </w:rPr>
        <w:t>U</w:t>
      </w:r>
      <w:r w:rsidRPr="00DF173E">
        <w:rPr>
          <w:rFonts w:eastAsia="Calibri" w:cstheme="minorHAnsi"/>
          <w:color w:val="0000FF"/>
        </w:rPr>
        <w:t>rbanicity</w:t>
      </w:r>
      <w:r>
        <w:rPr>
          <w:rFonts w:eastAsia="Calibri" w:cstheme="minorHAnsi"/>
          <w:color w:val="0000FF"/>
        </w:rPr>
        <w:t>,</w:t>
      </w:r>
      <w:r w:rsidRPr="00DF173E">
        <w:rPr>
          <w:rFonts w:eastAsia="Calibri" w:cstheme="minorHAnsi"/>
          <w:color w:val="0000FF"/>
        </w:rPr>
        <w:t xml:space="preserve"> based on beneficiary </w:t>
      </w:r>
      <w:r w:rsidR="009613C7">
        <w:rPr>
          <w:rFonts w:eastAsia="Calibri" w:cstheme="minorHAnsi"/>
          <w:color w:val="0000FF"/>
        </w:rPr>
        <w:t>ZIP code</w:t>
      </w:r>
      <w:r w:rsidRPr="00DF173E">
        <w:rPr>
          <w:rFonts w:eastAsia="Calibri" w:cstheme="minorHAnsi"/>
          <w:color w:val="0000FF"/>
        </w:rPr>
        <w:t xml:space="preserve">, and </w:t>
      </w:r>
    </w:p>
    <w:p w14:paraId="23436074" w14:textId="793544FF" w:rsidR="00853F4A" w:rsidRPr="00DF173E" w:rsidRDefault="00DF173E" w:rsidP="00DF173E">
      <w:pPr>
        <w:pStyle w:val="ListParagraph"/>
        <w:numPr>
          <w:ilvl w:val="0"/>
          <w:numId w:val="32"/>
        </w:numPr>
        <w:autoSpaceDE w:val="0"/>
        <w:autoSpaceDN w:val="0"/>
        <w:adjustRightInd w:val="0"/>
        <w:spacing w:after="0" w:line="240" w:lineRule="auto"/>
        <w:rPr>
          <w:rFonts w:cstheme="minorHAnsi"/>
          <w:bCs/>
        </w:rPr>
      </w:pPr>
      <w:r>
        <w:rPr>
          <w:rFonts w:eastAsia="Calibri" w:cstheme="minorHAnsi"/>
          <w:color w:val="0000FF"/>
        </w:rPr>
        <w:t>S</w:t>
      </w:r>
      <w:r w:rsidRPr="00DF173E">
        <w:rPr>
          <w:rFonts w:eastAsia="Calibri" w:cstheme="minorHAnsi"/>
          <w:color w:val="0000FF"/>
        </w:rPr>
        <w:t>ocioeconomic status (SES)</w:t>
      </w:r>
      <w:r w:rsidR="009613C7">
        <w:rPr>
          <w:rFonts w:eastAsia="Calibri" w:cstheme="minorHAnsi"/>
          <w:color w:val="0000FF"/>
        </w:rPr>
        <w:t xml:space="preserve">, based on beneficiary ZIP code and using data from the </w:t>
      </w:r>
      <w:r w:rsidR="009613C7" w:rsidRPr="009613C7">
        <w:rPr>
          <w:rFonts w:eastAsia="Calibri" w:cstheme="minorHAnsi"/>
          <w:color w:val="0000FF"/>
        </w:rPr>
        <w:t>201</w:t>
      </w:r>
      <w:r w:rsidR="00020ED5">
        <w:rPr>
          <w:rFonts w:eastAsia="Calibri" w:cstheme="minorHAnsi"/>
          <w:color w:val="0000FF"/>
        </w:rPr>
        <w:t>7</w:t>
      </w:r>
      <w:r w:rsidR="009613C7" w:rsidRPr="009613C7">
        <w:rPr>
          <w:rFonts w:eastAsia="Calibri" w:cstheme="minorHAnsi"/>
          <w:color w:val="0000FF"/>
        </w:rPr>
        <w:t xml:space="preserve"> American Community Survey (5-year file)</w:t>
      </w:r>
      <w:r w:rsidRPr="00DF173E">
        <w:rPr>
          <w:rFonts w:eastAsia="Calibri" w:cstheme="minorHAnsi"/>
          <w:color w:val="0000FF"/>
        </w:rPr>
        <w:t>.</w:t>
      </w: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CF1289">
      <w:pPr>
        <w:pStyle w:val="Heading1"/>
      </w:pPr>
      <w:r w:rsidRPr="00A25024">
        <w:t>2</w:t>
      </w:r>
      <w:r w:rsidR="00EA5F47" w:rsidRPr="00A25024">
        <w:t>a</w:t>
      </w:r>
      <w:r w:rsidRPr="00A25024">
        <w:t>2. RELIABILITY TESTING</w:t>
      </w:r>
      <w:r w:rsidR="008A403A" w:rsidRPr="00A25024">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3D5F3B82" w14:textId="77777777" w:rsidR="00C64278" w:rsidRDefault="00092566" w:rsidP="00EE4048">
      <w:pPr>
        <w:pStyle w:val="Heading3"/>
      </w:pPr>
      <w:r>
        <w:t>2a2.1</w:t>
      </w:r>
      <w:r w:rsidR="008C54A9" w:rsidRPr="00A25024">
        <w:t xml:space="preserve">. </w:t>
      </w:r>
      <w:r w:rsidR="000968F8" w:rsidRPr="00EE4048">
        <w:t>What</w:t>
      </w:r>
      <w:r w:rsidR="000968F8" w:rsidRPr="00A25024">
        <w:t xml:space="preserve"> level of reliability testing was conducted</w:t>
      </w:r>
      <w:r w:rsidR="000574AB" w:rsidRPr="00A25024">
        <w:t>?</w:t>
      </w:r>
      <w:r w:rsidR="00D50704" w:rsidRPr="00A25024">
        <w:t xml:space="preserve"> </w:t>
      </w:r>
    </w:p>
    <w:p w14:paraId="7B0680D2" w14:textId="55E4F908" w:rsidR="00EE4048" w:rsidRPr="002E6199" w:rsidRDefault="00D50704" w:rsidP="008C54A9">
      <w:pPr>
        <w:autoSpaceDE w:val="0"/>
        <w:autoSpaceDN w:val="0"/>
        <w:adjustRightInd w:val="0"/>
        <w:spacing w:after="0" w:line="240" w:lineRule="auto"/>
        <w:rPr>
          <w:rFonts w:cstheme="minorHAnsi"/>
          <w:bCs/>
          <w:u w:val="single"/>
        </w:rPr>
      </w:pPr>
      <w:r w:rsidRPr="00A25024">
        <w:rPr>
          <w:rFonts w:cstheme="minorHAnsi"/>
          <w:bCs/>
        </w:rPr>
        <w:t>(</w:t>
      </w:r>
      <w:r w:rsidR="00E310B9" w:rsidRPr="00A25024">
        <w:rPr>
          <w:rFonts w:cstheme="minorHAnsi"/>
          <w:bCs/>
          <w:i/>
        </w:rPr>
        <w:t xml:space="preserve">may </w:t>
      </w:r>
      <w:r w:rsidRPr="00A25024">
        <w:rPr>
          <w:rFonts w:cstheme="minorHAnsi"/>
          <w:bCs/>
          <w:i/>
        </w:rPr>
        <w:t>be one or both levels</w:t>
      </w:r>
      <w:r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2E6199">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p>
    <w:p w14:paraId="0CABCFD1" w14:textId="1760E38E" w:rsidR="001969C5" w:rsidRPr="00A25024" w:rsidRDefault="001F7A20" w:rsidP="00EE4048">
      <w:pPr>
        <w:pStyle w:val="Heading3"/>
      </w:pPr>
      <w:r>
        <w:t>2a2.</w:t>
      </w:r>
      <w:r w:rsidRPr="00A25024">
        <w:t xml:space="preserve">2. </w:t>
      </w:r>
      <w:r w:rsidR="008C54A9" w:rsidRPr="00A25024">
        <w:t xml:space="preserve">For each level checked above, describe the method of </w:t>
      </w:r>
      <w:r w:rsidR="000968F8" w:rsidRPr="00A25024">
        <w:t xml:space="preserve">reliability </w:t>
      </w:r>
      <w:r w:rsidR="008C54A9" w:rsidRPr="00A25024">
        <w:t xml:space="preserve">testing and what it tests (describe the steps―do not just name a method; </w:t>
      </w:r>
      <w:r w:rsidR="008C54A9" w:rsidRPr="0022691B">
        <w:t xml:space="preserve">what </w:t>
      </w:r>
      <w:r w:rsidR="002408E4">
        <w:t>type of erro</w:t>
      </w:r>
      <w:r w:rsidR="007D7019">
        <w:t>r</w:t>
      </w:r>
      <w:r w:rsidR="002408E4">
        <w:t xml:space="preserve"> </w:t>
      </w:r>
      <w:r w:rsidR="008C54A9" w:rsidRPr="0022691B">
        <w:t>does it test</w:t>
      </w:r>
      <w:r w:rsidR="0022691B">
        <w:t>;</w:t>
      </w:r>
      <w:r w:rsidR="0022691B" w:rsidRPr="0022691B">
        <w:t xml:space="preserve"> </w:t>
      </w:r>
      <w:r w:rsidR="0022691B">
        <w:t>what statistical analysis was used</w:t>
      </w:r>
      <w:r w:rsidR="007757CE" w:rsidRPr="0022691B">
        <w:t>)</w:t>
      </w:r>
    </w:p>
    <w:p w14:paraId="0CABCFD2" w14:textId="77777777" w:rsidR="008C54A9" w:rsidRDefault="008C54A9" w:rsidP="008C54A9">
      <w:pPr>
        <w:autoSpaceDE w:val="0"/>
        <w:autoSpaceDN w:val="0"/>
        <w:adjustRightInd w:val="0"/>
        <w:spacing w:after="0" w:line="240" w:lineRule="auto"/>
        <w:rPr>
          <w:rFonts w:cstheme="minorHAnsi"/>
          <w:bCs/>
        </w:rPr>
      </w:pPr>
    </w:p>
    <w:p w14:paraId="39599159" w14:textId="00EE7F54" w:rsidR="002E6199" w:rsidRPr="002E6199" w:rsidRDefault="002E6199" w:rsidP="00932E8F">
      <w:pPr>
        <w:autoSpaceDE w:val="0"/>
        <w:autoSpaceDN w:val="0"/>
        <w:adjustRightInd w:val="0"/>
        <w:spacing w:line="240" w:lineRule="auto"/>
        <w:ind w:firstLine="720"/>
        <w:contextualSpacing/>
        <w:rPr>
          <w:rStyle w:val="Style1"/>
        </w:rPr>
      </w:pPr>
      <w:r>
        <w:rPr>
          <w:rStyle w:val="Style1"/>
        </w:rPr>
        <w:t>We</w:t>
      </w:r>
      <w:r w:rsidRPr="002E6199">
        <w:rPr>
          <w:rStyle w:val="Style1"/>
        </w:rPr>
        <w:t xml:space="preserve"> examined the measure score’s ability to captu</w:t>
      </w:r>
      <w:r w:rsidR="004C3950">
        <w:rPr>
          <w:rStyle w:val="Style1"/>
        </w:rPr>
        <w:t>re between-facility</w:t>
      </w:r>
      <w:r w:rsidRPr="002E6199">
        <w:rPr>
          <w:rStyle w:val="Style1"/>
        </w:rPr>
        <w:t xml:space="preserve"> differences versus random error using a signal-to-noise </w:t>
      </w:r>
      <w:r w:rsidR="009B29E4">
        <w:rPr>
          <w:rStyle w:val="Style1"/>
        </w:rPr>
        <w:t>r</w:t>
      </w:r>
      <w:r w:rsidRPr="002E6199">
        <w:rPr>
          <w:rStyle w:val="Style1"/>
        </w:rPr>
        <w:t xml:space="preserve">eliability </w:t>
      </w:r>
      <w:r w:rsidR="00012813">
        <w:rPr>
          <w:rStyle w:val="Style1"/>
        </w:rPr>
        <w:t>s</w:t>
      </w:r>
      <w:r w:rsidRPr="002E6199">
        <w:rPr>
          <w:rStyle w:val="Style1"/>
        </w:rPr>
        <w:t>core, defined below. We also examined measure score repeatability by asses</w:t>
      </w:r>
      <w:r w:rsidR="004C3950">
        <w:rPr>
          <w:rStyle w:val="Style1"/>
        </w:rPr>
        <w:t>sing agreement between a facility</w:t>
      </w:r>
      <w:r w:rsidRPr="002E6199">
        <w:rPr>
          <w:rStyle w:val="Style1"/>
        </w:rPr>
        <w:t xml:space="preserve">’s MSPB scores based on randomly-split independent subsets of </w:t>
      </w:r>
      <w:r w:rsidR="005A5888">
        <w:rPr>
          <w:rStyle w:val="Style1"/>
        </w:rPr>
        <w:t>IRF</w:t>
      </w:r>
      <w:r w:rsidRPr="002E6199">
        <w:rPr>
          <w:rStyle w:val="Style1"/>
        </w:rPr>
        <w:t xml:space="preserve"> episodes</w:t>
      </w:r>
      <w:bookmarkStart w:id="14" w:name="_Hlk526948845"/>
      <w:r w:rsidRPr="002E6199">
        <w:rPr>
          <w:rStyle w:val="Style1"/>
        </w:rPr>
        <w:t xml:space="preserve">. </w:t>
      </w:r>
      <w:bookmarkEnd w:id="14"/>
      <w:r w:rsidR="007C7F0E" w:rsidRPr="002E6199">
        <w:rPr>
          <w:rStyle w:val="Style1"/>
        </w:rPr>
        <w:t>Performance</w:t>
      </w:r>
      <w:r w:rsidR="00EE1F6B">
        <w:rPr>
          <w:rStyle w:val="Style1"/>
        </w:rPr>
        <w:t xml:space="preserve"> </w:t>
      </w:r>
      <w:r w:rsidR="007C7F0E" w:rsidRPr="002E6199">
        <w:rPr>
          <w:rStyle w:val="Style1"/>
        </w:rPr>
        <w:t xml:space="preserve">measure score reliability testing was restricted to the </w:t>
      </w:r>
      <w:r w:rsidR="007C7F0E" w:rsidRPr="00A540C1">
        <w:rPr>
          <w:rStyle w:val="Style1"/>
        </w:rPr>
        <w:t>1</w:t>
      </w:r>
      <w:r w:rsidR="00A540C1" w:rsidRPr="008C7D29">
        <w:rPr>
          <w:rStyle w:val="Style1"/>
        </w:rPr>
        <w:t>,147</w:t>
      </w:r>
      <w:r w:rsidR="007C7F0E" w:rsidRPr="00A540C1">
        <w:rPr>
          <w:rStyle w:val="Style1"/>
        </w:rPr>
        <w:t xml:space="preserve"> </w:t>
      </w:r>
      <w:r w:rsidR="001C580A" w:rsidRPr="00A540C1">
        <w:rPr>
          <w:rStyle w:val="Style1"/>
        </w:rPr>
        <w:t>Inpatient</w:t>
      </w:r>
      <w:r w:rsidR="001C580A">
        <w:rPr>
          <w:rStyle w:val="Style1"/>
        </w:rPr>
        <w:t xml:space="preserve"> Rehabilitation Facilities</w:t>
      </w:r>
      <w:r w:rsidR="007C7F0E" w:rsidRPr="002E6199">
        <w:rPr>
          <w:rStyle w:val="Style1"/>
        </w:rPr>
        <w:t xml:space="preserve"> (</w:t>
      </w:r>
      <w:r w:rsidR="001C580A">
        <w:rPr>
          <w:rStyle w:val="Style1"/>
        </w:rPr>
        <w:t>IRF</w:t>
      </w:r>
      <w:r w:rsidR="001C580A" w:rsidRPr="002E6199">
        <w:rPr>
          <w:rStyle w:val="Style1"/>
        </w:rPr>
        <w:t>s</w:t>
      </w:r>
      <w:r w:rsidR="007C7F0E" w:rsidRPr="005A5888">
        <w:rPr>
          <w:rStyle w:val="Style1"/>
        </w:rPr>
        <w:t xml:space="preserve">) </w:t>
      </w:r>
      <w:r w:rsidR="007C7F0E" w:rsidRPr="00FE4F0A">
        <w:rPr>
          <w:rStyle w:val="Style1"/>
        </w:rPr>
        <w:t xml:space="preserve">with 20 or more episodes in the </w:t>
      </w:r>
      <w:r w:rsidR="007278B0" w:rsidRPr="008C7D29">
        <w:rPr>
          <w:rStyle w:val="Style1"/>
        </w:rPr>
        <w:t>F</w:t>
      </w:r>
      <w:r w:rsidR="007C7F0E" w:rsidRPr="00FE4F0A">
        <w:rPr>
          <w:rStyle w:val="Style1"/>
        </w:rPr>
        <w:t>Y 2016</w:t>
      </w:r>
      <w:r w:rsidR="006447DA" w:rsidRPr="00FE4F0A">
        <w:rPr>
          <w:rStyle w:val="Style1"/>
        </w:rPr>
        <w:t>-</w:t>
      </w:r>
      <w:r w:rsidR="007C7F0E" w:rsidRPr="009F5674">
        <w:rPr>
          <w:rStyle w:val="Style1"/>
        </w:rPr>
        <w:t xml:space="preserve">2017 measurement period, as only </w:t>
      </w:r>
      <w:r w:rsidR="001C580A" w:rsidRPr="009F5674">
        <w:rPr>
          <w:rStyle w:val="Style1"/>
        </w:rPr>
        <w:t xml:space="preserve">IRFs </w:t>
      </w:r>
      <w:r w:rsidR="007C7F0E" w:rsidRPr="009F5674">
        <w:rPr>
          <w:rStyle w:val="Style1"/>
        </w:rPr>
        <w:t>with a minimum of 20 episodes in the two-year measurement period will be publicly reported.</w:t>
      </w:r>
    </w:p>
    <w:p w14:paraId="4C327B3A" w14:textId="77777777" w:rsidR="002E6199" w:rsidRDefault="002E6199" w:rsidP="004A5072">
      <w:pPr>
        <w:autoSpaceDE w:val="0"/>
        <w:autoSpaceDN w:val="0"/>
        <w:adjustRightInd w:val="0"/>
        <w:spacing w:after="0" w:line="240" w:lineRule="auto"/>
        <w:rPr>
          <w:rFonts w:cstheme="minorHAnsi"/>
          <w:bCs/>
        </w:rPr>
      </w:pPr>
    </w:p>
    <w:p w14:paraId="42B2908B" w14:textId="603EB8E3" w:rsidR="002E6199" w:rsidRPr="002E6199" w:rsidRDefault="002E6199" w:rsidP="00932E8F">
      <w:pPr>
        <w:spacing w:line="240" w:lineRule="auto"/>
        <w:ind w:firstLine="720"/>
        <w:rPr>
          <w:rStyle w:val="Style1"/>
        </w:rPr>
      </w:pPr>
      <w:r w:rsidRPr="002E6199">
        <w:rPr>
          <w:rStyle w:val="Style1"/>
          <w:b/>
        </w:rPr>
        <w:t>Reliability Score</w:t>
      </w:r>
      <w:r w:rsidRPr="002E6199">
        <w:rPr>
          <w:rStyle w:val="Style1"/>
        </w:rPr>
        <w:t>: Measure reliability scores reflect the extent to which variation in the measure is due to true, underlying provider performance rather than random variation (i.e.</w:t>
      </w:r>
      <w:r w:rsidR="00CF6F55">
        <w:rPr>
          <w:rStyle w:val="Style1"/>
        </w:rPr>
        <w:t>,</w:t>
      </w:r>
      <w:r w:rsidRPr="002E6199">
        <w:rPr>
          <w:rStyle w:val="Style1"/>
        </w:rPr>
        <w:t xml:space="preserve"> statistical noise) due to the sample of cases observed. In the case of MSPB-PAC, the reliability score captures how much of the variance in measure scores is due to differences in episode payments between agencies rather than differences in e</w:t>
      </w:r>
      <w:r w:rsidR="004C3950">
        <w:rPr>
          <w:rStyle w:val="Style1"/>
        </w:rPr>
        <w:t>pisode payments within a facility</w:t>
      </w:r>
      <w:r w:rsidRPr="002E6199">
        <w:rPr>
          <w:rStyle w:val="Style1"/>
        </w:rPr>
        <w:t xml:space="preserve">’s set of episodes. This score is calculated for each </w:t>
      </w:r>
      <w:r w:rsidR="004C3950">
        <w:rPr>
          <w:rStyle w:val="Style1"/>
        </w:rPr>
        <w:t>facility</w:t>
      </w:r>
      <w:r w:rsidRPr="002E6199">
        <w:rPr>
          <w:rStyle w:val="Style1"/>
        </w:rPr>
        <w:t>, using t</w:t>
      </w:r>
      <w:r w:rsidR="00B17B9B">
        <w:rPr>
          <w:rStyle w:val="Style1"/>
        </w:rPr>
        <w:t>he following formula:</w:t>
      </w:r>
      <w:r w:rsidRPr="002E6199">
        <w:rPr>
          <w:rStyle w:val="Style1"/>
        </w:rPr>
        <w:t xml:space="preserve"> </w:t>
      </w:r>
    </w:p>
    <w:p w14:paraId="575FEF46" w14:textId="3A9DED04" w:rsidR="002E6199" w:rsidRPr="004E386C" w:rsidRDefault="002E6199" w:rsidP="004A5072">
      <w:pPr>
        <w:spacing w:line="240" w:lineRule="auto"/>
        <w:jc w:val="center"/>
        <w:rPr>
          <w:rStyle w:val="Style1"/>
          <w:b/>
        </w:rPr>
      </w:pPr>
      <w:r w:rsidRPr="004E386C">
        <w:rPr>
          <w:rStyle w:val="Style1"/>
          <w:b/>
        </w:rPr>
        <w:t xml:space="preserve">Reliability Score: </w:t>
      </w:r>
      <m:oMath>
        <m:sSub>
          <m:sSubPr>
            <m:ctrlPr>
              <w:rPr>
                <w:rStyle w:val="Style1"/>
                <w:rFonts w:ascii="Cambria Math" w:hAnsi="Cambria Math"/>
              </w:rPr>
            </m:ctrlPr>
          </m:sSubPr>
          <m:e>
            <m:r>
              <w:rPr>
                <w:rStyle w:val="Style1"/>
                <w:rFonts w:ascii="Cambria Math" w:hAnsi="Cambria Math"/>
              </w:rPr>
              <m:t>R</m:t>
            </m:r>
          </m:e>
          <m:sub>
            <m:r>
              <w:rPr>
                <w:rStyle w:val="Style1"/>
                <w:rFonts w:ascii="Cambria Math" w:hAnsi="Cambria Math"/>
              </w:rPr>
              <m:t>k</m:t>
            </m:r>
          </m:sub>
        </m:sSub>
        <m:r>
          <m:rPr>
            <m:sty m:val="p"/>
          </m:rPr>
          <w:rPr>
            <w:rStyle w:val="Style1"/>
            <w:rFonts w:ascii="Cambria Math" w:hAnsi="Cambria Math"/>
          </w:rPr>
          <m:t>=</m:t>
        </m:r>
        <m:sSub>
          <m:sSubPr>
            <m:ctrlPr>
              <w:rPr>
                <w:rStyle w:val="Style1"/>
                <w:rFonts w:ascii="Cambria Math" w:hAnsi="Cambria Math"/>
              </w:rPr>
            </m:ctrlPr>
          </m:sSubPr>
          <m:e>
            <m:r>
              <w:rPr>
                <w:rStyle w:val="Style1"/>
                <w:rFonts w:ascii="Cambria Math" w:hAnsi="Cambria Math"/>
              </w:rPr>
              <m:t>V</m:t>
            </m:r>
          </m:e>
          <m:sub>
            <m:r>
              <w:rPr>
                <w:rStyle w:val="Style1"/>
                <w:rFonts w:ascii="Cambria Math" w:hAnsi="Cambria Math"/>
              </w:rPr>
              <m:t>b</m:t>
            </m:r>
          </m:sub>
        </m:sSub>
        <m:r>
          <m:rPr>
            <m:sty m:val="p"/>
          </m:rPr>
          <w:rPr>
            <w:rStyle w:val="Style1"/>
            <w:rFonts w:ascii="Cambria Math" w:hAnsi="Cambria Math"/>
          </w:rPr>
          <m:t>/(</m:t>
        </m:r>
        <m:sSub>
          <m:sSubPr>
            <m:ctrlPr>
              <w:rPr>
                <w:rStyle w:val="Style1"/>
                <w:rFonts w:ascii="Cambria Math" w:hAnsi="Cambria Math"/>
              </w:rPr>
            </m:ctrlPr>
          </m:sSubPr>
          <m:e>
            <m:r>
              <w:rPr>
                <w:rStyle w:val="Style1"/>
                <w:rFonts w:ascii="Cambria Math" w:hAnsi="Cambria Math"/>
              </w:rPr>
              <m:t>V</m:t>
            </m:r>
          </m:e>
          <m:sub>
            <m:r>
              <w:rPr>
                <w:rStyle w:val="Style1"/>
                <w:rFonts w:ascii="Cambria Math" w:hAnsi="Cambria Math"/>
              </w:rPr>
              <m:t>b</m:t>
            </m:r>
          </m:sub>
        </m:sSub>
        <m:r>
          <m:rPr>
            <m:sty m:val="p"/>
          </m:rPr>
          <w:rPr>
            <w:rStyle w:val="Style1"/>
            <w:rFonts w:ascii="Cambria Math" w:hAnsi="Cambria Math"/>
          </w:rPr>
          <m:t>+(</m:t>
        </m:r>
        <m:sSub>
          <m:sSubPr>
            <m:ctrlPr>
              <w:rPr>
                <w:rStyle w:val="Style1"/>
                <w:rFonts w:ascii="Cambria Math" w:hAnsi="Cambria Math"/>
              </w:rPr>
            </m:ctrlPr>
          </m:sSubPr>
          <m:e>
            <m:r>
              <w:rPr>
                <w:rStyle w:val="Style1"/>
                <w:rFonts w:ascii="Cambria Math" w:hAnsi="Cambria Math"/>
              </w:rPr>
              <m:t>V</m:t>
            </m:r>
          </m:e>
          <m:sub>
            <m:sSub>
              <m:sSubPr>
                <m:ctrlPr>
                  <w:rPr>
                    <w:rStyle w:val="Style1"/>
                    <w:rFonts w:ascii="Cambria Math" w:hAnsi="Cambria Math"/>
                  </w:rPr>
                </m:ctrlPr>
              </m:sSubPr>
              <m:e>
                <m:r>
                  <w:rPr>
                    <w:rStyle w:val="Style1"/>
                    <w:rFonts w:ascii="Cambria Math" w:hAnsi="Cambria Math"/>
                  </w:rPr>
                  <m:t>w</m:t>
                </m:r>
              </m:e>
              <m:sub>
                <m:r>
                  <w:rPr>
                    <w:rStyle w:val="Style1"/>
                    <w:rFonts w:ascii="Cambria Math" w:hAnsi="Cambria Math"/>
                  </w:rPr>
                  <m:t>k</m:t>
                </m:r>
              </m:sub>
            </m:sSub>
          </m:sub>
        </m:sSub>
        <m:r>
          <m:rPr>
            <m:sty m:val="p"/>
          </m:rPr>
          <w:rPr>
            <w:rStyle w:val="Style1"/>
            <w:rFonts w:ascii="Cambria Math" w:hAnsi="Cambria Math"/>
          </w:rPr>
          <m:t>/</m:t>
        </m:r>
        <m:sSub>
          <m:sSubPr>
            <m:ctrlPr>
              <w:rPr>
                <w:rStyle w:val="Style1"/>
                <w:rFonts w:ascii="Cambria Math" w:hAnsi="Cambria Math"/>
              </w:rPr>
            </m:ctrlPr>
          </m:sSubPr>
          <m:e>
            <m:r>
              <w:rPr>
                <w:rStyle w:val="Style1"/>
                <w:rFonts w:ascii="Cambria Math" w:hAnsi="Cambria Math"/>
              </w:rPr>
              <m:t>n</m:t>
            </m:r>
          </m:e>
          <m:sub>
            <m:r>
              <w:rPr>
                <w:rStyle w:val="Style1"/>
                <w:rFonts w:ascii="Cambria Math" w:hAnsi="Cambria Math"/>
              </w:rPr>
              <m:t>k</m:t>
            </m:r>
          </m:sub>
        </m:sSub>
        <m:r>
          <m:rPr>
            <m:sty m:val="p"/>
          </m:rPr>
          <w:rPr>
            <w:rStyle w:val="Style1"/>
            <w:rFonts w:ascii="Cambria Math" w:hAnsi="Cambria Math"/>
          </w:rPr>
          <m:t>))</m:t>
        </m:r>
      </m:oMath>
      <w:r w:rsidR="000F180C">
        <w:rPr>
          <w:rStyle w:val="Style1"/>
        </w:rPr>
        <w:t>,</w:t>
      </w:r>
    </w:p>
    <w:p w14:paraId="4A28450A" w14:textId="10625969" w:rsidR="009B29E4" w:rsidRPr="002E6199" w:rsidRDefault="000F180C" w:rsidP="009B29E4">
      <w:pPr>
        <w:autoSpaceDE w:val="0"/>
        <w:autoSpaceDN w:val="0"/>
        <w:adjustRightInd w:val="0"/>
        <w:spacing w:line="240" w:lineRule="auto"/>
        <w:contextualSpacing/>
        <w:rPr>
          <w:rStyle w:val="Style1"/>
        </w:rPr>
      </w:pPr>
      <w:r>
        <w:rPr>
          <w:rStyle w:val="Style1"/>
        </w:rPr>
        <w:t>w</w:t>
      </w:r>
      <w:r w:rsidR="002E6199" w:rsidRPr="002E6199">
        <w:rPr>
          <w:rStyle w:val="Style1"/>
        </w:rPr>
        <w:t xml:space="preserve">here </w:t>
      </w:r>
      <m:oMath>
        <m:sSub>
          <m:sSubPr>
            <m:ctrlPr>
              <w:rPr>
                <w:rStyle w:val="Style1"/>
                <w:rFonts w:ascii="Cambria Math" w:hAnsi="Cambria Math"/>
              </w:rPr>
            </m:ctrlPr>
          </m:sSubPr>
          <m:e>
            <m:r>
              <w:rPr>
                <w:rStyle w:val="Style1"/>
                <w:rFonts w:ascii="Cambria Math" w:hAnsi="Cambria Math"/>
              </w:rPr>
              <m:t>R</m:t>
            </m:r>
          </m:e>
          <m:sub>
            <m:r>
              <w:rPr>
                <w:rStyle w:val="Style1"/>
                <w:rFonts w:ascii="Cambria Math" w:hAnsi="Cambria Math"/>
              </w:rPr>
              <m:t>k</m:t>
            </m:r>
          </m:sub>
        </m:sSub>
      </m:oMath>
      <w:r w:rsidR="002E6199" w:rsidRPr="002E6199">
        <w:rPr>
          <w:rStyle w:val="Style1"/>
        </w:rPr>
        <w:t xml:space="preserve"> is the reliability for </w:t>
      </w:r>
      <w:r w:rsidR="004C3950">
        <w:rPr>
          <w:rStyle w:val="Style1"/>
        </w:rPr>
        <w:t>facility</w:t>
      </w:r>
      <w:r w:rsidR="002E6199" w:rsidRPr="002E6199">
        <w:rPr>
          <w:rStyle w:val="Style1"/>
        </w:rPr>
        <w:t xml:space="preserve"> </w:t>
      </w:r>
      <w:r w:rsidR="00B86F66" w:rsidRPr="00F21CE6">
        <w:rPr>
          <w:rStyle w:val="Style1"/>
          <w:i/>
        </w:rPr>
        <w:t>k</w:t>
      </w:r>
      <w:r w:rsidR="002E6199" w:rsidRPr="002E6199">
        <w:rPr>
          <w:rStyle w:val="Style1"/>
        </w:rPr>
        <w:t xml:space="preserve">, </w:t>
      </w:r>
      <m:oMath>
        <m:sSub>
          <m:sSubPr>
            <m:ctrlPr>
              <w:rPr>
                <w:rStyle w:val="Style1"/>
                <w:rFonts w:ascii="Cambria Math" w:hAnsi="Cambria Math"/>
              </w:rPr>
            </m:ctrlPr>
          </m:sSubPr>
          <m:e>
            <m:r>
              <w:rPr>
                <w:rStyle w:val="Style1"/>
                <w:rFonts w:ascii="Cambria Math" w:hAnsi="Cambria Math"/>
              </w:rPr>
              <m:t>V</m:t>
            </m:r>
          </m:e>
          <m:sub>
            <m:r>
              <w:rPr>
                <w:rStyle w:val="Style1"/>
                <w:rFonts w:ascii="Cambria Math" w:hAnsi="Cambria Math"/>
              </w:rPr>
              <m:t>b</m:t>
            </m:r>
          </m:sub>
        </m:sSub>
        <m:r>
          <m:rPr>
            <m:sty m:val="p"/>
          </m:rPr>
          <w:rPr>
            <w:rStyle w:val="Style1"/>
            <w:rFonts w:ascii="Cambria Math" w:hAnsi="Cambria Math"/>
          </w:rPr>
          <m:t xml:space="preserve"> </m:t>
        </m:r>
      </m:oMath>
      <w:r w:rsidR="002E6199" w:rsidRPr="002E6199">
        <w:rPr>
          <w:rStyle w:val="Style1"/>
        </w:rPr>
        <w:t>is the between-</w:t>
      </w:r>
      <w:r w:rsidR="004C3950">
        <w:rPr>
          <w:rStyle w:val="Style1"/>
        </w:rPr>
        <w:t>facility</w:t>
      </w:r>
      <w:r w:rsidR="002E6199" w:rsidRPr="002E6199">
        <w:rPr>
          <w:rStyle w:val="Style1"/>
        </w:rPr>
        <w:t xml:space="preserve"> variance, </w:t>
      </w:r>
      <m:oMath>
        <m:sSub>
          <m:sSubPr>
            <m:ctrlPr>
              <w:rPr>
                <w:rStyle w:val="Style1"/>
                <w:rFonts w:ascii="Cambria Math" w:hAnsi="Cambria Math"/>
              </w:rPr>
            </m:ctrlPr>
          </m:sSubPr>
          <m:e>
            <m:r>
              <w:rPr>
                <w:rStyle w:val="Style1"/>
                <w:rFonts w:ascii="Cambria Math" w:hAnsi="Cambria Math"/>
              </w:rPr>
              <m:t>V</m:t>
            </m:r>
          </m:e>
          <m:sub>
            <m:sSub>
              <m:sSubPr>
                <m:ctrlPr>
                  <w:rPr>
                    <w:rStyle w:val="Style1"/>
                    <w:rFonts w:ascii="Cambria Math" w:hAnsi="Cambria Math"/>
                  </w:rPr>
                </m:ctrlPr>
              </m:sSubPr>
              <m:e>
                <m:r>
                  <w:rPr>
                    <w:rStyle w:val="Style1"/>
                    <w:rFonts w:ascii="Cambria Math" w:hAnsi="Cambria Math"/>
                  </w:rPr>
                  <m:t>w</m:t>
                </m:r>
              </m:e>
              <m:sub>
                <m:r>
                  <w:rPr>
                    <w:rStyle w:val="Style1"/>
                    <w:rFonts w:ascii="Cambria Math" w:hAnsi="Cambria Math"/>
                  </w:rPr>
                  <m:t>k</m:t>
                </m:r>
              </m:sub>
            </m:sSub>
          </m:sub>
        </m:sSub>
      </m:oMath>
      <w:r w:rsidR="002E6199" w:rsidRPr="002E6199">
        <w:rPr>
          <w:rStyle w:val="Style1"/>
        </w:rPr>
        <w:t xml:space="preserve"> is the within-</w:t>
      </w:r>
      <w:r w:rsidR="004C3950">
        <w:rPr>
          <w:rStyle w:val="Style1"/>
        </w:rPr>
        <w:t>facility</w:t>
      </w:r>
      <w:r w:rsidR="002E6199" w:rsidRPr="002E6199">
        <w:rPr>
          <w:rStyle w:val="Style1"/>
        </w:rPr>
        <w:t xml:space="preserve"> variance for </w:t>
      </w:r>
      <w:r w:rsidR="004C3950">
        <w:rPr>
          <w:rStyle w:val="Style1"/>
        </w:rPr>
        <w:t>facility</w:t>
      </w:r>
      <w:r w:rsidR="002E6199" w:rsidRPr="002E6199">
        <w:rPr>
          <w:rStyle w:val="Style1"/>
        </w:rPr>
        <w:t xml:space="preserve"> </w:t>
      </w:r>
      <w:r w:rsidR="00B86F66">
        <w:rPr>
          <w:rStyle w:val="Style1"/>
          <w:i/>
        </w:rPr>
        <w:t>k</w:t>
      </w:r>
      <w:r w:rsidR="002E6199" w:rsidRPr="002E6199">
        <w:rPr>
          <w:rStyle w:val="Style1"/>
        </w:rPr>
        <w:t xml:space="preserve">, and </w:t>
      </w:r>
      <m:oMath>
        <m:sSub>
          <m:sSubPr>
            <m:ctrlPr>
              <w:rPr>
                <w:rStyle w:val="Style1"/>
                <w:rFonts w:ascii="Cambria Math" w:hAnsi="Cambria Math"/>
              </w:rPr>
            </m:ctrlPr>
          </m:sSubPr>
          <m:e>
            <m:r>
              <w:rPr>
                <w:rStyle w:val="Style1"/>
                <w:rFonts w:ascii="Cambria Math" w:hAnsi="Cambria Math"/>
              </w:rPr>
              <m:t>n</m:t>
            </m:r>
          </m:e>
          <m:sub>
            <m:r>
              <w:rPr>
                <w:rStyle w:val="Style1"/>
                <w:rFonts w:ascii="Cambria Math" w:hAnsi="Cambria Math"/>
              </w:rPr>
              <m:t>k</m:t>
            </m:r>
          </m:sub>
        </m:sSub>
        <m:r>
          <m:rPr>
            <m:sty m:val="p"/>
          </m:rPr>
          <w:rPr>
            <w:rStyle w:val="Style1"/>
            <w:rFonts w:ascii="Cambria Math" w:hAnsi="Cambria Math"/>
          </w:rPr>
          <m:t xml:space="preserve"> </m:t>
        </m:r>
      </m:oMath>
      <w:r w:rsidR="002E6199" w:rsidRPr="002E6199">
        <w:rPr>
          <w:rStyle w:val="Style1"/>
        </w:rPr>
        <w:t xml:space="preserve">is the number of MSPB episodes for </w:t>
      </w:r>
      <w:r w:rsidR="004C3950">
        <w:rPr>
          <w:rStyle w:val="Style1"/>
        </w:rPr>
        <w:t>facility</w:t>
      </w:r>
      <w:r w:rsidR="002E6199" w:rsidRPr="002E6199">
        <w:rPr>
          <w:rStyle w:val="Style1"/>
        </w:rPr>
        <w:t xml:space="preserve"> </w:t>
      </w:r>
      <w:r w:rsidR="00B86F66" w:rsidRPr="00F21CE6">
        <w:rPr>
          <w:rStyle w:val="Style1"/>
          <w:i/>
        </w:rPr>
        <w:t>k</w:t>
      </w:r>
      <w:r w:rsidR="002E6199" w:rsidRPr="002E6199">
        <w:rPr>
          <w:rStyle w:val="Style1"/>
        </w:rPr>
        <w:t>.</w:t>
      </w:r>
      <w:r w:rsidR="002E6199" w:rsidRPr="002E6199">
        <w:rPr>
          <w:rStyle w:val="Style1"/>
          <w:vertAlign w:val="superscript"/>
        </w:rPr>
        <w:footnoteReference w:id="1"/>
      </w:r>
      <w:r w:rsidR="002E6199" w:rsidRPr="002E6199">
        <w:rPr>
          <w:rStyle w:val="Style1"/>
        </w:rPr>
        <w:t xml:space="preserve"> We report the </w:t>
      </w:r>
      <w:r w:rsidR="004C3950">
        <w:rPr>
          <w:rStyle w:val="Style1"/>
        </w:rPr>
        <w:t>facility</w:t>
      </w:r>
      <w:r w:rsidR="002E6199" w:rsidRPr="002E6199">
        <w:rPr>
          <w:rStyle w:val="Style1"/>
        </w:rPr>
        <w:t>-level distribution of the reliability score.</w:t>
      </w:r>
      <w:r w:rsidR="009B29E4">
        <w:rPr>
          <w:rStyle w:val="Style1"/>
        </w:rPr>
        <w:t xml:space="preserve"> </w:t>
      </w:r>
    </w:p>
    <w:p w14:paraId="166B34E9" w14:textId="22982E38" w:rsidR="002E6199" w:rsidRPr="002E6199" w:rsidRDefault="002E6199" w:rsidP="00F21CE6">
      <w:pPr>
        <w:autoSpaceDE w:val="0"/>
        <w:autoSpaceDN w:val="0"/>
        <w:adjustRightInd w:val="0"/>
        <w:spacing w:line="240" w:lineRule="auto"/>
        <w:contextualSpacing/>
        <w:rPr>
          <w:rStyle w:val="Style1"/>
        </w:rPr>
      </w:pPr>
    </w:p>
    <w:p w14:paraId="3246D2EA" w14:textId="279E9218" w:rsidR="002E6199" w:rsidRPr="00804378" w:rsidRDefault="002E6199" w:rsidP="00932E8F">
      <w:pPr>
        <w:spacing w:after="160" w:line="240" w:lineRule="auto"/>
        <w:ind w:firstLine="720"/>
        <w:rPr>
          <w:rStyle w:val="Style1"/>
        </w:rPr>
      </w:pPr>
      <w:r w:rsidRPr="002E6199">
        <w:rPr>
          <w:rStyle w:val="Style1"/>
          <w:b/>
        </w:rPr>
        <w:t>Split-sample Reliability Testing</w:t>
      </w:r>
      <w:r w:rsidRPr="002E6199">
        <w:rPr>
          <w:rStyle w:val="Style1"/>
        </w:rPr>
        <w:t xml:space="preserve">: This test examined agreement between two performance measure scores for </w:t>
      </w:r>
      <w:r w:rsidR="00041BAD">
        <w:rPr>
          <w:rStyle w:val="Style1"/>
        </w:rPr>
        <w:t>a facility</w:t>
      </w:r>
      <w:r w:rsidRPr="002E6199">
        <w:rPr>
          <w:rStyle w:val="Style1"/>
        </w:rPr>
        <w:t xml:space="preserve"> based on randomly-split, independent subsets of </w:t>
      </w:r>
      <w:r w:rsidR="00D10415">
        <w:rPr>
          <w:rStyle w:val="Style1"/>
        </w:rPr>
        <w:t>IRF</w:t>
      </w:r>
      <w:r w:rsidRPr="002E6199">
        <w:rPr>
          <w:rStyle w:val="Style1"/>
        </w:rPr>
        <w:t xml:space="preserve"> episodes. Good agreement indicates that the performance score is more the result of </w:t>
      </w:r>
      <w:r w:rsidR="004C3950">
        <w:rPr>
          <w:rStyle w:val="Style1"/>
        </w:rPr>
        <w:t>facility</w:t>
      </w:r>
      <w:r w:rsidRPr="002E6199">
        <w:rPr>
          <w:rStyle w:val="Style1"/>
        </w:rPr>
        <w:t xml:space="preserve"> characteristics, like efficiency of care, rather than </w:t>
      </w:r>
      <w:r w:rsidR="00193275">
        <w:rPr>
          <w:rStyle w:val="Style1"/>
        </w:rPr>
        <w:t>statistical noise due to random variation</w:t>
      </w:r>
      <w:r w:rsidR="007D2C2D">
        <w:rPr>
          <w:rStyle w:val="Style1"/>
        </w:rPr>
        <w:t>.</w:t>
      </w:r>
      <w:r w:rsidR="00193275">
        <w:rPr>
          <w:rStyle w:val="Style1"/>
        </w:rPr>
        <w:t xml:space="preserve"> </w:t>
      </w:r>
      <w:r w:rsidR="009A5651">
        <w:rPr>
          <w:rStyle w:val="Style1"/>
        </w:rPr>
        <w:t>W</w:t>
      </w:r>
      <w:r w:rsidR="00193275">
        <w:rPr>
          <w:rStyle w:val="Style1"/>
        </w:rPr>
        <w:t>e used four years of data (</w:t>
      </w:r>
      <w:r w:rsidR="000F180C" w:rsidRPr="005B2207">
        <w:rPr>
          <w:rStyle w:val="Style1"/>
        </w:rPr>
        <w:t>F</w:t>
      </w:r>
      <w:r w:rsidR="00193275" w:rsidRPr="000F180C">
        <w:rPr>
          <w:rStyle w:val="Style1"/>
        </w:rPr>
        <w:t>Y 2014-2017</w:t>
      </w:r>
      <w:r w:rsidR="00193275">
        <w:rPr>
          <w:rStyle w:val="Style1"/>
        </w:rPr>
        <w:t>)</w:t>
      </w:r>
      <w:r w:rsidR="001B0EFC">
        <w:rPr>
          <w:rStyle w:val="Style1"/>
        </w:rPr>
        <w:t xml:space="preserve"> to </w:t>
      </w:r>
      <w:r w:rsidR="007B01D9">
        <w:rPr>
          <w:rStyle w:val="Style1"/>
        </w:rPr>
        <w:t>achieve</w:t>
      </w:r>
      <w:r w:rsidR="001B0EFC">
        <w:rPr>
          <w:rStyle w:val="Style1"/>
        </w:rPr>
        <w:t xml:space="preserve"> </w:t>
      </w:r>
      <w:r w:rsidR="009A5651">
        <w:rPr>
          <w:rStyle w:val="Style1"/>
        </w:rPr>
        <w:t xml:space="preserve">numbers of episodes per </w:t>
      </w:r>
      <w:r w:rsidR="004C3950">
        <w:rPr>
          <w:rStyle w:val="Style1"/>
        </w:rPr>
        <w:t>facility</w:t>
      </w:r>
      <w:r w:rsidR="009A5651">
        <w:rPr>
          <w:rStyle w:val="Style1"/>
        </w:rPr>
        <w:t xml:space="preserve"> </w:t>
      </w:r>
      <w:r w:rsidR="00087A2E">
        <w:rPr>
          <w:rStyle w:val="Style1"/>
        </w:rPr>
        <w:t xml:space="preserve">in the split-half samples </w:t>
      </w:r>
      <w:r w:rsidR="009A5651">
        <w:rPr>
          <w:rStyle w:val="Style1"/>
        </w:rPr>
        <w:t>that are comparable to the numbers used for the actual measure scores.</w:t>
      </w:r>
      <w:r w:rsidRPr="002E6199">
        <w:rPr>
          <w:rStyle w:val="Style1"/>
        </w:rPr>
        <w:t xml:space="preserve"> </w:t>
      </w:r>
      <w:r w:rsidR="001B0EFC">
        <w:rPr>
          <w:rStyle w:val="Style1"/>
        </w:rPr>
        <w:t>The sample w</w:t>
      </w:r>
      <w:r w:rsidR="007B01D9">
        <w:rPr>
          <w:rStyle w:val="Style1"/>
        </w:rPr>
        <w:t>as</w:t>
      </w:r>
      <w:r w:rsidR="001B0EFC">
        <w:rPr>
          <w:rStyle w:val="Style1"/>
        </w:rPr>
        <w:t xml:space="preserve"> </w:t>
      </w:r>
      <w:r w:rsidRPr="002E6199">
        <w:rPr>
          <w:rStyle w:val="Style1"/>
        </w:rPr>
        <w:t xml:space="preserve">stratified by </w:t>
      </w:r>
      <w:r w:rsidR="00261288">
        <w:rPr>
          <w:rStyle w:val="Style1"/>
        </w:rPr>
        <w:t>fiscal</w:t>
      </w:r>
      <w:r w:rsidRPr="002E6199">
        <w:rPr>
          <w:rStyle w:val="Style1"/>
        </w:rPr>
        <w:t xml:space="preserve"> year, thus ensuring that episodes within each </w:t>
      </w:r>
      <w:r w:rsidR="00261288">
        <w:rPr>
          <w:rStyle w:val="Style1"/>
        </w:rPr>
        <w:t xml:space="preserve">fiscal </w:t>
      </w:r>
      <w:r w:rsidRPr="002E6199">
        <w:rPr>
          <w:rStyle w:val="Style1"/>
        </w:rPr>
        <w:t>year were evenly distributed across the split-halves. We calculated performance measure scores for each split-half sample using the same measure</w:t>
      </w:r>
      <w:r w:rsidRPr="002E6199">
        <w:rPr>
          <w:rFonts w:ascii="Calibri" w:eastAsia="MS Mincho" w:hAnsi="Calibri" w:cs="Calibri"/>
        </w:rPr>
        <w:t xml:space="preserve"> </w:t>
      </w:r>
      <w:r w:rsidRPr="00804378">
        <w:rPr>
          <w:rStyle w:val="Style1"/>
        </w:rPr>
        <w:t xml:space="preserve">specification. We then calculated Shrout-Fleiss intraclass correlation coefficients </w:t>
      </w:r>
      <w:r w:rsidR="00B77798">
        <w:rPr>
          <w:rStyle w:val="Style1"/>
        </w:rPr>
        <w:t>ICC(2,1)</w:t>
      </w:r>
      <w:r w:rsidRPr="00804378">
        <w:rPr>
          <w:rStyle w:val="Style1"/>
          <w:vertAlign w:val="superscript"/>
        </w:rPr>
        <w:footnoteReference w:id="2"/>
      </w:r>
      <w:r w:rsidRPr="00804378">
        <w:rPr>
          <w:rStyle w:val="Style1"/>
          <w:vertAlign w:val="superscript"/>
        </w:rPr>
        <w:t xml:space="preserve"> </w:t>
      </w:r>
      <w:r w:rsidRPr="00804378">
        <w:rPr>
          <w:rStyle w:val="Style1"/>
        </w:rPr>
        <w:t>between the split-half scores to measure reliability.</w:t>
      </w:r>
    </w:p>
    <w:p w14:paraId="47AE394F" w14:textId="3FE0E1F0" w:rsidR="002E6199" w:rsidRDefault="002E6199" w:rsidP="00932E8F">
      <w:pPr>
        <w:spacing w:after="160" w:line="240" w:lineRule="auto"/>
        <w:ind w:firstLine="720"/>
        <w:rPr>
          <w:rStyle w:val="Style1"/>
        </w:rPr>
      </w:pPr>
      <w:r w:rsidRPr="00804378">
        <w:rPr>
          <w:rStyle w:val="Style1"/>
        </w:rPr>
        <w:t xml:space="preserve">We also calculated ICCs between split-half scores stratified by </w:t>
      </w:r>
      <w:r w:rsidR="004C3950">
        <w:rPr>
          <w:rStyle w:val="Style1"/>
        </w:rPr>
        <w:t>facility</w:t>
      </w:r>
      <w:r w:rsidRPr="00804378">
        <w:rPr>
          <w:rStyle w:val="Style1"/>
        </w:rPr>
        <w:t xml:space="preserve"> size to assess whether reliability was acceptable across providers of varying sample size. To do this, we first split our sample of 1</w:t>
      </w:r>
      <w:r w:rsidR="005A5888">
        <w:rPr>
          <w:rStyle w:val="Style1"/>
        </w:rPr>
        <w:t>,147 IRF</w:t>
      </w:r>
      <w:r w:rsidRPr="00804378">
        <w:rPr>
          <w:rStyle w:val="Style1"/>
        </w:rPr>
        <w:t>s into quartiles based on</w:t>
      </w:r>
      <w:r w:rsidR="001B0EFC">
        <w:rPr>
          <w:rStyle w:val="Style1"/>
        </w:rPr>
        <w:t xml:space="preserve"> </w:t>
      </w:r>
      <w:r w:rsidR="004C3950">
        <w:rPr>
          <w:rStyle w:val="Style1"/>
        </w:rPr>
        <w:t>facility</w:t>
      </w:r>
      <w:r w:rsidRPr="00804378">
        <w:rPr>
          <w:rStyle w:val="Style1"/>
        </w:rPr>
        <w:t xml:space="preserve"> size. We then calculated ICCs within each quartile using the split-half performance measure scores derived above. Lower ICC scores indicate less correlation between the two estimates, a score of 1 would mean the estimates are exactly the same. </w:t>
      </w:r>
    </w:p>
    <w:p w14:paraId="31488676" w14:textId="316726EF" w:rsidR="00FD4FB8" w:rsidRPr="00A25024" w:rsidRDefault="00FD4FB8" w:rsidP="00932E8F">
      <w:pPr>
        <w:spacing w:after="160" w:line="240" w:lineRule="auto"/>
        <w:ind w:firstLine="720"/>
        <w:rPr>
          <w:rFonts w:cstheme="minorHAnsi"/>
          <w:bCs/>
        </w:rPr>
      </w:pPr>
      <w:r w:rsidRPr="00346412">
        <w:rPr>
          <w:rStyle w:val="Style1"/>
        </w:rPr>
        <w:t xml:space="preserve">The </w:t>
      </w:r>
      <w:r>
        <w:rPr>
          <w:rStyle w:val="Style1"/>
        </w:rPr>
        <w:t>Reliability Score and the ICC</w:t>
      </w:r>
      <w:r w:rsidRPr="00346412">
        <w:rPr>
          <w:rStyle w:val="Style1"/>
        </w:rPr>
        <w:t xml:space="preserve"> capture related, but distinct, concepts. ICC(2,1) will tend to differ from the </w:t>
      </w:r>
      <w:r>
        <w:rPr>
          <w:rStyle w:val="Style1"/>
        </w:rPr>
        <w:t>Reliability Score metric for two reasons: t</w:t>
      </w:r>
      <w:r w:rsidRPr="00346412">
        <w:rPr>
          <w:rStyle w:val="Style1"/>
        </w:rPr>
        <w:t xml:space="preserve">he denominator </w:t>
      </w:r>
      <w:r>
        <w:rPr>
          <w:rStyle w:val="Style1"/>
        </w:rPr>
        <w:t>of ICC(2,1) (i</w:t>
      </w:r>
      <w:r w:rsidRPr="00346412">
        <w:rPr>
          <w:rStyle w:val="Style1"/>
        </w:rPr>
        <w:t xml:space="preserve">) includes statistical variation arising from true differences in </w:t>
      </w:r>
      <w:r>
        <w:rPr>
          <w:rStyle w:val="Style1"/>
        </w:rPr>
        <w:t xml:space="preserve">a provider’s </w:t>
      </w:r>
      <w:r w:rsidRPr="00346412">
        <w:rPr>
          <w:rStyle w:val="Style1"/>
        </w:rPr>
        <w:t>performance across performance periods; and (</w:t>
      </w:r>
      <w:r>
        <w:rPr>
          <w:rStyle w:val="Style1"/>
        </w:rPr>
        <w:t>ii</w:t>
      </w:r>
      <w:r w:rsidRPr="00346412">
        <w:rPr>
          <w:rStyle w:val="Style1"/>
        </w:rPr>
        <w:t xml:space="preserve">) </w:t>
      </w:r>
      <w:r w:rsidRPr="00571D88">
        <w:rPr>
          <w:rStyle w:val="Style1"/>
        </w:rPr>
        <w:t>imposes a common variance for the residual</w:t>
      </w:r>
      <w:r>
        <w:rPr>
          <w:rStyle w:val="Style1"/>
        </w:rPr>
        <w:t>s</w:t>
      </w:r>
      <w:r w:rsidRPr="00571D88">
        <w:rPr>
          <w:rStyle w:val="Style1"/>
        </w:rPr>
        <w:t xml:space="preserve"> across providers, ignoring differences in precision arising from differences in case sizes. Reason (</w:t>
      </w:r>
      <w:r>
        <w:rPr>
          <w:rStyle w:val="Style1"/>
        </w:rPr>
        <w:t>i</w:t>
      </w:r>
      <w:r w:rsidRPr="00571D88">
        <w:rPr>
          <w:rStyle w:val="Style1"/>
        </w:rPr>
        <w:t xml:space="preserve">) makes ICC(2,1) a less relevant metric in this context, since program goals actually require accurately distinguishing systematic  performance changes from one period to another, rather than treating them as statistical noise. To avoid this issue, one could alternatively calculate ICC(2,1) using split-half samples from a single performance period. However, this approach also underestimates reliability of the measure for use in the program; in this case, under-estimation occurs because case sizes are artificially cut in half from true case sizes, mechanically reducing precision from the intended application of the measures. </w:t>
      </w:r>
      <w:r>
        <w:rPr>
          <w:rStyle w:val="Style1"/>
        </w:rPr>
        <w:t>F</w:t>
      </w:r>
      <w:r w:rsidRPr="00571D88">
        <w:rPr>
          <w:rStyle w:val="Style1"/>
        </w:rPr>
        <w:t xml:space="preserve">or </w:t>
      </w:r>
      <w:r>
        <w:rPr>
          <w:rStyle w:val="Style1"/>
        </w:rPr>
        <w:t xml:space="preserve">these </w:t>
      </w:r>
      <w:r w:rsidRPr="00571D88">
        <w:rPr>
          <w:rStyle w:val="Style1"/>
        </w:rPr>
        <w:t xml:space="preserve">reasons, </w:t>
      </w:r>
      <w:r>
        <w:rPr>
          <w:rStyle w:val="Style1"/>
        </w:rPr>
        <w:t xml:space="preserve">we </w:t>
      </w:r>
      <w:r w:rsidRPr="00571D88">
        <w:rPr>
          <w:rStyle w:val="Style1"/>
        </w:rPr>
        <w:t xml:space="preserve">view the </w:t>
      </w:r>
      <w:r>
        <w:rPr>
          <w:rStyle w:val="Style1"/>
        </w:rPr>
        <w:t>Reliability Score</w:t>
      </w:r>
      <w:r w:rsidRPr="00571D88">
        <w:rPr>
          <w:rStyle w:val="Style1"/>
        </w:rPr>
        <w:t xml:space="preserve"> as the preferred and more relevant </w:t>
      </w:r>
      <w:r>
        <w:rPr>
          <w:rStyle w:val="Style1"/>
        </w:rPr>
        <w:t>metric of reliability</w:t>
      </w:r>
      <w:r w:rsidRPr="00571D88">
        <w:rPr>
          <w:rStyle w:val="Style1"/>
        </w:rPr>
        <w:t>.</w:t>
      </w:r>
      <w:r>
        <w:rPr>
          <w:rStyle w:val="Style1"/>
        </w:rPr>
        <w:t xml:space="preserve"> </w:t>
      </w:r>
      <w:r w:rsidRPr="00571D88">
        <w:rPr>
          <w:rStyle w:val="Style1"/>
        </w:rPr>
        <w:t>We still present both reliability metrics for completeness</w:t>
      </w:r>
      <w:r>
        <w:rPr>
          <w:rStyle w:val="Style1"/>
        </w:rPr>
        <w:t>.</w:t>
      </w:r>
    </w:p>
    <w:p w14:paraId="38FE52CB" w14:textId="77777777" w:rsidR="00C64278" w:rsidRDefault="00092566" w:rsidP="00EE4048">
      <w:pPr>
        <w:pStyle w:val="Heading3"/>
      </w:pPr>
      <w:r>
        <w:t>2a2.</w:t>
      </w:r>
      <w:r w:rsidR="008C54A9" w:rsidRPr="00A25024">
        <w:t xml:space="preserve">3. For each level </w:t>
      </w:r>
      <w:r w:rsidR="008F7E67">
        <w:t xml:space="preserve">of testing </w:t>
      </w:r>
      <w:r w:rsidR="008C54A9" w:rsidRPr="00A25024">
        <w:t>checked above, w</w:t>
      </w:r>
      <w:r w:rsidR="00900DBF" w:rsidRPr="00A25024">
        <w:t>hat were the statistical results</w:t>
      </w:r>
      <w:r w:rsidR="007422FD" w:rsidRPr="00A25024">
        <w:t xml:space="preserve"> from reliability testing</w:t>
      </w:r>
      <w:r w:rsidR="00900DBF" w:rsidRPr="00A25024">
        <w:t>?</w:t>
      </w:r>
      <w:r w:rsidR="00B037BA" w:rsidRPr="00A25024">
        <w:t xml:space="preserve"> </w:t>
      </w:r>
      <w:r w:rsidR="00AA5213" w:rsidRPr="00A25024">
        <w:t xml:space="preserve"> </w:t>
      </w:r>
    </w:p>
    <w:p w14:paraId="0CABCFD3" w14:textId="4726DD23" w:rsidR="007422FD" w:rsidRDefault="00AA5213" w:rsidP="008C54A9">
      <w:pPr>
        <w:autoSpaceDE w:val="0"/>
        <w:autoSpaceDN w:val="0"/>
        <w:adjustRightInd w:val="0"/>
        <w:spacing w:after="0" w:line="240" w:lineRule="auto"/>
        <w:rPr>
          <w:rFonts w:cstheme="minorHAnsi"/>
          <w:bCs/>
        </w:rPr>
      </w:pPr>
      <w:r w:rsidRPr="00A25024">
        <w:rPr>
          <w:rFonts w:cstheme="minorHAnsi"/>
          <w:bCs/>
        </w:rPr>
        <w:t>(e</w:t>
      </w:r>
      <w:r w:rsidRPr="00A25024">
        <w:rPr>
          <w:rFonts w:cstheme="minorHAnsi"/>
          <w:bCs/>
          <w:i/>
        </w:rPr>
        <w:t>.g., percent agreement and kappa for the critical data elements; distribution of reliability statistics from a signal-to-noise analysis</w:t>
      </w:r>
      <w:r w:rsidRPr="00A25024">
        <w:rPr>
          <w:rFonts w:cstheme="minorHAnsi"/>
          <w:bCs/>
        </w:rPr>
        <w:t>)</w:t>
      </w:r>
      <w:r w:rsidR="0048008A" w:rsidRPr="00A25024">
        <w:rPr>
          <w:rFonts w:cstheme="minorHAnsi"/>
          <w:bCs/>
        </w:rPr>
        <w:br/>
      </w:r>
    </w:p>
    <w:p w14:paraId="47868881" w14:textId="1878EAB8" w:rsidR="00804378" w:rsidRPr="00804378" w:rsidRDefault="00804378" w:rsidP="00932E8F">
      <w:pPr>
        <w:autoSpaceDE w:val="0"/>
        <w:autoSpaceDN w:val="0"/>
        <w:adjustRightInd w:val="0"/>
        <w:spacing w:after="0" w:line="240" w:lineRule="auto"/>
        <w:ind w:firstLine="720"/>
        <w:contextualSpacing/>
        <w:rPr>
          <w:rStyle w:val="Style1"/>
        </w:rPr>
      </w:pPr>
      <w:r w:rsidRPr="00804378">
        <w:rPr>
          <w:rStyle w:val="Style1"/>
          <w:b/>
        </w:rPr>
        <w:t>Reliability Score Results</w:t>
      </w:r>
      <w:r w:rsidRPr="00804378">
        <w:rPr>
          <w:rStyle w:val="Style1"/>
        </w:rPr>
        <w:t xml:space="preserve">. </w:t>
      </w:r>
      <w:r w:rsidR="005B10D8" w:rsidRPr="00F21CE6">
        <w:rPr>
          <w:rStyle w:val="Style1"/>
          <w:b/>
        </w:rPr>
        <w:fldChar w:fldCharType="begin"/>
      </w:r>
      <w:r w:rsidR="005B10D8" w:rsidRPr="00F21CE6">
        <w:rPr>
          <w:rStyle w:val="Style1"/>
          <w:b/>
        </w:rPr>
        <w:instrText xml:space="preserve"> REF _Ref21437018 \h </w:instrText>
      </w:r>
      <w:r w:rsidR="005B10D8" w:rsidRPr="00D57976">
        <w:rPr>
          <w:rStyle w:val="Style1"/>
          <w:b/>
        </w:rPr>
        <w:instrText xml:space="preserve"> \* MERGEFORMAT </w:instrText>
      </w:r>
      <w:r w:rsidR="005B10D8" w:rsidRPr="00F21CE6">
        <w:rPr>
          <w:rStyle w:val="Style1"/>
          <w:b/>
        </w:rPr>
      </w:r>
      <w:r w:rsidR="005B10D8" w:rsidRPr="00F21CE6">
        <w:rPr>
          <w:rStyle w:val="Style1"/>
          <w:b/>
        </w:rPr>
        <w:fldChar w:fldCharType="separate"/>
      </w:r>
      <w:r w:rsidR="00B6644A" w:rsidRPr="00804378">
        <w:rPr>
          <w:rStyle w:val="Style1"/>
          <w:b/>
        </w:rPr>
        <w:t xml:space="preserve">Table </w:t>
      </w:r>
      <w:r w:rsidR="00B6644A">
        <w:rPr>
          <w:rStyle w:val="Style1"/>
          <w:b/>
          <w:noProof/>
        </w:rPr>
        <w:t>3</w:t>
      </w:r>
      <w:r w:rsidR="005B10D8" w:rsidRPr="00F21CE6">
        <w:rPr>
          <w:rStyle w:val="Style1"/>
          <w:b/>
        </w:rPr>
        <w:fldChar w:fldCharType="end"/>
      </w:r>
      <w:r w:rsidR="005B10D8">
        <w:rPr>
          <w:rStyle w:val="Style1"/>
        </w:rPr>
        <w:t xml:space="preserve"> </w:t>
      </w:r>
      <w:r w:rsidRPr="00804378">
        <w:rPr>
          <w:rStyle w:val="Style1"/>
        </w:rPr>
        <w:t xml:space="preserve">presents the mean, 25th, 50th, and 75th percentile values of the reliability scores </w:t>
      </w:r>
      <w:r w:rsidRPr="00A540C1">
        <w:rPr>
          <w:rStyle w:val="Style1"/>
        </w:rPr>
        <w:t xml:space="preserve">among </w:t>
      </w:r>
      <w:r w:rsidR="00A540C1" w:rsidRPr="008C7D29">
        <w:rPr>
          <w:rStyle w:val="Style1"/>
        </w:rPr>
        <w:t>1,147</w:t>
      </w:r>
      <w:r w:rsidRPr="00A540C1">
        <w:rPr>
          <w:rStyle w:val="Style1"/>
        </w:rPr>
        <w:t xml:space="preserve"> </w:t>
      </w:r>
      <w:r w:rsidR="00A540C1" w:rsidRPr="008C7D29">
        <w:rPr>
          <w:rStyle w:val="Style1"/>
        </w:rPr>
        <w:t xml:space="preserve">IRFs </w:t>
      </w:r>
      <w:r w:rsidRPr="00A540C1">
        <w:rPr>
          <w:rStyle w:val="Style1"/>
        </w:rPr>
        <w:t>from</w:t>
      </w:r>
      <w:r w:rsidRPr="00804378">
        <w:rPr>
          <w:rStyle w:val="Style1"/>
        </w:rPr>
        <w:t xml:space="preserve"> </w:t>
      </w:r>
      <w:r w:rsidR="009F5674">
        <w:rPr>
          <w:rStyle w:val="Style1"/>
        </w:rPr>
        <w:t>F</w:t>
      </w:r>
      <w:r w:rsidRPr="00804378">
        <w:rPr>
          <w:rStyle w:val="Style1"/>
        </w:rPr>
        <w:t>Y 2016</w:t>
      </w:r>
      <w:r w:rsidR="00A8792A">
        <w:rPr>
          <w:rStyle w:val="Style1"/>
        </w:rPr>
        <w:t>-</w:t>
      </w:r>
      <w:r w:rsidRPr="00804378">
        <w:rPr>
          <w:rStyle w:val="Style1"/>
        </w:rPr>
        <w:t xml:space="preserve">2017, and by sample size quartile. The average reliability score for all agencies </w:t>
      </w:r>
      <w:r w:rsidRPr="00A540C1">
        <w:rPr>
          <w:rStyle w:val="Style1"/>
        </w:rPr>
        <w:t>was 0.8</w:t>
      </w:r>
      <w:r w:rsidR="00A540C1" w:rsidRPr="008C7D29">
        <w:rPr>
          <w:rStyle w:val="Style1"/>
        </w:rPr>
        <w:t>6</w:t>
      </w:r>
      <w:r w:rsidRPr="00A540C1">
        <w:rPr>
          <w:rStyle w:val="Style1"/>
        </w:rPr>
        <w:t xml:space="preserve"> and the median was 0.</w:t>
      </w:r>
      <w:r w:rsidR="00A540C1" w:rsidRPr="008C7D29">
        <w:rPr>
          <w:rStyle w:val="Style1"/>
        </w:rPr>
        <w:t>89</w:t>
      </w:r>
      <w:r w:rsidRPr="00A540C1">
        <w:rPr>
          <w:rStyle w:val="Style1"/>
        </w:rPr>
        <w:t>. When</w:t>
      </w:r>
      <w:r w:rsidRPr="00804378">
        <w:rPr>
          <w:rStyle w:val="Style1"/>
        </w:rPr>
        <w:t xml:space="preserve"> examined by </w:t>
      </w:r>
      <w:r w:rsidR="004C3950">
        <w:rPr>
          <w:rStyle w:val="Style1"/>
        </w:rPr>
        <w:t>facility</w:t>
      </w:r>
      <w:r w:rsidRPr="00804378">
        <w:rPr>
          <w:rStyle w:val="Style1"/>
        </w:rPr>
        <w:t xml:space="preserve"> size, the average reliability score increased </w:t>
      </w:r>
      <w:r w:rsidRPr="00A540C1">
        <w:rPr>
          <w:rStyle w:val="Style1"/>
        </w:rPr>
        <w:t>from 0.</w:t>
      </w:r>
      <w:r w:rsidR="00A540C1" w:rsidRPr="008C7D29">
        <w:rPr>
          <w:rStyle w:val="Style1"/>
        </w:rPr>
        <w:t>70</w:t>
      </w:r>
      <w:r w:rsidRPr="00A540C1">
        <w:rPr>
          <w:rStyle w:val="Style1"/>
        </w:rPr>
        <w:t xml:space="preserve"> (quartile 1) to 0.9</w:t>
      </w:r>
      <w:r w:rsidR="00A540C1" w:rsidRPr="008C7D29">
        <w:rPr>
          <w:rStyle w:val="Style1"/>
        </w:rPr>
        <w:t>6</w:t>
      </w:r>
      <w:r w:rsidRPr="00A540C1">
        <w:rPr>
          <w:rStyle w:val="Style1"/>
        </w:rPr>
        <w:t xml:space="preserve"> (quartile 4).</w:t>
      </w:r>
      <w:r w:rsidRPr="00804378">
        <w:rPr>
          <w:rStyle w:val="Style1"/>
        </w:rPr>
        <w:t xml:space="preserve"> </w:t>
      </w:r>
    </w:p>
    <w:p w14:paraId="0F2FA4F1" w14:textId="77777777" w:rsidR="00804378" w:rsidRPr="00804378" w:rsidRDefault="00804378" w:rsidP="00804378">
      <w:pPr>
        <w:autoSpaceDE w:val="0"/>
        <w:autoSpaceDN w:val="0"/>
        <w:adjustRightInd w:val="0"/>
        <w:contextualSpacing/>
        <w:rPr>
          <w:rStyle w:val="Style1"/>
        </w:rPr>
      </w:pPr>
    </w:p>
    <w:p w14:paraId="31D7707E" w14:textId="263B04F0" w:rsidR="00804378" w:rsidRPr="00804378" w:rsidRDefault="00804378" w:rsidP="004A5072">
      <w:pPr>
        <w:autoSpaceDE w:val="0"/>
        <w:autoSpaceDN w:val="0"/>
        <w:adjustRightInd w:val="0"/>
        <w:spacing w:line="240" w:lineRule="auto"/>
        <w:contextualSpacing/>
        <w:rPr>
          <w:rStyle w:val="Style1"/>
          <w:b/>
        </w:rPr>
      </w:pPr>
      <w:bookmarkStart w:id="15" w:name="_Ref21437018"/>
      <w:r w:rsidRPr="00804378">
        <w:rPr>
          <w:rStyle w:val="Style1"/>
          <w:b/>
        </w:rPr>
        <w:t xml:space="preserve">Table </w:t>
      </w:r>
      <w:r w:rsidR="00715FD3">
        <w:rPr>
          <w:rStyle w:val="Style1"/>
          <w:b/>
        </w:rPr>
        <w:fldChar w:fldCharType="begin"/>
      </w:r>
      <w:r w:rsidR="00715FD3">
        <w:rPr>
          <w:rStyle w:val="Style1"/>
          <w:b/>
        </w:rPr>
        <w:instrText xml:space="preserve"> SEQ Table \* ARABIC </w:instrText>
      </w:r>
      <w:r w:rsidR="00715FD3">
        <w:rPr>
          <w:rStyle w:val="Style1"/>
          <w:b/>
        </w:rPr>
        <w:fldChar w:fldCharType="separate"/>
      </w:r>
      <w:r w:rsidR="00B6644A">
        <w:rPr>
          <w:rStyle w:val="Style1"/>
          <w:b/>
          <w:noProof/>
        </w:rPr>
        <w:t>3</w:t>
      </w:r>
      <w:r w:rsidR="00715FD3">
        <w:rPr>
          <w:rStyle w:val="Style1"/>
          <w:b/>
        </w:rPr>
        <w:fldChar w:fldCharType="end"/>
      </w:r>
      <w:bookmarkEnd w:id="15"/>
      <w:r w:rsidRPr="00804378">
        <w:rPr>
          <w:rStyle w:val="Style1"/>
          <w:b/>
        </w:rPr>
        <w:t xml:space="preserve">. </w:t>
      </w:r>
      <w:r w:rsidR="004C3950">
        <w:rPr>
          <w:rStyle w:val="Style1"/>
          <w:b/>
        </w:rPr>
        <w:t>Facility</w:t>
      </w:r>
      <w:r w:rsidRPr="00804378">
        <w:rPr>
          <w:rStyle w:val="Style1"/>
          <w:b/>
        </w:rPr>
        <w:t xml:space="preserve"> Reliability Score Distribution of the Episode-Level MSPB Risk Adjusted Spending, overall </w:t>
      </w:r>
      <w:r w:rsidR="00A540C1">
        <w:rPr>
          <w:rStyle w:val="Style1"/>
          <w:b/>
        </w:rPr>
        <w:t>IRF</w:t>
      </w:r>
      <w:r w:rsidRPr="00804378">
        <w:rPr>
          <w:rStyle w:val="Style1"/>
          <w:b/>
        </w:rPr>
        <w:t xml:space="preserve"> sample and by sample size quartile, with public reporting exclusions (k = 1</w:t>
      </w:r>
      <w:r w:rsidR="00A540C1">
        <w:rPr>
          <w:rStyle w:val="Style1"/>
          <w:b/>
        </w:rPr>
        <w:t>,147</w:t>
      </w:r>
      <w:r w:rsidRPr="00804378">
        <w:rPr>
          <w:rStyle w:val="Style1"/>
          <w:b/>
        </w:rPr>
        <w:t xml:space="preserve">) </w:t>
      </w:r>
    </w:p>
    <w:tbl>
      <w:tblPr>
        <w:tblStyle w:val="CMSTable1"/>
        <w:tblW w:w="7646" w:type="dxa"/>
        <w:tblLook w:val="05E0" w:firstRow="1" w:lastRow="1" w:firstColumn="1" w:lastColumn="1" w:noHBand="0" w:noVBand="1"/>
      </w:tblPr>
      <w:tblGrid>
        <w:gridCol w:w="2880"/>
        <w:gridCol w:w="1230"/>
        <w:gridCol w:w="1138"/>
        <w:gridCol w:w="754"/>
        <w:gridCol w:w="801"/>
        <w:gridCol w:w="843"/>
      </w:tblGrid>
      <w:tr w:rsidR="000C0C80" w:rsidRPr="00804378" w14:paraId="023105D6" w14:textId="77777777" w:rsidTr="000C0C80">
        <w:trPr>
          <w:cnfStyle w:val="100000000000" w:firstRow="1" w:lastRow="0" w:firstColumn="0" w:lastColumn="0" w:oddVBand="0" w:evenVBand="0" w:oddHBand="0" w:evenHBand="0" w:firstRowFirstColumn="0" w:firstRowLastColumn="0" w:lastRowFirstColumn="0" w:lastRowLastColumn="0"/>
          <w:trHeight w:val="121"/>
        </w:trPr>
        <w:tc>
          <w:tcPr>
            <w:tcW w:w="2880" w:type="dxa"/>
            <w:shd w:val="clear" w:color="auto" w:fill="D9D9D9"/>
          </w:tcPr>
          <w:p w14:paraId="31035B6E" w14:textId="4BDDBD71" w:rsidR="000C0C80" w:rsidRPr="00804378" w:rsidRDefault="004C3950" w:rsidP="009613C7">
            <w:pPr>
              <w:spacing w:after="200" w:line="276" w:lineRule="auto"/>
              <w:contextualSpacing/>
              <w:rPr>
                <w:rStyle w:val="Style1"/>
                <w:rFonts w:eastAsiaTheme="minorEastAsia" w:cstheme="minorBidi"/>
                <w:szCs w:val="22"/>
              </w:rPr>
            </w:pPr>
            <w:r>
              <w:rPr>
                <w:rStyle w:val="Style1"/>
                <w:rFonts w:eastAsiaTheme="minorEastAsia" w:cstheme="minorBidi"/>
                <w:szCs w:val="22"/>
              </w:rPr>
              <w:t>Facility</w:t>
            </w:r>
            <w:r w:rsidR="000C0C80" w:rsidRPr="00804378">
              <w:rPr>
                <w:rStyle w:val="Style1"/>
                <w:rFonts w:eastAsiaTheme="minorEastAsia" w:cstheme="minorBidi"/>
                <w:szCs w:val="22"/>
              </w:rPr>
              <w:t xml:space="preserve"> Sample</w:t>
            </w:r>
          </w:p>
        </w:tc>
        <w:tc>
          <w:tcPr>
            <w:tcW w:w="1230" w:type="dxa"/>
            <w:shd w:val="clear" w:color="auto" w:fill="D9D9D9"/>
          </w:tcPr>
          <w:p w14:paraId="68D753A4" w14:textId="4F2CBF34" w:rsidR="000C0C80" w:rsidRPr="00804378" w:rsidRDefault="000C0C80" w:rsidP="009613C7">
            <w:pPr>
              <w:spacing w:after="200" w:line="276" w:lineRule="auto"/>
              <w:contextualSpacing/>
              <w:rPr>
                <w:rStyle w:val="Style1"/>
                <w:rFonts w:eastAsiaTheme="minorEastAsia" w:cstheme="minorBidi"/>
                <w:szCs w:val="22"/>
              </w:rPr>
            </w:pPr>
            <w:r>
              <w:rPr>
                <w:rStyle w:val="Style1"/>
                <w:rFonts w:eastAsiaTheme="minorEastAsia" w:cstheme="minorBidi"/>
                <w:szCs w:val="22"/>
              </w:rPr>
              <w:t>K</w:t>
            </w:r>
          </w:p>
        </w:tc>
        <w:tc>
          <w:tcPr>
            <w:tcW w:w="1138" w:type="dxa"/>
            <w:tcBorders>
              <w:left w:val="nil"/>
            </w:tcBorders>
            <w:shd w:val="clear" w:color="auto" w:fill="D9D9D9"/>
          </w:tcPr>
          <w:p w14:paraId="27B09BC3" w14:textId="77777777" w:rsidR="000C0C80" w:rsidRPr="00804378" w:rsidRDefault="000C0C80" w:rsidP="009613C7">
            <w:pPr>
              <w:spacing w:after="200" w:line="276" w:lineRule="auto"/>
              <w:contextualSpacing/>
              <w:rPr>
                <w:rStyle w:val="Style1"/>
                <w:rFonts w:eastAsiaTheme="minorEastAsia" w:cstheme="minorBidi"/>
                <w:szCs w:val="22"/>
              </w:rPr>
            </w:pPr>
            <w:r w:rsidRPr="00804378">
              <w:rPr>
                <w:rStyle w:val="Style1"/>
                <w:rFonts w:eastAsiaTheme="minorEastAsia" w:cstheme="minorBidi"/>
                <w:szCs w:val="22"/>
              </w:rPr>
              <w:t xml:space="preserve">Mean (SD) </w:t>
            </w:r>
          </w:p>
        </w:tc>
        <w:tc>
          <w:tcPr>
            <w:tcW w:w="754" w:type="dxa"/>
            <w:shd w:val="clear" w:color="auto" w:fill="D9D9D9"/>
          </w:tcPr>
          <w:p w14:paraId="66D59D2B" w14:textId="77777777" w:rsidR="000C0C80" w:rsidRPr="00804378" w:rsidRDefault="000C0C80" w:rsidP="009613C7">
            <w:pPr>
              <w:spacing w:after="200" w:line="276" w:lineRule="auto"/>
              <w:contextualSpacing/>
              <w:rPr>
                <w:rStyle w:val="Style1"/>
                <w:rFonts w:eastAsiaTheme="minorEastAsia" w:cstheme="minorBidi"/>
                <w:szCs w:val="22"/>
              </w:rPr>
            </w:pPr>
            <w:r w:rsidRPr="00804378">
              <w:rPr>
                <w:rStyle w:val="Style1"/>
                <w:rFonts w:eastAsiaTheme="minorEastAsia" w:cstheme="minorBidi"/>
                <w:szCs w:val="22"/>
              </w:rPr>
              <w:t>25th Pct*</w:t>
            </w:r>
          </w:p>
        </w:tc>
        <w:tc>
          <w:tcPr>
            <w:tcW w:w="801" w:type="dxa"/>
            <w:shd w:val="clear" w:color="auto" w:fill="D9D9D9"/>
          </w:tcPr>
          <w:p w14:paraId="2BFB6D90" w14:textId="77777777" w:rsidR="000C0C80" w:rsidRPr="00804378" w:rsidRDefault="000C0C80" w:rsidP="009613C7">
            <w:pPr>
              <w:spacing w:after="200" w:line="276" w:lineRule="auto"/>
              <w:contextualSpacing/>
              <w:rPr>
                <w:rStyle w:val="Style1"/>
                <w:rFonts w:eastAsiaTheme="minorEastAsia" w:cstheme="minorBidi"/>
                <w:szCs w:val="22"/>
              </w:rPr>
            </w:pPr>
            <w:r w:rsidRPr="00804378">
              <w:rPr>
                <w:rStyle w:val="Style1"/>
                <w:rFonts w:eastAsiaTheme="minorEastAsia" w:cstheme="minorBidi"/>
                <w:szCs w:val="22"/>
              </w:rPr>
              <w:t>Median</w:t>
            </w:r>
          </w:p>
        </w:tc>
        <w:tc>
          <w:tcPr>
            <w:tcW w:w="843" w:type="dxa"/>
            <w:shd w:val="clear" w:color="auto" w:fill="D9D9D9"/>
          </w:tcPr>
          <w:p w14:paraId="67A6F936" w14:textId="77777777" w:rsidR="000C0C80" w:rsidRPr="00804378" w:rsidRDefault="000C0C80" w:rsidP="009613C7">
            <w:pPr>
              <w:spacing w:after="200" w:line="276" w:lineRule="auto"/>
              <w:contextualSpacing/>
              <w:rPr>
                <w:rStyle w:val="Style1"/>
                <w:rFonts w:eastAsiaTheme="minorEastAsia" w:cstheme="minorBidi"/>
                <w:szCs w:val="22"/>
              </w:rPr>
            </w:pPr>
            <w:r w:rsidRPr="00804378">
              <w:rPr>
                <w:rStyle w:val="Style1"/>
                <w:rFonts w:eastAsiaTheme="minorEastAsia" w:cstheme="minorBidi"/>
                <w:szCs w:val="22"/>
              </w:rPr>
              <w:t>75th Pct</w:t>
            </w:r>
          </w:p>
        </w:tc>
      </w:tr>
      <w:tr w:rsidR="000C0C80" w:rsidRPr="00804378" w14:paraId="13B94266" w14:textId="77777777" w:rsidTr="000C0C80">
        <w:trPr>
          <w:trHeight w:val="27"/>
        </w:trPr>
        <w:tc>
          <w:tcPr>
            <w:tcW w:w="2880" w:type="dxa"/>
            <w:vAlign w:val="bottom"/>
          </w:tcPr>
          <w:p w14:paraId="2DB991A6" w14:textId="77777777" w:rsidR="000C0C80" w:rsidRPr="00804378" w:rsidRDefault="000C0C80" w:rsidP="009613C7">
            <w:pPr>
              <w:spacing w:after="200"/>
              <w:contextualSpacing/>
              <w:rPr>
                <w:rStyle w:val="Style1"/>
                <w:rFonts w:eastAsiaTheme="minorEastAsia" w:cstheme="minorBidi"/>
                <w:szCs w:val="22"/>
              </w:rPr>
            </w:pPr>
            <w:r w:rsidRPr="00804378">
              <w:rPr>
                <w:rStyle w:val="Style1"/>
                <w:rFonts w:eastAsiaTheme="minorEastAsia" w:cstheme="minorBidi"/>
                <w:szCs w:val="22"/>
              </w:rPr>
              <w:t>Overall</w:t>
            </w:r>
          </w:p>
        </w:tc>
        <w:tc>
          <w:tcPr>
            <w:tcW w:w="1230" w:type="dxa"/>
            <w:vAlign w:val="bottom"/>
          </w:tcPr>
          <w:p w14:paraId="43155BE8" w14:textId="0261D59D" w:rsidR="000C0C80" w:rsidRPr="00804378" w:rsidRDefault="000C0C80">
            <w:pPr>
              <w:spacing w:after="200"/>
              <w:contextualSpacing/>
              <w:jc w:val="center"/>
              <w:rPr>
                <w:rStyle w:val="Style1"/>
                <w:rFonts w:eastAsiaTheme="minorEastAsia" w:cstheme="minorBidi"/>
                <w:szCs w:val="22"/>
              </w:rPr>
            </w:pPr>
            <w:r>
              <w:rPr>
                <w:rStyle w:val="Style1"/>
                <w:rFonts w:eastAsiaTheme="minorEastAsia" w:cstheme="minorBidi"/>
                <w:szCs w:val="22"/>
              </w:rPr>
              <w:t>1,147</w:t>
            </w:r>
          </w:p>
        </w:tc>
        <w:tc>
          <w:tcPr>
            <w:tcW w:w="1138" w:type="dxa"/>
            <w:tcBorders>
              <w:left w:val="nil"/>
            </w:tcBorders>
          </w:tcPr>
          <w:p w14:paraId="2573B284" w14:textId="1BC5C6EA" w:rsidR="000C0C80" w:rsidRPr="00804378" w:rsidRDefault="000C0C80" w:rsidP="009613C7">
            <w:pPr>
              <w:spacing w:after="200"/>
              <w:contextualSpacing/>
              <w:jc w:val="center"/>
              <w:rPr>
                <w:rStyle w:val="Style1"/>
                <w:rFonts w:eastAsiaTheme="minorEastAsia" w:cstheme="minorBidi"/>
                <w:szCs w:val="22"/>
              </w:rPr>
            </w:pPr>
            <w:r w:rsidRPr="00804378">
              <w:rPr>
                <w:rStyle w:val="Style1"/>
                <w:rFonts w:eastAsiaTheme="minorEastAsia" w:cstheme="minorBidi"/>
                <w:szCs w:val="22"/>
              </w:rPr>
              <w:t>0.</w:t>
            </w:r>
            <w:r>
              <w:rPr>
                <w:rStyle w:val="Style1"/>
                <w:rFonts w:eastAsiaTheme="minorEastAsia" w:cstheme="minorBidi"/>
                <w:szCs w:val="22"/>
              </w:rPr>
              <w:t xml:space="preserve">86 </w:t>
            </w:r>
            <w:r w:rsidRPr="00804378">
              <w:rPr>
                <w:rStyle w:val="Style1"/>
                <w:rFonts w:eastAsiaTheme="minorEastAsia" w:cstheme="minorBidi"/>
                <w:szCs w:val="22"/>
              </w:rPr>
              <w:t>(0.1</w:t>
            </w:r>
            <w:r>
              <w:rPr>
                <w:rStyle w:val="Style1"/>
                <w:rFonts w:eastAsiaTheme="minorEastAsia" w:cstheme="minorBidi"/>
                <w:szCs w:val="22"/>
              </w:rPr>
              <w:t>2</w:t>
            </w:r>
            <w:r w:rsidRPr="00804378">
              <w:rPr>
                <w:rStyle w:val="Style1"/>
                <w:rFonts w:eastAsiaTheme="minorEastAsia" w:cstheme="minorBidi"/>
                <w:szCs w:val="22"/>
              </w:rPr>
              <w:t>)</w:t>
            </w:r>
          </w:p>
        </w:tc>
        <w:tc>
          <w:tcPr>
            <w:tcW w:w="754" w:type="dxa"/>
          </w:tcPr>
          <w:p w14:paraId="6D662557" w14:textId="20F36F19" w:rsidR="000C0C80" w:rsidRPr="00804378" w:rsidRDefault="000C0C80" w:rsidP="009613C7">
            <w:pPr>
              <w:spacing w:after="200"/>
              <w:contextualSpacing/>
              <w:jc w:val="center"/>
              <w:rPr>
                <w:rStyle w:val="Style1"/>
                <w:rFonts w:eastAsiaTheme="minorEastAsia" w:cstheme="minorBidi"/>
                <w:szCs w:val="22"/>
              </w:rPr>
            </w:pPr>
            <w:r w:rsidRPr="00804378">
              <w:rPr>
                <w:rStyle w:val="Style1"/>
                <w:rFonts w:eastAsiaTheme="minorEastAsia" w:cstheme="minorBidi"/>
                <w:szCs w:val="22"/>
              </w:rPr>
              <w:t>0.</w:t>
            </w:r>
            <w:r>
              <w:rPr>
                <w:rStyle w:val="Style1"/>
                <w:rFonts w:eastAsiaTheme="minorEastAsia" w:cstheme="minorBidi"/>
                <w:szCs w:val="22"/>
              </w:rPr>
              <w:t>81</w:t>
            </w:r>
          </w:p>
        </w:tc>
        <w:tc>
          <w:tcPr>
            <w:tcW w:w="801" w:type="dxa"/>
          </w:tcPr>
          <w:p w14:paraId="02B363CF" w14:textId="35F9C7CE" w:rsidR="000C0C80" w:rsidRPr="00804378" w:rsidRDefault="000C0C80" w:rsidP="009613C7">
            <w:pPr>
              <w:spacing w:after="200"/>
              <w:contextualSpacing/>
              <w:jc w:val="center"/>
              <w:rPr>
                <w:rStyle w:val="Style1"/>
                <w:rFonts w:eastAsiaTheme="minorEastAsia" w:cstheme="minorBidi"/>
                <w:szCs w:val="22"/>
              </w:rPr>
            </w:pPr>
            <w:r w:rsidRPr="00804378">
              <w:rPr>
                <w:rStyle w:val="Style1"/>
                <w:rFonts w:eastAsiaTheme="minorEastAsia" w:cstheme="minorBidi"/>
                <w:szCs w:val="22"/>
              </w:rPr>
              <w:t>0.</w:t>
            </w:r>
            <w:r>
              <w:rPr>
                <w:rStyle w:val="Style1"/>
                <w:rFonts w:eastAsiaTheme="minorEastAsia" w:cstheme="minorBidi"/>
                <w:szCs w:val="22"/>
              </w:rPr>
              <w:t>89</w:t>
            </w:r>
          </w:p>
        </w:tc>
        <w:tc>
          <w:tcPr>
            <w:tcW w:w="843" w:type="dxa"/>
          </w:tcPr>
          <w:p w14:paraId="3708B093" w14:textId="4A730CBE" w:rsidR="000C0C80" w:rsidRPr="00804378" w:rsidRDefault="000C0C80" w:rsidP="009613C7">
            <w:pPr>
              <w:spacing w:after="200"/>
              <w:contextualSpacing/>
              <w:jc w:val="center"/>
              <w:rPr>
                <w:rStyle w:val="Style1"/>
                <w:rFonts w:eastAsiaTheme="minorEastAsia" w:cstheme="minorBidi"/>
                <w:szCs w:val="22"/>
              </w:rPr>
            </w:pPr>
            <w:r w:rsidRPr="00804378">
              <w:rPr>
                <w:rStyle w:val="Style1"/>
                <w:rFonts w:eastAsiaTheme="minorEastAsia" w:cstheme="minorBidi"/>
                <w:szCs w:val="22"/>
              </w:rPr>
              <w:t>0.9</w:t>
            </w:r>
            <w:r>
              <w:rPr>
                <w:rStyle w:val="Style1"/>
                <w:rFonts w:eastAsiaTheme="minorEastAsia" w:cstheme="minorBidi"/>
                <w:szCs w:val="22"/>
              </w:rPr>
              <w:t>4</w:t>
            </w:r>
          </w:p>
        </w:tc>
      </w:tr>
      <w:tr w:rsidR="000C0C80" w:rsidRPr="00804378" w14:paraId="6EA0FE34" w14:textId="77777777" w:rsidTr="000C0C80">
        <w:trPr>
          <w:trHeight w:val="27"/>
        </w:trPr>
        <w:tc>
          <w:tcPr>
            <w:tcW w:w="2880" w:type="dxa"/>
            <w:vAlign w:val="bottom"/>
          </w:tcPr>
          <w:p w14:paraId="45350CB6" w14:textId="72343579" w:rsidR="000C0C80" w:rsidRPr="00804378" w:rsidRDefault="000C0C80">
            <w:pPr>
              <w:contextualSpacing/>
              <w:rPr>
                <w:rStyle w:val="Style1"/>
                <w:rFonts w:eastAsiaTheme="minorEastAsia" w:cstheme="minorBidi"/>
                <w:szCs w:val="22"/>
              </w:rPr>
            </w:pPr>
            <w:r w:rsidRPr="00804378">
              <w:rPr>
                <w:rStyle w:val="Style1"/>
                <w:rFonts w:eastAsiaTheme="minorEastAsia" w:cstheme="minorBidi"/>
                <w:szCs w:val="22"/>
              </w:rPr>
              <w:t>Quartile 1: 20-1</w:t>
            </w:r>
            <w:r>
              <w:rPr>
                <w:rStyle w:val="Style1"/>
                <w:rFonts w:eastAsiaTheme="minorEastAsia" w:cstheme="minorBidi"/>
                <w:szCs w:val="22"/>
              </w:rPr>
              <w:t>9</w:t>
            </w:r>
            <w:r w:rsidRPr="00804378">
              <w:rPr>
                <w:rStyle w:val="Style1"/>
                <w:rFonts w:eastAsiaTheme="minorEastAsia" w:cstheme="minorBidi"/>
                <w:szCs w:val="22"/>
              </w:rPr>
              <w:t>0 episodes</w:t>
            </w:r>
          </w:p>
        </w:tc>
        <w:tc>
          <w:tcPr>
            <w:tcW w:w="1230" w:type="dxa"/>
            <w:vAlign w:val="bottom"/>
          </w:tcPr>
          <w:p w14:paraId="1F356ACD" w14:textId="57F45E83" w:rsidR="000C0C80" w:rsidRPr="00804378" w:rsidRDefault="000C0C80">
            <w:pPr>
              <w:contextualSpacing/>
              <w:jc w:val="center"/>
              <w:rPr>
                <w:rStyle w:val="Style1"/>
                <w:rFonts w:eastAsiaTheme="minorEastAsia" w:cstheme="minorBidi"/>
                <w:szCs w:val="22"/>
              </w:rPr>
            </w:pPr>
            <w:r>
              <w:rPr>
                <w:rStyle w:val="Style1"/>
                <w:rFonts w:eastAsiaTheme="minorEastAsia" w:cstheme="minorBidi"/>
                <w:szCs w:val="22"/>
              </w:rPr>
              <w:t>288</w:t>
            </w:r>
          </w:p>
        </w:tc>
        <w:tc>
          <w:tcPr>
            <w:tcW w:w="1138" w:type="dxa"/>
            <w:tcBorders>
              <w:left w:val="nil"/>
            </w:tcBorders>
          </w:tcPr>
          <w:p w14:paraId="5F4EF54A" w14:textId="440130B8" w:rsidR="000C0C80" w:rsidRPr="00804378" w:rsidRDefault="000C0C80" w:rsidP="00B3741D">
            <w:pPr>
              <w:contextualSpacing/>
              <w:jc w:val="center"/>
              <w:rPr>
                <w:rStyle w:val="Style1"/>
                <w:rFonts w:eastAsiaTheme="minorEastAsia" w:cstheme="minorBidi"/>
                <w:szCs w:val="22"/>
              </w:rPr>
            </w:pPr>
            <w:r w:rsidRPr="00804378">
              <w:rPr>
                <w:rStyle w:val="Style1"/>
                <w:rFonts w:eastAsiaTheme="minorEastAsia" w:cstheme="minorBidi"/>
                <w:szCs w:val="22"/>
              </w:rPr>
              <w:t>0.</w:t>
            </w:r>
            <w:r>
              <w:rPr>
                <w:rStyle w:val="Style1"/>
                <w:rFonts w:eastAsiaTheme="minorEastAsia" w:cstheme="minorBidi"/>
                <w:szCs w:val="22"/>
              </w:rPr>
              <w:t>70</w:t>
            </w:r>
            <w:r w:rsidRPr="00804378">
              <w:rPr>
                <w:rStyle w:val="Style1"/>
                <w:rFonts w:eastAsiaTheme="minorEastAsia" w:cstheme="minorBidi"/>
                <w:szCs w:val="22"/>
              </w:rPr>
              <w:t xml:space="preserve"> (0.1</w:t>
            </w:r>
            <w:r>
              <w:rPr>
                <w:rStyle w:val="Style1"/>
                <w:rFonts w:eastAsiaTheme="minorEastAsia" w:cstheme="minorBidi"/>
                <w:szCs w:val="22"/>
              </w:rPr>
              <w:t>2</w:t>
            </w:r>
            <w:r w:rsidRPr="00804378">
              <w:rPr>
                <w:rStyle w:val="Style1"/>
                <w:rFonts w:eastAsiaTheme="minorEastAsia" w:cstheme="minorBidi"/>
                <w:szCs w:val="22"/>
              </w:rPr>
              <w:t>)</w:t>
            </w:r>
          </w:p>
        </w:tc>
        <w:tc>
          <w:tcPr>
            <w:tcW w:w="754" w:type="dxa"/>
          </w:tcPr>
          <w:p w14:paraId="6EBB50F3" w14:textId="10288122" w:rsidR="000C0C80" w:rsidRPr="00804378" w:rsidRDefault="000C0C80" w:rsidP="009613C7">
            <w:pPr>
              <w:contextualSpacing/>
              <w:jc w:val="center"/>
              <w:rPr>
                <w:rStyle w:val="Style1"/>
                <w:rFonts w:eastAsiaTheme="minorEastAsia" w:cstheme="minorBidi"/>
                <w:szCs w:val="22"/>
              </w:rPr>
            </w:pPr>
            <w:r w:rsidRPr="00804378">
              <w:rPr>
                <w:rStyle w:val="Style1"/>
                <w:rFonts w:eastAsiaTheme="minorEastAsia" w:cstheme="minorBidi"/>
                <w:szCs w:val="22"/>
              </w:rPr>
              <w:t>0.</w:t>
            </w:r>
            <w:r>
              <w:rPr>
                <w:rStyle w:val="Style1"/>
                <w:rFonts w:eastAsiaTheme="minorEastAsia" w:cstheme="minorBidi"/>
                <w:szCs w:val="22"/>
              </w:rPr>
              <w:t>64</w:t>
            </w:r>
          </w:p>
        </w:tc>
        <w:tc>
          <w:tcPr>
            <w:tcW w:w="801" w:type="dxa"/>
          </w:tcPr>
          <w:p w14:paraId="231D6D4B" w14:textId="7CEEC0A7" w:rsidR="000C0C80" w:rsidRPr="00804378" w:rsidRDefault="000C0C80" w:rsidP="009613C7">
            <w:pPr>
              <w:contextualSpacing/>
              <w:jc w:val="center"/>
              <w:rPr>
                <w:rStyle w:val="Style1"/>
                <w:rFonts w:eastAsiaTheme="minorEastAsia" w:cstheme="minorBidi"/>
                <w:szCs w:val="22"/>
              </w:rPr>
            </w:pPr>
            <w:r w:rsidRPr="00804378">
              <w:rPr>
                <w:rStyle w:val="Style1"/>
                <w:rFonts w:eastAsiaTheme="minorEastAsia" w:cstheme="minorBidi"/>
                <w:szCs w:val="22"/>
              </w:rPr>
              <w:t>0.</w:t>
            </w:r>
            <w:r>
              <w:rPr>
                <w:rStyle w:val="Style1"/>
                <w:rFonts w:eastAsiaTheme="minorEastAsia" w:cstheme="minorBidi"/>
                <w:szCs w:val="22"/>
              </w:rPr>
              <w:t>73</w:t>
            </w:r>
          </w:p>
        </w:tc>
        <w:tc>
          <w:tcPr>
            <w:tcW w:w="843" w:type="dxa"/>
          </w:tcPr>
          <w:p w14:paraId="3AF6A931" w14:textId="6E61B58F" w:rsidR="000C0C80" w:rsidRPr="00804378" w:rsidRDefault="000C0C80" w:rsidP="009613C7">
            <w:pPr>
              <w:contextualSpacing/>
              <w:jc w:val="center"/>
              <w:rPr>
                <w:rStyle w:val="Style1"/>
                <w:rFonts w:eastAsiaTheme="minorEastAsia" w:cstheme="minorBidi"/>
                <w:szCs w:val="22"/>
              </w:rPr>
            </w:pPr>
            <w:r w:rsidRPr="00804378">
              <w:rPr>
                <w:rStyle w:val="Style1"/>
                <w:rFonts w:eastAsiaTheme="minorEastAsia" w:cstheme="minorBidi"/>
                <w:szCs w:val="22"/>
              </w:rPr>
              <w:t>0.7</w:t>
            </w:r>
            <w:r>
              <w:rPr>
                <w:rStyle w:val="Style1"/>
                <w:rFonts w:eastAsiaTheme="minorEastAsia" w:cstheme="minorBidi"/>
                <w:szCs w:val="22"/>
              </w:rPr>
              <w:t>8</w:t>
            </w:r>
          </w:p>
        </w:tc>
      </w:tr>
      <w:tr w:rsidR="000C0C80" w:rsidRPr="00804378" w14:paraId="3CDE4F58" w14:textId="77777777" w:rsidTr="000C0C80">
        <w:trPr>
          <w:trHeight w:val="27"/>
        </w:trPr>
        <w:tc>
          <w:tcPr>
            <w:tcW w:w="2880" w:type="dxa"/>
            <w:vAlign w:val="bottom"/>
          </w:tcPr>
          <w:p w14:paraId="31450960" w14:textId="4567D6FD" w:rsidR="000C0C80" w:rsidRPr="00804378" w:rsidRDefault="000C0C80">
            <w:pPr>
              <w:contextualSpacing/>
              <w:rPr>
                <w:rStyle w:val="Style1"/>
                <w:rFonts w:eastAsiaTheme="minorEastAsia" w:cstheme="minorBidi"/>
                <w:szCs w:val="22"/>
              </w:rPr>
            </w:pPr>
            <w:r w:rsidRPr="00804378">
              <w:rPr>
                <w:rStyle w:val="Style1"/>
                <w:rFonts w:eastAsiaTheme="minorEastAsia" w:cstheme="minorBidi"/>
                <w:szCs w:val="22"/>
              </w:rPr>
              <w:t>Quartile 2: 1</w:t>
            </w:r>
            <w:r>
              <w:rPr>
                <w:rStyle w:val="Style1"/>
                <w:rFonts w:eastAsiaTheme="minorEastAsia" w:cstheme="minorBidi"/>
                <w:szCs w:val="22"/>
              </w:rPr>
              <w:t>9</w:t>
            </w:r>
            <w:r w:rsidRPr="00804378">
              <w:rPr>
                <w:rStyle w:val="Style1"/>
                <w:rFonts w:eastAsiaTheme="minorEastAsia" w:cstheme="minorBidi"/>
                <w:szCs w:val="22"/>
              </w:rPr>
              <w:t>1-</w:t>
            </w:r>
            <w:r>
              <w:rPr>
                <w:rStyle w:val="Style1"/>
                <w:rFonts w:eastAsiaTheme="minorEastAsia" w:cstheme="minorBidi"/>
                <w:szCs w:val="22"/>
              </w:rPr>
              <w:t>334</w:t>
            </w:r>
            <w:r w:rsidRPr="00804378">
              <w:rPr>
                <w:rStyle w:val="Style1"/>
                <w:rFonts w:eastAsiaTheme="minorEastAsia" w:cstheme="minorBidi"/>
                <w:szCs w:val="22"/>
              </w:rPr>
              <w:t xml:space="preserve"> episodes</w:t>
            </w:r>
          </w:p>
        </w:tc>
        <w:tc>
          <w:tcPr>
            <w:tcW w:w="1230" w:type="dxa"/>
            <w:vAlign w:val="bottom"/>
          </w:tcPr>
          <w:p w14:paraId="408584B6" w14:textId="3BAF7769" w:rsidR="000C0C80" w:rsidRPr="00804378" w:rsidRDefault="000C0C80" w:rsidP="009613C7">
            <w:pPr>
              <w:contextualSpacing/>
              <w:jc w:val="center"/>
              <w:rPr>
                <w:rStyle w:val="Style1"/>
                <w:rFonts w:eastAsiaTheme="minorEastAsia" w:cstheme="minorBidi"/>
                <w:szCs w:val="22"/>
              </w:rPr>
            </w:pPr>
            <w:r>
              <w:rPr>
                <w:rStyle w:val="Style1"/>
                <w:rFonts w:eastAsiaTheme="minorEastAsia" w:cstheme="minorBidi"/>
                <w:szCs w:val="22"/>
              </w:rPr>
              <w:t>286</w:t>
            </w:r>
          </w:p>
        </w:tc>
        <w:tc>
          <w:tcPr>
            <w:tcW w:w="1138" w:type="dxa"/>
            <w:tcBorders>
              <w:left w:val="nil"/>
            </w:tcBorders>
          </w:tcPr>
          <w:p w14:paraId="5D4115FA" w14:textId="4815885E" w:rsidR="000C0C80" w:rsidRPr="00804378" w:rsidRDefault="000C0C80" w:rsidP="00B3741D">
            <w:pPr>
              <w:contextualSpacing/>
              <w:jc w:val="center"/>
              <w:rPr>
                <w:rStyle w:val="Style1"/>
                <w:rFonts w:eastAsiaTheme="minorEastAsia" w:cstheme="minorBidi"/>
                <w:szCs w:val="22"/>
              </w:rPr>
            </w:pPr>
            <w:r w:rsidRPr="00804378">
              <w:rPr>
                <w:rStyle w:val="Style1"/>
                <w:rFonts w:eastAsiaTheme="minorEastAsia" w:cstheme="minorBidi"/>
                <w:szCs w:val="22"/>
              </w:rPr>
              <w:t>0.8</w:t>
            </w:r>
            <w:r>
              <w:rPr>
                <w:rStyle w:val="Style1"/>
                <w:rFonts w:eastAsiaTheme="minorEastAsia" w:cstheme="minorBidi"/>
                <w:szCs w:val="22"/>
              </w:rPr>
              <w:t>5</w:t>
            </w:r>
            <w:r w:rsidRPr="00804378">
              <w:rPr>
                <w:rStyle w:val="Style1"/>
                <w:rFonts w:eastAsiaTheme="minorEastAsia" w:cstheme="minorBidi"/>
                <w:szCs w:val="22"/>
              </w:rPr>
              <w:t xml:space="preserve"> (0.0</w:t>
            </w:r>
            <w:r>
              <w:rPr>
                <w:rStyle w:val="Style1"/>
                <w:rFonts w:eastAsiaTheme="minorEastAsia" w:cstheme="minorBidi"/>
                <w:szCs w:val="22"/>
              </w:rPr>
              <w:t>4</w:t>
            </w:r>
            <w:r w:rsidRPr="00804378">
              <w:rPr>
                <w:rStyle w:val="Style1"/>
                <w:rFonts w:eastAsiaTheme="minorEastAsia" w:cstheme="minorBidi"/>
                <w:szCs w:val="22"/>
              </w:rPr>
              <w:t>)</w:t>
            </w:r>
          </w:p>
        </w:tc>
        <w:tc>
          <w:tcPr>
            <w:tcW w:w="754" w:type="dxa"/>
          </w:tcPr>
          <w:p w14:paraId="67E14448" w14:textId="6B8002AA" w:rsidR="000C0C80" w:rsidRPr="00804378" w:rsidRDefault="000C0C80" w:rsidP="009613C7">
            <w:pPr>
              <w:contextualSpacing/>
              <w:jc w:val="center"/>
              <w:rPr>
                <w:rStyle w:val="Style1"/>
                <w:rFonts w:eastAsiaTheme="minorEastAsia" w:cstheme="minorBidi"/>
                <w:szCs w:val="22"/>
              </w:rPr>
            </w:pPr>
            <w:r w:rsidRPr="00804378">
              <w:rPr>
                <w:rStyle w:val="Style1"/>
                <w:rFonts w:eastAsiaTheme="minorEastAsia" w:cstheme="minorBidi"/>
                <w:szCs w:val="22"/>
              </w:rPr>
              <w:t>0.</w:t>
            </w:r>
            <w:r>
              <w:rPr>
                <w:rStyle w:val="Style1"/>
                <w:rFonts w:eastAsiaTheme="minorEastAsia" w:cstheme="minorBidi"/>
                <w:szCs w:val="22"/>
              </w:rPr>
              <w:t>83</w:t>
            </w:r>
          </w:p>
        </w:tc>
        <w:tc>
          <w:tcPr>
            <w:tcW w:w="801" w:type="dxa"/>
          </w:tcPr>
          <w:p w14:paraId="48057CDC" w14:textId="77777777" w:rsidR="000C0C80" w:rsidRPr="00804378" w:rsidRDefault="000C0C80" w:rsidP="009613C7">
            <w:pPr>
              <w:contextualSpacing/>
              <w:jc w:val="center"/>
              <w:rPr>
                <w:rStyle w:val="Style1"/>
                <w:rFonts w:eastAsiaTheme="minorEastAsia" w:cstheme="minorBidi"/>
                <w:szCs w:val="22"/>
              </w:rPr>
            </w:pPr>
            <w:r w:rsidRPr="00804378">
              <w:rPr>
                <w:rStyle w:val="Style1"/>
                <w:rFonts w:eastAsiaTheme="minorEastAsia" w:cstheme="minorBidi"/>
                <w:szCs w:val="22"/>
              </w:rPr>
              <w:t>0.85</w:t>
            </w:r>
          </w:p>
        </w:tc>
        <w:tc>
          <w:tcPr>
            <w:tcW w:w="843" w:type="dxa"/>
          </w:tcPr>
          <w:p w14:paraId="1593E3AF" w14:textId="28F31EAF" w:rsidR="000C0C80" w:rsidRPr="00804378" w:rsidRDefault="000C0C80" w:rsidP="009613C7">
            <w:pPr>
              <w:contextualSpacing/>
              <w:jc w:val="center"/>
              <w:rPr>
                <w:rStyle w:val="Style1"/>
                <w:rFonts w:eastAsiaTheme="minorEastAsia" w:cstheme="minorBidi"/>
                <w:szCs w:val="22"/>
              </w:rPr>
            </w:pPr>
            <w:r w:rsidRPr="00804378">
              <w:rPr>
                <w:rStyle w:val="Style1"/>
                <w:rFonts w:eastAsiaTheme="minorEastAsia" w:cstheme="minorBidi"/>
                <w:szCs w:val="22"/>
              </w:rPr>
              <w:t>0.8</w:t>
            </w:r>
            <w:r>
              <w:rPr>
                <w:rStyle w:val="Style1"/>
                <w:rFonts w:eastAsiaTheme="minorEastAsia" w:cstheme="minorBidi"/>
                <w:szCs w:val="22"/>
              </w:rPr>
              <w:t>7</w:t>
            </w:r>
          </w:p>
        </w:tc>
      </w:tr>
      <w:tr w:rsidR="000C0C80" w:rsidRPr="00804378" w14:paraId="59650B34" w14:textId="77777777" w:rsidTr="000C0C80">
        <w:trPr>
          <w:trHeight w:val="27"/>
        </w:trPr>
        <w:tc>
          <w:tcPr>
            <w:tcW w:w="2880" w:type="dxa"/>
            <w:vAlign w:val="bottom"/>
          </w:tcPr>
          <w:p w14:paraId="3796A86E" w14:textId="44E4DFB6" w:rsidR="000C0C80" w:rsidRPr="00804378" w:rsidRDefault="000C0C80">
            <w:pPr>
              <w:contextualSpacing/>
              <w:rPr>
                <w:rStyle w:val="Style1"/>
                <w:rFonts w:eastAsiaTheme="minorEastAsia" w:cstheme="minorBidi"/>
                <w:szCs w:val="22"/>
              </w:rPr>
            </w:pPr>
            <w:r w:rsidRPr="00804378">
              <w:rPr>
                <w:rStyle w:val="Style1"/>
                <w:rFonts w:eastAsiaTheme="minorEastAsia" w:cstheme="minorBidi"/>
                <w:szCs w:val="22"/>
              </w:rPr>
              <w:t xml:space="preserve">Quartile 3: </w:t>
            </w:r>
            <w:r>
              <w:rPr>
                <w:rStyle w:val="Style1"/>
                <w:rFonts w:eastAsiaTheme="minorEastAsia" w:cstheme="minorBidi"/>
                <w:szCs w:val="22"/>
              </w:rPr>
              <w:t>335</w:t>
            </w:r>
            <w:r w:rsidRPr="00804378">
              <w:rPr>
                <w:rStyle w:val="Style1"/>
                <w:rFonts w:eastAsiaTheme="minorEastAsia" w:cstheme="minorBidi"/>
                <w:szCs w:val="22"/>
              </w:rPr>
              <w:t>-</w:t>
            </w:r>
            <w:r>
              <w:rPr>
                <w:rStyle w:val="Style1"/>
                <w:rFonts w:eastAsiaTheme="minorEastAsia" w:cstheme="minorBidi"/>
                <w:szCs w:val="22"/>
              </w:rPr>
              <w:t>686</w:t>
            </w:r>
            <w:r w:rsidRPr="00804378">
              <w:rPr>
                <w:rStyle w:val="Style1"/>
                <w:rFonts w:eastAsiaTheme="minorEastAsia" w:cstheme="minorBidi"/>
                <w:szCs w:val="22"/>
              </w:rPr>
              <w:t xml:space="preserve"> episodes</w:t>
            </w:r>
          </w:p>
        </w:tc>
        <w:tc>
          <w:tcPr>
            <w:tcW w:w="1230" w:type="dxa"/>
            <w:vAlign w:val="bottom"/>
          </w:tcPr>
          <w:p w14:paraId="29C8460D" w14:textId="1B6717F2" w:rsidR="000C0C80" w:rsidRPr="00804378" w:rsidRDefault="000C0C80" w:rsidP="009613C7">
            <w:pPr>
              <w:contextualSpacing/>
              <w:jc w:val="center"/>
              <w:rPr>
                <w:rStyle w:val="Style1"/>
                <w:rFonts w:eastAsiaTheme="minorEastAsia" w:cstheme="minorBidi"/>
                <w:szCs w:val="22"/>
              </w:rPr>
            </w:pPr>
            <w:r>
              <w:rPr>
                <w:rStyle w:val="Style1"/>
                <w:rFonts w:eastAsiaTheme="minorEastAsia" w:cstheme="minorBidi"/>
                <w:szCs w:val="22"/>
              </w:rPr>
              <w:t>287</w:t>
            </w:r>
          </w:p>
        </w:tc>
        <w:tc>
          <w:tcPr>
            <w:tcW w:w="1138" w:type="dxa"/>
            <w:tcBorders>
              <w:left w:val="nil"/>
            </w:tcBorders>
          </w:tcPr>
          <w:p w14:paraId="03341C25" w14:textId="599D4494" w:rsidR="000C0C80" w:rsidRPr="00804378" w:rsidRDefault="000C0C80" w:rsidP="00B3741D">
            <w:pPr>
              <w:contextualSpacing/>
              <w:jc w:val="center"/>
              <w:rPr>
                <w:rStyle w:val="Style1"/>
                <w:rFonts w:eastAsiaTheme="minorEastAsia" w:cstheme="minorBidi"/>
                <w:szCs w:val="22"/>
              </w:rPr>
            </w:pPr>
            <w:r w:rsidRPr="00804378">
              <w:rPr>
                <w:rStyle w:val="Style1"/>
                <w:rFonts w:eastAsiaTheme="minorEastAsia" w:cstheme="minorBidi"/>
                <w:szCs w:val="22"/>
              </w:rPr>
              <w:t>0.9</w:t>
            </w:r>
            <w:r>
              <w:rPr>
                <w:rStyle w:val="Style1"/>
                <w:rFonts w:eastAsiaTheme="minorEastAsia" w:cstheme="minorBidi"/>
                <w:szCs w:val="22"/>
              </w:rPr>
              <w:t>1</w:t>
            </w:r>
            <w:r w:rsidRPr="00804378">
              <w:rPr>
                <w:rStyle w:val="Style1"/>
                <w:rFonts w:eastAsiaTheme="minorEastAsia" w:cstheme="minorBidi"/>
                <w:szCs w:val="22"/>
              </w:rPr>
              <w:t xml:space="preserve"> (0.0</w:t>
            </w:r>
            <w:r>
              <w:rPr>
                <w:rStyle w:val="Style1"/>
                <w:rFonts w:eastAsiaTheme="minorEastAsia" w:cstheme="minorBidi"/>
                <w:szCs w:val="22"/>
              </w:rPr>
              <w:t>2</w:t>
            </w:r>
            <w:r w:rsidRPr="00804378">
              <w:rPr>
                <w:rStyle w:val="Style1"/>
                <w:rFonts w:eastAsiaTheme="minorEastAsia" w:cstheme="minorBidi"/>
                <w:szCs w:val="22"/>
              </w:rPr>
              <w:t>)</w:t>
            </w:r>
          </w:p>
        </w:tc>
        <w:tc>
          <w:tcPr>
            <w:tcW w:w="754" w:type="dxa"/>
          </w:tcPr>
          <w:p w14:paraId="06D6E855" w14:textId="5E50D293" w:rsidR="000C0C80" w:rsidRPr="00804378" w:rsidRDefault="000C0C80" w:rsidP="009613C7">
            <w:pPr>
              <w:contextualSpacing/>
              <w:jc w:val="center"/>
              <w:rPr>
                <w:rStyle w:val="Style1"/>
                <w:rFonts w:eastAsiaTheme="minorEastAsia" w:cstheme="minorBidi"/>
                <w:szCs w:val="22"/>
              </w:rPr>
            </w:pPr>
            <w:r w:rsidRPr="00804378">
              <w:rPr>
                <w:rStyle w:val="Style1"/>
                <w:rFonts w:eastAsiaTheme="minorEastAsia" w:cstheme="minorBidi"/>
                <w:szCs w:val="22"/>
              </w:rPr>
              <w:t>0.9</w:t>
            </w:r>
            <w:r>
              <w:rPr>
                <w:rStyle w:val="Style1"/>
                <w:rFonts w:eastAsiaTheme="minorEastAsia" w:cstheme="minorBidi"/>
                <w:szCs w:val="22"/>
              </w:rPr>
              <w:t>0</w:t>
            </w:r>
          </w:p>
        </w:tc>
        <w:tc>
          <w:tcPr>
            <w:tcW w:w="801" w:type="dxa"/>
          </w:tcPr>
          <w:p w14:paraId="7D9BC515" w14:textId="5DAB2B77" w:rsidR="000C0C80" w:rsidRPr="00804378" w:rsidRDefault="000C0C80" w:rsidP="009613C7">
            <w:pPr>
              <w:contextualSpacing/>
              <w:jc w:val="center"/>
              <w:rPr>
                <w:rStyle w:val="Style1"/>
                <w:rFonts w:eastAsiaTheme="minorEastAsia" w:cstheme="minorBidi"/>
                <w:szCs w:val="22"/>
              </w:rPr>
            </w:pPr>
            <w:r w:rsidRPr="00804378">
              <w:rPr>
                <w:rStyle w:val="Style1"/>
                <w:rFonts w:eastAsiaTheme="minorEastAsia" w:cstheme="minorBidi"/>
                <w:szCs w:val="22"/>
              </w:rPr>
              <w:t>0.9</w:t>
            </w:r>
            <w:r>
              <w:rPr>
                <w:rStyle w:val="Style1"/>
                <w:rFonts w:eastAsiaTheme="minorEastAsia" w:cstheme="minorBidi"/>
                <w:szCs w:val="22"/>
              </w:rPr>
              <w:t>1</w:t>
            </w:r>
          </w:p>
        </w:tc>
        <w:tc>
          <w:tcPr>
            <w:tcW w:w="843" w:type="dxa"/>
          </w:tcPr>
          <w:p w14:paraId="5BE4BD41" w14:textId="0AAF6646" w:rsidR="000C0C80" w:rsidRPr="00804378" w:rsidRDefault="000C0C80" w:rsidP="009613C7">
            <w:pPr>
              <w:contextualSpacing/>
              <w:jc w:val="center"/>
              <w:rPr>
                <w:rStyle w:val="Style1"/>
                <w:rFonts w:eastAsiaTheme="minorEastAsia" w:cstheme="minorBidi"/>
                <w:szCs w:val="22"/>
              </w:rPr>
            </w:pPr>
            <w:r w:rsidRPr="00804378">
              <w:rPr>
                <w:rStyle w:val="Style1"/>
                <w:rFonts w:eastAsiaTheme="minorEastAsia" w:cstheme="minorBidi"/>
                <w:szCs w:val="22"/>
              </w:rPr>
              <w:t>0.9</w:t>
            </w:r>
            <w:r>
              <w:rPr>
                <w:rStyle w:val="Style1"/>
                <w:rFonts w:eastAsiaTheme="minorEastAsia" w:cstheme="minorBidi"/>
                <w:szCs w:val="22"/>
              </w:rPr>
              <w:t>3</w:t>
            </w:r>
          </w:p>
        </w:tc>
      </w:tr>
      <w:tr w:rsidR="000C0C80" w:rsidRPr="00804378" w14:paraId="42ABABDE" w14:textId="77777777" w:rsidTr="000C0C80">
        <w:trPr>
          <w:cnfStyle w:val="010000000000" w:firstRow="0" w:lastRow="1" w:firstColumn="0" w:lastColumn="0" w:oddVBand="0" w:evenVBand="0" w:oddHBand="0" w:evenHBand="0" w:firstRowFirstColumn="0" w:firstRowLastColumn="0" w:lastRowFirstColumn="0" w:lastRowLastColumn="0"/>
          <w:trHeight w:val="27"/>
        </w:trPr>
        <w:tc>
          <w:tcPr>
            <w:tcW w:w="2880" w:type="dxa"/>
            <w:vAlign w:val="bottom"/>
          </w:tcPr>
          <w:p w14:paraId="146BADA0" w14:textId="6261BDB0" w:rsidR="000C0C80" w:rsidRPr="00804378" w:rsidRDefault="000C0C80">
            <w:pPr>
              <w:contextualSpacing/>
              <w:rPr>
                <w:rStyle w:val="Style1"/>
                <w:rFonts w:eastAsiaTheme="minorEastAsia" w:cstheme="minorBidi"/>
                <w:szCs w:val="22"/>
              </w:rPr>
            </w:pPr>
            <w:r w:rsidRPr="00804378">
              <w:rPr>
                <w:rStyle w:val="Style1"/>
                <w:rFonts w:eastAsiaTheme="minorEastAsia" w:cstheme="minorBidi"/>
                <w:szCs w:val="22"/>
              </w:rPr>
              <w:t xml:space="preserve">Quartile 4: </w:t>
            </w:r>
            <w:r>
              <w:rPr>
                <w:rStyle w:val="Style1"/>
                <w:rFonts w:eastAsiaTheme="minorEastAsia" w:cstheme="minorBidi"/>
                <w:szCs w:val="22"/>
              </w:rPr>
              <w:t>687-5,941</w:t>
            </w:r>
            <w:r w:rsidRPr="00804378">
              <w:rPr>
                <w:rStyle w:val="Style1"/>
                <w:rFonts w:eastAsiaTheme="minorEastAsia" w:cstheme="minorBidi"/>
                <w:szCs w:val="22"/>
              </w:rPr>
              <w:t xml:space="preserve"> episodes</w:t>
            </w:r>
          </w:p>
        </w:tc>
        <w:tc>
          <w:tcPr>
            <w:tcW w:w="1230" w:type="dxa"/>
            <w:vAlign w:val="bottom"/>
          </w:tcPr>
          <w:p w14:paraId="01F07D8A" w14:textId="5AB70372" w:rsidR="000C0C80" w:rsidRPr="00804378" w:rsidRDefault="000C0C80" w:rsidP="009613C7">
            <w:pPr>
              <w:contextualSpacing/>
              <w:jc w:val="center"/>
              <w:rPr>
                <w:rStyle w:val="Style1"/>
                <w:rFonts w:eastAsiaTheme="minorEastAsia" w:cstheme="minorBidi"/>
                <w:szCs w:val="22"/>
              </w:rPr>
            </w:pPr>
            <w:r>
              <w:rPr>
                <w:rStyle w:val="Style1"/>
                <w:rFonts w:eastAsiaTheme="minorEastAsia" w:cstheme="minorBidi"/>
                <w:szCs w:val="22"/>
              </w:rPr>
              <w:t>286</w:t>
            </w:r>
          </w:p>
        </w:tc>
        <w:tc>
          <w:tcPr>
            <w:tcW w:w="1138" w:type="dxa"/>
            <w:tcBorders>
              <w:left w:val="nil"/>
            </w:tcBorders>
          </w:tcPr>
          <w:p w14:paraId="020CC345" w14:textId="7A3EDE72" w:rsidR="000C0C80" w:rsidRPr="00804378" w:rsidRDefault="000C0C80" w:rsidP="009613C7">
            <w:pPr>
              <w:contextualSpacing/>
              <w:jc w:val="center"/>
              <w:rPr>
                <w:rStyle w:val="Style1"/>
                <w:rFonts w:eastAsiaTheme="minorEastAsia" w:cstheme="minorBidi"/>
                <w:szCs w:val="22"/>
              </w:rPr>
            </w:pPr>
            <w:r w:rsidRPr="00804378">
              <w:rPr>
                <w:rStyle w:val="Style1"/>
                <w:rFonts w:eastAsiaTheme="minorEastAsia" w:cstheme="minorBidi"/>
                <w:szCs w:val="22"/>
              </w:rPr>
              <w:t>0.9</w:t>
            </w:r>
            <w:r>
              <w:rPr>
                <w:rStyle w:val="Style1"/>
                <w:rFonts w:eastAsiaTheme="minorEastAsia" w:cstheme="minorBidi"/>
                <w:szCs w:val="22"/>
              </w:rPr>
              <w:t>6</w:t>
            </w:r>
            <w:r w:rsidRPr="00804378">
              <w:rPr>
                <w:rStyle w:val="Style1"/>
                <w:rFonts w:eastAsiaTheme="minorEastAsia" w:cstheme="minorBidi"/>
                <w:szCs w:val="22"/>
              </w:rPr>
              <w:t xml:space="preserve"> (0.</w:t>
            </w:r>
            <w:r>
              <w:rPr>
                <w:rStyle w:val="Style1"/>
                <w:rFonts w:eastAsiaTheme="minorEastAsia" w:cstheme="minorBidi"/>
                <w:szCs w:val="22"/>
              </w:rPr>
              <w:t>01</w:t>
            </w:r>
            <w:r w:rsidRPr="00804378">
              <w:rPr>
                <w:rStyle w:val="Style1"/>
                <w:rFonts w:eastAsiaTheme="minorEastAsia" w:cstheme="minorBidi"/>
                <w:szCs w:val="22"/>
              </w:rPr>
              <w:t>)</w:t>
            </w:r>
          </w:p>
        </w:tc>
        <w:tc>
          <w:tcPr>
            <w:tcW w:w="754" w:type="dxa"/>
          </w:tcPr>
          <w:p w14:paraId="62E45B12" w14:textId="77777777" w:rsidR="000C0C80" w:rsidRPr="00804378" w:rsidRDefault="000C0C80" w:rsidP="009613C7">
            <w:pPr>
              <w:contextualSpacing/>
              <w:jc w:val="center"/>
              <w:rPr>
                <w:rStyle w:val="Style1"/>
                <w:rFonts w:eastAsiaTheme="minorEastAsia" w:cstheme="minorBidi"/>
                <w:szCs w:val="22"/>
              </w:rPr>
            </w:pPr>
            <w:r w:rsidRPr="00804378">
              <w:rPr>
                <w:rStyle w:val="Style1"/>
                <w:rFonts w:eastAsiaTheme="minorEastAsia" w:cstheme="minorBidi"/>
                <w:szCs w:val="22"/>
              </w:rPr>
              <w:t>0.96</w:t>
            </w:r>
          </w:p>
        </w:tc>
        <w:tc>
          <w:tcPr>
            <w:tcW w:w="801" w:type="dxa"/>
          </w:tcPr>
          <w:p w14:paraId="6D86A710" w14:textId="77777777" w:rsidR="000C0C80" w:rsidRPr="00804378" w:rsidRDefault="000C0C80" w:rsidP="009613C7">
            <w:pPr>
              <w:contextualSpacing/>
              <w:jc w:val="center"/>
              <w:rPr>
                <w:rStyle w:val="Style1"/>
                <w:rFonts w:eastAsiaTheme="minorEastAsia" w:cstheme="minorBidi"/>
                <w:szCs w:val="22"/>
              </w:rPr>
            </w:pPr>
            <w:r w:rsidRPr="00804378">
              <w:rPr>
                <w:rStyle w:val="Style1"/>
                <w:rFonts w:eastAsiaTheme="minorEastAsia" w:cstheme="minorBidi"/>
                <w:szCs w:val="22"/>
              </w:rPr>
              <w:t>0.97</w:t>
            </w:r>
          </w:p>
        </w:tc>
        <w:tc>
          <w:tcPr>
            <w:tcW w:w="843" w:type="dxa"/>
          </w:tcPr>
          <w:p w14:paraId="61C415BC" w14:textId="1FA1FE72" w:rsidR="000C0C80" w:rsidRPr="00804378" w:rsidRDefault="000C0C80" w:rsidP="009613C7">
            <w:pPr>
              <w:contextualSpacing/>
              <w:jc w:val="center"/>
              <w:rPr>
                <w:rStyle w:val="Style1"/>
                <w:rFonts w:eastAsiaTheme="minorEastAsia" w:cstheme="minorBidi"/>
                <w:szCs w:val="22"/>
              </w:rPr>
            </w:pPr>
            <w:r w:rsidRPr="00804378">
              <w:rPr>
                <w:rStyle w:val="Style1"/>
                <w:rFonts w:eastAsiaTheme="minorEastAsia" w:cstheme="minorBidi"/>
                <w:szCs w:val="22"/>
              </w:rPr>
              <w:t>0.</w:t>
            </w:r>
            <w:r>
              <w:rPr>
                <w:rStyle w:val="Style1"/>
                <w:rFonts w:eastAsiaTheme="minorEastAsia" w:cstheme="minorBidi"/>
                <w:szCs w:val="22"/>
              </w:rPr>
              <w:t>97</w:t>
            </w:r>
          </w:p>
        </w:tc>
      </w:tr>
    </w:tbl>
    <w:p w14:paraId="4EED413C" w14:textId="155A7F37" w:rsidR="00804378" w:rsidRPr="004A5072" w:rsidRDefault="00804378" w:rsidP="004E386C">
      <w:pPr>
        <w:spacing w:after="0" w:line="240" w:lineRule="auto"/>
        <w:rPr>
          <w:rStyle w:val="Style1"/>
          <w:sz w:val="18"/>
        </w:rPr>
      </w:pPr>
      <w:r w:rsidRPr="00FE4F0A">
        <w:rPr>
          <w:rStyle w:val="Style1"/>
          <w:sz w:val="18"/>
        </w:rPr>
        <w:t xml:space="preserve">* Pct = percentile. Analysis of Medicare Claims File for </w:t>
      </w:r>
      <w:r w:rsidR="005A5888" w:rsidRPr="00FE4F0A">
        <w:rPr>
          <w:rStyle w:val="Style1"/>
          <w:sz w:val="18"/>
        </w:rPr>
        <w:t>IRF</w:t>
      </w:r>
      <w:r w:rsidRPr="009F5674">
        <w:rPr>
          <w:rStyle w:val="Style1"/>
          <w:sz w:val="18"/>
        </w:rPr>
        <w:t xml:space="preserve"> </w:t>
      </w:r>
      <w:r w:rsidR="009F5674" w:rsidRPr="008C7D29">
        <w:rPr>
          <w:rStyle w:val="Style1"/>
          <w:sz w:val="18"/>
        </w:rPr>
        <w:t>F</w:t>
      </w:r>
      <w:r w:rsidRPr="00FE4F0A">
        <w:rPr>
          <w:rStyle w:val="Style1"/>
          <w:sz w:val="18"/>
        </w:rPr>
        <w:t>Y 2016</w:t>
      </w:r>
      <w:r w:rsidR="00A8792A" w:rsidRPr="00FE4F0A">
        <w:rPr>
          <w:rStyle w:val="Style1"/>
          <w:sz w:val="18"/>
        </w:rPr>
        <w:t>-</w:t>
      </w:r>
      <w:r w:rsidRPr="009F5674">
        <w:rPr>
          <w:rStyle w:val="Style1"/>
          <w:sz w:val="18"/>
        </w:rPr>
        <w:t>2017.</w:t>
      </w:r>
    </w:p>
    <w:p w14:paraId="7EEC6F9D" w14:textId="2833966F" w:rsidR="00804378" w:rsidRPr="004A5072" w:rsidRDefault="00804378" w:rsidP="004E386C">
      <w:pPr>
        <w:spacing w:after="0" w:line="240" w:lineRule="auto"/>
        <w:rPr>
          <w:rStyle w:val="Style1"/>
          <w:sz w:val="18"/>
        </w:rPr>
      </w:pPr>
      <w:r w:rsidRPr="004A5072">
        <w:rPr>
          <w:rStyle w:val="Style1"/>
          <w:sz w:val="18"/>
        </w:rPr>
        <w:t xml:space="preserve">Note: </w:t>
      </w:r>
      <w:r w:rsidR="004C3950">
        <w:rPr>
          <w:rStyle w:val="Style1"/>
          <w:sz w:val="18"/>
        </w:rPr>
        <w:t>Facility</w:t>
      </w:r>
      <w:r w:rsidRPr="004A5072">
        <w:rPr>
          <w:rStyle w:val="Style1"/>
          <w:sz w:val="18"/>
        </w:rPr>
        <w:t xml:space="preserve"> size can vary based on the sample in which the regression was estimated due to outlier exclusions.</w:t>
      </w:r>
    </w:p>
    <w:p w14:paraId="649BFF70" w14:textId="77777777" w:rsidR="00804378" w:rsidRDefault="00804378" w:rsidP="008C54A9">
      <w:pPr>
        <w:autoSpaceDE w:val="0"/>
        <w:autoSpaceDN w:val="0"/>
        <w:adjustRightInd w:val="0"/>
        <w:spacing w:after="0" w:line="240" w:lineRule="auto"/>
        <w:rPr>
          <w:rFonts w:cstheme="minorHAnsi"/>
          <w:bCs/>
        </w:rPr>
      </w:pPr>
    </w:p>
    <w:p w14:paraId="06A14976" w14:textId="7C6D000E" w:rsidR="004A5072" w:rsidRPr="004A5072" w:rsidRDefault="004A5072" w:rsidP="00932E8F">
      <w:pPr>
        <w:autoSpaceDE w:val="0"/>
        <w:autoSpaceDN w:val="0"/>
        <w:adjustRightInd w:val="0"/>
        <w:spacing w:after="0" w:line="240" w:lineRule="auto"/>
        <w:ind w:firstLine="360"/>
        <w:contextualSpacing/>
        <w:rPr>
          <w:rStyle w:val="Style1"/>
        </w:rPr>
      </w:pPr>
      <w:r w:rsidRPr="004A5072">
        <w:rPr>
          <w:rStyle w:val="Style1"/>
          <w:b/>
        </w:rPr>
        <w:t>Split-sample Reliability Testing Results</w:t>
      </w:r>
      <w:r>
        <w:rPr>
          <w:rStyle w:val="Style1"/>
        </w:rPr>
        <w:t>.</w:t>
      </w:r>
      <w:r w:rsidRPr="004A5072">
        <w:rPr>
          <w:rStyle w:val="Style1"/>
        </w:rPr>
        <w:t xml:space="preserve"> </w:t>
      </w:r>
      <w:r w:rsidRPr="00F21CE6">
        <w:rPr>
          <w:rStyle w:val="Style1"/>
          <w:b/>
        </w:rPr>
        <w:fldChar w:fldCharType="begin"/>
      </w:r>
      <w:r w:rsidRPr="00F21CE6">
        <w:rPr>
          <w:rStyle w:val="Style1"/>
          <w:b/>
        </w:rPr>
        <w:instrText xml:space="preserve"> REF _Ref21436859 \h  \* MERGEFORMAT </w:instrText>
      </w:r>
      <w:r w:rsidRPr="00F21CE6">
        <w:rPr>
          <w:rStyle w:val="Style1"/>
          <w:b/>
        </w:rPr>
      </w:r>
      <w:r w:rsidRPr="00F21CE6">
        <w:rPr>
          <w:rStyle w:val="Style1"/>
          <w:b/>
        </w:rPr>
        <w:fldChar w:fldCharType="separate"/>
      </w:r>
      <w:r w:rsidR="00B6644A" w:rsidRPr="004A5072">
        <w:rPr>
          <w:rStyle w:val="Style1"/>
          <w:b/>
        </w:rPr>
        <w:t xml:space="preserve">Table </w:t>
      </w:r>
      <w:r w:rsidR="00B6644A">
        <w:rPr>
          <w:rStyle w:val="Style1"/>
          <w:b/>
        </w:rPr>
        <w:t>4</w:t>
      </w:r>
      <w:r w:rsidRPr="00F21CE6">
        <w:rPr>
          <w:rStyle w:val="Style1"/>
          <w:b/>
        </w:rPr>
        <w:fldChar w:fldCharType="end"/>
      </w:r>
      <w:r w:rsidRPr="004A5072">
        <w:rPr>
          <w:rStyle w:val="Style1"/>
        </w:rPr>
        <w:t xml:space="preserve"> presents </w:t>
      </w:r>
      <w:r w:rsidR="00B77798">
        <w:rPr>
          <w:rStyle w:val="Style1"/>
        </w:rPr>
        <w:t>ICC(2,1)</w:t>
      </w:r>
      <w:r w:rsidRPr="004A5072">
        <w:rPr>
          <w:rStyle w:val="Style1"/>
        </w:rPr>
        <w:t xml:space="preserve"> between the </w:t>
      </w:r>
      <w:r w:rsidRPr="00FE4F0A">
        <w:rPr>
          <w:rStyle w:val="Style1"/>
        </w:rPr>
        <w:t>split-sample scores for the overall sample of 1</w:t>
      </w:r>
      <w:r w:rsidR="005A5888" w:rsidRPr="00FE4F0A">
        <w:rPr>
          <w:rStyle w:val="Style1"/>
        </w:rPr>
        <w:t>,147</w:t>
      </w:r>
      <w:r w:rsidRPr="00FE4F0A">
        <w:rPr>
          <w:rStyle w:val="Style1"/>
        </w:rPr>
        <w:t xml:space="preserve"> </w:t>
      </w:r>
      <w:r w:rsidR="005A5888" w:rsidRPr="00FE4F0A">
        <w:rPr>
          <w:rStyle w:val="Style1"/>
        </w:rPr>
        <w:t>IRF</w:t>
      </w:r>
      <w:r w:rsidRPr="00FE4F0A">
        <w:rPr>
          <w:rStyle w:val="Style1"/>
        </w:rPr>
        <w:t>s included in this testing, and by sample size quartile. The ICC in the overall sample was 0.</w:t>
      </w:r>
      <w:r w:rsidR="00FE4F0A" w:rsidRPr="00FE4F0A">
        <w:rPr>
          <w:rStyle w:val="Style1"/>
        </w:rPr>
        <w:t>87</w:t>
      </w:r>
      <w:r w:rsidR="00E96E33" w:rsidRPr="00FE4F0A">
        <w:rPr>
          <w:rStyle w:val="Style1"/>
        </w:rPr>
        <w:t xml:space="preserve"> </w:t>
      </w:r>
      <w:r w:rsidRPr="00FE4F0A">
        <w:rPr>
          <w:rStyle w:val="Style1"/>
        </w:rPr>
        <w:t>with a 95% confidence interval (CI) of 0.</w:t>
      </w:r>
      <w:r w:rsidR="00FE4F0A" w:rsidRPr="00FE4F0A">
        <w:rPr>
          <w:rStyle w:val="Style1"/>
        </w:rPr>
        <w:t>85</w:t>
      </w:r>
      <w:r w:rsidR="00676408" w:rsidRPr="00FE4F0A">
        <w:rPr>
          <w:rStyle w:val="Style1"/>
        </w:rPr>
        <w:t xml:space="preserve"> </w:t>
      </w:r>
      <w:r w:rsidRPr="00FE4F0A">
        <w:rPr>
          <w:rStyle w:val="Style1"/>
        </w:rPr>
        <w:t>to 0.</w:t>
      </w:r>
      <w:r w:rsidR="00FE4F0A" w:rsidRPr="00FE4F0A">
        <w:rPr>
          <w:rStyle w:val="Style1"/>
        </w:rPr>
        <w:t>88</w:t>
      </w:r>
      <w:r w:rsidRPr="00FE4F0A">
        <w:rPr>
          <w:rStyle w:val="Style1"/>
        </w:rPr>
        <w:t>. The ICC was lowest in the</w:t>
      </w:r>
      <w:r w:rsidRPr="004A5072">
        <w:rPr>
          <w:rStyle w:val="Style1"/>
        </w:rPr>
        <w:t xml:space="preserve"> first sample size quartile and increased progressively with increasing quartile. </w:t>
      </w:r>
    </w:p>
    <w:p w14:paraId="748BDDAD" w14:textId="77777777" w:rsidR="004A5072" w:rsidRPr="004A5072" w:rsidRDefault="004A5072" w:rsidP="004A5072">
      <w:pPr>
        <w:autoSpaceDE w:val="0"/>
        <w:autoSpaceDN w:val="0"/>
        <w:adjustRightInd w:val="0"/>
        <w:ind w:left="360"/>
        <w:contextualSpacing/>
        <w:rPr>
          <w:rStyle w:val="Style1"/>
        </w:rPr>
      </w:pPr>
    </w:p>
    <w:p w14:paraId="34C41D53" w14:textId="67D261F1" w:rsidR="004A5072" w:rsidRPr="004A5072" w:rsidRDefault="004A5072" w:rsidP="006958E9">
      <w:pPr>
        <w:autoSpaceDE w:val="0"/>
        <w:autoSpaceDN w:val="0"/>
        <w:adjustRightInd w:val="0"/>
        <w:spacing w:line="240" w:lineRule="auto"/>
        <w:contextualSpacing/>
        <w:rPr>
          <w:rStyle w:val="Style1"/>
          <w:b/>
        </w:rPr>
      </w:pPr>
      <w:bookmarkStart w:id="16" w:name="_Ref21436859"/>
      <w:r w:rsidRPr="004A5072">
        <w:rPr>
          <w:rStyle w:val="Style1"/>
          <w:b/>
        </w:rPr>
        <w:t xml:space="preserve">Table </w:t>
      </w:r>
      <w:r w:rsidR="00715FD3">
        <w:rPr>
          <w:rStyle w:val="Style1"/>
          <w:b/>
        </w:rPr>
        <w:fldChar w:fldCharType="begin"/>
      </w:r>
      <w:r w:rsidR="00715FD3">
        <w:rPr>
          <w:rStyle w:val="Style1"/>
          <w:b/>
        </w:rPr>
        <w:instrText xml:space="preserve"> SEQ Table \* ARABIC </w:instrText>
      </w:r>
      <w:r w:rsidR="00715FD3">
        <w:rPr>
          <w:rStyle w:val="Style1"/>
          <w:b/>
        </w:rPr>
        <w:fldChar w:fldCharType="separate"/>
      </w:r>
      <w:r w:rsidR="00B6644A">
        <w:rPr>
          <w:rStyle w:val="Style1"/>
          <w:b/>
          <w:noProof/>
        </w:rPr>
        <w:t>4</w:t>
      </w:r>
      <w:r w:rsidR="00715FD3">
        <w:rPr>
          <w:rStyle w:val="Style1"/>
          <w:b/>
        </w:rPr>
        <w:fldChar w:fldCharType="end"/>
      </w:r>
      <w:bookmarkEnd w:id="16"/>
      <w:r w:rsidRPr="004A5072">
        <w:rPr>
          <w:rStyle w:val="Style1"/>
          <w:b/>
        </w:rPr>
        <w:t>. Split-sample reliability: Intraclass correlation coefficients between split-sample performance measure scores for the overall</w:t>
      </w:r>
      <w:r w:rsidR="00FE4F0A">
        <w:rPr>
          <w:rStyle w:val="Style1"/>
          <w:b/>
        </w:rPr>
        <w:t xml:space="preserve"> IRF</w:t>
      </w:r>
      <w:r w:rsidRPr="004A5072">
        <w:rPr>
          <w:rStyle w:val="Style1"/>
          <w:b/>
        </w:rPr>
        <w:t xml:space="preserve"> sample and by sample size quartile, with public reporting exclusions (N = </w:t>
      </w:r>
      <w:r w:rsidR="009F5674">
        <w:rPr>
          <w:rStyle w:val="Style1"/>
          <w:b/>
        </w:rPr>
        <w:t>1,147</w:t>
      </w:r>
      <w:r w:rsidRPr="004A5072">
        <w:rPr>
          <w:rStyle w:val="Style1"/>
          <w:b/>
        </w:rPr>
        <w:t>)</w:t>
      </w:r>
    </w:p>
    <w:p w14:paraId="67F20C33" w14:textId="2E2B679F" w:rsidR="00216D77" w:rsidRDefault="00216D77" w:rsidP="00E70419">
      <w:pPr>
        <w:autoSpaceDE w:val="0"/>
        <w:autoSpaceDN w:val="0"/>
        <w:adjustRightInd w:val="0"/>
        <w:spacing w:after="0" w:line="240" w:lineRule="auto"/>
        <w:contextualSpacing/>
        <w:rPr>
          <w:rStyle w:val="Style1"/>
          <w:sz w:val="18"/>
        </w:rPr>
      </w:pPr>
    </w:p>
    <w:tbl>
      <w:tblPr>
        <w:tblW w:w="0" w:type="auto"/>
        <w:tblInd w:w="-108" w:type="dxa"/>
        <w:tblLook w:val="04A0" w:firstRow="1" w:lastRow="0" w:firstColumn="1" w:lastColumn="0" w:noHBand="0" w:noVBand="1"/>
      </w:tblPr>
      <w:tblGrid>
        <w:gridCol w:w="2957"/>
        <w:gridCol w:w="717"/>
        <w:gridCol w:w="1720"/>
      </w:tblGrid>
      <w:tr w:rsidR="00216D77" w:rsidRPr="00216D77" w14:paraId="27076DE4" w14:textId="77777777" w:rsidTr="006958E9">
        <w:tc>
          <w:tcPr>
            <w:tcW w:w="0" w:type="auto"/>
            <w:tcBorders>
              <w:top w:val="single" w:sz="12" w:space="0" w:color="auto"/>
              <w:left w:val="nil"/>
              <w:bottom w:val="single" w:sz="8" w:space="0" w:color="auto"/>
              <w:right w:val="nil"/>
            </w:tcBorders>
            <w:shd w:val="clear" w:color="000000" w:fill="D9D9D9"/>
            <w:vAlign w:val="center"/>
            <w:hideMark/>
          </w:tcPr>
          <w:p w14:paraId="4BCAF172" w14:textId="63E340C6" w:rsidR="00216D77" w:rsidRPr="00F21CE6" w:rsidRDefault="004C3950" w:rsidP="00216D77">
            <w:pPr>
              <w:spacing w:after="0" w:line="240" w:lineRule="auto"/>
              <w:jc w:val="center"/>
              <w:rPr>
                <w:rFonts w:eastAsia="Times New Roman" w:cstheme="minorHAnsi"/>
                <w:b/>
                <w:bCs/>
                <w:color w:val="0000FF"/>
              </w:rPr>
            </w:pPr>
            <w:r>
              <w:rPr>
                <w:rFonts w:eastAsia="Times New Roman" w:cstheme="minorHAnsi"/>
                <w:b/>
                <w:bCs/>
                <w:color w:val="0000FF"/>
              </w:rPr>
              <w:t>Facility</w:t>
            </w:r>
            <w:r w:rsidR="00216D77" w:rsidRPr="00F21CE6">
              <w:rPr>
                <w:rFonts w:eastAsia="Times New Roman" w:cstheme="minorHAnsi"/>
                <w:b/>
                <w:bCs/>
                <w:color w:val="0000FF"/>
              </w:rPr>
              <w:t xml:space="preserve"> Sample</w:t>
            </w:r>
          </w:p>
        </w:tc>
        <w:tc>
          <w:tcPr>
            <w:tcW w:w="0" w:type="auto"/>
            <w:tcBorders>
              <w:top w:val="single" w:sz="12" w:space="0" w:color="auto"/>
              <w:left w:val="nil"/>
              <w:bottom w:val="single" w:sz="8" w:space="0" w:color="auto"/>
              <w:right w:val="nil"/>
            </w:tcBorders>
            <w:shd w:val="clear" w:color="000000" w:fill="D9D9D9"/>
            <w:vAlign w:val="center"/>
            <w:hideMark/>
          </w:tcPr>
          <w:p w14:paraId="439D71FD" w14:textId="62DED5F4" w:rsidR="00216D77" w:rsidRPr="00F21CE6" w:rsidRDefault="00216D77" w:rsidP="00216D77">
            <w:pPr>
              <w:spacing w:after="0" w:line="240" w:lineRule="auto"/>
              <w:jc w:val="center"/>
              <w:rPr>
                <w:rFonts w:eastAsia="Times New Roman" w:cstheme="minorHAnsi"/>
                <w:b/>
                <w:bCs/>
                <w:iCs/>
                <w:color w:val="0000FF"/>
              </w:rPr>
            </w:pPr>
            <w:r w:rsidRPr="00F21CE6">
              <w:rPr>
                <w:rFonts w:eastAsia="Times New Roman" w:cstheme="minorHAnsi"/>
                <w:b/>
                <w:bCs/>
                <w:iCs/>
                <w:color w:val="0000FF"/>
              </w:rPr>
              <w:t>K</w:t>
            </w:r>
          </w:p>
        </w:tc>
        <w:tc>
          <w:tcPr>
            <w:tcW w:w="0" w:type="auto"/>
            <w:tcBorders>
              <w:top w:val="single" w:sz="12" w:space="0" w:color="auto"/>
              <w:left w:val="nil"/>
              <w:bottom w:val="single" w:sz="8" w:space="0" w:color="auto"/>
              <w:right w:val="nil"/>
            </w:tcBorders>
            <w:shd w:val="clear" w:color="000000" w:fill="D9D9D9"/>
            <w:vAlign w:val="center"/>
            <w:hideMark/>
          </w:tcPr>
          <w:p w14:paraId="0A2ACD02" w14:textId="65DDBFE5" w:rsidR="00216D77" w:rsidRPr="00F21CE6" w:rsidRDefault="00B77798" w:rsidP="00216D77">
            <w:pPr>
              <w:spacing w:after="0" w:line="240" w:lineRule="auto"/>
              <w:jc w:val="center"/>
              <w:rPr>
                <w:rFonts w:eastAsia="Times New Roman" w:cstheme="minorHAnsi"/>
                <w:b/>
                <w:bCs/>
                <w:color w:val="0000FF"/>
              </w:rPr>
            </w:pPr>
            <w:r>
              <w:rPr>
                <w:rFonts w:eastAsia="Times New Roman" w:cstheme="minorHAnsi"/>
                <w:b/>
                <w:bCs/>
                <w:color w:val="0000FF"/>
              </w:rPr>
              <w:t>ICC(2,1)</w:t>
            </w:r>
            <w:r w:rsidR="00216D77" w:rsidRPr="00F21CE6">
              <w:rPr>
                <w:rFonts w:eastAsia="Times New Roman" w:cstheme="minorHAnsi"/>
                <w:b/>
                <w:bCs/>
                <w:color w:val="0000FF"/>
              </w:rPr>
              <w:t xml:space="preserve"> (95% CI)</w:t>
            </w:r>
          </w:p>
        </w:tc>
      </w:tr>
      <w:tr w:rsidR="00676408" w:rsidRPr="00216D77" w14:paraId="36D3256F" w14:textId="77777777" w:rsidTr="00495623">
        <w:tc>
          <w:tcPr>
            <w:tcW w:w="0" w:type="auto"/>
            <w:tcBorders>
              <w:top w:val="nil"/>
              <w:left w:val="nil"/>
              <w:bottom w:val="nil"/>
              <w:right w:val="nil"/>
            </w:tcBorders>
            <w:shd w:val="clear" w:color="auto" w:fill="auto"/>
            <w:vAlign w:val="center"/>
            <w:hideMark/>
          </w:tcPr>
          <w:p w14:paraId="630F8517" w14:textId="77777777" w:rsidR="00676408" w:rsidRPr="00F21CE6" w:rsidRDefault="00676408" w:rsidP="00676408">
            <w:pPr>
              <w:spacing w:after="0" w:line="240" w:lineRule="auto"/>
              <w:rPr>
                <w:rFonts w:eastAsia="Times New Roman" w:cstheme="minorHAnsi"/>
                <w:color w:val="0000FF"/>
              </w:rPr>
            </w:pPr>
            <w:r w:rsidRPr="00F21CE6">
              <w:rPr>
                <w:rFonts w:eastAsia="Times New Roman" w:cstheme="minorHAnsi"/>
                <w:color w:val="0000FF"/>
              </w:rPr>
              <w:t>Overall</w:t>
            </w:r>
          </w:p>
        </w:tc>
        <w:tc>
          <w:tcPr>
            <w:tcW w:w="0" w:type="auto"/>
            <w:tcBorders>
              <w:top w:val="nil"/>
              <w:left w:val="nil"/>
              <w:bottom w:val="nil"/>
              <w:right w:val="nil"/>
            </w:tcBorders>
            <w:shd w:val="clear" w:color="auto" w:fill="auto"/>
            <w:vAlign w:val="center"/>
            <w:hideMark/>
          </w:tcPr>
          <w:p w14:paraId="6571A536" w14:textId="7962A392" w:rsidR="00676408" w:rsidRPr="00F21CE6" w:rsidRDefault="00676408" w:rsidP="00FE4F0A">
            <w:pPr>
              <w:spacing w:after="0" w:line="240" w:lineRule="auto"/>
              <w:jc w:val="center"/>
              <w:rPr>
                <w:rFonts w:eastAsia="Times New Roman" w:cstheme="minorHAnsi"/>
                <w:color w:val="0000FF"/>
              </w:rPr>
            </w:pPr>
            <w:r w:rsidRPr="00F21CE6">
              <w:rPr>
                <w:rFonts w:eastAsia="Times New Roman" w:cstheme="minorHAnsi"/>
                <w:color w:val="0000FF"/>
              </w:rPr>
              <w:t>1</w:t>
            </w:r>
            <w:r w:rsidR="00FE4F0A">
              <w:rPr>
                <w:rFonts w:eastAsia="Times New Roman" w:cstheme="minorHAnsi"/>
                <w:color w:val="0000FF"/>
              </w:rPr>
              <w:t>,1</w:t>
            </w:r>
            <w:r w:rsidRPr="00F21CE6">
              <w:rPr>
                <w:rFonts w:eastAsia="Times New Roman" w:cstheme="minorHAnsi"/>
                <w:color w:val="0000FF"/>
              </w:rPr>
              <w:t>47</w:t>
            </w:r>
          </w:p>
        </w:tc>
        <w:tc>
          <w:tcPr>
            <w:tcW w:w="0" w:type="auto"/>
            <w:tcBorders>
              <w:top w:val="nil"/>
              <w:left w:val="nil"/>
              <w:bottom w:val="nil"/>
              <w:right w:val="nil"/>
            </w:tcBorders>
            <w:shd w:val="clear" w:color="auto" w:fill="auto"/>
            <w:hideMark/>
          </w:tcPr>
          <w:p w14:paraId="53DBEAFF" w14:textId="5BE555CE" w:rsidR="00676408" w:rsidRPr="00676408" w:rsidRDefault="00676408">
            <w:pPr>
              <w:spacing w:after="0" w:line="240" w:lineRule="auto"/>
              <w:jc w:val="center"/>
              <w:rPr>
                <w:rFonts w:eastAsia="Times New Roman" w:cstheme="minorHAnsi"/>
                <w:color w:val="0000FF"/>
              </w:rPr>
            </w:pPr>
            <w:r w:rsidRPr="00495623">
              <w:rPr>
                <w:color w:val="0000FF"/>
              </w:rPr>
              <w:t>0</w:t>
            </w:r>
            <w:r w:rsidR="00FE4F0A">
              <w:rPr>
                <w:color w:val="0000FF"/>
              </w:rPr>
              <w:t>.87</w:t>
            </w:r>
            <w:r w:rsidRPr="00495623">
              <w:rPr>
                <w:color w:val="0000FF"/>
              </w:rPr>
              <w:t xml:space="preserve"> (0.</w:t>
            </w:r>
            <w:r w:rsidR="00FE4F0A">
              <w:rPr>
                <w:color w:val="0000FF"/>
              </w:rPr>
              <w:t>8</w:t>
            </w:r>
            <w:r w:rsidRPr="00495623">
              <w:rPr>
                <w:color w:val="0000FF"/>
              </w:rPr>
              <w:t>5-0.</w:t>
            </w:r>
            <w:r w:rsidR="00FE4F0A">
              <w:rPr>
                <w:color w:val="0000FF"/>
              </w:rPr>
              <w:t>88</w:t>
            </w:r>
            <w:r w:rsidRPr="00495623">
              <w:rPr>
                <w:color w:val="0000FF"/>
              </w:rPr>
              <w:t>)</w:t>
            </w:r>
          </w:p>
        </w:tc>
      </w:tr>
      <w:tr w:rsidR="00676408" w:rsidRPr="00216D77" w14:paraId="584A52A7" w14:textId="77777777" w:rsidTr="00495623">
        <w:tc>
          <w:tcPr>
            <w:tcW w:w="0" w:type="auto"/>
            <w:tcBorders>
              <w:top w:val="nil"/>
              <w:left w:val="nil"/>
              <w:bottom w:val="nil"/>
              <w:right w:val="nil"/>
            </w:tcBorders>
            <w:shd w:val="clear" w:color="auto" w:fill="auto"/>
            <w:vAlign w:val="center"/>
            <w:hideMark/>
          </w:tcPr>
          <w:p w14:paraId="5D4FE345" w14:textId="0819B900" w:rsidR="00676408" w:rsidRPr="00F21CE6" w:rsidRDefault="00676408" w:rsidP="00676408">
            <w:pPr>
              <w:spacing w:after="0" w:line="240" w:lineRule="auto"/>
              <w:rPr>
                <w:rFonts w:eastAsia="Times New Roman" w:cstheme="minorHAnsi"/>
                <w:color w:val="0000FF"/>
              </w:rPr>
            </w:pPr>
            <w:r>
              <w:rPr>
                <w:rFonts w:eastAsia="Times New Roman" w:cstheme="minorHAnsi"/>
                <w:color w:val="0000FF"/>
              </w:rPr>
              <w:t xml:space="preserve">Quartile 1: </w:t>
            </w:r>
            <w:r w:rsidRPr="00F21CE6">
              <w:rPr>
                <w:rFonts w:eastAsia="Times New Roman" w:cstheme="minorHAnsi"/>
                <w:color w:val="0000FF"/>
              </w:rPr>
              <w:t>20-1</w:t>
            </w:r>
            <w:r w:rsidR="00FE4F0A">
              <w:rPr>
                <w:rFonts w:eastAsia="Times New Roman" w:cstheme="minorHAnsi"/>
                <w:color w:val="0000FF"/>
              </w:rPr>
              <w:t>9</w:t>
            </w:r>
            <w:r w:rsidRPr="00F21CE6">
              <w:rPr>
                <w:rFonts w:eastAsia="Times New Roman" w:cstheme="minorHAnsi"/>
                <w:color w:val="0000FF"/>
              </w:rPr>
              <w:t>0 episodes</w:t>
            </w:r>
          </w:p>
        </w:tc>
        <w:tc>
          <w:tcPr>
            <w:tcW w:w="0" w:type="auto"/>
            <w:tcBorders>
              <w:top w:val="nil"/>
              <w:left w:val="nil"/>
              <w:bottom w:val="nil"/>
              <w:right w:val="nil"/>
            </w:tcBorders>
            <w:shd w:val="clear" w:color="auto" w:fill="auto"/>
            <w:vAlign w:val="center"/>
            <w:hideMark/>
          </w:tcPr>
          <w:p w14:paraId="5CCEC700" w14:textId="5DDADD76" w:rsidR="00676408" w:rsidRPr="00F21CE6" w:rsidRDefault="00676408" w:rsidP="00FE4F0A">
            <w:pPr>
              <w:spacing w:after="0" w:line="240" w:lineRule="auto"/>
              <w:jc w:val="center"/>
              <w:rPr>
                <w:rFonts w:eastAsia="Times New Roman" w:cstheme="minorHAnsi"/>
                <w:color w:val="0000FF"/>
              </w:rPr>
            </w:pPr>
            <w:r w:rsidRPr="00F21CE6">
              <w:rPr>
                <w:rFonts w:eastAsia="Times New Roman" w:cstheme="minorHAnsi"/>
                <w:color w:val="0000FF"/>
              </w:rPr>
              <w:t>2</w:t>
            </w:r>
            <w:r w:rsidR="00FE4F0A">
              <w:rPr>
                <w:rFonts w:eastAsia="Times New Roman" w:cstheme="minorHAnsi"/>
                <w:color w:val="0000FF"/>
              </w:rPr>
              <w:t>87</w:t>
            </w:r>
          </w:p>
        </w:tc>
        <w:tc>
          <w:tcPr>
            <w:tcW w:w="0" w:type="auto"/>
            <w:tcBorders>
              <w:top w:val="nil"/>
              <w:left w:val="nil"/>
              <w:bottom w:val="nil"/>
              <w:right w:val="nil"/>
            </w:tcBorders>
            <w:shd w:val="clear" w:color="auto" w:fill="auto"/>
            <w:hideMark/>
          </w:tcPr>
          <w:p w14:paraId="03B52B49" w14:textId="20CF082E" w:rsidR="00676408" w:rsidRPr="00676408" w:rsidRDefault="00676408" w:rsidP="00676408">
            <w:pPr>
              <w:spacing w:after="0" w:line="240" w:lineRule="auto"/>
              <w:jc w:val="center"/>
              <w:rPr>
                <w:rFonts w:eastAsia="Times New Roman" w:cstheme="minorHAnsi"/>
                <w:color w:val="0000FF"/>
              </w:rPr>
            </w:pPr>
            <w:r w:rsidRPr="00495623">
              <w:rPr>
                <w:color w:val="0000FF"/>
              </w:rPr>
              <w:t>0.</w:t>
            </w:r>
            <w:r w:rsidR="00FE4F0A">
              <w:rPr>
                <w:color w:val="0000FF"/>
              </w:rPr>
              <w:t>81</w:t>
            </w:r>
            <w:r w:rsidRPr="00495623">
              <w:rPr>
                <w:color w:val="0000FF"/>
              </w:rPr>
              <w:t xml:space="preserve"> (0.</w:t>
            </w:r>
            <w:r w:rsidR="00FE4F0A">
              <w:rPr>
                <w:color w:val="0000FF"/>
              </w:rPr>
              <w:t>76</w:t>
            </w:r>
            <w:r w:rsidRPr="00495623">
              <w:rPr>
                <w:color w:val="0000FF"/>
              </w:rPr>
              <w:t>-0.</w:t>
            </w:r>
            <w:r w:rsidR="00FE4F0A">
              <w:rPr>
                <w:color w:val="0000FF"/>
              </w:rPr>
              <w:t>84</w:t>
            </w:r>
            <w:r w:rsidRPr="00495623">
              <w:rPr>
                <w:color w:val="0000FF"/>
              </w:rPr>
              <w:t>)</w:t>
            </w:r>
          </w:p>
        </w:tc>
      </w:tr>
      <w:tr w:rsidR="00676408" w:rsidRPr="00216D77" w14:paraId="46996E14" w14:textId="77777777" w:rsidTr="00495623">
        <w:tc>
          <w:tcPr>
            <w:tcW w:w="0" w:type="auto"/>
            <w:tcBorders>
              <w:top w:val="nil"/>
              <w:left w:val="nil"/>
              <w:bottom w:val="nil"/>
              <w:right w:val="nil"/>
            </w:tcBorders>
            <w:shd w:val="clear" w:color="auto" w:fill="auto"/>
            <w:vAlign w:val="center"/>
            <w:hideMark/>
          </w:tcPr>
          <w:p w14:paraId="3651C748" w14:textId="6DF25AB3" w:rsidR="00676408" w:rsidRPr="00F21CE6" w:rsidRDefault="00676408" w:rsidP="00676408">
            <w:pPr>
              <w:spacing w:after="0" w:line="240" w:lineRule="auto"/>
              <w:rPr>
                <w:rFonts w:eastAsia="Times New Roman" w:cstheme="minorHAnsi"/>
                <w:color w:val="0000FF"/>
              </w:rPr>
            </w:pPr>
            <w:r>
              <w:rPr>
                <w:rFonts w:eastAsia="Times New Roman" w:cstheme="minorHAnsi"/>
                <w:color w:val="0000FF"/>
              </w:rPr>
              <w:t xml:space="preserve">Quartile 2: </w:t>
            </w:r>
            <w:r w:rsidRPr="00F21CE6">
              <w:rPr>
                <w:rFonts w:eastAsia="Times New Roman" w:cstheme="minorHAnsi"/>
                <w:color w:val="0000FF"/>
              </w:rPr>
              <w:t>1</w:t>
            </w:r>
            <w:r w:rsidR="00FE4F0A">
              <w:rPr>
                <w:rFonts w:eastAsia="Times New Roman" w:cstheme="minorHAnsi"/>
                <w:color w:val="0000FF"/>
              </w:rPr>
              <w:t>9</w:t>
            </w:r>
            <w:r w:rsidRPr="00F21CE6">
              <w:rPr>
                <w:rFonts w:eastAsia="Times New Roman" w:cstheme="minorHAnsi"/>
                <w:color w:val="0000FF"/>
              </w:rPr>
              <w:t>1-</w:t>
            </w:r>
            <w:r w:rsidR="00FE4F0A">
              <w:rPr>
                <w:rFonts w:eastAsia="Times New Roman" w:cstheme="minorHAnsi"/>
                <w:color w:val="0000FF"/>
              </w:rPr>
              <w:t>334</w:t>
            </w:r>
            <w:r w:rsidRPr="00F21CE6">
              <w:rPr>
                <w:rFonts w:eastAsia="Times New Roman" w:cstheme="minorHAnsi"/>
                <w:color w:val="0000FF"/>
              </w:rPr>
              <w:t xml:space="preserve"> episodes</w:t>
            </w:r>
          </w:p>
        </w:tc>
        <w:tc>
          <w:tcPr>
            <w:tcW w:w="0" w:type="auto"/>
            <w:tcBorders>
              <w:top w:val="nil"/>
              <w:left w:val="nil"/>
              <w:bottom w:val="nil"/>
              <w:right w:val="nil"/>
            </w:tcBorders>
            <w:shd w:val="clear" w:color="auto" w:fill="auto"/>
            <w:vAlign w:val="center"/>
            <w:hideMark/>
          </w:tcPr>
          <w:p w14:paraId="7A56DD3C" w14:textId="058E8575" w:rsidR="00676408" w:rsidRPr="00F21CE6" w:rsidRDefault="00676408" w:rsidP="00676408">
            <w:pPr>
              <w:spacing w:after="0" w:line="240" w:lineRule="auto"/>
              <w:jc w:val="center"/>
              <w:rPr>
                <w:rFonts w:eastAsia="Times New Roman" w:cstheme="minorHAnsi"/>
                <w:color w:val="0000FF"/>
              </w:rPr>
            </w:pPr>
            <w:r w:rsidRPr="00F21CE6">
              <w:rPr>
                <w:rFonts w:eastAsia="Times New Roman" w:cstheme="minorHAnsi"/>
                <w:color w:val="0000FF"/>
              </w:rPr>
              <w:t>2</w:t>
            </w:r>
            <w:r w:rsidR="00FE4F0A">
              <w:rPr>
                <w:rFonts w:eastAsia="Times New Roman" w:cstheme="minorHAnsi"/>
                <w:color w:val="0000FF"/>
              </w:rPr>
              <w:t>8</w:t>
            </w:r>
            <w:r w:rsidRPr="00F21CE6">
              <w:rPr>
                <w:rFonts w:eastAsia="Times New Roman" w:cstheme="minorHAnsi"/>
                <w:color w:val="0000FF"/>
              </w:rPr>
              <w:t>7</w:t>
            </w:r>
          </w:p>
        </w:tc>
        <w:tc>
          <w:tcPr>
            <w:tcW w:w="0" w:type="auto"/>
            <w:tcBorders>
              <w:top w:val="nil"/>
              <w:left w:val="nil"/>
              <w:bottom w:val="nil"/>
              <w:right w:val="nil"/>
            </w:tcBorders>
            <w:shd w:val="clear" w:color="auto" w:fill="auto"/>
            <w:hideMark/>
          </w:tcPr>
          <w:p w14:paraId="71723CF5" w14:textId="441EB224" w:rsidR="00676408" w:rsidRPr="00676408" w:rsidRDefault="00676408" w:rsidP="00FE4F0A">
            <w:pPr>
              <w:spacing w:after="0" w:line="240" w:lineRule="auto"/>
              <w:jc w:val="center"/>
              <w:rPr>
                <w:rFonts w:eastAsia="Times New Roman" w:cstheme="minorHAnsi"/>
                <w:color w:val="0000FF"/>
              </w:rPr>
            </w:pPr>
            <w:r w:rsidRPr="00495623">
              <w:rPr>
                <w:color w:val="0000FF"/>
              </w:rPr>
              <w:t>0.8</w:t>
            </w:r>
            <w:r w:rsidR="00FE4F0A">
              <w:rPr>
                <w:color w:val="0000FF"/>
              </w:rPr>
              <w:t>7</w:t>
            </w:r>
            <w:r w:rsidRPr="00495623">
              <w:rPr>
                <w:color w:val="0000FF"/>
              </w:rPr>
              <w:t xml:space="preserve"> (0.8</w:t>
            </w:r>
            <w:r w:rsidR="00FE4F0A">
              <w:rPr>
                <w:color w:val="0000FF"/>
              </w:rPr>
              <w:t>4</w:t>
            </w:r>
            <w:r w:rsidRPr="00495623">
              <w:rPr>
                <w:color w:val="0000FF"/>
              </w:rPr>
              <w:t>-0.</w:t>
            </w:r>
            <w:r w:rsidR="00FE4F0A">
              <w:rPr>
                <w:color w:val="0000FF"/>
              </w:rPr>
              <w:t>90</w:t>
            </w:r>
            <w:r w:rsidRPr="00495623">
              <w:rPr>
                <w:color w:val="0000FF"/>
              </w:rPr>
              <w:t>)</w:t>
            </w:r>
          </w:p>
        </w:tc>
      </w:tr>
      <w:tr w:rsidR="00676408" w:rsidRPr="00216D77" w14:paraId="36B1D21D" w14:textId="77777777" w:rsidTr="00495623">
        <w:tc>
          <w:tcPr>
            <w:tcW w:w="0" w:type="auto"/>
            <w:tcBorders>
              <w:top w:val="nil"/>
              <w:left w:val="nil"/>
              <w:bottom w:val="nil"/>
              <w:right w:val="nil"/>
            </w:tcBorders>
            <w:shd w:val="clear" w:color="auto" w:fill="auto"/>
            <w:vAlign w:val="center"/>
            <w:hideMark/>
          </w:tcPr>
          <w:p w14:paraId="0720BE79" w14:textId="1BB31816" w:rsidR="00676408" w:rsidRPr="00F21CE6" w:rsidRDefault="00676408" w:rsidP="00676408">
            <w:pPr>
              <w:spacing w:after="0" w:line="240" w:lineRule="auto"/>
              <w:rPr>
                <w:rFonts w:eastAsia="Times New Roman" w:cstheme="minorHAnsi"/>
                <w:color w:val="0000FF"/>
              </w:rPr>
            </w:pPr>
            <w:r>
              <w:rPr>
                <w:rFonts w:eastAsia="Times New Roman" w:cstheme="minorHAnsi"/>
                <w:color w:val="0000FF"/>
              </w:rPr>
              <w:t xml:space="preserve">Quartile 3: </w:t>
            </w:r>
            <w:r w:rsidR="00FE4F0A">
              <w:rPr>
                <w:rFonts w:eastAsia="Times New Roman" w:cstheme="minorHAnsi"/>
                <w:color w:val="0000FF"/>
              </w:rPr>
              <w:t>335</w:t>
            </w:r>
            <w:r w:rsidRPr="00F21CE6">
              <w:rPr>
                <w:rFonts w:eastAsia="Times New Roman" w:cstheme="minorHAnsi"/>
                <w:color w:val="0000FF"/>
              </w:rPr>
              <w:t>-</w:t>
            </w:r>
            <w:r w:rsidR="00FE4F0A">
              <w:rPr>
                <w:rFonts w:eastAsia="Times New Roman" w:cstheme="minorHAnsi"/>
                <w:color w:val="0000FF"/>
              </w:rPr>
              <w:t>686</w:t>
            </w:r>
            <w:r w:rsidRPr="00F21CE6">
              <w:rPr>
                <w:rFonts w:eastAsia="Times New Roman" w:cstheme="minorHAnsi"/>
                <w:color w:val="0000FF"/>
              </w:rPr>
              <w:t xml:space="preserve"> episodes</w:t>
            </w:r>
          </w:p>
        </w:tc>
        <w:tc>
          <w:tcPr>
            <w:tcW w:w="0" w:type="auto"/>
            <w:tcBorders>
              <w:top w:val="nil"/>
              <w:left w:val="nil"/>
              <w:bottom w:val="nil"/>
              <w:right w:val="nil"/>
            </w:tcBorders>
            <w:shd w:val="clear" w:color="auto" w:fill="auto"/>
            <w:vAlign w:val="center"/>
            <w:hideMark/>
          </w:tcPr>
          <w:p w14:paraId="0E37ED32" w14:textId="40AFC149" w:rsidR="00676408" w:rsidRPr="00F21CE6" w:rsidRDefault="00676408" w:rsidP="00676408">
            <w:pPr>
              <w:spacing w:after="0" w:line="240" w:lineRule="auto"/>
              <w:jc w:val="center"/>
              <w:rPr>
                <w:rFonts w:eastAsia="Times New Roman" w:cstheme="minorHAnsi"/>
                <w:color w:val="0000FF"/>
              </w:rPr>
            </w:pPr>
            <w:r w:rsidRPr="00F21CE6">
              <w:rPr>
                <w:rFonts w:eastAsia="Times New Roman" w:cstheme="minorHAnsi"/>
                <w:color w:val="0000FF"/>
              </w:rPr>
              <w:t>2</w:t>
            </w:r>
            <w:r w:rsidR="00FE4F0A">
              <w:rPr>
                <w:rFonts w:eastAsia="Times New Roman" w:cstheme="minorHAnsi"/>
                <w:color w:val="0000FF"/>
              </w:rPr>
              <w:t>86</w:t>
            </w:r>
          </w:p>
        </w:tc>
        <w:tc>
          <w:tcPr>
            <w:tcW w:w="0" w:type="auto"/>
            <w:tcBorders>
              <w:top w:val="nil"/>
              <w:left w:val="nil"/>
              <w:bottom w:val="nil"/>
              <w:right w:val="nil"/>
            </w:tcBorders>
            <w:shd w:val="clear" w:color="auto" w:fill="auto"/>
            <w:hideMark/>
          </w:tcPr>
          <w:p w14:paraId="12934459" w14:textId="68E69B81" w:rsidR="00676408" w:rsidRPr="00676408" w:rsidRDefault="00676408" w:rsidP="00676408">
            <w:pPr>
              <w:spacing w:after="0" w:line="240" w:lineRule="auto"/>
              <w:jc w:val="center"/>
              <w:rPr>
                <w:rFonts w:eastAsia="Times New Roman" w:cstheme="minorHAnsi"/>
                <w:color w:val="0000FF"/>
              </w:rPr>
            </w:pPr>
            <w:r w:rsidRPr="00495623">
              <w:rPr>
                <w:color w:val="0000FF"/>
              </w:rPr>
              <w:t>0.9</w:t>
            </w:r>
            <w:r w:rsidR="00FE4F0A">
              <w:rPr>
                <w:color w:val="0000FF"/>
              </w:rPr>
              <w:t>3</w:t>
            </w:r>
            <w:r w:rsidRPr="00495623">
              <w:rPr>
                <w:color w:val="0000FF"/>
              </w:rPr>
              <w:t xml:space="preserve"> (0.</w:t>
            </w:r>
            <w:r w:rsidR="00FE4F0A">
              <w:rPr>
                <w:color w:val="0000FF"/>
              </w:rPr>
              <w:t>91</w:t>
            </w:r>
            <w:r w:rsidRPr="00495623">
              <w:rPr>
                <w:color w:val="0000FF"/>
              </w:rPr>
              <w:t>-0.9</w:t>
            </w:r>
            <w:r w:rsidR="00FE4F0A">
              <w:rPr>
                <w:color w:val="0000FF"/>
              </w:rPr>
              <w:t>4</w:t>
            </w:r>
            <w:r w:rsidRPr="00495623">
              <w:rPr>
                <w:color w:val="0000FF"/>
              </w:rPr>
              <w:t>)</w:t>
            </w:r>
          </w:p>
        </w:tc>
      </w:tr>
      <w:tr w:rsidR="00676408" w:rsidRPr="00216D77" w14:paraId="58728AB1" w14:textId="77777777" w:rsidTr="00495623">
        <w:tc>
          <w:tcPr>
            <w:tcW w:w="0" w:type="auto"/>
            <w:tcBorders>
              <w:top w:val="nil"/>
              <w:left w:val="nil"/>
              <w:bottom w:val="single" w:sz="8" w:space="0" w:color="auto"/>
              <w:right w:val="nil"/>
            </w:tcBorders>
            <w:shd w:val="clear" w:color="auto" w:fill="auto"/>
            <w:vAlign w:val="center"/>
            <w:hideMark/>
          </w:tcPr>
          <w:p w14:paraId="5ED67CD2" w14:textId="02A942D9" w:rsidR="00676408" w:rsidRPr="00F21CE6" w:rsidRDefault="00676408" w:rsidP="00FE4F0A">
            <w:pPr>
              <w:spacing w:after="0" w:line="240" w:lineRule="auto"/>
              <w:rPr>
                <w:rFonts w:eastAsia="Times New Roman" w:cstheme="minorHAnsi"/>
                <w:color w:val="0000FF"/>
              </w:rPr>
            </w:pPr>
            <w:r>
              <w:rPr>
                <w:rFonts w:eastAsia="Times New Roman" w:cstheme="minorHAnsi"/>
                <w:color w:val="0000FF"/>
              </w:rPr>
              <w:t xml:space="preserve">Quartile 4: </w:t>
            </w:r>
            <w:r w:rsidR="00FE4F0A">
              <w:rPr>
                <w:rFonts w:eastAsia="Times New Roman" w:cstheme="minorHAnsi"/>
                <w:color w:val="0000FF"/>
              </w:rPr>
              <w:t>687</w:t>
            </w:r>
            <w:r w:rsidRPr="00F21CE6">
              <w:rPr>
                <w:rFonts w:eastAsia="Times New Roman" w:cstheme="minorHAnsi"/>
                <w:color w:val="0000FF"/>
              </w:rPr>
              <w:t>-</w:t>
            </w:r>
            <w:r w:rsidR="00FE4F0A">
              <w:rPr>
                <w:rFonts w:eastAsia="Times New Roman" w:cstheme="minorHAnsi"/>
                <w:color w:val="0000FF"/>
              </w:rPr>
              <w:t xml:space="preserve">5,992 </w:t>
            </w:r>
            <w:r w:rsidRPr="00F21CE6">
              <w:rPr>
                <w:rFonts w:eastAsia="Times New Roman" w:cstheme="minorHAnsi"/>
                <w:color w:val="0000FF"/>
              </w:rPr>
              <w:t>episodes</w:t>
            </w:r>
          </w:p>
        </w:tc>
        <w:tc>
          <w:tcPr>
            <w:tcW w:w="0" w:type="auto"/>
            <w:tcBorders>
              <w:top w:val="nil"/>
              <w:left w:val="nil"/>
              <w:bottom w:val="single" w:sz="8" w:space="0" w:color="auto"/>
              <w:right w:val="nil"/>
            </w:tcBorders>
            <w:shd w:val="clear" w:color="auto" w:fill="auto"/>
            <w:vAlign w:val="center"/>
            <w:hideMark/>
          </w:tcPr>
          <w:p w14:paraId="657F7FC5" w14:textId="32763F7F" w:rsidR="00676408" w:rsidRPr="00F21CE6" w:rsidRDefault="00676408">
            <w:pPr>
              <w:spacing w:after="0" w:line="240" w:lineRule="auto"/>
              <w:jc w:val="center"/>
              <w:rPr>
                <w:rFonts w:eastAsia="Times New Roman" w:cstheme="minorHAnsi"/>
                <w:color w:val="0000FF"/>
              </w:rPr>
            </w:pPr>
            <w:r w:rsidRPr="00F21CE6">
              <w:rPr>
                <w:rFonts w:eastAsia="Times New Roman" w:cstheme="minorHAnsi"/>
                <w:color w:val="0000FF"/>
              </w:rPr>
              <w:t>2</w:t>
            </w:r>
            <w:r w:rsidR="00FE4F0A">
              <w:rPr>
                <w:rFonts w:eastAsia="Times New Roman" w:cstheme="minorHAnsi"/>
                <w:color w:val="0000FF"/>
              </w:rPr>
              <w:t>87</w:t>
            </w:r>
          </w:p>
        </w:tc>
        <w:tc>
          <w:tcPr>
            <w:tcW w:w="0" w:type="auto"/>
            <w:tcBorders>
              <w:top w:val="nil"/>
              <w:left w:val="nil"/>
              <w:bottom w:val="single" w:sz="8" w:space="0" w:color="auto"/>
              <w:right w:val="nil"/>
            </w:tcBorders>
            <w:shd w:val="clear" w:color="auto" w:fill="auto"/>
            <w:hideMark/>
          </w:tcPr>
          <w:p w14:paraId="67558F97" w14:textId="1C2043AA" w:rsidR="00676408" w:rsidRPr="00676408" w:rsidRDefault="00676408" w:rsidP="00676408">
            <w:pPr>
              <w:spacing w:after="0" w:line="240" w:lineRule="auto"/>
              <w:jc w:val="center"/>
              <w:rPr>
                <w:rFonts w:eastAsia="Times New Roman" w:cstheme="minorHAnsi"/>
                <w:color w:val="0000FF"/>
              </w:rPr>
            </w:pPr>
            <w:r w:rsidRPr="00495623">
              <w:rPr>
                <w:color w:val="0000FF"/>
              </w:rPr>
              <w:t>0.9</w:t>
            </w:r>
            <w:r w:rsidR="00FE4F0A">
              <w:rPr>
                <w:color w:val="0000FF"/>
              </w:rPr>
              <w:t>5</w:t>
            </w:r>
            <w:r w:rsidRPr="00495623">
              <w:rPr>
                <w:color w:val="0000FF"/>
              </w:rPr>
              <w:t xml:space="preserve"> (0.94-0.9</w:t>
            </w:r>
            <w:r w:rsidR="00FE4F0A">
              <w:rPr>
                <w:color w:val="0000FF"/>
              </w:rPr>
              <w:t>6</w:t>
            </w:r>
            <w:r w:rsidRPr="00495623">
              <w:rPr>
                <w:color w:val="0000FF"/>
              </w:rPr>
              <w:t>)</w:t>
            </w:r>
          </w:p>
        </w:tc>
      </w:tr>
    </w:tbl>
    <w:p w14:paraId="10A9E74F" w14:textId="07763793" w:rsidR="004A5072" w:rsidRPr="004A5072" w:rsidRDefault="004A5072" w:rsidP="006958E9">
      <w:pPr>
        <w:autoSpaceDE w:val="0"/>
        <w:autoSpaceDN w:val="0"/>
        <w:adjustRightInd w:val="0"/>
        <w:spacing w:after="0" w:line="240" w:lineRule="auto"/>
        <w:contextualSpacing/>
        <w:rPr>
          <w:rStyle w:val="Style1"/>
          <w:sz w:val="18"/>
        </w:rPr>
      </w:pPr>
      <w:r w:rsidRPr="004A5072">
        <w:rPr>
          <w:rStyle w:val="Style1"/>
          <w:sz w:val="18"/>
        </w:rPr>
        <w:t xml:space="preserve">Analysis of Medicare Claims File for </w:t>
      </w:r>
      <w:r w:rsidR="00FE4F0A">
        <w:rPr>
          <w:rStyle w:val="Style1"/>
          <w:sz w:val="18"/>
        </w:rPr>
        <w:t>IRF</w:t>
      </w:r>
      <w:r w:rsidRPr="004A5072">
        <w:rPr>
          <w:rStyle w:val="Style1"/>
          <w:sz w:val="18"/>
        </w:rPr>
        <w:t xml:space="preserve"> </w:t>
      </w:r>
      <w:r w:rsidR="000F180C" w:rsidRPr="005B2207">
        <w:rPr>
          <w:rStyle w:val="Style1"/>
          <w:sz w:val="18"/>
        </w:rPr>
        <w:t>F</w:t>
      </w:r>
      <w:r w:rsidRPr="000F180C">
        <w:rPr>
          <w:rStyle w:val="Style1"/>
          <w:sz w:val="18"/>
        </w:rPr>
        <w:t>Y 201</w:t>
      </w:r>
      <w:r w:rsidR="00676408" w:rsidRPr="000F180C">
        <w:rPr>
          <w:rStyle w:val="Style1"/>
          <w:sz w:val="18"/>
        </w:rPr>
        <w:t>4</w:t>
      </w:r>
      <w:r w:rsidR="00A8792A" w:rsidRPr="000F180C">
        <w:rPr>
          <w:rStyle w:val="Style1"/>
          <w:sz w:val="18"/>
        </w:rPr>
        <w:t>-</w:t>
      </w:r>
      <w:r w:rsidRPr="000F180C">
        <w:rPr>
          <w:rStyle w:val="Style1"/>
          <w:sz w:val="18"/>
        </w:rPr>
        <w:t>2017.</w:t>
      </w:r>
    </w:p>
    <w:p w14:paraId="611B8AE7" w14:textId="41B3B270" w:rsidR="004A5072" w:rsidRPr="004A5072" w:rsidRDefault="004A5072" w:rsidP="006958E9">
      <w:pPr>
        <w:spacing w:after="0" w:line="240" w:lineRule="auto"/>
        <w:rPr>
          <w:rStyle w:val="Style1"/>
          <w:sz w:val="18"/>
        </w:rPr>
      </w:pPr>
      <w:r w:rsidRPr="004A5072">
        <w:rPr>
          <w:rStyle w:val="Style1"/>
          <w:sz w:val="18"/>
        </w:rPr>
        <w:t xml:space="preserve">Note: </w:t>
      </w:r>
      <w:r w:rsidR="004C3950">
        <w:rPr>
          <w:rStyle w:val="Style1"/>
          <w:sz w:val="18"/>
        </w:rPr>
        <w:t>Facility</w:t>
      </w:r>
      <w:r w:rsidRPr="004A5072">
        <w:rPr>
          <w:rStyle w:val="Style1"/>
          <w:sz w:val="18"/>
        </w:rPr>
        <w:t xml:space="preserve"> size can vary based on the sample in which the regression was estimated </w:t>
      </w:r>
      <w:r w:rsidR="004E386C">
        <w:rPr>
          <w:rStyle w:val="Style1"/>
          <w:sz w:val="18"/>
        </w:rPr>
        <w:t xml:space="preserve">due to outlier </w:t>
      </w:r>
      <w:r w:rsidRPr="004A5072">
        <w:rPr>
          <w:rStyle w:val="Style1"/>
          <w:sz w:val="18"/>
        </w:rPr>
        <w:t>exclusions.</w:t>
      </w:r>
    </w:p>
    <w:p w14:paraId="2E01658B" w14:textId="77777777" w:rsidR="004A5072" w:rsidRPr="004A5072" w:rsidRDefault="004A5072" w:rsidP="008C54A9">
      <w:pPr>
        <w:autoSpaceDE w:val="0"/>
        <w:autoSpaceDN w:val="0"/>
        <w:adjustRightInd w:val="0"/>
        <w:spacing w:after="0" w:line="240" w:lineRule="auto"/>
        <w:rPr>
          <w:rStyle w:val="Style1"/>
        </w:rPr>
      </w:pPr>
    </w:p>
    <w:p w14:paraId="4FA351D0" w14:textId="77777777" w:rsidR="00804378" w:rsidRPr="00A25024" w:rsidRDefault="00804378" w:rsidP="008C54A9">
      <w:pPr>
        <w:autoSpaceDE w:val="0"/>
        <w:autoSpaceDN w:val="0"/>
        <w:adjustRightInd w:val="0"/>
        <w:spacing w:after="0" w:line="240" w:lineRule="auto"/>
        <w:rPr>
          <w:rFonts w:cstheme="minorHAnsi"/>
          <w:bCs/>
        </w:rPr>
      </w:pPr>
    </w:p>
    <w:p w14:paraId="3851D4D1" w14:textId="77777777" w:rsidR="00C64278" w:rsidRDefault="00092566" w:rsidP="00EE4048">
      <w:pPr>
        <w:pStyle w:val="Heading3"/>
      </w:pPr>
      <w:r>
        <w:t xml:space="preserve">2a2.4 </w:t>
      </w:r>
      <w:r w:rsidR="007422FD" w:rsidRPr="00A25024">
        <w:t xml:space="preserve">What </w:t>
      </w:r>
      <w:r w:rsidR="000B2DF7" w:rsidRPr="00A25024">
        <w:t>is your interpretation of the results in terms of</w:t>
      </w:r>
      <w:r w:rsidR="007422FD" w:rsidRPr="00A25024">
        <w:t xml:space="preserve"> demonstrating reliability? </w:t>
      </w:r>
    </w:p>
    <w:p w14:paraId="0CABCFD4" w14:textId="4DE3D43C" w:rsidR="007422FD" w:rsidRDefault="000B2DF7" w:rsidP="00DB3627">
      <w:pPr>
        <w:autoSpaceDE w:val="0"/>
        <w:autoSpaceDN w:val="0"/>
        <w:adjustRightInd w:val="0"/>
        <w:spacing w:after="0" w:line="240" w:lineRule="auto"/>
        <w:rPr>
          <w:rFonts w:cstheme="minorHAnsi"/>
          <w:bCs/>
        </w:rPr>
      </w:pPr>
      <w:r w:rsidRPr="00A25024">
        <w:rPr>
          <w:rFonts w:cstheme="minorHAnsi"/>
          <w:bCs/>
        </w:rPr>
        <w:t>(i</w:t>
      </w:r>
      <w:r w:rsidRPr="00A25024">
        <w:rPr>
          <w:rFonts w:cstheme="minorHAnsi"/>
          <w:bCs/>
          <w:i/>
        </w:rPr>
        <w:t>.e., what do the results mean and what are the norms for the test conducted</w:t>
      </w:r>
      <w:r w:rsidR="007757CE" w:rsidRPr="00A25024">
        <w:rPr>
          <w:rFonts w:cstheme="minorHAnsi"/>
          <w:bCs/>
          <w:i/>
        </w:rPr>
        <w:t>?</w:t>
      </w:r>
      <w:r w:rsidRPr="00A25024">
        <w:rPr>
          <w:rFonts w:cstheme="minorHAnsi"/>
          <w:bCs/>
        </w:rPr>
        <w:t>)</w:t>
      </w:r>
      <w:r w:rsidR="007422FD" w:rsidRPr="00A25024">
        <w:rPr>
          <w:rFonts w:cstheme="minorHAnsi"/>
          <w:bCs/>
        </w:rPr>
        <w:br/>
      </w:r>
    </w:p>
    <w:p w14:paraId="23F8164D" w14:textId="2BE1310F" w:rsidR="00132C46" w:rsidRPr="00BC37E9" w:rsidRDefault="00BC37E9" w:rsidP="00932E8F">
      <w:pPr>
        <w:spacing w:line="240" w:lineRule="auto"/>
        <w:ind w:firstLine="720"/>
        <w:rPr>
          <w:rStyle w:val="Style1"/>
        </w:rPr>
      </w:pPr>
      <w:r w:rsidRPr="00BC37E9">
        <w:rPr>
          <w:rStyle w:val="Style1"/>
        </w:rPr>
        <w:t>Overall, reliability testing results indicated good performance measure score reliability.</w:t>
      </w:r>
      <w:r w:rsidRPr="00BC37E9">
        <w:rPr>
          <w:rStyle w:val="Style1"/>
          <w:vertAlign w:val="superscript"/>
        </w:rPr>
        <w:footnoteReference w:id="3"/>
      </w:r>
      <w:r w:rsidRPr="00BC37E9">
        <w:rPr>
          <w:rStyle w:val="Style1"/>
        </w:rPr>
        <w:t xml:space="preserve"> </w:t>
      </w:r>
      <w:r w:rsidR="00132C46">
        <w:rPr>
          <w:rStyle w:val="Style1"/>
        </w:rPr>
        <w:t xml:space="preserve">Reliability </w:t>
      </w:r>
      <w:r w:rsidR="00DF7017">
        <w:rPr>
          <w:rStyle w:val="Style1"/>
        </w:rPr>
        <w:t>among the smallest</w:t>
      </w:r>
      <w:r w:rsidR="00132C46">
        <w:rPr>
          <w:rStyle w:val="Style1"/>
        </w:rPr>
        <w:t xml:space="preserve"> publicly reported providers (quartile 1), is moderate to good, depending on the analysis used.</w:t>
      </w:r>
    </w:p>
    <w:p w14:paraId="5B87B36E" w14:textId="7A3A7189" w:rsidR="00E20C70" w:rsidRDefault="00BC37E9" w:rsidP="00932E8F">
      <w:pPr>
        <w:autoSpaceDE w:val="0"/>
        <w:autoSpaceDN w:val="0"/>
        <w:adjustRightInd w:val="0"/>
        <w:spacing w:after="0" w:line="240" w:lineRule="auto"/>
        <w:ind w:firstLine="720"/>
        <w:rPr>
          <w:rStyle w:val="Style1"/>
        </w:rPr>
      </w:pPr>
      <w:r w:rsidRPr="00BC37E9">
        <w:rPr>
          <w:rStyle w:val="Style1"/>
        </w:rPr>
        <w:t xml:space="preserve">The reliability score results </w:t>
      </w:r>
      <w:r w:rsidRPr="00D10415">
        <w:rPr>
          <w:rStyle w:val="Style1"/>
        </w:rPr>
        <w:t xml:space="preserve">indicated that the average </w:t>
      </w:r>
      <w:r w:rsidR="004C3950">
        <w:rPr>
          <w:rStyle w:val="Style1"/>
        </w:rPr>
        <w:t>facility</w:t>
      </w:r>
      <w:r w:rsidRPr="00D10415">
        <w:rPr>
          <w:rStyle w:val="Style1"/>
        </w:rPr>
        <w:t xml:space="preserve"> had good reliability. On average, 8</w:t>
      </w:r>
      <w:r w:rsidR="00D31F28" w:rsidRPr="008C7D29">
        <w:rPr>
          <w:rStyle w:val="Style1"/>
        </w:rPr>
        <w:t>6</w:t>
      </w:r>
      <w:r w:rsidRPr="00D31F28">
        <w:rPr>
          <w:rStyle w:val="Style1"/>
        </w:rPr>
        <w:t xml:space="preserve"> percent of the variation in the risk adjusted MSPB amount was associated with systematic differences between agencies</w:t>
      </w:r>
      <w:r w:rsidRPr="00D10415">
        <w:rPr>
          <w:rStyle w:val="Style1"/>
          <w:vertAlign w:val="superscript"/>
        </w:rPr>
        <w:footnoteReference w:id="4"/>
      </w:r>
      <w:r w:rsidRPr="00D10415">
        <w:rPr>
          <w:rStyle w:val="Style1"/>
        </w:rPr>
        <w:t xml:space="preserve">, with a range of </w:t>
      </w:r>
      <w:r w:rsidR="00D31F28" w:rsidRPr="008C7D29">
        <w:rPr>
          <w:rStyle w:val="Style1"/>
        </w:rPr>
        <w:t>70</w:t>
      </w:r>
      <w:r w:rsidRPr="00D31F28">
        <w:rPr>
          <w:rStyle w:val="Style1"/>
        </w:rPr>
        <w:t xml:space="preserve"> to 9</w:t>
      </w:r>
      <w:r w:rsidR="00D31F28" w:rsidRPr="008C7D29">
        <w:rPr>
          <w:rStyle w:val="Style1"/>
        </w:rPr>
        <w:t>6</w:t>
      </w:r>
      <w:r w:rsidRPr="00D31F28">
        <w:rPr>
          <w:rStyle w:val="Style1"/>
        </w:rPr>
        <w:t xml:space="preserve"> percent</w:t>
      </w:r>
      <w:r w:rsidR="00430EC2" w:rsidRPr="00D31F28">
        <w:rPr>
          <w:rStyle w:val="Style1"/>
        </w:rPr>
        <w:t xml:space="preserve"> (on average)</w:t>
      </w:r>
      <w:r w:rsidRPr="00D31F28">
        <w:rPr>
          <w:rStyle w:val="Style1"/>
        </w:rPr>
        <w:t xml:space="preserve"> among the smallest and largest </w:t>
      </w:r>
      <w:r w:rsidR="004C3950">
        <w:rPr>
          <w:rStyle w:val="Style1"/>
        </w:rPr>
        <w:t>facility</w:t>
      </w:r>
      <w:r w:rsidR="00430EC2" w:rsidRPr="00D31F28">
        <w:rPr>
          <w:rStyle w:val="Style1"/>
        </w:rPr>
        <w:t xml:space="preserve"> quartiles</w:t>
      </w:r>
      <w:r w:rsidRPr="00D31F28">
        <w:rPr>
          <w:rStyle w:val="Style1"/>
        </w:rPr>
        <w:t>, respectively.</w:t>
      </w:r>
    </w:p>
    <w:p w14:paraId="3C3A38B3" w14:textId="77777777" w:rsidR="00BC37E9" w:rsidRDefault="00BC37E9" w:rsidP="00DB3627">
      <w:pPr>
        <w:autoSpaceDE w:val="0"/>
        <w:autoSpaceDN w:val="0"/>
        <w:adjustRightInd w:val="0"/>
        <w:spacing w:after="0" w:line="240" w:lineRule="auto"/>
        <w:rPr>
          <w:rStyle w:val="Style1"/>
        </w:rPr>
      </w:pPr>
    </w:p>
    <w:p w14:paraId="209DEF5D" w14:textId="5ADF9B9E" w:rsidR="00BC37E9" w:rsidRPr="00BC37E9" w:rsidRDefault="00BC37E9" w:rsidP="00932E8F">
      <w:pPr>
        <w:autoSpaceDE w:val="0"/>
        <w:autoSpaceDN w:val="0"/>
        <w:adjustRightInd w:val="0"/>
        <w:spacing w:after="0" w:line="240" w:lineRule="auto"/>
        <w:ind w:firstLine="720"/>
        <w:rPr>
          <w:rStyle w:val="Style1"/>
        </w:rPr>
      </w:pPr>
      <w:r w:rsidRPr="00D10415">
        <w:rPr>
          <w:rStyle w:val="Style1"/>
        </w:rPr>
        <w:t>The split-half reliability analysis provides further evidence of reliability and repeatability of the performance measu</w:t>
      </w:r>
      <w:r w:rsidRPr="00D31F28">
        <w:rPr>
          <w:rStyle w:val="Style1"/>
        </w:rPr>
        <w:t xml:space="preserve">re. </w:t>
      </w:r>
      <w:bookmarkStart w:id="17" w:name="_Hlk528579642"/>
      <w:r w:rsidR="00A86D77" w:rsidRPr="00D31F28">
        <w:rPr>
          <w:rStyle w:val="Style1"/>
        </w:rPr>
        <w:t>Reliability (ICC) was good overall, at 0.</w:t>
      </w:r>
      <w:r w:rsidR="00D31F28" w:rsidRPr="008C7D29">
        <w:rPr>
          <w:rStyle w:val="Style1"/>
        </w:rPr>
        <w:t>87</w:t>
      </w:r>
      <w:r w:rsidR="00A86D77" w:rsidRPr="00D31F28">
        <w:rPr>
          <w:rStyle w:val="Style1"/>
        </w:rPr>
        <w:t>, with a range of 0.</w:t>
      </w:r>
      <w:r w:rsidR="00D31F28" w:rsidRPr="008C7D29">
        <w:rPr>
          <w:rStyle w:val="Style1"/>
        </w:rPr>
        <w:t>81</w:t>
      </w:r>
      <w:r w:rsidR="00AC4915" w:rsidRPr="00D31F28">
        <w:rPr>
          <w:rStyle w:val="Style1"/>
        </w:rPr>
        <w:t xml:space="preserve"> </w:t>
      </w:r>
      <w:r w:rsidR="00A86D77" w:rsidRPr="00D31F28">
        <w:rPr>
          <w:rStyle w:val="Style1"/>
        </w:rPr>
        <w:t>to 0.9</w:t>
      </w:r>
      <w:r w:rsidR="00D31F28" w:rsidRPr="008C7D29">
        <w:rPr>
          <w:rStyle w:val="Style1"/>
        </w:rPr>
        <w:t>5</w:t>
      </w:r>
      <w:r w:rsidR="00A86D77" w:rsidRPr="00D31F28">
        <w:rPr>
          <w:rStyle w:val="Style1"/>
        </w:rPr>
        <w:t xml:space="preserve"> (on average) among the smallest and largest </w:t>
      </w:r>
      <w:r w:rsidR="004C3950">
        <w:rPr>
          <w:rStyle w:val="Style1"/>
        </w:rPr>
        <w:t>facility</w:t>
      </w:r>
      <w:r w:rsidR="00A86D77" w:rsidRPr="00D31F28">
        <w:rPr>
          <w:rStyle w:val="Style1"/>
        </w:rPr>
        <w:t xml:space="preserve"> quartiles, respectively</w:t>
      </w:r>
      <w:r w:rsidRPr="00BC37E9">
        <w:rPr>
          <w:rStyle w:val="Style1"/>
        </w:rPr>
        <w:t>.</w:t>
      </w:r>
      <w:bookmarkEnd w:id="17"/>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CF1289">
      <w:pPr>
        <w:pStyle w:val="Heading1"/>
      </w:pPr>
      <w:r w:rsidRPr="00A25024">
        <w:t>2</w:t>
      </w:r>
      <w:r w:rsidR="00EA5F47" w:rsidRPr="00A25024">
        <w:t>b</w:t>
      </w:r>
      <w:r w:rsidR="009C7513">
        <w:t>1</w:t>
      </w:r>
      <w:r w:rsidRPr="00A25024">
        <w:t xml:space="preserve">. VALIDITY TESTING </w:t>
      </w:r>
    </w:p>
    <w:p w14:paraId="4996DED8" w14:textId="77777777" w:rsidR="00C64278" w:rsidRDefault="009C7513" w:rsidP="00EE4048">
      <w:pPr>
        <w:pStyle w:val="Heading3"/>
      </w:pPr>
      <w:r>
        <w:t>2b1</w:t>
      </w:r>
      <w:r w:rsidR="00092566">
        <w:t>.</w:t>
      </w:r>
      <w:r w:rsidR="007757CE" w:rsidRPr="00A25024">
        <w:t xml:space="preserve">1. </w:t>
      </w:r>
      <w:r w:rsidR="000968F8" w:rsidRPr="00A25024">
        <w:t>What level of validity testing was conducted?</w:t>
      </w:r>
      <w:r w:rsidR="00D50704" w:rsidRPr="00A25024">
        <w:t xml:space="preserve"> </w:t>
      </w:r>
    </w:p>
    <w:p w14:paraId="0CABCFD7" w14:textId="4E590EBA" w:rsidR="00696262" w:rsidRPr="000414E8" w:rsidRDefault="00D50704" w:rsidP="00DB3627">
      <w:pPr>
        <w:autoSpaceDE w:val="0"/>
        <w:autoSpaceDN w:val="0"/>
        <w:adjustRightInd w:val="0"/>
        <w:spacing w:after="0" w:line="240" w:lineRule="auto"/>
        <w:rPr>
          <w:rFonts w:cstheme="minorHAnsi"/>
          <w:bCs/>
        </w:rPr>
      </w:pPr>
      <w:r w:rsidRPr="00A25024">
        <w:rPr>
          <w:rFonts w:cstheme="minorHAnsi"/>
          <w:bCs/>
        </w:rPr>
        <w:t>(</w:t>
      </w:r>
      <w:r w:rsidR="00696262" w:rsidRPr="00A25024">
        <w:rPr>
          <w:rFonts w:cstheme="minorHAnsi"/>
          <w:bCs/>
          <w:i/>
        </w:rPr>
        <w:t>may</w:t>
      </w:r>
      <w:r w:rsidRPr="00A25024">
        <w:rPr>
          <w:rFonts w:cstheme="minorHAnsi"/>
          <w:bCs/>
          <w:i/>
        </w:rPr>
        <w:t xml:space="preserve"> be one or both levels</w:t>
      </w:r>
      <w:r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44073406" w:rsidR="00696262" w:rsidRPr="00A25024" w:rsidRDefault="00186AE1"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A82FB4">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25B50FD4" w:rsidR="000574AB" w:rsidRPr="00A25024" w:rsidRDefault="00186AE1"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A82FB4">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5530BC5D" w14:textId="77777777" w:rsidR="00C64278" w:rsidRDefault="009C7513" w:rsidP="00EE4048">
      <w:pPr>
        <w:pStyle w:val="Heading3"/>
      </w:pPr>
      <w:r>
        <w:t>2b1</w:t>
      </w:r>
      <w:r w:rsidR="00092566">
        <w:t>.</w:t>
      </w:r>
      <w:r w:rsidR="007757CE" w:rsidRPr="00A25024">
        <w:t xml:space="preserve">2. For each level </w:t>
      </w:r>
      <w:r w:rsidR="008F7E67">
        <w:t xml:space="preserve">of testing </w:t>
      </w:r>
      <w:r w:rsidR="007757CE" w:rsidRPr="00A25024">
        <w:t>checked above, describe the method of validity testing and what it tests</w:t>
      </w:r>
      <w:r w:rsidR="00833325" w:rsidRPr="00A25024">
        <w:t xml:space="preserve"> </w:t>
      </w:r>
    </w:p>
    <w:p w14:paraId="0CABCFDC" w14:textId="3A792943" w:rsidR="00833325" w:rsidRPr="00A25024" w:rsidRDefault="00833325" w:rsidP="00DB3627">
      <w:pPr>
        <w:autoSpaceDE w:val="0"/>
        <w:autoSpaceDN w:val="0"/>
        <w:adjustRightInd w:val="0"/>
        <w:spacing w:after="0" w:line="240" w:lineRule="auto"/>
        <w:rPr>
          <w:rFonts w:cstheme="minorHAnsi"/>
          <w:bCs/>
        </w:rPr>
      </w:pPr>
      <w:r w:rsidRPr="00A25024">
        <w:rPr>
          <w:rFonts w:cstheme="minorHAnsi"/>
          <w:bCs/>
        </w:rPr>
        <w:t>(</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Pr="00A25024">
        <w:rPr>
          <w:rFonts w:cstheme="minorHAnsi"/>
          <w:bCs/>
        </w:rPr>
        <w:br/>
      </w:r>
    </w:p>
    <w:p w14:paraId="0CABCFDD" w14:textId="11E25F22" w:rsidR="00833325" w:rsidRDefault="00370797" w:rsidP="00DA4E26">
      <w:pPr>
        <w:autoSpaceDE w:val="0"/>
        <w:autoSpaceDN w:val="0"/>
        <w:adjustRightInd w:val="0"/>
        <w:spacing w:after="0" w:line="240" w:lineRule="auto"/>
        <w:ind w:firstLine="360"/>
        <w:rPr>
          <w:rFonts w:cstheme="minorHAnsi"/>
          <w:bCs/>
          <w:color w:val="0000FF"/>
        </w:rPr>
      </w:pPr>
      <w:r w:rsidRPr="002C1209">
        <w:rPr>
          <w:rFonts w:cstheme="minorHAnsi"/>
          <w:bCs/>
          <w:color w:val="0000FF"/>
        </w:rPr>
        <w:t>To empirically test Performance Measure Score validity, we use</w:t>
      </w:r>
      <w:r w:rsidR="008F3A2B" w:rsidRPr="002C1209">
        <w:rPr>
          <w:rFonts w:cstheme="minorHAnsi"/>
          <w:bCs/>
          <w:color w:val="0000FF"/>
        </w:rPr>
        <w:t>d</w:t>
      </w:r>
      <w:r w:rsidRPr="002C1209">
        <w:rPr>
          <w:rFonts w:cstheme="minorHAnsi"/>
          <w:bCs/>
          <w:color w:val="0000FF"/>
        </w:rPr>
        <w:t xml:space="preserve"> the following methods</w:t>
      </w:r>
      <w:r w:rsidR="00901BE1" w:rsidRPr="002C1209">
        <w:rPr>
          <w:rFonts w:cstheme="minorHAnsi"/>
          <w:bCs/>
          <w:color w:val="0000FF"/>
        </w:rPr>
        <w:t>, we</w:t>
      </w:r>
      <w:r w:rsidRPr="002C1209">
        <w:rPr>
          <w:rFonts w:cstheme="minorHAnsi"/>
          <w:bCs/>
          <w:color w:val="0000FF"/>
        </w:rPr>
        <w:t>:</w:t>
      </w:r>
    </w:p>
    <w:p w14:paraId="32A320DD" w14:textId="0597539F" w:rsidR="003101C7" w:rsidRPr="00315FC1" w:rsidRDefault="00A0332F" w:rsidP="00DA4E26">
      <w:pPr>
        <w:pStyle w:val="ListParagraph"/>
        <w:numPr>
          <w:ilvl w:val="0"/>
          <w:numId w:val="38"/>
        </w:numPr>
        <w:autoSpaceDE w:val="0"/>
        <w:autoSpaceDN w:val="0"/>
        <w:adjustRightInd w:val="0"/>
        <w:spacing w:after="0" w:line="240" w:lineRule="auto"/>
        <w:rPr>
          <w:rFonts w:cstheme="minorHAnsi"/>
          <w:bCs/>
          <w:color w:val="0000FF"/>
        </w:rPr>
      </w:pPr>
      <w:r>
        <w:rPr>
          <w:rFonts w:cstheme="minorHAnsi"/>
          <w:bCs/>
          <w:color w:val="0000FF"/>
        </w:rPr>
        <w:t>E</w:t>
      </w:r>
      <w:r w:rsidR="003101C7" w:rsidRPr="00417899">
        <w:rPr>
          <w:rFonts w:cstheme="minorHAnsi"/>
          <w:bCs/>
          <w:color w:val="0000FF"/>
        </w:rPr>
        <w:t>valu</w:t>
      </w:r>
      <w:r w:rsidR="003101C7" w:rsidRPr="00315FC1">
        <w:rPr>
          <w:rFonts w:cstheme="minorHAnsi"/>
          <w:bCs/>
          <w:color w:val="0000FF"/>
        </w:rPr>
        <w:t xml:space="preserve">ated the empirical validity of the MSPB-PAC measure by examining correlation with known indicators of resource or service utilization, specifically hospital admissions and emergency room (ER) visits during the episode period. For this analysis, we compared the </w:t>
      </w:r>
      <w:r w:rsidR="003101C7" w:rsidRPr="00932E8F">
        <w:rPr>
          <w:rFonts w:cstheme="minorHAnsi"/>
          <w:bCs/>
          <w:color w:val="0000FF"/>
        </w:rPr>
        <w:t xml:space="preserve">ratio </w:t>
      </w:r>
      <w:r w:rsidR="003101C7" w:rsidRPr="00CD303A">
        <w:rPr>
          <w:rFonts w:cstheme="minorHAnsi"/>
          <w:bCs/>
          <w:color w:val="0000FF"/>
        </w:rPr>
        <w:t xml:space="preserve">of observed over expected spending for </w:t>
      </w:r>
      <w:r w:rsidR="003101C7" w:rsidRPr="00417899">
        <w:rPr>
          <w:rFonts w:cstheme="minorHAnsi"/>
          <w:bCs/>
          <w:color w:val="0000FF"/>
        </w:rPr>
        <w:t xml:space="preserve">MSPB-PAC </w:t>
      </w:r>
      <w:r w:rsidR="00FE4F0A">
        <w:rPr>
          <w:rFonts w:cstheme="minorHAnsi"/>
          <w:bCs/>
          <w:color w:val="0000FF"/>
        </w:rPr>
        <w:t>IRF</w:t>
      </w:r>
      <w:r w:rsidR="003101C7" w:rsidRPr="00315FC1">
        <w:rPr>
          <w:rFonts w:cstheme="minorHAnsi"/>
          <w:bCs/>
          <w:color w:val="0000FF"/>
        </w:rPr>
        <w:t xml:space="preserve"> episodes with and without hospital admissions occurring in the episode period. We also compared the observed over expected spending for episodes with and without ER visits. This analysis sought to confirm the expectation that variation in service utilization is captured by the MSPB-PAC cost measure.</w:t>
      </w:r>
    </w:p>
    <w:p w14:paraId="6751AD9D" w14:textId="19508C9A" w:rsidR="00226A40" w:rsidRDefault="00A0332F" w:rsidP="00DA4E26">
      <w:pPr>
        <w:pStyle w:val="ListParagraph"/>
        <w:numPr>
          <w:ilvl w:val="0"/>
          <w:numId w:val="38"/>
        </w:numPr>
        <w:autoSpaceDE w:val="0"/>
        <w:autoSpaceDN w:val="0"/>
        <w:adjustRightInd w:val="0"/>
        <w:spacing w:after="0" w:line="240" w:lineRule="auto"/>
        <w:rPr>
          <w:rFonts w:cstheme="minorHAnsi"/>
          <w:bCs/>
          <w:color w:val="0000FF"/>
        </w:rPr>
      </w:pPr>
      <w:r>
        <w:rPr>
          <w:rFonts w:cstheme="minorHAnsi"/>
          <w:bCs/>
          <w:color w:val="0000FF"/>
        </w:rPr>
        <w:t>E</w:t>
      </w:r>
      <w:r w:rsidR="00370797">
        <w:rPr>
          <w:rFonts w:cstheme="minorHAnsi"/>
          <w:bCs/>
          <w:color w:val="0000FF"/>
        </w:rPr>
        <w:t xml:space="preserve">xamined the correlation between MSPB-PAC </w:t>
      </w:r>
      <w:r w:rsidR="00E05147">
        <w:rPr>
          <w:rFonts w:cstheme="minorHAnsi"/>
          <w:bCs/>
          <w:color w:val="0000FF"/>
        </w:rPr>
        <w:t xml:space="preserve">IRF </w:t>
      </w:r>
      <w:r w:rsidR="00370797">
        <w:rPr>
          <w:rFonts w:cstheme="minorHAnsi"/>
          <w:bCs/>
          <w:color w:val="0000FF"/>
        </w:rPr>
        <w:t>scores and</w:t>
      </w:r>
      <w:r w:rsidR="009B40D1">
        <w:rPr>
          <w:rFonts w:cstheme="minorHAnsi"/>
          <w:bCs/>
          <w:color w:val="0000FF"/>
        </w:rPr>
        <w:t xml:space="preserve"> the </w:t>
      </w:r>
      <w:r w:rsidR="00503F2A" w:rsidRPr="00932E8F">
        <w:rPr>
          <w:rFonts w:cstheme="minorHAnsi"/>
          <w:bCs/>
          <w:color w:val="0000FF"/>
        </w:rPr>
        <w:t>Discharge to Community (DTC) rates</w:t>
      </w:r>
      <w:r w:rsidR="00482588">
        <w:rPr>
          <w:rFonts w:cstheme="minorHAnsi"/>
          <w:bCs/>
          <w:color w:val="0000FF"/>
        </w:rPr>
        <w:t xml:space="preserve"> </w:t>
      </w:r>
      <w:r w:rsidR="002C1209">
        <w:rPr>
          <w:rFonts w:cstheme="minorHAnsi"/>
          <w:bCs/>
          <w:color w:val="0000FF"/>
        </w:rPr>
        <w:t>f</w:t>
      </w:r>
      <w:r w:rsidR="007E1F48" w:rsidRPr="00932E8F">
        <w:rPr>
          <w:rFonts w:cstheme="minorHAnsi"/>
          <w:bCs/>
          <w:color w:val="0000FF"/>
        </w:rPr>
        <w:t xml:space="preserve">or </w:t>
      </w:r>
      <w:r w:rsidR="002C1209">
        <w:rPr>
          <w:rFonts w:cstheme="minorHAnsi"/>
          <w:bCs/>
          <w:color w:val="0000FF"/>
        </w:rPr>
        <w:t>F</w:t>
      </w:r>
      <w:r w:rsidR="007E1F48" w:rsidRPr="00932E8F">
        <w:rPr>
          <w:rFonts w:cstheme="minorHAnsi"/>
          <w:bCs/>
          <w:color w:val="0000FF"/>
        </w:rPr>
        <w:t>Y 2016-2017</w:t>
      </w:r>
      <w:r w:rsidR="00503F2A" w:rsidRPr="00932E8F">
        <w:rPr>
          <w:rFonts w:cstheme="minorHAnsi"/>
          <w:bCs/>
          <w:color w:val="0000FF"/>
        </w:rPr>
        <w:t xml:space="preserve">. </w:t>
      </w:r>
      <w:r w:rsidR="002C1209">
        <w:rPr>
          <w:rFonts w:cstheme="minorHAnsi"/>
          <w:bCs/>
          <w:color w:val="0000FF"/>
        </w:rPr>
        <w:t>T</w:t>
      </w:r>
      <w:r w:rsidR="007E1F48">
        <w:rPr>
          <w:rFonts w:cstheme="minorHAnsi"/>
          <w:bCs/>
          <w:color w:val="0000FF"/>
        </w:rPr>
        <w:t xml:space="preserve">he </w:t>
      </w:r>
      <w:r w:rsidR="00976F68" w:rsidRPr="00932E8F">
        <w:rPr>
          <w:rFonts w:cstheme="minorHAnsi"/>
          <w:bCs/>
          <w:color w:val="0000FF"/>
        </w:rPr>
        <w:t xml:space="preserve">Discharge to Community-Post Acute Care Measure for </w:t>
      </w:r>
      <w:r w:rsidR="002C1209">
        <w:rPr>
          <w:rFonts w:cstheme="minorHAnsi"/>
          <w:bCs/>
          <w:color w:val="0000FF"/>
        </w:rPr>
        <w:t>Inpatient Rehabilitation Facilit</w:t>
      </w:r>
      <w:r w:rsidR="007F5BC1">
        <w:rPr>
          <w:rFonts w:cstheme="minorHAnsi"/>
          <w:bCs/>
          <w:color w:val="0000FF"/>
        </w:rPr>
        <w:t>ies</w:t>
      </w:r>
      <w:r w:rsidR="00976F68" w:rsidRPr="00932E8F">
        <w:rPr>
          <w:rFonts w:cstheme="minorHAnsi"/>
          <w:bCs/>
          <w:color w:val="0000FF"/>
        </w:rPr>
        <w:t xml:space="preserve"> (DTC-PAC </w:t>
      </w:r>
      <w:r w:rsidR="002C1209">
        <w:rPr>
          <w:rFonts w:cstheme="minorHAnsi"/>
          <w:bCs/>
          <w:color w:val="0000FF"/>
        </w:rPr>
        <w:t>IRF</w:t>
      </w:r>
      <w:r w:rsidR="00976F68" w:rsidRPr="00932E8F">
        <w:rPr>
          <w:rFonts w:cstheme="minorHAnsi"/>
          <w:bCs/>
          <w:color w:val="0000FF"/>
        </w:rPr>
        <w:t>)</w:t>
      </w:r>
      <w:r w:rsidR="007E1F48">
        <w:rPr>
          <w:rFonts w:cstheme="minorHAnsi"/>
          <w:bCs/>
          <w:color w:val="0000FF"/>
        </w:rPr>
        <w:t xml:space="preserve"> </w:t>
      </w:r>
      <w:r w:rsidR="002C1209">
        <w:rPr>
          <w:rFonts w:cstheme="minorHAnsi"/>
          <w:bCs/>
          <w:color w:val="0000FF"/>
        </w:rPr>
        <w:t>is</w:t>
      </w:r>
      <w:r w:rsidR="007E1F48" w:rsidRPr="00932E8F">
        <w:rPr>
          <w:rFonts w:cstheme="minorHAnsi"/>
          <w:bCs/>
          <w:color w:val="0000FF"/>
        </w:rPr>
        <w:t xml:space="preserve"> </w:t>
      </w:r>
      <w:r w:rsidR="00031389" w:rsidRPr="00932E8F">
        <w:rPr>
          <w:rFonts w:cstheme="minorHAnsi"/>
          <w:bCs/>
          <w:color w:val="0000FF"/>
        </w:rPr>
        <w:t xml:space="preserve">endorsed by </w:t>
      </w:r>
      <w:r w:rsidR="00A1736A" w:rsidRPr="00D8612F">
        <w:rPr>
          <w:rFonts w:cstheme="minorHAnsi"/>
          <w:bCs/>
          <w:color w:val="0000FF"/>
        </w:rPr>
        <w:t>NQF</w:t>
      </w:r>
      <w:r w:rsidR="008107BD" w:rsidRPr="00D8612F">
        <w:rPr>
          <w:rFonts w:cstheme="minorHAnsi"/>
          <w:bCs/>
          <w:color w:val="0000FF"/>
        </w:rPr>
        <w:t xml:space="preserve"> </w:t>
      </w:r>
      <w:r w:rsidR="008107BD" w:rsidRPr="005B2207">
        <w:rPr>
          <w:rFonts w:cstheme="minorHAnsi"/>
          <w:bCs/>
          <w:color w:val="0000FF"/>
        </w:rPr>
        <w:t>(#</w:t>
      </w:r>
      <w:r w:rsidR="00D8612F" w:rsidRPr="00D8612F">
        <w:rPr>
          <w:rFonts w:cstheme="minorHAnsi"/>
          <w:bCs/>
          <w:color w:val="0000FF"/>
        </w:rPr>
        <w:t>3479</w:t>
      </w:r>
      <w:r w:rsidR="008107BD" w:rsidRPr="00932E8F">
        <w:rPr>
          <w:rFonts w:cstheme="minorHAnsi"/>
          <w:bCs/>
          <w:color w:val="0000FF"/>
        </w:rPr>
        <w:t>)</w:t>
      </w:r>
      <w:r w:rsidR="00D97C10">
        <w:rPr>
          <w:rFonts w:cstheme="minorHAnsi"/>
          <w:bCs/>
          <w:color w:val="0000FF"/>
        </w:rPr>
        <w:t>,</w:t>
      </w:r>
      <w:r w:rsidR="002C1209">
        <w:rPr>
          <w:rFonts w:cstheme="minorHAnsi"/>
          <w:bCs/>
          <w:color w:val="0000FF"/>
        </w:rPr>
        <w:t xml:space="preserve"> is</w:t>
      </w:r>
      <w:r w:rsidR="007E1F48" w:rsidRPr="00932E8F">
        <w:rPr>
          <w:rFonts w:cstheme="minorHAnsi"/>
          <w:bCs/>
          <w:color w:val="0000FF"/>
        </w:rPr>
        <w:t xml:space="preserve"> </w:t>
      </w:r>
      <w:r w:rsidR="00031389" w:rsidRPr="00932E8F">
        <w:rPr>
          <w:rFonts w:cstheme="minorHAnsi"/>
          <w:bCs/>
          <w:color w:val="0000FF"/>
        </w:rPr>
        <w:t xml:space="preserve">publicly reported as part of the </w:t>
      </w:r>
      <w:r w:rsidR="002C1209">
        <w:rPr>
          <w:rFonts w:cstheme="minorHAnsi"/>
          <w:bCs/>
          <w:color w:val="0000FF"/>
        </w:rPr>
        <w:t>IRF</w:t>
      </w:r>
      <w:r w:rsidR="00031389" w:rsidRPr="00932E8F">
        <w:rPr>
          <w:rFonts w:cstheme="minorHAnsi"/>
          <w:bCs/>
          <w:color w:val="0000FF"/>
        </w:rPr>
        <w:t xml:space="preserve"> Quality Report</w:t>
      </w:r>
      <w:r w:rsidR="001221F8">
        <w:rPr>
          <w:rFonts w:cstheme="minorHAnsi"/>
          <w:bCs/>
          <w:color w:val="0000FF"/>
        </w:rPr>
        <w:t>ing</w:t>
      </w:r>
      <w:r w:rsidR="00031389" w:rsidRPr="00932E8F">
        <w:rPr>
          <w:rFonts w:cstheme="minorHAnsi"/>
          <w:bCs/>
          <w:color w:val="0000FF"/>
        </w:rPr>
        <w:t xml:space="preserve"> Program</w:t>
      </w:r>
      <w:r w:rsidR="007E1F48">
        <w:rPr>
          <w:rFonts w:cstheme="minorHAnsi"/>
          <w:bCs/>
          <w:color w:val="0000FF"/>
        </w:rPr>
        <w:t xml:space="preserve">, and </w:t>
      </w:r>
      <w:r w:rsidR="009648C7">
        <w:rPr>
          <w:rFonts w:cstheme="minorHAnsi"/>
          <w:bCs/>
          <w:color w:val="0000FF"/>
        </w:rPr>
        <w:t xml:space="preserve">is </w:t>
      </w:r>
      <w:r w:rsidR="007E1F48">
        <w:rPr>
          <w:rFonts w:cstheme="minorHAnsi"/>
          <w:bCs/>
          <w:color w:val="0000FF"/>
        </w:rPr>
        <w:t>based on Medicare claims</w:t>
      </w:r>
      <w:r w:rsidR="00031389" w:rsidRPr="00932E8F">
        <w:rPr>
          <w:rFonts w:cstheme="minorHAnsi"/>
          <w:bCs/>
          <w:color w:val="0000FF"/>
        </w:rPr>
        <w:t>.</w:t>
      </w:r>
      <w:r w:rsidR="006E7C21">
        <w:rPr>
          <w:rStyle w:val="FootnoteReference"/>
          <w:bCs/>
          <w:color w:val="0000FF"/>
        </w:rPr>
        <w:footnoteReference w:id="5"/>
      </w:r>
      <w:r w:rsidR="00031389" w:rsidRPr="00932E8F">
        <w:rPr>
          <w:rFonts w:cstheme="minorHAnsi"/>
          <w:bCs/>
          <w:color w:val="0000FF"/>
        </w:rPr>
        <w:t xml:space="preserve"> </w:t>
      </w:r>
    </w:p>
    <w:p w14:paraId="5AA4BBBF" w14:textId="77777777" w:rsidR="00226A40" w:rsidRDefault="00226A40" w:rsidP="00DA4E26">
      <w:pPr>
        <w:autoSpaceDE w:val="0"/>
        <w:autoSpaceDN w:val="0"/>
        <w:adjustRightInd w:val="0"/>
        <w:spacing w:after="0" w:line="240" w:lineRule="auto"/>
        <w:ind w:left="720"/>
        <w:rPr>
          <w:rFonts w:cstheme="minorHAnsi"/>
          <w:bCs/>
          <w:color w:val="0000FF"/>
        </w:rPr>
      </w:pPr>
    </w:p>
    <w:p w14:paraId="138F0123" w14:textId="57265D1C" w:rsidR="003975AE" w:rsidRPr="00146B61" w:rsidRDefault="00031389" w:rsidP="00DA4E26">
      <w:pPr>
        <w:autoSpaceDE w:val="0"/>
        <w:autoSpaceDN w:val="0"/>
        <w:adjustRightInd w:val="0"/>
        <w:spacing w:after="0" w:line="240" w:lineRule="auto"/>
        <w:ind w:left="720"/>
        <w:rPr>
          <w:rFonts w:cstheme="minorHAnsi"/>
          <w:bCs/>
          <w:color w:val="0000FF"/>
        </w:rPr>
      </w:pPr>
      <w:r w:rsidRPr="00495623">
        <w:rPr>
          <w:rFonts w:cstheme="minorHAnsi"/>
          <w:bCs/>
          <w:color w:val="0000FF"/>
        </w:rPr>
        <w:t>Th</w:t>
      </w:r>
      <w:r w:rsidR="00226A40" w:rsidRPr="00495623">
        <w:rPr>
          <w:rFonts w:cstheme="minorHAnsi"/>
          <w:bCs/>
          <w:color w:val="0000FF"/>
        </w:rPr>
        <w:t>e DTC</w:t>
      </w:r>
      <w:r w:rsidRPr="00495623">
        <w:rPr>
          <w:rFonts w:cstheme="minorHAnsi"/>
          <w:bCs/>
          <w:color w:val="0000FF"/>
        </w:rPr>
        <w:t xml:space="preserve"> measure assesses successful discharge to community from a</w:t>
      </w:r>
      <w:r w:rsidR="002C1209">
        <w:rPr>
          <w:rFonts w:cstheme="minorHAnsi"/>
          <w:bCs/>
          <w:color w:val="0000FF"/>
        </w:rPr>
        <w:t>n IRF</w:t>
      </w:r>
      <w:r w:rsidRPr="00495623">
        <w:rPr>
          <w:rFonts w:cstheme="minorHAnsi"/>
          <w:bCs/>
          <w:color w:val="0000FF"/>
        </w:rPr>
        <w:t>, with successful discharge to community including no unplanned hospitalizations and no death in the 31 days following discharge. Specifically, this measure reports a</w:t>
      </w:r>
      <w:r w:rsidR="002C1209">
        <w:rPr>
          <w:rFonts w:cstheme="minorHAnsi"/>
          <w:bCs/>
          <w:color w:val="0000FF"/>
        </w:rPr>
        <w:t>n IRF</w:t>
      </w:r>
      <w:r w:rsidRPr="00495623">
        <w:rPr>
          <w:rFonts w:cstheme="minorHAnsi"/>
          <w:bCs/>
          <w:color w:val="0000FF"/>
        </w:rPr>
        <w:t>’s risk-standardized rate of Medicare fee-for-service (FFS) patients who are discharged to the community following a</w:t>
      </w:r>
      <w:r w:rsidR="002C1209">
        <w:rPr>
          <w:rFonts w:cstheme="minorHAnsi"/>
          <w:bCs/>
          <w:color w:val="0000FF"/>
        </w:rPr>
        <w:t>n IRF</w:t>
      </w:r>
      <w:r w:rsidRPr="00495623">
        <w:rPr>
          <w:rFonts w:cstheme="minorHAnsi"/>
          <w:bCs/>
          <w:color w:val="0000FF"/>
        </w:rPr>
        <w:t xml:space="preserve"> stay, and do not have an unplanned admission to an acute care hospital or long-term care hospital (LTCH) in the 31 days following discharge to community, and who remain alive during the 31 days following discharge to community.</w:t>
      </w:r>
      <w:r w:rsidR="003975AE" w:rsidRPr="003975AE">
        <w:rPr>
          <w:rFonts w:cstheme="minorHAnsi"/>
          <w:bCs/>
          <w:color w:val="0000FF"/>
        </w:rPr>
        <w:t xml:space="preserve"> </w:t>
      </w:r>
      <w:r w:rsidR="003975AE">
        <w:rPr>
          <w:rFonts w:cstheme="minorHAnsi"/>
          <w:bCs/>
          <w:color w:val="0000FF"/>
        </w:rPr>
        <w:t>DTC</w:t>
      </w:r>
      <w:r w:rsidR="003975AE" w:rsidRPr="00146B61">
        <w:rPr>
          <w:rFonts w:cstheme="minorHAnsi"/>
          <w:bCs/>
          <w:color w:val="0000FF"/>
        </w:rPr>
        <w:t xml:space="preserve"> is calculated using two consecutive years of data.</w:t>
      </w:r>
    </w:p>
    <w:p w14:paraId="25F703BB" w14:textId="1006960C" w:rsidR="00A25B35" w:rsidRDefault="00A25B35" w:rsidP="00DA4E26">
      <w:pPr>
        <w:autoSpaceDE w:val="0"/>
        <w:autoSpaceDN w:val="0"/>
        <w:adjustRightInd w:val="0"/>
        <w:spacing w:after="0" w:line="240" w:lineRule="auto"/>
        <w:rPr>
          <w:rFonts w:cstheme="minorHAnsi"/>
          <w:bCs/>
          <w:color w:val="0000FF"/>
        </w:rPr>
      </w:pPr>
    </w:p>
    <w:p w14:paraId="67B7015B" w14:textId="27C80AF6" w:rsidR="00A25B35" w:rsidRDefault="00A25B35" w:rsidP="00DA4E26">
      <w:pPr>
        <w:autoSpaceDE w:val="0"/>
        <w:autoSpaceDN w:val="0"/>
        <w:adjustRightInd w:val="0"/>
        <w:spacing w:after="0" w:line="240" w:lineRule="auto"/>
        <w:ind w:left="720"/>
        <w:rPr>
          <w:rFonts w:cstheme="minorHAnsi"/>
          <w:color w:val="0000FF"/>
        </w:rPr>
      </w:pPr>
      <w:r w:rsidRPr="00932E8F">
        <w:rPr>
          <w:rFonts w:cs="Times New Roman"/>
          <w:color w:val="0000FF"/>
        </w:rPr>
        <w:t xml:space="preserve">We hypothesized </w:t>
      </w:r>
      <w:r w:rsidR="002A2B23">
        <w:rPr>
          <w:rFonts w:cs="Times New Roman"/>
          <w:color w:val="0000FF"/>
        </w:rPr>
        <w:t xml:space="preserve">that </w:t>
      </w:r>
      <w:r w:rsidRPr="00932E8F">
        <w:rPr>
          <w:rFonts w:cs="Times New Roman"/>
          <w:color w:val="0000FF"/>
        </w:rPr>
        <w:t>there would be a negative association between the MSPB measure and DTC measure</w:t>
      </w:r>
      <w:r w:rsidRPr="00932E8F">
        <w:rPr>
          <w:rFonts w:cstheme="minorHAnsi"/>
          <w:color w:val="0000FF"/>
        </w:rPr>
        <w:t xml:space="preserve">, indicating that providers with lower MSPB scores (more efficient providers) would have higher rates of </w:t>
      </w:r>
      <w:r w:rsidR="002A2B23">
        <w:rPr>
          <w:rFonts w:cstheme="minorHAnsi"/>
          <w:color w:val="0000FF"/>
        </w:rPr>
        <w:t xml:space="preserve">successful </w:t>
      </w:r>
      <w:r w:rsidRPr="00932E8F">
        <w:rPr>
          <w:rFonts w:cstheme="minorHAnsi"/>
          <w:color w:val="0000FF"/>
        </w:rPr>
        <w:t>discharge to the community</w:t>
      </w:r>
      <w:r w:rsidR="002C1209">
        <w:rPr>
          <w:rFonts w:cstheme="minorHAnsi"/>
          <w:color w:val="0000FF"/>
        </w:rPr>
        <w:t>.</w:t>
      </w:r>
      <w:r w:rsidR="00C3104A">
        <w:rPr>
          <w:rFonts w:cstheme="minorHAnsi"/>
          <w:color w:val="0000FF"/>
        </w:rPr>
        <w:t xml:space="preserve"> </w:t>
      </w:r>
      <w:r w:rsidR="00315FC1">
        <w:rPr>
          <w:rFonts w:cstheme="minorHAnsi"/>
          <w:color w:val="0000FF"/>
        </w:rPr>
        <w:t>Providers whose patients have adverse events, such as re-hospitalization, at a rate higher than would be expected based on patient characteristics, should have lower DTC scores</w:t>
      </w:r>
      <w:r w:rsidR="002C1209">
        <w:rPr>
          <w:rFonts w:cstheme="minorHAnsi"/>
          <w:color w:val="0000FF"/>
        </w:rPr>
        <w:t xml:space="preserve"> </w:t>
      </w:r>
      <w:r w:rsidR="00315FC1">
        <w:rPr>
          <w:rFonts w:cstheme="minorHAnsi"/>
          <w:color w:val="0000FF"/>
        </w:rPr>
        <w:t xml:space="preserve">and higher (less cost efficient) MSPB scores. The reverse should be true </w:t>
      </w:r>
      <w:r w:rsidR="007910F3">
        <w:rPr>
          <w:rFonts w:cstheme="minorHAnsi"/>
          <w:color w:val="0000FF"/>
        </w:rPr>
        <w:t>for providers whose patients have fewer than expected adverse events.</w:t>
      </w:r>
      <w:r w:rsidR="00315FC1">
        <w:rPr>
          <w:rFonts w:cstheme="minorHAnsi"/>
          <w:color w:val="0000FF"/>
        </w:rPr>
        <w:t xml:space="preserve"> </w:t>
      </w:r>
    </w:p>
    <w:p w14:paraId="3BC7CD61" w14:textId="44825D3D" w:rsidR="00A25B35" w:rsidRDefault="00A25B35" w:rsidP="00DA4E26">
      <w:pPr>
        <w:autoSpaceDE w:val="0"/>
        <w:autoSpaceDN w:val="0"/>
        <w:adjustRightInd w:val="0"/>
        <w:spacing w:after="0" w:line="240" w:lineRule="auto"/>
        <w:rPr>
          <w:rFonts w:cstheme="minorHAnsi"/>
          <w:bCs/>
          <w:color w:val="0000FF"/>
        </w:rPr>
      </w:pPr>
    </w:p>
    <w:p w14:paraId="3BE47276" w14:textId="5FFA1B9F" w:rsidR="001D4DD4" w:rsidRDefault="00315FC1" w:rsidP="00DA4E26">
      <w:pPr>
        <w:pStyle w:val="ListParagraph"/>
        <w:numPr>
          <w:ilvl w:val="0"/>
          <w:numId w:val="38"/>
        </w:numPr>
        <w:autoSpaceDE w:val="0"/>
        <w:autoSpaceDN w:val="0"/>
        <w:adjustRightInd w:val="0"/>
        <w:spacing w:after="0" w:line="240" w:lineRule="auto"/>
      </w:pPr>
      <w:r w:rsidRPr="00B51771">
        <w:rPr>
          <w:rFonts w:cstheme="minorHAnsi"/>
          <w:bCs/>
          <w:color w:val="0000FF"/>
        </w:rPr>
        <w:t xml:space="preserve">We examined the correlation between MSPB-PAC </w:t>
      </w:r>
      <w:r w:rsidR="002C1209" w:rsidRPr="00B51771">
        <w:rPr>
          <w:rFonts w:cstheme="minorHAnsi"/>
          <w:bCs/>
          <w:color w:val="0000FF"/>
        </w:rPr>
        <w:t>IRF</w:t>
      </w:r>
      <w:r w:rsidRPr="00B51771">
        <w:rPr>
          <w:rFonts w:cstheme="minorHAnsi"/>
          <w:bCs/>
          <w:color w:val="0000FF"/>
        </w:rPr>
        <w:t xml:space="preserve"> scores and p</w:t>
      </w:r>
      <w:r w:rsidR="00BA4F47" w:rsidRPr="00B51771">
        <w:rPr>
          <w:rFonts w:cstheme="minorHAnsi"/>
          <w:bCs/>
          <w:color w:val="0000FF"/>
        </w:rPr>
        <w:t xml:space="preserve">rovider’s </w:t>
      </w:r>
      <w:r w:rsidR="00795C8B" w:rsidRPr="00B51771">
        <w:rPr>
          <w:rFonts w:cstheme="minorHAnsi"/>
          <w:bCs/>
          <w:color w:val="0000FF"/>
        </w:rPr>
        <w:t xml:space="preserve">scores </w:t>
      </w:r>
      <w:r w:rsidR="00C32E99" w:rsidRPr="00B51771">
        <w:rPr>
          <w:rFonts w:cstheme="minorHAnsi"/>
          <w:bCs/>
          <w:color w:val="0000FF"/>
        </w:rPr>
        <w:t xml:space="preserve">on the Percent of Residents or Patients with Pressure Ulcers That Are New or Worsened (Short-Stay) measures (NQF #0678). </w:t>
      </w:r>
      <w:r w:rsidR="00B413AB" w:rsidRPr="00B51771">
        <w:rPr>
          <w:rFonts w:cstheme="minorHAnsi"/>
          <w:bCs/>
          <w:color w:val="0000FF"/>
        </w:rPr>
        <w:t>Pressure ulcers</w:t>
      </w:r>
      <w:r w:rsidR="00962D3B">
        <w:rPr>
          <w:rFonts w:cstheme="minorHAnsi"/>
          <w:bCs/>
          <w:color w:val="0000FF"/>
        </w:rPr>
        <w:t xml:space="preserve"> are</w:t>
      </w:r>
      <w:r w:rsidR="00B413AB" w:rsidRPr="00B51771">
        <w:rPr>
          <w:rFonts w:cstheme="minorHAnsi"/>
          <w:bCs/>
          <w:color w:val="0000FF"/>
        </w:rPr>
        <w:t xml:space="preserve"> high-cost adverse events</w:t>
      </w:r>
      <w:r w:rsidR="00962D3B">
        <w:rPr>
          <w:rFonts w:cstheme="minorHAnsi"/>
          <w:bCs/>
          <w:color w:val="0000FF"/>
        </w:rPr>
        <w:t>,</w:t>
      </w:r>
      <w:r w:rsidR="00B413AB" w:rsidRPr="00B51771">
        <w:rPr>
          <w:rFonts w:cstheme="minorHAnsi"/>
          <w:bCs/>
          <w:color w:val="0000FF"/>
        </w:rPr>
        <w:t xml:space="preserve"> and their prevalence is an important measure of quality of care.</w:t>
      </w:r>
      <w:r w:rsidR="00B413AB">
        <w:rPr>
          <w:rStyle w:val="FootnoteReference"/>
          <w:bCs/>
          <w:color w:val="0000FF"/>
        </w:rPr>
        <w:footnoteReference w:id="6"/>
      </w:r>
      <w:r w:rsidR="00B413AB" w:rsidRPr="00B51771">
        <w:rPr>
          <w:rFonts w:cstheme="minorHAnsi"/>
          <w:bCs/>
          <w:color w:val="0000FF"/>
        </w:rPr>
        <w:t xml:space="preserve"> The Pressure Ulcers measure </w:t>
      </w:r>
      <w:r w:rsidR="00EA2BF3" w:rsidRPr="005B2207">
        <w:rPr>
          <w:rFonts w:cstheme="minorHAnsi"/>
          <w:bCs/>
          <w:color w:val="0000FF"/>
        </w:rPr>
        <w:t>was endorsed by NQF (the endorsement has been removed because the measure has been replaced by the Changes in Skin Integrity Post-Acute Care: Pressure Ulcer/Injury measure).</w:t>
      </w:r>
      <w:r w:rsidR="00EA2BF3">
        <w:rPr>
          <w:rStyle w:val="FootnoteReference"/>
          <w:bCs/>
          <w:color w:val="0000FF"/>
        </w:rPr>
        <w:footnoteReference w:id="7"/>
      </w:r>
      <w:r w:rsidR="00EA2BF3" w:rsidRPr="005B2207">
        <w:rPr>
          <w:rFonts w:cstheme="minorHAnsi"/>
          <w:bCs/>
          <w:color w:val="0000FF"/>
        </w:rPr>
        <w:t xml:space="preserve"> </w:t>
      </w:r>
      <w:r w:rsidR="00660221" w:rsidRPr="005B2207">
        <w:rPr>
          <w:rFonts w:cstheme="minorHAnsi"/>
          <w:bCs/>
          <w:color w:val="0000FF"/>
        </w:rPr>
        <w:t xml:space="preserve">The measure </w:t>
      </w:r>
      <w:r w:rsidR="001D4DD4" w:rsidRPr="005B2207">
        <w:rPr>
          <w:rFonts w:cstheme="minorHAnsi"/>
          <w:bCs/>
          <w:color w:val="0000FF"/>
        </w:rPr>
        <w:t>reports the percent of Medicare patients with Stage 2-4 pressure ulcer(s) that are new or worsened since admission</w:t>
      </w:r>
      <w:r w:rsidR="00B51771">
        <w:rPr>
          <w:rFonts w:cstheme="minorHAnsi"/>
          <w:bCs/>
          <w:color w:val="0000FF"/>
        </w:rPr>
        <w:t>, is assessment-based,</w:t>
      </w:r>
      <w:r w:rsidR="001D4DD4" w:rsidRPr="005B2207">
        <w:rPr>
          <w:rFonts w:cstheme="minorHAnsi"/>
          <w:bCs/>
          <w:color w:val="0000FF"/>
        </w:rPr>
        <w:t xml:space="preserve"> and </w:t>
      </w:r>
      <w:r w:rsidR="00B413AB" w:rsidRPr="005B2207">
        <w:rPr>
          <w:rFonts w:cstheme="minorHAnsi"/>
          <w:bCs/>
          <w:color w:val="0000FF"/>
        </w:rPr>
        <w:t xml:space="preserve">is </w:t>
      </w:r>
      <w:r w:rsidR="00795C8B" w:rsidRPr="00B51771">
        <w:rPr>
          <w:rFonts w:cstheme="minorHAnsi"/>
          <w:bCs/>
          <w:color w:val="0000FF"/>
        </w:rPr>
        <w:t xml:space="preserve">publicly reported on the </w:t>
      </w:r>
      <w:r w:rsidR="002C1209" w:rsidRPr="00B51771">
        <w:rPr>
          <w:rFonts w:cstheme="minorHAnsi"/>
          <w:bCs/>
          <w:color w:val="0000FF"/>
        </w:rPr>
        <w:t>I</w:t>
      </w:r>
      <w:r w:rsidR="007B3419" w:rsidRPr="00B51771">
        <w:rPr>
          <w:rFonts w:cstheme="minorHAnsi"/>
          <w:bCs/>
          <w:color w:val="0000FF"/>
        </w:rPr>
        <w:t>RF</w:t>
      </w:r>
      <w:r w:rsidR="00795C8B" w:rsidRPr="00B51771">
        <w:rPr>
          <w:rFonts w:cstheme="minorHAnsi"/>
          <w:bCs/>
          <w:color w:val="0000FF"/>
        </w:rPr>
        <w:t xml:space="preserve"> Compare website</w:t>
      </w:r>
      <w:r w:rsidR="00E2596D" w:rsidRPr="00B51771">
        <w:rPr>
          <w:rFonts w:cstheme="minorHAnsi"/>
          <w:bCs/>
          <w:color w:val="0000FF"/>
        </w:rPr>
        <w:t xml:space="preserve">. </w:t>
      </w:r>
    </w:p>
    <w:p w14:paraId="4B7B3148" w14:textId="77777777" w:rsidR="001D4DD4" w:rsidRDefault="001D4DD4" w:rsidP="00DA4E26">
      <w:pPr>
        <w:autoSpaceDE w:val="0"/>
        <w:autoSpaceDN w:val="0"/>
        <w:adjustRightInd w:val="0"/>
        <w:spacing w:after="0" w:line="240" w:lineRule="auto"/>
        <w:ind w:left="720"/>
        <w:rPr>
          <w:rFonts w:cstheme="minorHAnsi"/>
          <w:bCs/>
          <w:color w:val="0000FF"/>
        </w:rPr>
      </w:pPr>
    </w:p>
    <w:p w14:paraId="4BCA1566" w14:textId="422EA1B3" w:rsidR="00E968DE" w:rsidRDefault="00723A09" w:rsidP="00DA4E26">
      <w:pPr>
        <w:autoSpaceDE w:val="0"/>
        <w:autoSpaceDN w:val="0"/>
        <w:adjustRightInd w:val="0"/>
        <w:spacing w:after="0" w:line="240" w:lineRule="auto"/>
        <w:ind w:left="720"/>
        <w:rPr>
          <w:rFonts w:cstheme="minorHAnsi"/>
          <w:bCs/>
          <w:color w:val="0000FF"/>
        </w:rPr>
      </w:pPr>
      <w:r>
        <w:rPr>
          <w:rFonts w:cstheme="minorHAnsi"/>
          <w:bCs/>
          <w:color w:val="0000FF"/>
        </w:rPr>
        <w:t xml:space="preserve">The relationship between resource use and outcome measures depends on many factors, including the exact construction of each measure, payment policies, and the real-world relationship between </w:t>
      </w:r>
      <w:r w:rsidR="008523B4">
        <w:rPr>
          <w:rFonts w:cstheme="minorHAnsi"/>
          <w:bCs/>
          <w:color w:val="0000FF"/>
        </w:rPr>
        <w:t xml:space="preserve">service provision and both immediate and longer-term patient outcomes. </w:t>
      </w:r>
      <w:r w:rsidR="00984A86">
        <w:rPr>
          <w:rFonts w:cstheme="minorHAnsi"/>
          <w:bCs/>
          <w:color w:val="0000FF"/>
        </w:rPr>
        <w:t xml:space="preserve">For this analysis, </w:t>
      </w:r>
      <w:r w:rsidR="00AD62C9">
        <w:rPr>
          <w:rFonts w:cstheme="minorHAnsi"/>
          <w:bCs/>
          <w:color w:val="0000FF"/>
        </w:rPr>
        <w:t>the relationship depends</w:t>
      </w:r>
      <w:r w:rsidR="008813B4">
        <w:rPr>
          <w:rFonts w:cstheme="minorHAnsi"/>
          <w:bCs/>
          <w:color w:val="0000FF"/>
        </w:rPr>
        <w:t xml:space="preserve"> in part</w:t>
      </w:r>
      <w:r w:rsidR="00AD62C9">
        <w:rPr>
          <w:rFonts w:cstheme="minorHAnsi"/>
          <w:bCs/>
          <w:color w:val="0000FF"/>
        </w:rPr>
        <w:t xml:space="preserve"> on whether </w:t>
      </w:r>
      <w:r w:rsidR="001D4DD4">
        <w:rPr>
          <w:rFonts w:cstheme="minorHAnsi"/>
          <w:bCs/>
          <w:color w:val="0000FF"/>
        </w:rPr>
        <w:t>the prevalence of pressure ulcers</w:t>
      </w:r>
      <w:r w:rsidR="00E968DE">
        <w:rPr>
          <w:rFonts w:cstheme="minorHAnsi"/>
          <w:bCs/>
          <w:color w:val="0000FF"/>
        </w:rPr>
        <w:t xml:space="preserve"> is associated with </w:t>
      </w:r>
      <w:r w:rsidR="001D4DD4">
        <w:rPr>
          <w:rFonts w:cstheme="minorHAnsi"/>
          <w:bCs/>
          <w:color w:val="0000FF"/>
        </w:rPr>
        <w:t xml:space="preserve">other </w:t>
      </w:r>
      <w:r w:rsidR="00E968DE">
        <w:rPr>
          <w:rFonts w:cstheme="minorHAnsi"/>
          <w:bCs/>
          <w:color w:val="0000FF"/>
        </w:rPr>
        <w:t>adverse outcomes</w:t>
      </w:r>
      <w:r w:rsidR="00F73494">
        <w:rPr>
          <w:rFonts w:cstheme="minorHAnsi"/>
          <w:bCs/>
          <w:color w:val="0000FF"/>
        </w:rPr>
        <w:t>,</w:t>
      </w:r>
      <w:r w:rsidR="00E968DE">
        <w:rPr>
          <w:rFonts w:cstheme="minorHAnsi"/>
          <w:bCs/>
          <w:color w:val="0000FF"/>
        </w:rPr>
        <w:t xml:space="preserve"> such as unplanned hospitalizations. To answer this question, we examined the relationship between </w:t>
      </w:r>
      <w:r w:rsidR="001D4DD4">
        <w:rPr>
          <w:rFonts w:cstheme="minorHAnsi"/>
          <w:bCs/>
          <w:color w:val="0000FF"/>
        </w:rPr>
        <w:t>pressure ulcers</w:t>
      </w:r>
      <w:r w:rsidR="00E968DE">
        <w:rPr>
          <w:rFonts w:cstheme="minorHAnsi"/>
          <w:bCs/>
          <w:color w:val="0000FF"/>
        </w:rPr>
        <w:t xml:space="preserve"> and </w:t>
      </w:r>
      <w:r w:rsidR="001D4DD4">
        <w:rPr>
          <w:rFonts w:cstheme="minorHAnsi"/>
          <w:bCs/>
          <w:color w:val="0000FF"/>
        </w:rPr>
        <w:t>the</w:t>
      </w:r>
      <w:r w:rsidR="00E968DE">
        <w:rPr>
          <w:rFonts w:cstheme="minorHAnsi"/>
          <w:bCs/>
          <w:color w:val="0000FF"/>
        </w:rPr>
        <w:t xml:space="preserve"> claims-based measure </w:t>
      </w:r>
      <w:r w:rsidR="00F73494">
        <w:rPr>
          <w:rFonts w:cstheme="minorHAnsi"/>
          <w:bCs/>
          <w:color w:val="0000FF"/>
        </w:rPr>
        <w:t>which capture</w:t>
      </w:r>
      <w:r w:rsidR="00984A86">
        <w:rPr>
          <w:rFonts w:cstheme="minorHAnsi"/>
          <w:bCs/>
          <w:color w:val="0000FF"/>
        </w:rPr>
        <w:t>s</w:t>
      </w:r>
      <w:r w:rsidR="00F73494">
        <w:rPr>
          <w:rFonts w:cstheme="minorHAnsi"/>
          <w:bCs/>
          <w:color w:val="0000FF"/>
        </w:rPr>
        <w:t xml:space="preserve"> adverse outcomes, as </w:t>
      </w:r>
      <w:r w:rsidR="00E968DE">
        <w:rPr>
          <w:rFonts w:cstheme="minorHAnsi"/>
          <w:bCs/>
          <w:color w:val="0000FF"/>
        </w:rPr>
        <w:t>describe</w:t>
      </w:r>
      <w:r w:rsidR="00984A86">
        <w:rPr>
          <w:rFonts w:cstheme="minorHAnsi"/>
          <w:bCs/>
          <w:color w:val="0000FF"/>
        </w:rPr>
        <w:t>d</w:t>
      </w:r>
      <w:r w:rsidR="00E968DE">
        <w:rPr>
          <w:rFonts w:cstheme="minorHAnsi"/>
          <w:bCs/>
          <w:color w:val="0000FF"/>
        </w:rPr>
        <w:t xml:space="preserve"> earlier: DTC. We found that </w:t>
      </w:r>
      <w:r w:rsidR="00847D3E">
        <w:rPr>
          <w:rFonts w:cstheme="minorHAnsi"/>
          <w:bCs/>
          <w:color w:val="0000FF"/>
        </w:rPr>
        <w:t>pressure ulcers are</w:t>
      </w:r>
      <w:r w:rsidR="00583A39">
        <w:rPr>
          <w:rFonts w:cstheme="minorHAnsi"/>
          <w:bCs/>
          <w:color w:val="0000FF"/>
        </w:rPr>
        <w:t xml:space="preserve"> not associated with lower rates of </w:t>
      </w:r>
      <w:r w:rsidR="00847D3E">
        <w:rPr>
          <w:rFonts w:cstheme="minorHAnsi"/>
          <w:bCs/>
          <w:color w:val="0000FF"/>
        </w:rPr>
        <w:t>discharge to community</w:t>
      </w:r>
      <w:r w:rsidR="00583A39">
        <w:rPr>
          <w:rFonts w:cstheme="minorHAnsi"/>
          <w:bCs/>
          <w:color w:val="0000FF"/>
        </w:rPr>
        <w:t xml:space="preserve">: </w:t>
      </w:r>
      <w:r w:rsidR="00583A39" w:rsidRPr="001105C3">
        <w:rPr>
          <w:rFonts w:cstheme="minorHAnsi"/>
          <w:bCs/>
          <w:color w:val="0000FF"/>
        </w:rPr>
        <w:t>Pearson</w:t>
      </w:r>
      <w:r w:rsidR="004E7F11">
        <w:rPr>
          <w:rFonts w:cstheme="minorHAnsi"/>
          <w:bCs/>
          <w:color w:val="0000FF"/>
        </w:rPr>
        <w:t xml:space="preserve"> </w:t>
      </w:r>
      <w:r w:rsidR="00583A39" w:rsidRPr="001105C3">
        <w:rPr>
          <w:rFonts w:cstheme="minorHAnsi"/>
          <w:bCs/>
          <w:color w:val="0000FF"/>
        </w:rPr>
        <w:t xml:space="preserve">correlation between DTC and </w:t>
      </w:r>
      <w:r w:rsidR="00847D3E">
        <w:rPr>
          <w:rFonts w:cstheme="minorHAnsi"/>
          <w:bCs/>
          <w:color w:val="0000FF"/>
        </w:rPr>
        <w:t>Pressure Ulcers</w:t>
      </w:r>
      <w:r w:rsidR="00583A39" w:rsidRPr="001105C3">
        <w:rPr>
          <w:rFonts w:cstheme="minorHAnsi"/>
          <w:bCs/>
          <w:color w:val="0000FF"/>
        </w:rPr>
        <w:t xml:space="preserve"> measure</w:t>
      </w:r>
      <w:r w:rsidR="00E66E1F">
        <w:rPr>
          <w:rFonts w:cstheme="minorHAnsi"/>
          <w:bCs/>
          <w:color w:val="0000FF"/>
        </w:rPr>
        <w:t>s</w:t>
      </w:r>
      <w:r w:rsidR="00583A39" w:rsidRPr="001105C3">
        <w:rPr>
          <w:rFonts w:cstheme="minorHAnsi"/>
          <w:bCs/>
          <w:color w:val="0000FF"/>
        </w:rPr>
        <w:t xml:space="preserve"> </w:t>
      </w:r>
      <w:r w:rsidR="00847D3E">
        <w:rPr>
          <w:rFonts w:cstheme="minorHAnsi"/>
          <w:bCs/>
          <w:color w:val="0000FF"/>
        </w:rPr>
        <w:t>is -0.038</w:t>
      </w:r>
      <w:r w:rsidR="004E7F11">
        <w:rPr>
          <w:rFonts w:cstheme="minorHAnsi"/>
          <w:bCs/>
          <w:color w:val="0000FF"/>
        </w:rPr>
        <w:t xml:space="preserve"> </w:t>
      </w:r>
      <w:r w:rsidR="00583A39" w:rsidRPr="001105C3">
        <w:rPr>
          <w:rFonts w:cstheme="minorHAnsi"/>
          <w:bCs/>
          <w:color w:val="0000FF"/>
        </w:rPr>
        <w:t xml:space="preserve">(Spearman: </w:t>
      </w:r>
      <w:r w:rsidR="00847D3E">
        <w:rPr>
          <w:rFonts w:cstheme="minorHAnsi"/>
          <w:bCs/>
          <w:color w:val="0000FF"/>
        </w:rPr>
        <w:t>0.021</w:t>
      </w:r>
      <w:r w:rsidR="00583A39" w:rsidRPr="001105C3">
        <w:rPr>
          <w:rFonts w:cstheme="minorHAnsi"/>
          <w:bCs/>
          <w:color w:val="0000FF"/>
        </w:rPr>
        <w:t>)</w:t>
      </w:r>
      <w:r w:rsidR="00156DFB" w:rsidRPr="001105C3">
        <w:rPr>
          <w:rFonts w:cstheme="minorHAnsi"/>
          <w:bCs/>
          <w:color w:val="0000FF"/>
        </w:rPr>
        <w:t>.</w:t>
      </w:r>
      <w:r w:rsidR="004F2EEF" w:rsidRPr="001105C3">
        <w:rPr>
          <w:rStyle w:val="FootnoteReference"/>
          <w:bCs/>
          <w:color w:val="0000FF"/>
        </w:rPr>
        <w:footnoteReference w:id="8"/>
      </w:r>
      <w:r w:rsidR="00854A36">
        <w:rPr>
          <w:rFonts w:cstheme="minorHAnsi"/>
          <w:bCs/>
          <w:color w:val="0000FF"/>
        </w:rPr>
        <w:t xml:space="preserve"> Accordingly, we hypothesized that </w:t>
      </w:r>
      <w:r w:rsidR="00F73494">
        <w:rPr>
          <w:rFonts w:cstheme="minorHAnsi"/>
          <w:bCs/>
          <w:color w:val="0000FF"/>
        </w:rPr>
        <w:t xml:space="preserve">the correlations between </w:t>
      </w:r>
      <w:r w:rsidR="00CE4E77">
        <w:rPr>
          <w:rFonts w:cstheme="minorHAnsi"/>
          <w:bCs/>
          <w:color w:val="0000FF"/>
        </w:rPr>
        <w:t>the Pressure Ulcers</w:t>
      </w:r>
      <w:r w:rsidR="00F73494">
        <w:rPr>
          <w:rFonts w:cstheme="minorHAnsi"/>
          <w:bCs/>
          <w:color w:val="0000FF"/>
        </w:rPr>
        <w:t xml:space="preserve"> measure and MSPB-PAC </w:t>
      </w:r>
      <w:r w:rsidR="002C1209">
        <w:rPr>
          <w:rFonts w:cstheme="minorHAnsi"/>
          <w:bCs/>
          <w:color w:val="0000FF"/>
        </w:rPr>
        <w:t>IRF</w:t>
      </w:r>
      <w:r w:rsidR="00F73494">
        <w:rPr>
          <w:rFonts w:cstheme="minorHAnsi"/>
          <w:bCs/>
          <w:color w:val="0000FF"/>
        </w:rPr>
        <w:t xml:space="preserve"> should, likewise, </w:t>
      </w:r>
      <w:r w:rsidR="009561FA">
        <w:rPr>
          <w:rFonts w:cstheme="minorHAnsi"/>
          <w:bCs/>
          <w:color w:val="0000FF"/>
        </w:rPr>
        <w:t>be low</w:t>
      </w:r>
      <w:r w:rsidR="00F73494">
        <w:rPr>
          <w:rFonts w:cstheme="minorHAnsi"/>
          <w:bCs/>
          <w:color w:val="0000FF"/>
        </w:rPr>
        <w:t>.</w:t>
      </w:r>
    </w:p>
    <w:p w14:paraId="478C3E19" w14:textId="14BFF63D" w:rsidR="006004E1" w:rsidRDefault="006004E1" w:rsidP="00A619B0">
      <w:pPr>
        <w:autoSpaceDE w:val="0"/>
        <w:autoSpaceDN w:val="0"/>
        <w:adjustRightInd w:val="0"/>
        <w:spacing w:after="0" w:line="240" w:lineRule="auto"/>
        <w:rPr>
          <w:rFonts w:cstheme="minorHAnsi"/>
          <w:bCs/>
          <w:color w:val="0000FF"/>
        </w:rPr>
      </w:pPr>
    </w:p>
    <w:p w14:paraId="7D8653F8" w14:textId="77777777" w:rsidR="00C64278" w:rsidRDefault="009C7513" w:rsidP="00EE4048">
      <w:pPr>
        <w:pStyle w:val="Heading3"/>
      </w:pPr>
      <w:r>
        <w:t>2b1</w:t>
      </w:r>
      <w:r w:rsidR="00092566">
        <w:t>.</w:t>
      </w:r>
      <w:r w:rsidR="007757CE" w:rsidRPr="00A25024">
        <w:t xml:space="preserve">3. </w:t>
      </w:r>
      <w:r w:rsidR="00833325" w:rsidRPr="00A25024">
        <w:t xml:space="preserve">What were the statistical results </w:t>
      </w:r>
      <w:r w:rsidR="007422FD" w:rsidRPr="00A25024">
        <w:t xml:space="preserve">from </w:t>
      </w:r>
      <w:r w:rsidR="00EC79DE" w:rsidRPr="00A25024">
        <w:t>validity</w:t>
      </w:r>
      <w:r w:rsidR="007422FD" w:rsidRPr="00A25024">
        <w:t xml:space="preserve"> testing</w:t>
      </w:r>
      <w:r w:rsidR="00833325" w:rsidRPr="00A25024">
        <w:t xml:space="preserve">? </w:t>
      </w:r>
    </w:p>
    <w:p w14:paraId="0CABCFDE" w14:textId="5A41BB96" w:rsidR="007422FD" w:rsidRDefault="00AA5213" w:rsidP="00092566">
      <w:pPr>
        <w:autoSpaceDE w:val="0"/>
        <w:autoSpaceDN w:val="0"/>
        <w:adjustRightInd w:val="0"/>
        <w:spacing w:after="0" w:line="240" w:lineRule="auto"/>
        <w:rPr>
          <w:rFonts w:cstheme="minorHAnsi"/>
          <w:bCs/>
        </w:rPr>
      </w:pPr>
      <w:r w:rsidRPr="00A25024">
        <w:rPr>
          <w:rFonts w:cstheme="minorHAnsi"/>
          <w:bCs/>
        </w:rPr>
        <w:t>(</w:t>
      </w:r>
      <w:r w:rsidRPr="0022691B">
        <w:rPr>
          <w:rFonts w:cstheme="minorHAnsi"/>
          <w:bCs/>
          <w:i/>
        </w:rPr>
        <w:t xml:space="preserve">e.g., correlation; </w:t>
      </w:r>
      <w:r w:rsidR="001F1DA1">
        <w:rPr>
          <w:rFonts w:cstheme="minorHAnsi"/>
          <w:bCs/>
          <w:i/>
        </w:rPr>
        <w:t>t-test</w:t>
      </w:r>
      <w:r w:rsidRPr="0022691B">
        <w:rPr>
          <w:rFonts w:cstheme="minorHAnsi"/>
          <w:bCs/>
        </w:rPr>
        <w:t>)</w:t>
      </w:r>
      <w:r w:rsidR="00833325" w:rsidRPr="00A25024">
        <w:rPr>
          <w:rFonts w:cstheme="minorHAnsi"/>
          <w:bCs/>
        </w:rPr>
        <w:br/>
      </w:r>
    </w:p>
    <w:p w14:paraId="55E573F0" w14:textId="6FFAC989" w:rsidR="00CD303A" w:rsidRPr="00FF2FAC" w:rsidRDefault="00CD303A" w:rsidP="00417899">
      <w:pPr>
        <w:autoSpaceDE w:val="0"/>
        <w:autoSpaceDN w:val="0"/>
        <w:adjustRightInd w:val="0"/>
        <w:spacing w:after="0" w:line="240" w:lineRule="auto"/>
        <w:ind w:firstLine="720"/>
        <w:rPr>
          <w:rFonts w:cstheme="minorHAnsi"/>
          <w:color w:val="0000FF"/>
        </w:rPr>
      </w:pPr>
      <w:r>
        <w:rPr>
          <w:rFonts w:cstheme="minorHAnsi"/>
          <w:color w:val="0000FF"/>
        </w:rPr>
        <w:t xml:space="preserve">We found a positive relationship between MSPB and </w:t>
      </w:r>
      <w:r w:rsidRPr="00FF2FAC">
        <w:rPr>
          <w:rFonts w:cstheme="minorHAnsi"/>
          <w:color w:val="0000FF"/>
        </w:rPr>
        <w:t>known indicators</w:t>
      </w:r>
      <w:r w:rsidRPr="00FF2FAC">
        <w:rPr>
          <w:rFonts w:cstheme="minorHAnsi"/>
          <w:bCs/>
          <w:color w:val="0000FF"/>
        </w:rPr>
        <w:t xml:space="preserve"> of resource or service utilization</w:t>
      </w:r>
      <w:r>
        <w:rPr>
          <w:rFonts w:cstheme="minorHAnsi"/>
          <w:bCs/>
          <w:color w:val="0000FF"/>
        </w:rPr>
        <w:t>.</w:t>
      </w:r>
      <w:r w:rsidRPr="00FF2FAC">
        <w:rPr>
          <w:rFonts w:cstheme="minorHAnsi"/>
          <w:color w:val="0000FF"/>
        </w:rPr>
        <w:t xml:space="preserve"> </w:t>
      </w:r>
      <w:r w:rsidRPr="001105C3">
        <w:rPr>
          <w:rFonts w:cstheme="minorHAnsi"/>
          <w:color w:val="0000FF"/>
        </w:rPr>
        <w:t>The mean observed to expected cost ratio for episodes without a hospital admission is 0.</w:t>
      </w:r>
      <w:r w:rsidR="000B156F" w:rsidRPr="001105C3">
        <w:rPr>
          <w:rFonts w:cstheme="minorHAnsi"/>
          <w:color w:val="0000FF"/>
        </w:rPr>
        <w:t>91</w:t>
      </w:r>
      <w:r w:rsidRPr="001105C3">
        <w:rPr>
          <w:rFonts w:cstheme="minorHAnsi"/>
          <w:color w:val="0000FF"/>
        </w:rPr>
        <w:t xml:space="preserve">, compared with </w:t>
      </w:r>
      <w:r w:rsidR="001105C3" w:rsidRPr="001105C3">
        <w:rPr>
          <w:rFonts w:cstheme="minorHAnsi"/>
          <w:color w:val="0000FF"/>
        </w:rPr>
        <w:t>1.39</w:t>
      </w:r>
      <w:r w:rsidRPr="001105C3">
        <w:rPr>
          <w:rFonts w:cstheme="minorHAnsi"/>
          <w:color w:val="0000FF"/>
        </w:rPr>
        <w:t xml:space="preserve"> for episodes with at least one hospital admission during the episode period</w:t>
      </w:r>
      <w:r w:rsidR="00654DFE" w:rsidRPr="001105C3">
        <w:rPr>
          <w:rFonts w:cstheme="minorHAnsi"/>
          <w:color w:val="0000FF"/>
        </w:rPr>
        <w:t xml:space="preserve"> (</w:t>
      </w:r>
      <w:r w:rsidR="00435A56">
        <w:rPr>
          <w:rFonts w:cstheme="minorHAnsi"/>
          <w:color w:val="0000FF"/>
        </w:rPr>
        <w:t>p-value&lt;0.0001</w:t>
      </w:r>
      <w:r w:rsidRPr="001105C3">
        <w:rPr>
          <w:rFonts w:cstheme="minorHAnsi"/>
          <w:color w:val="0000FF"/>
        </w:rPr>
        <w:t>). The mean observed to expected cost ratio for episodes without an ER visit is 0.</w:t>
      </w:r>
      <w:r w:rsidR="000B156F" w:rsidRPr="001105C3">
        <w:rPr>
          <w:rFonts w:cstheme="minorHAnsi"/>
          <w:color w:val="0000FF"/>
        </w:rPr>
        <w:t>98</w:t>
      </w:r>
      <w:r w:rsidRPr="001105C3">
        <w:rPr>
          <w:rFonts w:cstheme="minorHAnsi"/>
          <w:color w:val="0000FF"/>
        </w:rPr>
        <w:t>, compared to 1.</w:t>
      </w:r>
      <w:r w:rsidR="001105C3" w:rsidRPr="001105C3">
        <w:rPr>
          <w:rFonts w:cstheme="minorHAnsi"/>
          <w:color w:val="0000FF"/>
        </w:rPr>
        <w:t>09</w:t>
      </w:r>
      <w:r w:rsidRPr="001105C3">
        <w:rPr>
          <w:rFonts w:cstheme="minorHAnsi"/>
          <w:color w:val="0000FF"/>
        </w:rPr>
        <w:t xml:space="preserve"> for episodes with at least one ER visits (</w:t>
      </w:r>
      <w:r w:rsidR="00435A56">
        <w:rPr>
          <w:rFonts w:cstheme="minorHAnsi"/>
          <w:color w:val="0000FF"/>
        </w:rPr>
        <w:t>p-value&lt;0.0001</w:t>
      </w:r>
      <w:r w:rsidRPr="001105C3">
        <w:rPr>
          <w:rFonts w:cstheme="minorHAnsi"/>
          <w:color w:val="0000FF"/>
        </w:rPr>
        <w:t xml:space="preserve">). </w:t>
      </w:r>
      <w:r w:rsidR="00654DFE" w:rsidRPr="001105C3">
        <w:rPr>
          <w:rFonts w:cstheme="minorHAnsi"/>
          <w:color w:val="0000FF"/>
        </w:rPr>
        <w:t>W</w:t>
      </w:r>
      <w:r w:rsidRPr="001105C3">
        <w:rPr>
          <w:rFonts w:cstheme="minorHAnsi"/>
          <w:color w:val="0000FF"/>
        </w:rPr>
        <w:t xml:space="preserve">e </w:t>
      </w:r>
      <w:r w:rsidR="00654DFE" w:rsidRPr="001105C3">
        <w:rPr>
          <w:rFonts w:cstheme="minorHAnsi"/>
          <w:color w:val="0000FF"/>
        </w:rPr>
        <w:t>also observe a positive relationship</w:t>
      </w:r>
      <w:r w:rsidRPr="001105C3">
        <w:rPr>
          <w:rFonts w:cstheme="minorHAnsi"/>
          <w:color w:val="0000FF"/>
        </w:rPr>
        <w:t xml:space="preserve"> between the </w:t>
      </w:r>
      <w:r w:rsidR="00FB7EB5" w:rsidRPr="001105C3">
        <w:rPr>
          <w:rFonts w:cstheme="minorHAnsi"/>
          <w:color w:val="0000FF"/>
        </w:rPr>
        <w:t>mean observed to expected cost ratio</w:t>
      </w:r>
      <w:r w:rsidRPr="001105C3">
        <w:rPr>
          <w:rFonts w:cstheme="minorHAnsi"/>
          <w:color w:val="0000FF"/>
        </w:rPr>
        <w:t xml:space="preserve"> and the number of hospitalizations/ER visits</w:t>
      </w:r>
      <w:r w:rsidR="00FB7EB5">
        <w:rPr>
          <w:rFonts w:cstheme="minorHAnsi"/>
          <w:bCs/>
          <w:color w:val="0000FF"/>
        </w:rPr>
        <w:t xml:space="preserve"> (</w:t>
      </w:r>
      <w:r w:rsidR="00FB7EB5">
        <w:rPr>
          <w:rFonts w:cstheme="minorHAnsi"/>
          <w:bCs/>
          <w:color w:val="0000FF"/>
        </w:rPr>
        <w:fldChar w:fldCharType="begin"/>
      </w:r>
      <w:r w:rsidR="00FB7EB5">
        <w:rPr>
          <w:rFonts w:cstheme="minorHAnsi"/>
          <w:bCs/>
          <w:color w:val="0000FF"/>
        </w:rPr>
        <w:instrText xml:space="preserve"> REF _Ref24115563 \h </w:instrText>
      </w:r>
      <w:r w:rsidR="00FB7EB5">
        <w:rPr>
          <w:rFonts w:cstheme="minorHAnsi"/>
          <w:bCs/>
          <w:color w:val="0000FF"/>
        </w:rPr>
      </w:r>
      <w:r w:rsidR="00FB7EB5">
        <w:rPr>
          <w:rFonts w:cstheme="minorHAnsi"/>
          <w:bCs/>
          <w:color w:val="0000FF"/>
        </w:rPr>
        <w:fldChar w:fldCharType="separate"/>
      </w:r>
      <w:r w:rsidR="00B6644A" w:rsidRPr="00804378">
        <w:rPr>
          <w:rStyle w:val="Style1"/>
          <w:b/>
        </w:rPr>
        <w:t xml:space="preserve">Table </w:t>
      </w:r>
      <w:r w:rsidR="00B6644A">
        <w:rPr>
          <w:rStyle w:val="Style1"/>
          <w:b/>
          <w:noProof/>
        </w:rPr>
        <w:t>5</w:t>
      </w:r>
      <w:r w:rsidR="00FB7EB5">
        <w:rPr>
          <w:rFonts w:cstheme="minorHAnsi"/>
          <w:bCs/>
          <w:color w:val="0000FF"/>
        </w:rPr>
        <w:fldChar w:fldCharType="end"/>
      </w:r>
      <w:r w:rsidR="00FB7EB5">
        <w:rPr>
          <w:rFonts w:cstheme="minorHAnsi"/>
          <w:bCs/>
          <w:color w:val="0000FF"/>
        </w:rPr>
        <w:t>)</w:t>
      </w:r>
      <w:r>
        <w:rPr>
          <w:rFonts w:cstheme="minorHAnsi"/>
          <w:color w:val="0000FF"/>
        </w:rPr>
        <w:t xml:space="preserve">. </w:t>
      </w:r>
    </w:p>
    <w:p w14:paraId="5E9D91E2" w14:textId="77777777" w:rsidR="00CD303A" w:rsidRPr="00FF2FAC" w:rsidRDefault="00CD303A" w:rsidP="00CD303A">
      <w:pPr>
        <w:autoSpaceDE w:val="0"/>
        <w:autoSpaceDN w:val="0"/>
        <w:adjustRightInd w:val="0"/>
        <w:spacing w:after="0" w:line="240" w:lineRule="auto"/>
        <w:rPr>
          <w:rFonts w:cstheme="minorHAnsi"/>
          <w:bCs/>
        </w:rPr>
      </w:pPr>
    </w:p>
    <w:p w14:paraId="5DF260D1" w14:textId="429C5545" w:rsidR="00CD303A" w:rsidRPr="0053612B" w:rsidRDefault="00CD303A" w:rsidP="00CD303A">
      <w:pPr>
        <w:autoSpaceDE w:val="0"/>
        <w:autoSpaceDN w:val="0"/>
        <w:adjustRightInd w:val="0"/>
        <w:spacing w:after="0" w:line="240" w:lineRule="auto"/>
        <w:rPr>
          <w:rFonts w:cstheme="minorHAnsi"/>
          <w:color w:val="0000FF"/>
        </w:rPr>
      </w:pPr>
      <w:bookmarkStart w:id="18" w:name="_Ref24115563"/>
      <w:r w:rsidRPr="00804378">
        <w:rPr>
          <w:rStyle w:val="Style1"/>
          <w:b/>
        </w:rPr>
        <w:t xml:space="preserve">Table </w:t>
      </w:r>
      <w:r>
        <w:rPr>
          <w:rStyle w:val="Style1"/>
          <w:b/>
        </w:rPr>
        <w:fldChar w:fldCharType="begin"/>
      </w:r>
      <w:r>
        <w:rPr>
          <w:rStyle w:val="Style1"/>
          <w:b/>
        </w:rPr>
        <w:instrText xml:space="preserve"> SEQ Table \* ARABIC </w:instrText>
      </w:r>
      <w:r>
        <w:rPr>
          <w:rStyle w:val="Style1"/>
          <w:b/>
        </w:rPr>
        <w:fldChar w:fldCharType="separate"/>
      </w:r>
      <w:r w:rsidR="00B6644A">
        <w:rPr>
          <w:rStyle w:val="Style1"/>
          <w:b/>
          <w:noProof/>
        </w:rPr>
        <w:t>5</w:t>
      </w:r>
      <w:r>
        <w:rPr>
          <w:rStyle w:val="Style1"/>
          <w:b/>
        </w:rPr>
        <w:fldChar w:fldCharType="end"/>
      </w:r>
      <w:bookmarkEnd w:id="18"/>
      <w:r w:rsidRPr="00804378">
        <w:rPr>
          <w:rStyle w:val="Style1"/>
          <w:b/>
        </w:rPr>
        <w:t>.</w:t>
      </w:r>
      <w:r>
        <w:rPr>
          <w:rStyle w:val="Style1"/>
          <w:b/>
        </w:rPr>
        <w:t xml:space="preserve"> Mean </w:t>
      </w:r>
      <w:r w:rsidRPr="0010491C">
        <w:rPr>
          <w:rStyle w:val="Style1"/>
          <w:b/>
        </w:rPr>
        <w:t>Cost Ratio</w:t>
      </w:r>
      <w:r w:rsidR="00FB7EB5">
        <w:rPr>
          <w:rStyle w:val="Style1"/>
          <w:b/>
        </w:rPr>
        <w:t>,</w:t>
      </w:r>
      <w:r w:rsidRPr="0010491C">
        <w:rPr>
          <w:rStyle w:val="Style1"/>
          <w:b/>
        </w:rPr>
        <w:t xml:space="preserve"> by </w:t>
      </w:r>
      <w:r w:rsidR="00FB7EB5">
        <w:rPr>
          <w:rStyle w:val="Style1"/>
          <w:b/>
        </w:rPr>
        <w:t>N</w:t>
      </w:r>
      <w:r w:rsidRPr="0010491C">
        <w:rPr>
          <w:rStyle w:val="Style1"/>
          <w:b/>
        </w:rPr>
        <w:t>umber of Hospitalizations</w:t>
      </w:r>
      <w:r>
        <w:rPr>
          <w:rStyle w:val="Style1"/>
          <w:b/>
        </w:rPr>
        <w:t>/ER Visits</w:t>
      </w:r>
    </w:p>
    <w:tbl>
      <w:tblPr>
        <w:tblW w:w="9228" w:type="dxa"/>
        <w:tblLook w:val="04A0" w:firstRow="1" w:lastRow="0" w:firstColumn="1" w:lastColumn="0" w:noHBand="0" w:noVBand="1"/>
      </w:tblPr>
      <w:tblGrid>
        <w:gridCol w:w="3420"/>
        <w:gridCol w:w="1120"/>
        <w:gridCol w:w="1224"/>
        <w:gridCol w:w="1120"/>
        <w:gridCol w:w="1224"/>
        <w:gridCol w:w="1120"/>
      </w:tblGrid>
      <w:tr w:rsidR="00CD303A" w:rsidRPr="000B11CB" w14:paraId="4D1AAD67" w14:textId="77777777" w:rsidTr="005B2207">
        <w:trPr>
          <w:trHeight w:val="349"/>
        </w:trPr>
        <w:tc>
          <w:tcPr>
            <w:tcW w:w="3420" w:type="dxa"/>
            <w:tcBorders>
              <w:top w:val="single" w:sz="8" w:space="0" w:color="auto"/>
              <w:left w:val="nil"/>
              <w:bottom w:val="nil"/>
              <w:right w:val="nil"/>
            </w:tcBorders>
            <w:shd w:val="clear" w:color="000000" w:fill="BFBFBF"/>
            <w:vAlign w:val="center"/>
            <w:hideMark/>
          </w:tcPr>
          <w:p w14:paraId="36792A56" w14:textId="32D21B08" w:rsidR="00CD303A" w:rsidRPr="0053612B" w:rsidRDefault="00FB7EB5" w:rsidP="00901BE1">
            <w:pPr>
              <w:spacing w:after="0" w:line="240" w:lineRule="auto"/>
              <w:jc w:val="center"/>
              <w:rPr>
                <w:rFonts w:ascii="Calibri" w:eastAsia="Times New Roman" w:hAnsi="Calibri" w:cs="Calibri"/>
                <w:color w:val="0000FF"/>
              </w:rPr>
            </w:pPr>
            <w:r>
              <w:rPr>
                <w:rFonts w:ascii="Calibri" w:eastAsia="Times New Roman" w:hAnsi="Calibri" w:cs="Calibri"/>
                <w:color w:val="0000FF"/>
              </w:rPr>
              <w:t>Number of High-C</w:t>
            </w:r>
            <w:r w:rsidR="00CD303A">
              <w:rPr>
                <w:rFonts w:ascii="Calibri" w:eastAsia="Times New Roman" w:hAnsi="Calibri" w:cs="Calibri"/>
                <w:color w:val="0000FF"/>
              </w:rPr>
              <w:t xml:space="preserve">ost Event </w:t>
            </w:r>
          </w:p>
        </w:tc>
        <w:tc>
          <w:tcPr>
            <w:tcW w:w="1120" w:type="dxa"/>
            <w:tcBorders>
              <w:top w:val="single" w:sz="8" w:space="0" w:color="auto"/>
              <w:left w:val="nil"/>
              <w:bottom w:val="nil"/>
              <w:right w:val="nil"/>
            </w:tcBorders>
            <w:shd w:val="clear" w:color="000000" w:fill="BFBFBF"/>
            <w:vAlign w:val="center"/>
            <w:hideMark/>
          </w:tcPr>
          <w:p w14:paraId="6159FB1C" w14:textId="77777777" w:rsidR="00CD303A" w:rsidRPr="0053612B" w:rsidRDefault="00CD303A" w:rsidP="00901BE1">
            <w:pPr>
              <w:spacing w:after="0" w:line="240" w:lineRule="auto"/>
              <w:jc w:val="center"/>
              <w:rPr>
                <w:rFonts w:ascii="Calibri" w:eastAsia="Times New Roman" w:hAnsi="Calibri" w:cs="Calibri"/>
                <w:color w:val="0000FF"/>
              </w:rPr>
            </w:pPr>
            <w:r>
              <w:rPr>
                <w:rFonts w:ascii="Calibri" w:eastAsia="Times New Roman" w:hAnsi="Calibri" w:cs="Calibri"/>
                <w:color w:val="0000FF"/>
              </w:rPr>
              <w:t>0</w:t>
            </w:r>
          </w:p>
        </w:tc>
        <w:tc>
          <w:tcPr>
            <w:tcW w:w="1224" w:type="dxa"/>
            <w:tcBorders>
              <w:top w:val="single" w:sz="8" w:space="0" w:color="auto"/>
              <w:left w:val="nil"/>
              <w:bottom w:val="nil"/>
              <w:right w:val="nil"/>
            </w:tcBorders>
            <w:shd w:val="clear" w:color="000000" w:fill="BFBFBF"/>
            <w:vAlign w:val="center"/>
            <w:hideMark/>
          </w:tcPr>
          <w:p w14:paraId="54034127" w14:textId="77777777" w:rsidR="00CD303A" w:rsidRPr="0053612B" w:rsidRDefault="00CD303A" w:rsidP="00901BE1">
            <w:pPr>
              <w:spacing w:after="0" w:line="240" w:lineRule="auto"/>
              <w:jc w:val="center"/>
              <w:rPr>
                <w:rFonts w:ascii="Calibri" w:eastAsia="Times New Roman" w:hAnsi="Calibri" w:cs="Calibri"/>
                <w:color w:val="0000FF"/>
              </w:rPr>
            </w:pPr>
            <w:r>
              <w:rPr>
                <w:rFonts w:ascii="Calibri" w:eastAsia="Times New Roman" w:hAnsi="Calibri" w:cs="Calibri"/>
                <w:color w:val="0000FF"/>
              </w:rPr>
              <w:t>1</w:t>
            </w:r>
          </w:p>
        </w:tc>
        <w:tc>
          <w:tcPr>
            <w:tcW w:w="1120" w:type="dxa"/>
            <w:tcBorders>
              <w:top w:val="single" w:sz="8" w:space="0" w:color="auto"/>
              <w:left w:val="nil"/>
              <w:bottom w:val="nil"/>
              <w:right w:val="nil"/>
            </w:tcBorders>
            <w:shd w:val="clear" w:color="000000" w:fill="BFBFBF"/>
            <w:vAlign w:val="center"/>
            <w:hideMark/>
          </w:tcPr>
          <w:p w14:paraId="1BE76929" w14:textId="77777777" w:rsidR="00CD303A" w:rsidRPr="0053612B" w:rsidRDefault="00CD303A" w:rsidP="00901BE1">
            <w:pPr>
              <w:spacing w:after="0" w:line="240" w:lineRule="auto"/>
              <w:jc w:val="center"/>
              <w:rPr>
                <w:rFonts w:ascii="Calibri" w:eastAsia="Times New Roman" w:hAnsi="Calibri" w:cs="Calibri"/>
                <w:color w:val="0000FF"/>
              </w:rPr>
            </w:pPr>
            <w:r>
              <w:rPr>
                <w:rFonts w:ascii="Calibri" w:eastAsia="Times New Roman" w:hAnsi="Calibri" w:cs="Calibri"/>
                <w:color w:val="0000FF"/>
              </w:rPr>
              <w:t>2</w:t>
            </w:r>
          </w:p>
        </w:tc>
        <w:tc>
          <w:tcPr>
            <w:tcW w:w="1224" w:type="dxa"/>
            <w:tcBorders>
              <w:top w:val="single" w:sz="8" w:space="0" w:color="auto"/>
              <w:left w:val="nil"/>
              <w:bottom w:val="nil"/>
              <w:right w:val="nil"/>
            </w:tcBorders>
            <w:shd w:val="clear" w:color="000000" w:fill="BFBFBF"/>
            <w:vAlign w:val="center"/>
            <w:hideMark/>
          </w:tcPr>
          <w:p w14:paraId="17BA0444" w14:textId="77777777" w:rsidR="00CD303A" w:rsidRPr="0053612B" w:rsidRDefault="00CD303A" w:rsidP="00901BE1">
            <w:pPr>
              <w:spacing w:after="0" w:line="240" w:lineRule="auto"/>
              <w:jc w:val="center"/>
              <w:rPr>
                <w:rFonts w:ascii="Calibri" w:eastAsia="Times New Roman" w:hAnsi="Calibri" w:cs="Calibri"/>
                <w:color w:val="0000FF"/>
              </w:rPr>
            </w:pPr>
            <w:r>
              <w:rPr>
                <w:rFonts w:ascii="Calibri" w:eastAsia="Times New Roman" w:hAnsi="Calibri" w:cs="Calibri"/>
                <w:color w:val="0000FF"/>
              </w:rPr>
              <w:t>3</w:t>
            </w:r>
          </w:p>
        </w:tc>
        <w:tc>
          <w:tcPr>
            <w:tcW w:w="1120" w:type="dxa"/>
            <w:tcBorders>
              <w:top w:val="single" w:sz="8" w:space="0" w:color="auto"/>
              <w:left w:val="nil"/>
              <w:bottom w:val="nil"/>
              <w:right w:val="nil"/>
            </w:tcBorders>
            <w:shd w:val="clear" w:color="000000" w:fill="BFBFBF"/>
            <w:vAlign w:val="center"/>
            <w:hideMark/>
          </w:tcPr>
          <w:p w14:paraId="56426B49" w14:textId="77777777" w:rsidR="00CD303A" w:rsidRPr="0053612B" w:rsidRDefault="00CD303A" w:rsidP="00901BE1">
            <w:pPr>
              <w:spacing w:after="0" w:line="240" w:lineRule="auto"/>
              <w:jc w:val="center"/>
              <w:rPr>
                <w:rFonts w:ascii="Calibri" w:eastAsia="Times New Roman" w:hAnsi="Calibri" w:cs="Calibri"/>
                <w:color w:val="0000FF"/>
              </w:rPr>
            </w:pPr>
            <w:r>
              <w:rPr>
                <w:rFonts w:ascii="Calibri" w:eastAsia="Times New Roman" w:hAnsi="Calibri" w:cs="Calibri"/>
                <w:color w:val="0000FF"/>
              </w:rPr>
              <w:t>4</w:t>
            </w:r>
          </w:p>
        </w:tc>
      </w:tr>
      <w:tr w:rsidR="00CD303A" w:rsidRPr="000B11CB" w14:paraId="2D4A9035" w14:textId="77777777" w:rsidTr="00901BE1">
        <w:trPr>
          <w:trHeight w:val="300"/>
        </w:trPr>
        <w:tc>
          <w:tcPr>
            <w:tcW w:w="3420" w:type="dxa"/>
            <w:tcBorders>
              <w:top w:val="nil"/>
              <w:left w:val="nil"/>
              <w:bottom w:val="nil"/>
              <w:right w:val="nil"/>
            </w:tcBorders>
            <w:shd w:val="clear" w:color="auto" w:fill="auto"/>
            <w:vAlign w:val="center"/>
            <w:hideMark/>
          </w:tcPr>
          <w:p w14:paraId="137B391D" w14:textId="77777777" w:rsidR="00CD303A" w:rsidRPr="0053612B" w:rsidRDefault="00CD303A" w:rsidP="00932E8F">
            <w:pPr>
              <w:spacing w:after="0" w:line="240" w:lineRule="auto"/>
              <w:rPr>
                <w:rFonts w:ascii="Calibri" w:eastAsia="Times New Roman" w:hAnsi="Calibri" w:cs="Calibri"/>
                <w:color w:val="0000FF"/>
              </w:rPr>
            </w:pPr>
            <w:r>
              <w:rPr>
                <w:rFonts w:ascii="Calibri" w:eastAsia="Times New Roman" w:hAnsi="Calibri" w:cs="Calibri"/>
                <w:color w:val="0000FF"/>
              </w:rPr>
              <w:t>Hospitalizations</w:t>
            </w:r>
          </w:p>
        </w:tc>
        <w:tc>
          <w:tcPr>
            <w:tcW w:w="1120" w:type="dxa"/>
            <w:tcBorders>
              <w:top w:val="nil"/>
              <w:left w:val="nil"/>
              <w:bottom w:val="nil"/>
              <w:right w:val="nil"/>
            </w:tcBorders>
            <w:shd w:val="clear" w:color="auto" w:fill="auto"/>
            <w:vAlign w:val="center"/>
            <w:hideMark/>
          </w:tcPr>
          <w:p w14:paraId="794AC833" w14:textId="3F2D12BC" w:rsidR="00CD303A" w:rsidRPr="0053612B" w:rsidRDefault="00045F10" w:rsidP="00901BE1">
            <w:pPr>
              <w:spacing w:after="0" w:line="240" w:lineRule="auto"/>
              <w:jc w:val="center"/>
              <w:rPr>
                <w:rFonts w:ascii="Calibri" w:eastAsia="Times New Roman" w:hAnsi="Calibri" w:cs="Calibri"/>
                <w:color w:val="0000FF"/>
              </w:rPr>
            </w:pPr>
            <w:r>
              <w:rPr>
                <w:rFonts w:ascii="Calibri" w:eastAsia="Times New Roman" w:hAnsi="Calibri" w:cs="Calibri"/>
                <w:color w:val="0000FF"/>
              </w:rPr>
              <w:t>0.91</w:t>
            </w:r>
          </w:p>
        </w:tc>
        <w:tc>
          <w:tcPr>
            <w:tcW w:w="1224" w:type="dxa"/>
            <w:tcBorders>
              <w:top w:val="nil"/>
              <w:left w:val="nil"/>
              <w:bottom w:val="nil"/>
              <w:right w:val="nil"/>
            </w:tcBorders>
            <w:shd w:val="clear" w:color="auto" w:fill="auto"/>
            <w:vAlign w:val="center"/>
            <w:hideMark/>
          </w:tcPr>
          <w:p w14:paraId="44EF5559" w14:textId="3F3491A3" w:rsidR="00CD303A" w:rsidRPr="0053612B" w:rsidRDefault="00045F10" w:rsidP="00901BE1">
            <w:pPr>
              <w:spacing w:after="0" w:line="240" w:lineRule="auto"/>
              <w:jc w:val="center"/>
              <w:rPr>
                <w:rFonts w:ascii="Calibri" w:eastAsia="Times New Roman" w:hAnsi="Calibri" w:cs="Calibri"/>
                <w:color w:val="0000FF"/>
              </w:rPr>
            </w:pPr>
            <w:r>
              <w:rPr>
                <w:rFonts w:ascii="Calibri" w:eastAsia="Times New Roman" w:hAnsi="Calibri" w:cs="Calibri"/>
                <w:color w:val="0000FF"/>
              </w:rPr>
              <w:t>1.35</w:t>
            </w:r>
          </w:p>
        </w:tc>
        <w:tc>
          <w:tcPr>
            <w:tcW w:w="1120" w:type="dxa"/>
            <w:tcBorders>
              <w:top w:val="nil"/>
              <w:left w:val="nil"/>
              <w:bottom w:val="nil"/>
              <w:right w:val="nil"/>
            </w:tcBorders>
            <w:shd w:val="clear" w:color="auto" w:fill="auto"/>
            <w:vAlign w:val="center"/>
            <w:hideMark/>
          </w:tcPr>
          <w:p w14:paraId="2CAA04E2" w14:textId="5EC3DDCC" w:rsidR="00CD303A" w:rsidRPr="0053612B" w:rsidRDefault="00045F10" w:rsidP="00901BE1">
            <w:pPr>
              <w:spacing w:after="0" w:line="240" w:lineRule="auto"/>
              <w:jc w:val="center"/>
              <w:rPr>
                <w:rFonts w:ascii="Calibri" w:eastAsia="Times New Roman" w:hAnsi="Calibri" w:cs="Calibri"/>
                <w:color w:val="0000FF"/>
              </w:rPr>
            </w:pPr>
            <w:r>
              <w:rPr>
                <w:rFonts w:ascii="Calibri" w:eastAsia="Times New Roman" w:hAnsi="Calibri" w:cs="Calibri"/>
                <w:color w:val="0000FF"/>
              </w:rPr>
              <w:t>1.59</w:t>
            </w:r>
          </w:p>
        </w:tc>
        <w:tc>
          <w:tcPr>
            <w:tcW w:w="1224" w:type="dxa"/>
            <w:tcBorders>
              <w:top w:val="nil"/>
              <w:left w:val="nil"/>
              <w:bottom w:val="nil"/>
              <w:right w:val="nil"/>
            </w:tcBorders>
            <w:shd w:val="clear" w:color="auto" w:fill="auto"/>
            <w:vAlign w:val="center"/>
            <w:hideMark/>
          </w:tcPr>
          <w:p w14:paraId="118A2BDE" w14:textId="1B20D52C" w:rsidR="00CD303A" w:rsidRPr="0053612B" w:rsidRDefault="00045F10" w:rsidP="00901BE1">
            <w:pPr>
              <w:spacing w:after="0" w:line="240" w:lineRule="auto"/>
              <w:jc w:val="center"/>
              <w:rPr>
                <w:rFonts w:ascii="Calibri" w:eastAsia="Times New Roman" w:hAnsi="Calibri" w:cs="Calibri"/>
                <w:color w:val="0000FF"/>
              </w:rPr>
            </w:pPr>
            <w:r>
              <w:rPr>
                <w:rFonts w:ascii="Calibri" w:eastAsia="Times New Roman" w:hAnsi="Calibri" w:cs="Calibri"/>
                <w:color w:val="0000FF"/>
              </w:rPr>
              <w:t>1.73</w:t>
            </w:r>
          </w:p>
        </w:tc>
        <w:tc>
          <w:tcPr>
            <w:tcW w:w="1120" w:type="dxa"/>
            <w:tcBorders>
              <w:top w:val="nil"/>
              <w:left w:val="nil"/>
              <w:bottom w:val="nil"/>
              <w:right w:val="nil"/>
            </w:tcBorders>
            <w:shd w:val="clear" w:color="auto" w:fill="auto"/>
            <w:vAlign w:val="center"/>
            <w:hideMark/>
          </w:tcPr>
          <w:p w14:paraId="7CC1AE59" w14:textId="559EA857" w:rsidR="00CD303A" w:rsidRPr="0053612B" w:rsidRDefault="00045F10" w:rsidP="00901BE1">
            <w:pPr>
              <w:spacing w:after="0" w:line="240" w:lineRule="auto"/>
              <w:jc w:val="center"/>
              <w:rPr>
                <w:rFonts w:ascii="Calibri" w:eastAsia="Times New Roman" w:hAnsi="Calibri" w:cs="Calibri"/>
                <w:color w:val="0000FF"/>
              </w:rPr>
            </w:pPr>
            <w:r>
              <w:rPr>
                <w:rFonts w:ascii="Calibri" w:eastAsia="Times New Roman" w:hAnsi="Calibri" w:cs="Calibri"/>
                <w:color w:val="0000FF"/>
              </w:rPr>
              <w:t>1.81</w:t>
            </w:r>
          </w:p>
        </w:tc>
      </w:tr>
      <w:tr w:rsidR="00CD303A" w:rsidRPr="000B11CB" w14:paraId="25EC14E1" w14:textId="77777777" w:rsidTr="00901BE1">
        <w:trPr>
          <w:trHeight w:val="300"/>
        </w:trPr>
        <w:tc>
          <w:tcPr>
            <w:tcW w:w="3420" w:type="dxa"/>
            <w:tcBorders>
              <w:top w:val="nil"/>
              <w:left w:val="nil"/>
              <w:bottom w:val="single" w:sz="4" w:space="0" w:color="auto"/>
              <w:right w:val="nil"/>
            </w:tcBorders>
            <w:shd w:val="clear" w:color="auto" w:fill="auto"/>
            <w:noWrap/>
            <w:vAlign w:val="center"/>
            <w:hideMark/>
          </w:tcPr>
          <w:p w14:paraId="208B0F1B" w14:textId="77777777" w:rsidR="00CD303A" w:rsidRPr="0053612B" w:rsidRDefault="00CD303A" w:rsidP="00932E8F">
            <w:pPr>
              <w:spacing w:after="0" w:line="240" w:lineRule="auto"/>
              <w:rPr>
                <w:rFonts w:ascii="Calibri" w:eastAsia="Times New Roman" w:hAnsi="Calibri" w:cs="Calibri"/>
                <w:color w:val="0000FF"/>
              </w:rPr>
            </w:pPr>
            <w:r>
              <w:rPr>
                <w:rFonts w:ascii="Calibri" w:eastAsia="Times New Roman" w:hAnsi="Calibri" w:cs="Calibri"/>
                <w:color w:val="0000FF"/>
              </w:rPr>
              <w:t>ER Visits</w:t>
            </w:r>
          </w:p>
        </w:tc>
        <w:tc>
          <w:tcPr>
            <w:tcW w:w="1120" w:type="dxa"/>
            <w:tcBorders>
              <w:top w:val="nil"/>
              <w:left w:val="nil"/>
              <w:bottom w:val="single" w:sz="4" w:space="0" w:color="auto"/>
              <w:right w:val="nil"/>
            </w:tcBorders>
            <w:shd w:val="clear" w:color="auto" w:fill="auto"/>
            <w:noWrap/>
            <w:vAlign w:val="center"/>
            <w:hideMark/>
          </w:tcPr>
          <w:p w14:paraId="11CF4E16" w14:textId="42ACE3A7" w:rsidR="00CD303A" w:rsidRPr="0053612B" w:rsidRDefault="00045F10" w:rsidP="00901BE1">
            <w:pPr>
              <w:spacing w:after="0" w:line="240" w:lineRule="auto"/>
              <w:jc w:val="center"/>
              <w:rPr>
                <w:rFonts w:ascii="Calibri" w:eastAsia="Times New Roman" w:hAnsi="Calibri" w:cs="Calibri"/>
                <w:color w:val="0000FF"/>
              </w:rPr>
            </w:pPr>
            <w:r>
              <w:rPr>
                <w:rFonts w:ascii="Calibri" w:eastAsia="Times New Roman" w:hAnsi="Calibri" w:cs="Calibri"/>
                <w:color w:val="0000FF"/>
              </w:rPr>
              <w:t>0.98</w:t>
            </w:r>
          </w:p>
        </w:tc>
        <w:tc>
          <w:tcPr>
            <w:tcW w:w="1224" w:type="dxa"/>
            <w:tcBorders>
              <w:top w:val="nil"/>
              <w:left w:val="nil"/>
              <w:bottom w:val="single" w:sz="4" w:space="0" w:color="auto"/>
              <w:right w:val="nil"/>
            </w:tcBorders>
            <w:shd w:val="clear" w:color="auto" w:fill="auto"/>
            <w:noWrap/>
            <w:vAlign w:val="center"/>
            <w:hideMark/>
          </w:tcPr>
          <w:p w14:paraId="58F35C36" w14:textId="7DA65388" w:rsidR="00CD303A" w:rsidRPr="0053612B" w:rsidRDefault="00045F10" w:rsidP="00901BE1">
            <w:pPr>
              <w:spacing w:after="0" w:line="240" w:lineRule="auto"/>
              <w:jc w:val="center"/>
              <w:rPr>
                <w:rFonts w:ascii="Calibri" w:eastAsia="Times New Roman" w:hAnsi="Calibri" w:cs="Calibri"/>
                <w:color w:val="0000FF"/>
              </w:rPr>
            </w:pPr>
            <w:r>
              <w:rPr>
                <w:rFonts w:ascii="Calibri" w:eastAsia="Times New Roman" w:hAnsi="Calibri" w:cs="Calibri"/>
                <w:color w:val="0000FF"/>
              </w:rPr>
              <w:t>1.08</w:t>
            </w:r>
          </w:p>
        </w:tc>
        <w:tc>
          <w:tcPr>
            <w:tcW w:w="1120" w:type="dxa"/>
            <w:tcBorders>
              <w:top w:val="nil"/>
              <w:left w:val="nil"/>
              <w:bottom w:val="single" w:sz="4" w:space="0" w:color="auto"/>
              <w:right w:val="nil"/>
            </w:tcBorders>
            <w:shd w:val="clear" w:color="auto" w:fill="auto"/>
            <w:noWrap/>
            <w:vAlign w:val="center"/>
            <w:hideMark/>
          </w:tcPr>
          <w:p w14:paraId="0B2562A1" w14:textId="70DF8EC0" w:rsidR="00CD303A" w:rsidRPr="0053612B" w:rsidRDefault="00045F10" w:rsidP="00901BE1">
            <w:pPr>
              <w:spacing w:after="0" w:line="240" w:lineRule="auto"/>
              <w:jc w:val="center"/>
              <w:rPr>
                <w:rFonts w:ascii="Calibri" w:eastAsia="Times New Roman" w:hAnsi="Calibri" w:cs="Calibri"/>
                <w:color w:val="0000FF"/>
              </w:rPr>
            </w:pPr>
            <w:r>
              <w:rPr>
                <w:rFonts w:ascii="Calibri" w:eastAsia="Times New Roman" w:hAnsi="Calibri" w:cs="Calibri"/>
                <w:color w:val="0000FF"/>
              </w:rPr>
              <w:t>1.14</w:t>
            </w:r>
          </w:p>
        </w:tc>
        <w:tc>
          <w:tcPr>
            <w:tcW w:w="1224" w:type="dxa"/>
            <w:tcBorders>
              <w:top w:val="nil"/>
              <w:left w:val="nil"/>
              <w:bottom w:val="single" w:sz="4" w:space="0" w:color="auto"/>
              <w:right w:val="nil"/>
            </w:tcBorders>
            <w:shd w:val="clear" w:color="auto" w:fill="auto"/>
            <w:noWrap/>
            <w:vAlign w:val="center"/>
            <w:hideMark/>
          </w:tcPr>
          <w:p w14:paraId="34457A41" w14:textId="4B744FD0" w:rsidR="00CD303A" w:rsidRPr="0053612B" w:rsidRDefault="00045F10" w:rsidP="00901BE1">
            <w:pPr>
              <w:spacing w:after="0" w:line="240" w:lineRule="auto"/>
              <w:jc w:val="center"/>
              <w:rPr>
                <w:rFonts w:ascii="Calibri" w:eastAsia="Times New Roman" w:hAnsi="Calibri" w:cs="Calibri"/>
                <w:color w:val="0000FF"/>
              </w:rPr>
            </w:pPr>
            <w:r>
              <w:rPr>
                <w:rFonts w:ascii="Calibri" w:eastAsia="Times New Roman" w:hAnsi="Calibri" w:cs="Calibri"/>
                <w:color w:val="0000FF"/>
              </w:rPr>
              <w:t>1.15</w:t>
            </w:r>
          </w:p>
        </w:tc>
        <w:tc>
          <w:tcPr>
            <w:tcW w:w="1120" w:type="dxa"/>
            <w:tcBorders>
              <w:top w:val="nil"/>
              <w:left w:val="nil"/>
              <w:bottom w:val="single" w:sz="4" w:space="0" w:color="auto"/>
              <w:right w:val="nil"/>
            </w:tcBorders>
            <w:shd w:val="clear" w:color="auto" w:fill="auto"/>
            <w:noWrap/>
            <w:vAlign w:val="center"/>
            <w:hideMark/>
          </w:tcPr>
          <w:p w14:paraId="686FD931" w14:textId="4826C657" w:rsidR="00CD303A" w:rsidRPr="0053612B" w:rsidRDefault="00045F10" w:rsidP="00901BE1">
            <w:pPr>
              <w:spacing w:after="0" w:line="240" w:lineRule="auto"/>
              <w:jc w:val="center"/>
              <w:rPr>
                <w:rFonts w:ascii="Calibri" w:eastAsia="Times New Roman" w:hAnsi="Calibri" w:cs="Calibri"/>
                <w:color w:val="0000FF"/>
              </w:rPr>
            </w:pPr>
            <w:r>
              <w:rPr>
                <w:rFonts w:ascii="Calibri" w:eastAsia="Times New Roman" w:hAnsi="Calibri" w:cs="Calibri"/>
                <w:color w:val="0000FF"/>
              </w:rPr>
              <w:t>1.17</w:t>
            </w:r>
          </w:p>
        </w:tc>
      </w:tr>
    </w:tbl>
    <w:p w14:paraId="6CE9BAAD" w14:textId="49615068" w:rsidR="00CD303A" w:rsidRDefault="00CD303A" w:rsidP="00CD303A">
      <w:pPr>
        <w:autoSpaceDE w:val="0"/>
        <w:autoSpaceDN w:val="0"/>
        <w:adjustRightInd w:val="0"/>
        <w:spacing w:after="0" w:line="240" w:lineRule="auto"/>
        <w:rPr>
          <w:rStyle w:val="Style1"/>
          <w:sz w:val="18"/>
        </w:rPr>
      </w:pPr>
      <w:r w:rsidRPr="004A5072">
        <w:rPr>
          <w:rStyle w:val="Style1"/>
          <w:sz w:val="18"/>
        </w:rPr>
        <w:t xml:space="preserve">Analysis of Medicare Claims File for </w:t>
      </w:r>
      <w:r w:rsidR="002C1209">
        <w:rPr>
          <w:rStyle w:val="Style1"/>
          <w:sz w:val="18"/>
        </w:rPr>
        <w:t>IRF F</w:t>
      </w:r>
      <w:r w:rsidR="00A8792A">
        <w:rPr>
          <w:rStyle w:val="Style1"/>
          <w:sz w:val="18"/>
        </w:rPr>
        <w:t>Y 2016-2017</w:t>
      </w:r>
      <w:r w:rsidRPr="004A5072">
        <w:rPr>
          <w:rStyle w:val="Style1"/>
          <w:sz w:val="18"/>
        </w:rPr>
        <w:t>.</w:t>
      </w:r>
    </w:p>
    <w:p w14:paraId="23AF2DB0" w14:textId="09C63537" w:rsidR="00CD303A" w:rsidRDefault="00CD303A" w:rsidP="00092566">
      <w:pPr>
        <w:autoSpaceDE w:val="0"/>
        <w:autoSpaceDN w:val="0"/>
        <w:adjustRightInd w:val="0"/>
        <w:spacing w:after="0" w:line="240" w:lineRule="auto"/>
        <w:rPr>
          <w:rFonts w:cstheme="minorHAnsi"/>
          <w:bCs/>
        </w:rPr>
      </w:pPr>
    </w:p>
    <w:p w14:paraId="3A2F35C7" w14:textId="47D700BA" w:rsidR="00417899" w:rsidRPr="00325237" w:rsidRDefault="00417899" w:rsidP="00417899">
      <w:pPr>
        <w:autoSpaceDE w:val="0"/>
        <w:autoSpaceDN w:val="0"/>
        <w:adjustRightInd w:val="0"/>
        <w:spacing w:after="0" w:line="240" w:lineRule="auto"/>
        <w:ind w:firstLine="720"/>
        <w:rPr>
          <w:rFonts w:cstheme="minorHAnsi"/>
          <w:color w:val="0000FF"/>
        </w:rPr>
      </w:pPr>
      <w:r w:rsidRPr="00FF2FAC" w:rsidDel="00821A64">
        <w:rPr>
          <w:rFonts w:cstheme="minorHAnsi"/>
          <w:color w:val="0000FF"/>
        </w:rPr>
        <w:t xml:space="preserve">We </w:t>
      </w:r>
      <w:r>
        <w:rPr>
          <w:rFonts w:cstheme="minorHAnsi"/>
          <w:color w:val="0000FF"/>
        </w:rPr>
        <w:t xml:space="preserve">also </w:t>
      </w:r>
      <w:r w:rsidRPr="00FF2FAC">
        <w:rPr>
          <w:rFonts w:cstheme="minorHAnsi"/>
          <w:color w:val="0000FF"/>
        </w:rPr>
        <w:t>found</w:t>
      </w:r>
      <w:r w:rsidRPr="00FF2FAC" w:rsidDel="001B2046">
        <w:rPr>
          <w:rFonts w:cstheme="minorHAnsi"/>
          <w:color w:val="0000FF"/>
        </w:rPr>
        <w:t xml:space="preserve"> </w:t>
      </w:r>
      <w:r w:rsidRPr="00FF2FAC">
        <w:rPr>
          <w:rFonts w:cstheme="minorHAnsi"/>
          <w:color w:val="0000FF"/>
        </w:rPr>
        <w:t>a small, significant negative association between MSPB measure scores and the DTC measure score</w:t>
      </w:r>
      <w:r>
        <w:rPr>
          <w:rFonts w:cstheme="minorHAnsi"/>
          <w:color w:val="0000FF"/>
        </w:rPr>
        <w:t>s</w:t>
      </w:r>
      <w:r w:rsidRPr="00FF2FAC">
        <w:rPr>
          <w:rFonts w:cstheme="minorHAnsi"/>
          <w:color w:val="0000FF"/>
        </w:rPr>
        <w:t xml:space="preserve"> (</w:t>
      </w:r>
      <w:r>
        <w:rPr>
          <w:rFonts w:cstheme="minorHAnsi"/>
          <w:b/>
          <w:color w:val="0000FF"/>
        </w:rPr>
        <w:fldChar w:fldCharType="begin"/>
      </w:r>
      <w:r>
        <w:rPr>
          <w:rFonts w:cstheme="minorHAnsi"/>
          <w:color w:val="0000FF"/>
        </w:rPr>
        <w:instrText xml:space="preserve"> REF _Ref23846720 \h </w:instrText>
      </w:r>
      <w:r>
        <w:rPr>
          <w:rFonts w:cstheme="minorHAnsi"/>
          <w:b/>
          <w:color w:val="0000FF"/>
        </w:rPr>
      </w:r>
      <w:r>
        <w:rPr>
          <w:rFonts w:cstheme="minorHAnsi"/>
          <w:b/>
          <w:color w:val="0000FF"/>
        </w:rPr>
        <w:fldChar w:fldCharType="separate"/>
      </w:r>
      <w:r w:rsidR="00B6644A" w:rsidRPr="00804378">
        <w:rPr>
          <w:rStyle w:val="Style1"/>
          <w:b/>
        </w:rPr>
        <w:t xml:space="preserve">Table </w:t>
      </w:r>
      <w:r w:rsidR="00B6644A">
        <w:rPr>
          <w:rStyle w:val="Style1"/>
          <w:b/>
          <w:noProof/>
        </w:rPr>
        <w:t>6</w:t>
      </w:r>
      <w:r>
        <w:rPr>
          <w:rFonts w:cstheme="minorHAnsi"/>
          <w:b/>
          <w:color w:val="0000FF"/>
        </w:rPr>
        <w:fldChar w:fldCharType="end"/>
      </w:r>
      <w:r w:rsidRPr="00FF2FAC">
        <w:rPr>
          <w:rFonts w:cstheme="minorHAnsi"/>
          <w:color w:val="0000FF"/>
        </w:rPr>
        <w:t xml:space="preserve">). Both Pearson and Spearman </w:t>
      </w:r>
      <w:r>
        <w:rPr>
          <w:rFonts w:cstheme="minorHAnsi"/>
          <w:color w:val="0000FF"/>
        </w:rPr>
        <w:t xml:space="preserve">rank </w:t>
      </w:r>
      <w:r w:rsidRPr="00FF2FAC">
        <w:rPr>
          <w:rFonts w:cstheme="minorHAnsi"/>
          <w:color w:val="0000FF"/>
        </w:rPr>
        <w:t>correlations revealed similar relationships</w:t>
      </w:r>
      <w:r>
        <w:rPr>
          <w:rFonts w:cstheme="minorHAnsi"/>
          <w:color w:val="0000FF"/>
        </w:rPr>
        <w:t xml:space="preserve">. </w:t>
      </w:r>
    </w:p>
    <w:p w14:paraId="402ED5D4" w14:textId="77777777" w:rsidR="00417899" w:rsidRDefault="00417899" w:rsidP="00417899">
      <w:pPr>
        <w:autoSpaceDE w:val="0"/>
        <w:autoSpaceDN w:val="0"/>
        <w:adjustRightInd w:val="0"/>
        <w:spacing w:after="0" w:line="240" w:lineRule="auto"/>
        <w:rPr>
          <w:rFonts w:cstheme="minorHAnsi"/>
          <w:color w:val="0000FF"/>
        </w:rPr>
      </w:pPr>
    </w:p>
    <w:p w14:paraId="5FCE0B3E" w14:textId="2FEEECF6" w:rsidR="00417899" w:rsidRPr="00FF2FAC" w:rsidRDefault="00417899" w:rsidP="00417899">
      <w:pPr>
        <w:autoSpaceDE w:val="0"/>
        <w:autoSpaceDN w:val="0"/>
        <w:adjustRightInd w:val="0"/>
        <w:spacing w:after="0" w:line="240" w:lineRule="auto"/>
        <w:rPr>
          <w:rFonts w:cstheme="minorHAnsi"/>
          <w:color w:val="0000FF"/>
        </w:rPr>
      </w:pPr>
      <w:bookmarkStart w:id="19" w:name="_Ref23846720"/>
      <w:r w:rsidRPr="00804378">
        <w:rPr>
          <w:rStyle w:val="Style1"/>
          <w:b/>
        </w:rPr>
        <w:t xml:space="preserve">Table </w:t>
      </w:r>
      <w:r>
        <w:rPr>
          <w:rStyle w:val="Style1"/>
          <w:b/>
        </w:rPr>
        <w:fldChar w:fldCharType="begin"/>
      </w:r>
      <w:r>
        <w:rPr>
          <w:rStyle w:val="Style1"/>
          <w:b/>
        </w:rPr>
        <w:instrText xml:space="preserve"> SEQ Table \* ARABIC </w:instrText>
      </w:r>
      <w:r>
        <w:rPr>
          <w:rStyle w:val="Style1"/>
          <w:b/>
        </w:rPr>
        <w:fldChar w:fldCharType="separate"/>
      </w:r>
      <w:r w:rsidR="00B6644A">
        <w:rPr>
          <w:rStyle w:val="Style1"/>
          <w:b/>
          <w:noProof/>
        </w:rPr>
        <w:t>6</w:t>
      </w:r>
      <w:r>
        <w:rPr>
          <w:rStyle w:val="Style1"/>
          <w:b/>
        </w:rPr>
        <w:fldChar w:fldCharType="end"/>
      </w:r>
      <w:bookmarkEnd w:id="19"/>
      <w:r w:rsidRPr="00804378">
        <w:rPr>
          <w:rStyle w:val="Style1"/>
          <w:b/>
        </w:rPr>
        <w:t>.</w:t>
      </w:r>
      <w:r>
        <w:rPr>
          <w:rStyle w:val="Style1"/>
          <w:b/>
        </w:rPr>
        <w:t xml:space="preserve"> Correlations between MSPB</w:t>
      </w:r>
      <w:r w:rsidR="002C1209">
        <w:rPr>
          <w:rStyle w:val="Style1"/>
          <w:b/>
        </w:rPr>
        <w:t xml:space="preserve"> and</w:t>
      </w:r>
      <w:r w:rsidR="00AA2A85">
        <w:rPr>
          <w:rStyle w:val="Style1"/>
          <w:b/>
        </w:rPr>
        <w:t xml:space="preserve"> </w:t>
      </w:r>
      <w:r>
        <w:rPr>
          <w:rStyle w:val="Style1"/>
          <w:b/>
        </w:rPr>
        <w:t>Discharge to Community (DTC)</w:t>
      </w:r>
      <w:r w:rsidR="00A56BD0">
        <w:rPr>
          <w:rStyle w:val="Style1"/>
          <w:b/>
        </w:rPr>
        <w:t xml:space="preserve"> </w:t>
      </w:r>
      <w:r>
        <w:rPr>
          <w:rStyle w:val="Style1"/>
          <w:b/>
        </w:rPr>
        <w:t>Measures</w:t>
      </w:r>
    </w:p>
    <w:tbl>
      <w:tblPr>
        <w:tblW w:w="9228" w:type="dxa"/>
        <w:tblLook w:val="04A0" w:firstRow="1" w:lastRow="0" w:firstColumn="1" w:lastColumn="0" w:noHBand="0" w:noVBand="1"/>
      </w:tblPr>
      <w:tblGrid>
        <w:gridCol w:w="3244"/>
        <w:gridCol w:w="1330"/>
        <w:gridCol w:w="1224"/>
        <w:gridCol w:w="1103"/>
        <w:gridCol w:w="1224"/>
        <w:gridCol w:w="1103"/>
      </w:tblGrid>
      <w:tr w:rsidR="00417899" w:rsidRPr="000B11CB" w14:paraId="603A430D" w14:textId="77777777" w:rsidTr="00C32CAA">
        <w:trPr>
          <w:trHeight w:val="520"/>
        </w:trPr>
        <w:tc>
          <w:tcPr>
            <w:tcW w:w="3244" w:type="dxa"/>
            <w:tcBorders>
              <w:top w:val="single" w:sz="8" w:space="0" w:color="auto"/>
              <w:left w:val="nil"/>
              <w:right w:val="nil"/>
            </w:tcBorders>
            <w:shd w:val="clear" w:color="000000" w:fill="BFBFBF"/>
            <w:vAlign w:val="bottom"/>
            <w:hideMark/>
          </w:tcPr>
          <w:p w14:paraId="7E923292" w14:textId="77777777" w:rsidR="00417899" w:rsidRPr="00FF2FAC" w:rsidRDefault="00417899" w:rsidP="00C32CAA">
            <w:pPr>
              <w:spacing w:after="0" w:line="240" w:lineRule="auto"/>
              <w:jc w:val="center"/>
              <w:rPr>
                <w:rFonts w:ascii="Calibri" w:eastAsia="Times New Roman" w:hAnsi="Calibri" w:cs="Calibri"/>
                <w:color w:val="0000FF"/>
              </w:rPr>
            </w:pPr>
            <w:r w:rsidRPr="00FF2FAC">
              <w:rPr>
                <w:rFonts w:ascii="Calibri" w:eastAsia="Times New Roman" w:hAnsi="Calibri" w:cs="Calibri"/>
                <w:color w:val="0000FF"/>
              </w:rPr>
              <w:t>Measure Name</w:t>
            </w:r>
          </w:p>
        </w:tc>
        <w:tc>
          <w:tcPr>
            <w:tcW w:w="1330" w:type="dxa"/>
            <w:tcBorders>
              <w:top w:val="single" w:sz="8" w:space="0" w:color="auto"/>
              <w:left w:val="nil"/>
              <w:right w:val="nil"/>
            </w:tcBorders>
            <w:shd w:val="clear" w:color="000000" w:fill="BFBFBF"/>
            <w:vAlign w:val="bottom"/>
            <w:hideMark/>
          </w:tcPr>
          <w:p w14:paraId="49AAFE34" w14:textId="2E94377A" w:rsidR="00417899" w:rsidRPr="00FF2FAC" w:rsidRDefault="00417899" w:rsidP="00C32CAA">
            <w:pPr>
              <w:spacing w:after="0" w:line="240" w:lineRule="auto"/>
              <w:jc w:val="center"/>
              <w:rPr>
                <w:rFonts w:ascii="Calibri" w:eastAsia="Times New Roman" w:hAnsi="Calibri" w:cs="Calibri"/>
                <w:color w:val="0000FF"/>
              </w:rPr>
            </w:pPr>
            <w:r w:rsidRPr="00FF2FAC">
              <w:rPr>
                <w:rFonts w:ascii="Calibri" w:eastAsia="Times New Roman" w:hAnsi="Calibri" w:cs="Calibri"/>
                <w:color w:val="0000FF"/>
              </w:rPr>
              <w:t>K</w:t>
            </w:r>
            <w:r w:rsidR="00AD2058">
              <w:rPr>
                <w:rFonts w:ascii="Calibri" w:eastAsia="Times New Roman" w:hAnsi="Calibri" w:cs="Calibri"/>
                <w:color w:val="0000FF"/>
              </w:rPr>
              <w:t>*</w:t>
            </w:r>
          </w:p>
        </w:tc>
        <w:tc>
          <w:tcPr>
            <w:tcW w:w="1224" w:type="dxa"/>
            <w:tcBorders>
              <w:top w:val="single" w:sz="8" w:space="0" w:color="auto"/>
              <w:left w:val="nil"/>
              <w:right w:val="nil"/>
            </w:tcBorders>
            <w:shd w:val="clear" w:color="000000" w:fill="BFBFBF"/>
            <w:vAlign w:val="bottom"/>
            <w:hideMark/>
          </w:tcPr>
          <w:p w14:paraId="3FE6F1C6" w14:textId="77777777" w:rsidR="00417899" w:rsidRPr="00FF2FAC" w:rsidRDefault="00417899" w:rsidP="00C32CAA">
            <w:pPr>
              <w:spacing w:after="0" w:line="240" w:lineRule="auto"/>
              <w:jc w:val="center"/>
              <w:rPr>
                <w:rFonts w:ascii="Calibri" w:eastAsia="Times New Roman" w:hAnsi="Calibri" w:cs="Calibri"/>
                <w:color w:val="0000FF"/>
              </w:rPr>
            </w:pPr>
            <w:r w:rsidRPr="00FF2FAC">
              <w:rPr>
                <w:rFonts w:ascii="Calibri" w:eastAsia="Times New Roman" w:hAnsi="Calibri" w:cs="Calibri"/>
                <w:color w:val="0000FF"/>
              </w:rPr>
              <w:t>Pearson Correlation</w:t>
            </w:r>
          </w:p>
        </w:tc>
        <w:tc>
          <w:tcPr>
            <w:tcW w:w="1103" w:type="dxa"/>
            <w:tcBorders>
              <w:top w:val="single" w:sz="8" w:space="0" w:color="auto"/>
              <w:left w:val="nil"/>
              <w:right w:val="nil"/>
            </w:tcBorders>
            <w:shd w:val="clear" w:color="000000" w:fill="BFBFBF"/>
            <w:vAlign w:val="bottom"/>
            <w:hideMark/>
          </w:tcPr>
          <w:p w14:paraId="19D60D74" w14:textId="77777777" w:rsidR="00417899" w:rsidRPr="00FF2FAC" w:rsidRDefault="00417899" w:rsidP="00C32CAA">
            <w:pPr>
              <w:spacing w:after="0" w:line="240" w:lineRule="auto"/>
              <w:jc w:val="center"/>
              <w:rPr>
                <w:rFonts w:ascii="Calibri" w:eastAsia="Times New Roman" w:hAnsi="Calibri" w:cs="Calibri"/>
                <w:color w:val="0000FF"/>
              </w:rPr>
            </w:pPr>
            <w:r w:rsidRPr="00FF2FAC">
              <w:rPr>
                <w:rFonts w:ascii="Calibri" w:eastAsia="Times New Roman" w:hAnsi="Calibri" w:cs="Calibri"/>
                <w:color w:val="0000FF"/>
              </w:rPr>
              <w:t>p-value</w:t>
            </w:r>
          </w:p>
        </w:tc>
        <w:tc>
          <w:tcPr>
            <w:tcW w:w="1224" w:type="dxa"/>
            <w:tcBorders>
              <w:top w:val="single" w:sz="8" w:space="0" w:color="auto"/>
              <w:left w:val="nil"/>
              <w:right w:val="nil"/>
            </w:tcBorders>
            <w:shd w:val="clear" w:color="000000" w:fill="BFBFBF"/>
            <w:vAlign w:val="bottom"/>
            <w:hideMark/>
          </w:tcPr>
          <w:p w14:paraId="43CECA6C" w14:textId="77777777" w:rsidR="00417899" w:rsidRPr="00FF2FAC" w:rsidRDefault="00417899" w:rsidP="00C32CAA">
            <w:pPr>
              <w:spacing w:after="0" w:line="240" w:lineRule="auto"/>
              <w:jc w:val="center"/>
              <w:rPr>
                <w:rFonts w:ascii="Calibri" w:eastAsia="Times New Roman" w:hAnsi="Calibri" w:cs="Calibri"/>
                <w:color w:val="0000FF"/>
              </w:rPr>
            </w:pPr>
            <w:r w:rsidRPr="00FF2FAC">
              <w:rPr>
                <w:rFonts w:ascii="Calibri" w:eastAsia="Times New Roman" w:hAnsi="Calibri" w:cs="Calibri"/>
                <w:color w:val="0000FF"/>
              </w:rPr>
              <w:t>Spearman Correlation</w:t>
            </w:r>
          </w:p>
        </w:tc>
        <w:tc>
          <w:tcPr>
            <w:tcW w:w="1103" w:type="dxa"/>
            <w:tcBorders>
              <w:top w:val="single" w:sz="8" w:space="0" w:color="auto"/>
              <w:left w:val="nil"/>
              <w:right w:val="nil"/>
            </w:tcBorders>
            <w:shd w:val="clear" w:color="000000" w:fill="BFBFBF"/>
            <w:vAlign w:val="bottom"/>
            <w:hideMark/>
          </w:tcPr>
          <w:p w14:paraId="6F385C4F" w14:textId="77777777" w:rsidR="00417899" w:rsidRPr="00FF2FAC" w:rsidRDefault="00417899" w:rsidP="00C32CAA">
            <w:pPr>
              <w:spacing w:after="0" w:line="240" w:lineRule="auto"/>
              <w:jc w:val="center"/>
              <w:rPr>
                <w:rFonts w:ascii="Calibri" w:eastAsia="Times New Roman" w:hAnsi="Calibri" w:cs="Calibri"/>
                <w:color w:val="0000FF"/>
              </w:rPr>
            </w:pPr>
            <w:r w:rsidRPr="00FF2FAC">
              <w:rPr>
                <w:rFonts w:ascii="Calibri" w:eastAsia="Times New Roman" w:hAnsi="Calibri" w:cs="Calibri"/>
                <w:color w:val="0000FF"/>
              </w:rPr>
              <w:t>p-value</w:t>
            </w:r>
          </w:p>
        </w:tc>
      </w:tr>
      <w:tr w:rsidR="00417899" w:rsidRPr="000B11CB" w14:paraId="3D110D5B" w14:textId="77777777" w:rsidTr="005B2207">
        <w:trPr>
          <w:trHeight w:val="300"/>
        </w:trPr>
        <w:tc>
          <w:tcPr>
            <w:tcW w:w="3244" w:type="dxa"/>
            <w:tcBorders>
              <w:top w:val="nil"/>
              <w:left w:val="nil"/>
              <w:bottom w:val="single" w:sz="4" w:space="0" w:color="auto"/>
              <w:right w:val="nil"/>
            </w:tcBorders>
            <w:shd w:val="clear" w:color="auto" w:fill="auto"/>
            <w:vAlign w:val="center"/>
            <w:hideMark/>
          </w:tcPr>
          <w:p w14:paraId="362B2968" w14:textId="77777777" w:rsidR="00417899" w:rsidRPr="00FF2FAC" w:rsidRDefault="00417899" w:rsidP="00901BE1">
            <w:pPr>
              <w:spacing w:after="0" w:line="240" w:lineRule="auto"/>
              <w:rPr>
                <w:rFonts w:ascii="Calibri" w:eastAsia="Times New Roman" w:hAnsi="Calibri" w:cs="Calibri"/>
                <w:color w:val="0000FF"/>
              </w:rPr>
            </w:pPr>
            <w:r w:rsidRPr="00FF2FAC">
              <w:rPr>
                <w:rFonts w:ascii="Calibri" w:eastAsia="Times New Roman" w:hAnsi="Calibri" w:cs="Calibri"/>
                <w:color w:val="0000FF"/>
              </w:rPr>
              <w:t>Discharge to Community (DTC)</w:t>
            </w:r>
          </w:p>
        </w:tc>
        <w:tc>
          <w:tcPr>
            <w:tcW w:w="1330" w:type="dxa"/>
            <w:tcBorders>
              <w:top w:val="nil"/>
              <w:left w:val="nil"/>
              <w:bottom w:val="single" w:sz="4" w:space="0" w:color="auto"/>
              <w:right w:val="nil"/>
            </w:tcBorders>
            <w:shd w:val="clear" w:color="auto" w:fill="auto"/>
            <w:vAlign w:val="center"/>
            <w:hideMark/>
          </w:tcPr>
          <w:p w14:paraId="30E052E6" w14:textId="73E8BA8D" w:rsidR="00417899" w:rsidRPr="00FF2FAC" w:rsidRDefault="002C1209">
            <w:pPr>
              <w:spacing w:after="0" w:line="240" w:lineRule="auto"/>
              <w:jc w:val="center"/>
              <w:rPr>
                <w:rFonts w:ascii="Calibri" w:eastAsia="Times New Roman" w:hAnsi="Calibri" w:cs="Calibri"/>
                <w:color w:val="0000FF"/>
              </w:rPr>
            </w:pPr>
            <w:r>
              <w:rPr>
                <w:rFonts w:ascii="Calibri" w:eastAsia="Times New Roman" w:hAnsi="Calibri" w:cs="Calibri"/>
                <w:color w:val="0000FF"/>
              </w:rPr>
              <w:t>1,06</w:t>
            </w:r>
            <w:r w:rsidR="00062EC6">
              <w:rPr>
                <w:rFonts w:ascii="Calibri" w:eastAsia="Times New Roman" w:hAnsi="Calibri" w:cs="Calibri"/>
                <w:color w:val="0000FF"/>
              </w:rPr>
              <w:t>7</w:t>
            </w:r>
          </w:p>
        </w:tc>
        <w:tc>
          <w:tcPr>
            <w:tcW w:w="1224" w:type="dxa"/>
            <w:tcBorders>
              <w:top w:val="nil"/>
              <w:left w:val="nil"/>
              <w:bottom w:val="single" w:sz="4" w:space="0" w:color="auto"/>
              <w:right w:val="nil"/>
            </w:tcBorders>
            <w:shd w:val="clear" w:color="auto" w:fill="auto"/>
            <w:vAlign w:val="center"/>
            <w:hideMark/>
          </w:tcPr>
          <w:p w14:paraId="28D90C69" w14:textId="42499BBF" w:rsidR="00417899" w:rsidRPr="00FF2FAC" w:rsidRDefault="002C1209" w:rsidP="00901BE1">
            <w:pPr>
              <w:spacing w:after="0" w:line="240" w:lineRule="auto"/>
              <w:jc w:val="center"/>
              <w:rPr>
                <w:rFonts w:ascii="Calibri" w:eastAsia="Times New Roman" w:hAnsi="Calibri" w:cs="Calibri"/>
                <w:color w:val="0000FF"/>
              </w:rPr>
            </w:pPr>
            <w:r>
              <w:rPr>
                <w:rFonts w:ascii="Calibri" w:eastAsia="Times New Roman" w:hAnsi="Calibri" w:cs="Calibri"/>
                <w:color w:val="0000FF"/>
              </w:rPr>
              <w:t>-0.193</w:t>
            </w:r>
          </w:p>
        </w:tc>
        <w:tc>
          <w:tcPr>
            <w:tcW w:w="1103" w:type="dxa"/>
            <w:tcBorders>
              <w:top w:val="nil"/>
              <w:left w:val="nil"/>
              <w:bottom w:val="single" w:sz="4" w:space="0" w:color="auto"/>
              <w:right w:val="nil"/>
            </w:tcBorders>
            <w:shd w:val="clear" w:color="auto" w:fill="auto"/>
            <w:vAlign w:val="center"/>
            <w:hideMark/>
          </w:tcPr>
          <w:p w14:paraId="29BDDD3B" w14:textId="1036F3C1" w:rsidR="00417899" w:rsidRPr="00FF2FAC" w:rsidRDefault="00417899" w:rsidP="00901BE1">
            <w:pPr>
              <w:spacing w:after="0" w:line="240" w:lineRule="auto"/>
              <w:jc w:val="center"/>
              <w:rPr>
                <w:rFonts w:ascii="Calibri" w:eastAsia="Times New Roman" w:hAnsi="Calibri" w:cs="Calibri"/>
                <w:color w:val="0000FF"/>
              </w:rPr>
            </w:pPr>
            <w:r w:rsidRPr="00FF2FAC">
              <w:rPr>
                <w:rFonts w:ascii="Calibri" w:eastAsia="Times New Roman" w:hAnsi="Calibri" w:cs="Calibri"/>
                <w:color w:val="0000FF"/>
              </w:rPr>
              <w:t>&lt;0.00</w:t>
            </w:r>
            <w:r w:rsidR="00F958F9">
              <w:rPr>
                <w:rFonts w:ascii="Calibri" w:eastAsia="Times New Roman" w:hAnsi="Calibri" w:cs="Calibri"/>
                <w:color w:val="0000FF"/>
              </w:rPr>
              <w:t>0</w:t>
            </w:r>
            <w:r w:rsidRPr="00FF2FAC">
              <w:rPr>
                <w:rFonts w:ascii="Calibri" w:eastAsia="Times New Roman" w:hAnsi="Calibri" w:cs="Calibri"/>
                <w:color w:val="0000FF"/>
              </w:rPr>
              <w:t>1</w:t>
            </w:r>
          </w:p>
        </w:tc>
        <w:tc>
          <w:tcPr>
            <w:tcW w:w="1224" w:type="dxa"/>
            <w:tcBorders>
              <w:top w:val="nil"/>
              <w:left w:val="nil"/>
              <w:bottom w:val="single" w:sz="4" w:space="0" w:color="auto"/>
              <w:right w:val="nil"/>
            </w:tcBorders>
            <w:shd w:val="clear" w:color="auto" w:fill="auto"/>
            <w:vAlign w:val="center"/>
            <w:hideMark/>
          </w:tcPr>
          <w:p w14:paraId="73DCE60A" w14:textId="1CE8D737" w:rsidR="00417899" w:rsidRPr="00FF2FAC" w:rsidRDefault="002C1209">
            <w:pPr>
              <w:spacing w:after="0" w:line="240" w:lineRule="auto"/>
              <w:jc w:val="center"/>
              <w:rPr>
                <w:rFonts w:ascii="Calibri" w:eastAsia="Times New Roman" w:hAnsi="Calibri" w:cs="Calibri"/>
                <w:color w:val="0000FF"/>
              </w:rPr>
            </w:pPr>
            <w:r>
              <w:rPr>
                <w:rFonts w:ascii="Calibri" w:eastAsia="Times New Roman" w:hAnsi="Calibri" w:cs="Calibri"/>
                <w:color w:val="0000FF"/>
              </w:rPr>
              <w:t>-0.165</w:t>
            </w:r>
          </w:p>
        </w:tc>
        <w:tc>
          <w:tcPr>
            <w:tcW w:w="1103" w:type="dxa"/>
            <w:tcBorders>
              <w:top w:val="nil"/>
              <w:left w:val="nil"/>
              <w:bottom w:val="single" w:sz="4" w:space="0" w:color="auto"/>
              <w:right w:val="nil"/>
            </w:tcBorders>
            <w:shd w:val="clear" w:color="auto" w:fill="auto"/>
            <w:vAlign w:val="center"/>
            <w:hideMark/>
          </w:tcPr>
          <w:p w14:paraId="7C720404" w14:textId="4AC94AD4" w:rsidR="00417899" w:rsidRPr="00FF2FAC" w:rsidRDefault="00417899" w:rsidP="00901BE1">
            <w:pPr>
              <w:spacing w:after="0" w:line="240" w:lineRule="auto"/>
              <w:jc w:val="center"/>
              <w:rPr>
                <w:rFonts w:ascii="Calibri" w:eastAsia="Times New Roman" w:hAnsi="Calibri" w:cs="Calibri"/>
                <w:color w:val="0000FF"/>
              </w:rPr>
            </w:pPr>
            <w:r w:rsidRPr="00FF2FAC">
              <w:rPr>
                <w:rFonts w:ascii="Calibri" w:eastAsia="Times New Roman" w:hAnsi="Calibri" w:cs="Calibri"/>
                <w:color w:val="0000FF"/>
              </w:rPr>
              <w:t>&lt;0.00</w:t>
            </w:r>
            <w:r w:rsidR="00F958F9">
              <w:rPr>
                <w:rFonts w:ascii="Calibri" w:eastAsia="Times New Roman" w:hAnsi="Calibri" w:cs="Calibri"/>
                <w:color w:val="0000FF"/>
              </w:rPr>
              <w:t>0</w:t>
            </w:r>
            <w:r w:rsidRPr="00FF2FAC">
              <w:rPr>
                <w:rFonts w:ascii="Calibri" w:eastAsia="Times New Roman" w:hAnsi="Calibri" w:cs="Calibri"/>
                <w:color w:val="0000FF"/>
              </w:rPr>
              <w:t>1</w:t>
            </w:r>
          </w:p>
        </w:tc>
      </w:tr>
    </w:tbl>
    <w:p w14:paraId="4D9D6D68" w14:textId="10B54E8C" w:rsidR="00AD2058" w:rsidRDefault="00417899" w:rsidP="00417899">
      <w:pPr>
        <w:autoSpaceDE w:val="0"/>
        <w:autoSpaceDN w:val="0"/>
        <w:adjustRightInd w:val="0"/>
        <w:spacing w:after="0" w:line="240" w:lineRule="auto"/>
        <w:rPr>
          <w:rStyle w:val="Style1"/>
          <w:sz w:val="18"/>
        </w:rPr>
      </w:pPr>
      <w:r w:rsidRPr="004A5072">
        <w:rPr>
          <w:rStyle w:val="Style1"/>
          <w:sz w:val="18"/>
        </w:rPr>
        <w:t xml:space="preserve">Analysis of Medicare Claims File for </w:t>
      </w:r>
      <w:r w:rsidR="002C1209">
        <w:rPr>
          <w:rStyle w:val="Style1"/>
          <w:sz w:val="18"/>
        </w:rPr>
        <w:t>IRF F</w:t>
      </w:r>
      <w:r w:rsidR="00A8792A">
        <w:rPr>
          <w:rStyle w:val="Style1"/>
          <w:sz w:val="18"/>
        </w:rPr>
        <w:t>Y 2016-2017</w:t>
      </w:r>
      <w:r w:rsidRPr="004A5072">
        <w:rPr>
          <w:rStyle w:val="Style1"/>
          <w:sz w:val="18"/>
        </w:rPr>
        <w:t>.</w:t>
      </w:r>
      <w:r w:rsidR="00AD2058">
        <w:rPr>
          <w:rStyle w:val="Style1"/>
          <w:sz w:val="18"/>
        </w:rPr>
        <w:t xml:space="preserve"> </w:t>
      </w:r>
    </w:p>
    <w:p w14:paraId="5B7483CB" w14:textId="77777777" w:rsidR="00EE73A2" w:rsidRDefault="00EE73A2" w:rsidP="00EE73A2">
      <w:pPr>
        <w:autoSpaceDE w:val="0"/>
        <w:autoSpaceDN w:val="0"/>
        <w:adjustRightInd w:val="0"/>
        <w:spacing w:after="0" w:line="240" w:lineRule="auto"/>
        <w:rPr>
          <w:rStyle w:val="Style1"/>
          <w:sz w:val="18"/>
        </w:rPr>
      </w:pPr>
      <w:r>
        <w:rPr>
          <w:rStyle w:val="Style1"/>
          <w:sz w:val="18"/>
        </w:rPr>
        <w:t>*Number of reflects providers with both MSPB and DTC measure scores.</w:t>
      </w:r>
    </w:p>
    <w:p w14:paraId="13F429D8" w14:textId="77D23654" w:rsidR="00417899" w:rsidRDefault="00417899" w:rsidP="00092566">
      <w:pPr>
        <w:autoSpaceDE w:val="0"/>
        <w:autoSpaceDN w:val="0"/>
        <w:adjustRightInd w:val="0"/>
        <w:spacing w:after="0" w:line="240" w:lineRule="auto"/>
        <w:rPr>
          <w:rFonts w:cstheme="minorHAnsi"/>
          <w:bCs/>
        </w:rPr>
      </w:pPr>
    </w:p>
    <w:p w14:paraId="567B3C5C" w14:textId="31FD3B50" w:rsidR="004F2EEF" w:rsidRDefault="004F2EEF" w:rsidP="004F2EEF">
      <w:pPr>
        <w:autoSpaceDE w:val="0"/>
        <w:autoSpaceDN w:val="0"/>
        <w:adjustRightInd w:val="0"/>
        <w:spacing w:after="0" w:line="240" w:lineRule="auto"/>
        <w:ind w:firstLine="720"/>
        <w:rPr>
          <w:rFonts w:cstheme="minorHAnsi"/>
          <w:bCs/>
          <w:color w:val="0000FF"/>
        </w:rPr>
      </w:pPr>
      <w:r w:rsidRPr="00495623">
        <w:rPr>
          <w:rFonts w:cstheme="minorHAnsi"/>
          <w:bCs/>
          <w:color w:val="0000FF"/>
        </w:rPr>
        <w:t>Lastly</w:t>
      </w:r>
      <w:r>
        <w:rPr>
          <w:rFonts w:cstheme="minorHAnsi"/>
          <w:bCs/>
          <w:color w:val="0000FF"/>
        </w:rPr>
        <w:t xml:space="preserve">, </w:t>
      </w:r>
      <w:r w:rsidRPr="005B2207">
        <w:rPr>
          <w:rFonts w:cstheme="minorHAnsi"/>
          <w:bCs/>
          <w:color w:val="0000FF"/>
        </w:rPr>
        <w:t xml:space="preserve">we found very small, </w:t>
      </w:r>
      <w:r w:rsidR="00984A86">
        <w:rPr>
          <w:rFonts w:cstheme="minorHAnsi"/>
          <w:bCs/>
          <w:color w:val="0000FF"/>
        </w:rPr>
        <w:t xml:space="preserve">statistically </w:t>
      </w:r>
      <w:r w:rsidRPr="005B2207">
        <w:rPr>
          <w:rFonts w:cstheme="minorHAnsi"/>
          <w:bCs/>
          <w:color w:val="0000FF"/>
        </w:rPr>
        <w:t xml:space="preserve">significant </w:t>
      </w:r>
      <w:r w:rsidR="00AA2A85" w:rsidRPr="005B2207">
        <w:rPr>
          <w:rFonts w:cstheme="minorHAnsi"/>
          <w:bCs/>
          <w:color w:val="0000FF"/>
        </w:rPr>
        <w:t>correlation</w:t>
      </w:r>
      <w:r w:rsidR="00AA2A85" w:rsidRPr="00D0098F">
        <w:rPr>
          <w:rFonts w:cstheme="minorHAnsi"/>
          <w:bCs/>
          <w:color w:val="0000FF"/>
        </w:rPr>
        <w:t xml:space="preserve"> </w:t>
      </w:r>
      <w:r w:rsidR="00803C67">
        <w:rPr>
          <w:rFonts w:cstheme="minorHAnsi"/>
          <w:bCs/>
          <w:color w:val="0000FF"/>
        </w:rPr>
        <w:t xml:space="preserve">(both Pearson and Spearman) </w:t>
      </w:r>
      <w:r w:rsidR="00AA2A85">
        <w:rPr>
          <w:rFonts w:cstheme="minorHAnsi"/>
          <w:bCs/>
          <w:color w:val="0000FF"/>
        </w:rPr>
        <w:t xml:space="preserve">between MSPB measure scores and </w:t>
      </w:r>
      <w:r w:rsidR="00D0098F">
        <w:rPr>
          <w:rFonts w:cstheme="minorHAnsi"/>
          <w:bCs/>
          <w:color w:val="0000FF"/>
        </w:rPr>
        <w:t>Pressure Ulcers</w:t>
      </w:r>
      <w:r w:rsidR="00AA2A85">
        <w:rPr>
          <w:rFonts w:cstheme="minorHAnsi"/>
          <w:bCs/>
          <w:color w:val="0000FF"/>
        </w:rPr>
        <w:t xml:space="preserve"> measure scores (</w:t>
      </w:r>
      <w:r w:rsidR="00803C67">
        <w:rPr>
          <w:rFonts w:cstheme="minorHAnsi"/>
          <w:bCs/>
          <w:color w:val="0000FF"/>
        </w:rPr>
        <w:fldChar w:fldCharType="begin"/>
      </w:r>
      <w:r w:rsidR="00803C67">
        <w:rPr>
          <w:rFonts w:cstheme="minorHAnsi"/>
          <w:bCs/>
          <w:color w:val="0000FF"/>
        </w:rPr>
        <w:instrText xml:space="preserve"> REF _Ref24549810 \h </w:instrText>
      </w:r>
      <w:r w:rsidR="00803C67">
        <w:rPr>
          <w:rFonts w:cstheme="minorHAnsi"/>
          <w:bCs/>
          <w:color w:val="0000FF"/>
        </w:rPr>
      </w:r>
      <w:r w:rsidR="00803C67">
        <w:rPr>
          <w:rFonts w:cstheme="minorHAnsi"/>
          <w:bCs/>
          <w:color w:val="0000FF"/>
        </w:rPr>
        <w:fldChar w:fldCharType="separate"/>
      </w:r>
      <w:r w:rsidR="00B6644A" w:rsidRPr="00804378">
        <w:rPr>
          <w:rStyle w:val="Style1"/>
          <w:b/>
        </w:rPr>
        <w:t xml:space="preserve">Table </w:t>
      </w:r>
      <w:r w:rsidR="00B6644A">
        <w:rPr>
          <w:rStyle w:val="Style1"/>
          <w:b/>
          <w:noProof/>
        </w:rPr>
        <w:t>7</w:t>
      </w:r>
      <w:r w:rsidR="00803C67">
        <w:rPr>
          <w:rFonts w:cstheme="minorHAnsi"/>
          <w:bCs/>
          <w:color w:val="0000FF"/>
        </w:rPr>
        <w:fldChar w:fldCharType="end"/>
      </w:r>
      <w:r w:rsidR="00AA2A85">
        <w:rPr>
          <w:rFonts w:cstheme="minorHAnsi"/>
          <w:bCs/>
          <w:color w:val="0000FF"/>
        </w:rPr>
        <w:t>).</w:t>
      </w:r>
      <w:r w:rsidR="00842EA2">
        <w:rPr>
          <w:rFonts w:cstheme="minorHAnsi"/>
          <w:bCs/>
          <w:color w:val="0000FF"/>
        </w:rPr>
        <w:t xml:space="preserve"> </w:t>
      </w:r>
      <w:r w:rsidR="00842EA2" w:rsidRPr="00C32CAA">
        <w:rPr>
          <w:rFonts w:cstheme="minorHAnsi"/>
          <w:bCs/>
          <w:color w:val="0000FF"/>
        </w:rPr>
        <w:t xml:space="preserve">These results are </w:t>
      </w:r>
      <w:r w:rsidR="00E27D38" w:rsidRPr="00C32CAA">
        <w:rPr>
          <w:rFonts w:cstheme="minorHAnsi"/>
          <w:bCs/>
          <w:color w:val="0000FF"/>
        </w:rPr>
        <w:t>consistent with the</w:t>
      </w:r>
      <w:r w:rsidR="004E7F11" w:rsidRPr="00C32CAA">
        <w:rPr>
          <w:rFonts w:cstheme="minorHAnsi"/>
          <w:bCs/>
          <w:color w:val="0000FF"/>
        </w:rPr>
        <w:t xml:space="preserve"> finding</w:t>
      </w:r>
      <w:r w:rsidR="00E27D38" w:rsidRPr="00C32CAA">
        <w:rPr>
          <w:rFonts w:cstheme="minorHAnsi"/>
          <w:bCs/>
          <w:color w:val="0000FF"/>
        </w:rPr>
        <w:t xml:space="preserve"> that </w:t>
      </w:r>
      <w:r w:rsidR="00D0098F" w:rsidRPr="00C32CAA">
        <w:rPr>
          <w:rFonts w:cstheme="minorHAnsi"/>
          <w:bCs/>
          <w:color w:val="0000FF"/>
        </w:rPr>
        <w:t>pressure ulcers</w:t>
      </w:r>
      <w:r w:rsidR="00E27D38" w:rsidRPr="00C32CAA">
        <w:rPr>
          <w:rFonts w:cstheme="minorHAnsi"/>
          <w:bCs/>
          <w:color w:val="0000FF"/>
        </w:rPr>
        <w:t xml:space="preserve"> </w:t>
      </w:r>
      <w:r w:rsidR="004E7F11" w:rsidRPr="00C32CAA">
        <w:rPr>
          <w:rFonts w:cstheme="minorHAnsi"/>
          <w:bCs/>
          <w:color w:val="0000FF"/>
        </w:rPr>
        <w:t xml:space="preserve">measure scores </w:t>
      </w:r>
      <w:r w:rsidR="00D0098F" w:rsidRPr="00C32CAA">
        <w:rPr>
          <w:rFonts w:cstheme="minorHAnsi"/>
          <w:bCs/>
          <w:color w:val="0000FF"/>
        </w:rPr>
        <w:t xml:space="preserve">are </w:t>
      </w:r>
      <w:r w:rsidR="00E27D38" w:rsidRPr="00C32CAA">
        <w:rPr>
          <w:rFonts w:cstheme="minorHAnsi"/>
          <w:bCs/>
          <w:color w:val="0000FF"/>
        </w:rPr>
        <w:t xml:space="preserve">not associated with </w:t>
      </w:r>
      <w:r w:rsidR="00D0098F" w:rsidRPr="00C32CAA">
        <w:rPr>
          <w:rFonts w:cstheme="minorHAnsi"/>
          <w:bCs/>
          <w:color w:val="0000FF"/>
        </w:rPr>
        <w:t xml:space="preserve">lower </w:t>
      </w:r>
      <w:r w:rsidR="00E27D38" w:rsidRPr="00C32CAA">
        <w:rPr>
          <w:rFonts w:cstheme="minorHAnsi"/>
          <w:bCs/>
          <w:color w:val="0000FF"/>
        </w:rPr>
        <w:t xml:space="preserve">rates of </w:t>
      </w:r>
      <w:r w:rsidR="00D0098F" w:rsidRPr="00C32CAA">
        <w:rPr>
          <w:rFonts w:cstheme="minorHAnsi"/>
          <w:bCs/>
          <w:color w:val="0000FF"/>
        </w:rPr>
        <w:t>successful discharge to community</w:t>
      </w:r>
      <w:r w:rsidR="00E27D38" w:rsidRPr="00C32CAA">
        <w:rPr>
          <w:rFonts w:cstheme="minorHAnsi"/>
          <w:bCs/>
          <w:color w:val="0000FF"/>
        </w:rPr>
        <w:t xml:space="preserve">; they </w:t>
      </w:r>
      <w:r w:rsidR="000F0997" w:rsidRPr="00C32CAA">
        <w:rPr>
          <w:rFonts w:cstheme="minorHAnsi"/>
          <w:bCs/>
          <w:color w:val="0000FF"/>
        </w:rPr>
        <w:t xml:space="preserve">may </w:t>
      </w:r>
      <w:r w:rsidR="00E27D38" w:rsidRPr="00C32CAA">
        <w:rPr>
          <w:rFonts w:cstheme="minorHAnsi"/>
          <w:bCs/>
          <w:color w:val="0000FF"/>
        </w:rPr>
        <w:t xml:space="preserve">indicate that </w:t>
      </w:r>
      <w:r w:rsidR="00E61AFB" w:rsidRPr="00C32CAA">
        <w:rPr>
          <w:rFonts w:cstheme="minorHAnsi"/>
          <w:bCs/>
          <w:color w:val="0000FF"/>
        </w:rPr>
        <w:t>prevalence of pressure ulcers</w:t>
      </w:r>
      <w:r w:rsidR="000F0997" w:rsidRPr="00C32CAA">
        <w:rPr>
          <w:rFonts w:cstheme="minorHAnsi"/>
          <w:bCs/>
          <w:color w:val="0000FF"/>
        </w:rPr>
        <w:t xml:space="preserve"> is associated with s</w:t>
      </w:r>
      <w:r w:rsidR="00B6644A" w:rsidRPr="00C32CAA">
        <w:rPr>
          <w:rFonts w:cstheme="minorHAnsi"/>
          <w:bCs/>
          <w:color w:val="0000FF"/>
        </w:rPr>
        <w:t>omewhat higher</w:t>
      </w:r>
      <w:r w:rsidR="000F0997" w:rsidRPr="00C32CAA">
        <w:rPr>
          <w:rFonts w:cstheme="minorHAnsi"/>
          <w:bCs/>
          <w:color w:val="0000FF"/>
        </w:rPr>
        <w:t xml:space="preserve"> </w:t>
      </w:r>
      <w:r w:rsidR="00E61AFB" w:rsidRPr="00C32CAA">
        <w:rPr>
          <w:rFonts w:cstheme="minorHAnsi"/>
          <w:bCs/>
          <w:color w:val="0000FF"/>
        </w:rPr>
        <w:t>spending in the 30 days after discharge from IRF</w:t>
      </w:r>
      <w:r w:rsidR="000F0997" w:rsidRPr="00C32CAA">
        <w:rPr>
          <w:rFonts w:cstheme="minorHAnsi"/>
          <w:bCs/>
          <w:color w:val="0000FF"/>
        </w:rPr>
        <w:t>, on average</w:t>
      </w:r>
      <w:r w:rsidR="00842EA2" w:rsidRPr="00C32CAA">
        <w:rPr>
          <w:rFonts w:cstheme="minorHAnsi"/>
          <w:bCs/>
          <w:color w:val="0000FF"/>
        </w:rPr>
        <w:t>.</w:t>
      </w:r>
      <w:r w:rsidR="00842EA2">
        <w:rPr>
          <w:rFonts w:cstheme="minorHAnsi"/>
          <w:bCs/>
          <w:color w:val="0000FF"/>
        </w:rPr>
        <w:t xml:space="preserve"> </w:t>
      </w:r>
    </w:p>
    <w:p w14:paraId="526D8792" w14:textId="5AD9295B" w:rsidR="00B6644A" w:rsidRDefault="00B6644A">
      <w:pPr>
        <w:rPr>
          <w:rStyle w:val="Style1"/>
          <w:b/>
        </w:rPr>
      </w:pPr>
    </w:p>
    <w:p w14:paraId="6F9F4E14" w14:textId="581468DD" w:rsidR="00AA2A85" w:rsidRPr="00FF2FAC" w:rsidRDefault="00AA2A85" w:rsidP="00AA2A85">
      <w:pPr>
        <w:autoSpaceDE w:val="0"/>
        <w:autoSpaceDN w:val="0"/>
        <w:adjustRightInd w:val="0"/>
        <w:spacing w:after="0" w:line="240" w:lineRule="auto"/>
        <w:rPr>
          <w:rFonts w:cstheme="minorHAnsi"/>
          <w:color w:val="0000FF"/>
        </w:rPr>
      </w:pPr>
      <w:bookmarkStart w:id="20" w:name="_Ref24549810"/>
      <w:r w:rsidRPr="00804378">
        <w:rPr>
          <w:rStyle w:val="Style1"/>
          <w:b/>
        </w:rPr>
        <w:t xml:space="preserve">Table </w:t>
      </w:r>
      <w:r>
        <w:rPr>
          <w:rStyle w:val="Style1"/>
          <w:b/>
        </w:rPr>
        <w:fldChar w:fldCharType="begin"/>
      </w:r>
      <w:r>
        <w:rPr>
          <w:rStyle w:val="Style1"/>
          <w:b/>
        </w:rPr>
        <w:instrText xml:space="preserve"> SEQ Table \* ARABIC </w:instrText>
      </w:r>
      <w:r>
        <w:rPr>
          <w:rStyle w:val="Style1"/>
          <w:b/>
        </w:rPr>
        <w:fldChar w:fldCharType="separate"/>
      </w:r>
      <w:r w:rsidR="00B6644A">
        <w:rPr>
          <w:rStyle w:val="Style1"/>
          <w:b/>
          <w:noProof/>
        </w:rPr>
        <w:t>7</w:t>
      </w:r>
      <w:r>
        <w:rPr>
          <w:rStyle w:val="Style1"/>
          <w:b/>
        </w:rPr>
        <w:fldChar w:fldCharType="end"/>
      </w:r>
      <w:bookmarkEnd w:id="20"/>
      <w:r w:rsidRPr="00804378">
        <w:rPr>
          <w:rStyle w:val="Style1"/>
          <w:b/>
        </w:rPr>
        <w:t>.</w:t>
      </w:r>
      <w:r>
        <w:rPr>
          <w:rStyle w:val="Style1"/>
          <w:b/>
        </w:rPr>
        <w:t xml:space="preserve"> Correlations between MSPB and </w:t>
      </w:r>
      <w:r w:rsidR="00D0098F" w:rsidRPr="00805629">
        <w:rPr>
          <w:rStyle w:val="Style1"/>
          <w:b/>
        </w:rPr>
        <w:t>Pressure Ulcers</w:t>
      </w:r>
      <w:r w:rsidRPr="00805629">
        <w:rPr>
          <w:rStyle w:val="Style1"/>
          <w:b/>
        </w:rPr>
        <w:t xml:space="preserve"> Measures</w:t>
      </w:r>
    </w:p>
    <w:tbl>
      <w:tblPr>
        <w:tblW w:w="8190" w:type="dxa"/>
        <w:tblLook w:val="04A0" w:firstRow="1" w:lastRow="0" w:firstColumn="1" w:lastColumn="0" w:noHBand="0" w:noVBand="1"/>
      </w:tblPr>
      <w:tblGrid>
        <w:gridCol w:w="2700"/>
        <w:gridCol w:w="810"/>
        <w:gridCol w:w="1270"/>
        <w:gridCol w:w="930"/>
        <w:gridCol w:w="1310"/>
        <w:gridCol w:w="1170"/>
      </w:tblGrid>
      <w:tr w:rsidR="00557B48" w:rsidRPr="00AA2A85" w14:paraId="1F7C3C25" w14:textId="77777777" w:rsidTr="00EA3F5E">
        <w:trPr>
          <w:tblHeader/>
        </w:trPr>
        <w:tc>
          <w:tcPr>
            <w:tcW w:w="2700" w:type="dxa"/>
            <w:tcBorders>
              <w:top w:val="single" w:sz="8" w:space="0" w:color="auto"/>
              <w:left w:val="nil"/>
              <w:bottom w:val="nil"/>
              <w:right w:val="nil"/>
            </w:tcBorders>
            <w:shd w:val="clear" w:color="000000" w:fill="BFBFBF"/>
            <w:vAlign w:val="bottom"/>
            <w:hideMark/>
          </w:tcPr>
          <w:p w14:paraId="2D819C31" w14:textId="77777777" w:rsidR="00AA2A85" w:rsidRPr="00AA2A85" w:rsidRDefault="00AA2A85" w:rsidP="00AA2A85">
            <w:pPr>
              <w:spacing w:after="0" w:line="240" w:lineRule="auto"/>
              <w:jc w:val="center"/>
              <w:rPr>
                <w:rFonts w:ascii="Calibri" w:eastAsia="Times New Roman" w:hAnsi="Calibri" w:cs="Calibri"/>
                <w:color w:val="0000FF"/>
              </w:rPr>
            </w:pPr>
            <w:r w:rsidRPr="00AA2A85">
              <w:rPr>
                <w:rFonts w:ascii="Calibri" w:eastAsia="Times New Roman" w:hAnsi="Calibri" w:cs="Calibri"/>
                <w:color w:val="0000FF"/>
              </w:rPr>
              <w:t>Measure Name</w:t>
            </w:r>
          </w:p>
        </w:tc>
        <w:tc>
          <w:tcPr>
            <w:tcW w:w="810" w:type="dxa"/>
            <w:tcBorders>
              <w:top w:val="single" w:sz="8" w:space="0" w:color="auto"/>
              <w:left w:val="nil"/>
              <w:bottom w:val="nil"/>
              <w:right w:val="nil"/>
            </w:tcBorders>
            <w:shd w:val="clear" w:color="000000" w:fill="BFBFBF"/>
            <w:vAlign w:val="bottom"/>
            <w:hideMark/>
          </w:tcPr>
          <w:p w14:paraId="6051CFC7" w14:textId="7B302061" w:rsidR="00AA2A85" w:rsidRPr="00AA2A85" w:rsidRDefault="00AA2A85" w:rsidP="00AA2A85">
            <w:pPr>
              <w:spacing w:after="0" w:line="240" w:lineRule="auto"/>
              <w:jc w:val="center"/>
              <w:rPr>
                <w:rFonts w:ascii="Calibri" w:eastAsia="Times New Roman" w:hAnsi="Calibri" w:cs="Calibri"/>
                <w:color w:val="0000FF"/>
              </w:rPr>
            </w:pPr>
            <w:r w:rsidRPr="00AA2A85">
              <w:rPr>
                <w:rFonts w:ascii="Calibri" w:eastAsia="Times New Roman" w:hAnsi="Calibri" w:cs="Calibri"/>
                <w:color w:val="0000FF"/>
              </w:rPr>
              <w:t>K</w:t>
            </w:r>
            <w:r w:rsidR="00A378B8">
              <w:rPr>
                <w:rFonts w:ascii="Calibri" w:eastAsia="Times New Roman" w:hAnsi="Calibri" w:cs="Calibri"/>
                <w:color w:val="0000FF"/>
              </w:rPr>
              <w:t>*</w:t>
            </w:r>
          </w:p>
        </w:tc>
        <w:tc>
          <w:tcPr>
            <w:tcW w:w="1270" w:type="dxa"/>
            <w:tcBorders>
              <w:top w:val="single" w:sz="8" w:space="0" w:color="auto"/>
              <w:left w:val="nil"/>
              <w:bottom w:val="nil"/>
              <w:right w:val="nil"/>
            </w:tcBorders>
            <w:shd w:val="clear" w:color="000000" w:fill="BFBFBF"/>
            <w:vAlign w:val="bottom"/>
            <w:hideMark/>
          </w:tcPr>
          <w:p w14:paraId="3D9CE62D" w14:textId="77777777" w:rsidR="00AA2A85" w:rsidRPr="00AA2A85" w:rsidRDefault="00AA2A85" w:rsidP="00AA2A85">
            <w:pPr>
              <w:spacing w:after="0" w:line="240" w:lineRule="auto"/>
              <w:jc w:val="center"/>
              <w:rPr>
                <w:rFonts w:ascii="Calibri" w:eastAsia="Times New Roman" w:hAnsi="Calibri" w:cs="Calibri"/>
                <w:color w:val="0000FF"/>
              </w:rPr>
            </w:pPr>
            <w:r w:rsidRPr="00AA2A85">
              <w:rPr>
                <w:rFonts w:ascii="Calibri" w:eastAsia="Times New Roman" w:hAnsi="Calibri" w:cs="Calibri"/>
                <w:color w:val="0000FF"/>
              </w:rPr>
              <w:t>Pearson Correlation</w:t>
            </w:r>
          </w:p>
        </w:tc>
        <w:tc>
          <w:tcPr>
            <w:tcW w:w="930" w:type="dxa"/>
            <w:tcBorders>
              <w:top w:val="single" w:sz="8" w:space="0" w:color="auto"/>
              <w:left w:val="nil"/>
              <w:bottom w:val="nil"/>
              <w:right w:val="nil"/>
            </w:tcBorders>
            <w:shd w:val="clear" w:color="000000" w:fill="BFBFBF"/>
            <w:vAlign w:val="bottom"/>
            <w:hideMark/>
          </w:tcPr>
          <w:p w14:paraId="473720DE" w14:textId="77777777" w:rsidR="00AA2A85" w:rsidRPr="00AA2A85" w:rsidRDefault="00AA2A85" w:rsidP="00AA2A85">
            <w:pPr>
              <w:spacing w:after="0" w:line="240" w:lineRule="auto"/>
              <w:jc w:val="center"/>
              <w:rPr>
                <w:rFonts w:ascii="Calibri" w:eastAsia="Times New Roman" w:hAnsi="Calibri" w:cs="Calibri"/>
                <w:color w:val="0000FF"/>
              </w:rPr>
            </w:pPr>
            <w:r w:rsidRPr="00AA2A85">
              <w:rPr>
                <w:rFonts w:ascii="Calibri" w:eastAsia="Times New Roman" w:hAnsi="Calibri" w:cs="Calibri"/>
                <w:color w:val="0000FF"/>
              </w:rPr>
              <w:t>p-value</w:t>
            </w:r>
          </w:p>
        </w:tc>
        <w:tc>
          <w:tcPr>
            <w:tcW w:w="1310" w:type="dxa"/>
            <w:tcBorders>
              <w:top w:val="single" w:sz="8" w:space="0" w:color="auto"/>
              <w:left w:val="nil"/>
              <w:bottom w:val="nil"/>
              <w:right w:val="nil"/>
            </w:tcBorders>
            <w:shd w:val="clear" w:color="000000" w:fill="BFBFBF"/>
            <w:vAlign w:val="bottom"/>
            <w:hideMark/>
          </w:tcPr>
          <w:p w14:paraId="28F4BA4B" w14:textId="77777777" w:rsidR="00AA2A85" w:rsidRPr="00AA2A85" w:rsidRDefault="00AA2A85" w:rsidP="00AA2A85">
            <w:pPr>
              <w:spacing w:after="0" w:line="240" w:lineRule="auto"/>
              <w:jc w:val="center"/>
              <w:rPr>
                <w:rFonts w:ascii="Calibri" w:eastAsia="Times New Roman" w:hAnsi="Calibri" w:cs="Calibri"/>
                <w:color w:val="0000FF"/>
              </w:rPr>
            </w:pPr>
            <w:r w:rsidRPr="00AA2A85">
              <w:rPr>
                <w:rFonts w:ascii="Calibri" w:eastAsia="Times New Roman" w:hAnsi="Calibri" w:cs="Calibri"/>
                <w:color w:val="0000FF"/>
              </w:rPr>
              <w:t>Spearman Correlation</w:t>
            </w:r>
          </w:p>
        </w:tc>
        <w:tc>
          <w:tcPr>
            <w:tcW w:w="1170" w:type="dxa"/>
            <w:tcBorders>
              <w:top w:val="single" w:sz="8" w:space="0" w:color="auto"/>
              <w:left w:val="nil"/>
              <w:bottom w:val="nil"/>
              <w:right w:val="nil"/>
            </w:tcBorders>
            <w:shd w:val="clear" w:color="000000" w:fill="BFBFBF"/>
            <w:vAlign w:val="bottom"/>
            <w:hideMark/>
          </w:tcPr>
          <w:p w14:paraId="4F9B9A53" w14:textId="77777777" w:rsidR="00AA2A85" w:rsidRPr="00AA2A85" w:rsidRDefault="00AA2A85" w:rsidP="00AA2A85">
            <w:pPr>
              <w:spacing w:after="0" w:line="240" w:lineRule="auto"/>
              <w:jc w:val="center"/>
              <w:rPr>
                <w:rFonts w:ascii="Calibri" w:eastAsia="Times New Roman" w:hAnsi="Calibri" w:cs="Calibri"/>
                <w:color w:val="0000FF"/>
              </w:rPr>
            </w:pPr>
            <w:r w:rsidRPr="00AA2A85">
              <w:rPr>
                <w:rFonts w:ascii="Calibri" w:eastAsia="Times New Roman" w:hAnsi="Calibri" w:cs="Calibri"/>
                <w:color w:val="0000FF"/>
              </w:rPr>
              <w:t>p-value</w:t>
            </w:r>
          </w:p>
        </w:tc>
      </w:tr>
      <w:tr w:rsidR="00B4202C" w:rsidRPr="00AA2A85" w14:paraId="53E7ECDE" w14:textId="77777777" w:rsidTr="00EA3F5E">
        <w:tc>
          <w:tcPr>
            <w:tcW w:w="2700" w:type="dxa"/>
            <w:tcBorders>
              <w:top w:val="nil"/>
              <w:left w:val="nil"/>
              <w:bottom w:val="single" w:sz="4" w:space="0" w:color="auto"/>
              <w:right w:val="nil"/>
            </w:tcBorders>
            <w:shd w:val="clear" w:color="000000" w:fill="FFFFFF"/>
            <w:noWrap/>
            <w:vAlign w:val="center"/>
            <w:hideMark/>
          </w:tcPr>
          <w:p w14:paraId="2438F4AC" w14:textId="2207DA34" w:rsidR="00B4202C" w:rsidRPr="005B2207" w:rsidRDefault="00B4202C" w:rsidP="00B4202C">
            <w:pPr>
              <w:spacing w:after="0" w:line="240" w:lineRule="auto"/>
              <w:rPr>
                <w:rFonts w:ascii="Calibri" w:eastAsia="Times New Roman" w:hAnsi="Calibri" w:cs="Calibri"/>
                <w:color w:val="0000FF"/>
                <w:highlight w:val="yellow"/>
              </w:rPr>
            </w:pPr>
            <w:r w:rsidRPr="00B4202C">
              <w:rPr>
                <w:rFonts w:ascii="Calibri" w:hAnsi="Calibri" w:cs="Calibri"/>
                <w:color w:val="0000FF"/>
              </w:rPr>
              <w:t>Rate of pressure ulcers that are new or worsened</w:t>
            </w:r>
          </w:p>
        </w:tc>
        <w:tc>
          <w:tcPr>
            <w:tcW w:w="810" w:type="dxa"/>
            <w:tcBorders>
              <w:top w:val="nil"/>
              <w:left w:val="nil"/>
              <w:bottom w:val="single" w:sz="4" w:space="0" w:color="auto"/>
              <w:right w:val="nil"/>
            </w:tcBorders>
            <w:shd w:val="clear" w:color="000000" w:fill="FFFFFF"/>
            <w:noWrap/>
            <w:vAlign w:val="center"/>
            <w:hideMark/>
          </w:tcPr>
          <w:p w14:paraId="380F411A" w14:textId="224AB04B" w:rsidR="00B4202C" w:rsidRPr="005B2207" w:rsidRDefault="00B4202C">
            <w:pPr>
              <w:spacing w:after="0" w:line="240" w:lineRule="auto"/>
              <w:jc w:val="center"/>
              <w:rPr>
                <w:rFonts w:ascii="Calibri" w:eastAsia="Times New Roman" w:hAnsi="Calibri" w:cs="Calibri"/>
                <w:color w:val="0000FF"/>
                <w:highlight w:val="yellow"/>
              </w:rPr>
            </w:pPr>
            <w:r>
              <w:rPr>
                <w:rFonts w:ascii="Calibri" w:hAnsi="Calibri"/>
                <w:color w:val="0000FF"/>
              </w:rPr>
              <w:t>1</w:t>
            </w:r>
            <w:r w:rsidR="004E7F11">
              <w:rPr>
                <w:rFonts w:ascii="Calibri" w:hAnsi="Calibri"/>
                <w:color w:val="0000FF"/>
              </w:rPr>
              <w:t>,</w:t>
            </w:r>
            <w:r>
              <w:rPr>
                <w:rFonts w:ascii="Calibri" w:hAnsi="Calibri"/>
                <w:color w:val="0000FF"/>
              </w:rPr>
              <w:t>061</w:t>
            </w:r>
          </w:p>
        </w:tc>
        <w:tc>
          <w:tcPr>
            <w:tcW w:w="1270" w:type="dxa"/>
            <w:tcBorders>
              <w:top w:val="nil"/>
              <w:left w:val="nil"/>
              <w:bottom w:val="single" w:sz="4" w:space="0" w:color="auto"/>
              <w:right w:val="nil"/>
            </w:tcBorders>
            <w:shd w:val="clear" w:color="000000" w:fill="FFFFFF"/>
            <w:noWrap/>
            <w:vAlign w:val="center"/>
            <w:hideMark/>
          </w:tcPr>
          <w:p w14:paraId="3C415B63" w14:textId="2659F7F4" w:rsidR="00B4202C" w:rsidRPr="005B2207" w:rsidRDefault="00B4202C" w:rsidP="00B4202C">
            <w:pPr>
              <w:spacing w:after="0" w:line="240" w:lineRule="auto"/>
              <w:ind w:firstLineChars="200" w:firstLine="440"/>
              <w:jc w:val="center"/>
              <w:rPr>
                <w:rFonts w:ascii="Calibri" w:eastAsia="Times New Roman" w:hAnsi="Calibri" w:cs="Calibri"/>
                <w:color w:val="0000FF"/>
                <w:highlight w:val="yellow"/>
              </w:rPr>
            </w:pPr>
            <w:r>
              <w:rPr>
                <w:rFonts w:ascii="Calibri" w:hAnsi="Calibri"/>
                <w:color w:val="0000FF"/>
              </w:rPr>
              <w:t>0.1207</w:t>
            </w:r>
          </w:p>
        </w:tc>
        <w:tc>
          <w:tcPr>
            <w:tcW w:w="930" w:type="dxa"/>
            <w:tcBorders>
              <w:top w:val="nil"/>
              <w:left w:val="nil"/>
              <w:bottom w:val="single" w:sz="4" w:space="0" w:color="auto"/>
              <w:right w:val="nil"/>
            </w:tcBorders>
            <w:shd w:val="clear" w:color="000000" w:fill="FFFFFF"/>
            <w:noWrap/>
            <w:vAlign w:val="center"/>
            <w:hideMark/>
          </w:tcPr>
          <w:p w14:paraId="325BAFBF" w14:textId="30634613" w:rsidR="00B4202C" w:rsidRPr="005B2207" w:rsidRDefault="00B4202C" w:rsidP="00B4202C">
            <w:pPr>
              <w:spacing w:after="0" w:line="240" w:lineRule="auto"/>
              <w:jc w:val="center"/>
              <w:rPr>
                <w:rFonts w:ascii="Calibri" w:eastAsia="Times New Roman" w:hAnsi="Calibri" w:cs="Calibri"/>
                <w:color w:val="0000FF"/>
                <w:highlight w:val="yellow"/>
              </w:rPr>
            </w:pPr>
            <w:r>
              <w:rPr>
                <w:rFonts w:ascii="Calibri" w:hAnsi="Calibri"/>
                <w:color w:val="0000FF"/>
              </w:rPr>
              <w:t>0.0001</w:t>
            </w:r>
          </w:p>
        </w:tc>
        <w:tc>
          <w:tcPr>
            <w:tcW w:w="1310" w:type="dxa"/>
            <w:tcBorders>
              <w:top w:val="nil"/>
              <w:left w:val="nil"/>
              <w:bottom w:val="single" w:sz="4" w:space="0" w:color="auto"/>
              <w:right w:val="nil"/>
            </w:tcBorders>
            <w:shd w:val="clear" w:color="000000" w:fill="FFFFFF"/>
            <w:noWrap/>
            <w:vAlign w:val="center"/>
            <w:hideMark/>
          </w:tcPr>
          <w:p w14:paraId="0271F082" w14:textId="6B84011F" w:rsidR="00B4202C" w:rsidRPr="005B2207" w:rsidRDefault="00B4202C" w:rsidP="005B2207">
            <w:pPr>
              <w:spacing w:after="0" w:line="240" w:lineRule="auto"/>
              <w:ind w:firstLineChars="200" w:firstLine="440"/>
              <w:rPr>
                <w:rFonts w:ascii="Calibri" w:eastAsia="Times New Roman" w:hAnsi="Calibri" w:cs="Calibri"/>
                <w:color w:val="0000FF"/>
                <w:highlight w:val="yellow"/>
              </w:rPr>
            </w:pPr>
            <w:r>
              <w:rPr>
                <w:rFonts w:ascii="Calibri" w:hAnsi="Calibri"/>
                <w:color w:val="0000FF"/>
              </w:rPr>
              <w:t>0.1198</w:t>
            </w:r>
          </w:p>
        </w:tc>
        <w:tc>
          <w:tcPr>
            <w:tcW w:w="1170" w:type="dxa"/>
            <w:tcBorders>
              <w:top w:val="nil"/>
              <w:left w:val="nil"/>
              <w:bottom w:val="single" w:sz="4" w:space="0" w:color="auto"/>
              <w:right w:val="nil"/>
            </w:tcBorders>
            <w:shd w:val="clear" w:color="000000" w:fill="FFFFFF"/>
            <w:noWrap/>
            <w:vAlign w:val="center"/>
            <w:hideMark/>
          </w:tcPr>
          <w:p w14:paraId="68244E97" w14:textId="1E2419BF" w:rsidR="00B4202C" w:rsidRPr="005B2207" w:rsidRDefault="00B4202C" w:rsidP="00B4202C">
            <w:pPr>
              <w:spacing w:after="0" w:line="240" w:lineRule="auto"/>
              <w:jc w:val="center"/>
              <w:rPr>
                <w:rFonts w:ascii="Calibri" w:eastAsia="Times New Roman" w:hAnsi="Calibri" w:cs="Calibri"/>
                <w:color w:val="0000FF"/>
                <w:highlight w:val="yellow"/>
              </w:rPr>
            </w:pPr>
            <w:r>
              <w:rPr>
                <w:rFonts w:ascii="Calibri" w:hAnsi="Calibri"/>
                <w:color w:val="0000FF"/>
              </w:rPr>
              <w:t>0.0001</w:t>
            </w:r>
          </w:p>
        </w:tc>
      </w:tr>
    </w:tbl>
    <w:p w14:paraId="7FD74B14" w14:textId="030A7172" w:rsidR="00803C67" w:rsidRDefault="00803C67" w:rsidP="00803C67">
      <w:pPr>
        <w:autoSpaceDE w:val="0"/>
        <w:autoSpaceDN w:val="0"/>
        <w:adjustRightInd w:val="0"/>
        <w:spacing w:after="0" w:line="240" w:lineRule="auto"/>
        <w:rPr>
          <w:rStyle w:val="Style1"/>
          <w:sz w:val="18"/>
        </w:rPr>
      </w:pPr>
      <w:r w:rsidRPr="004A5072">
        <w:rPr>
          <w:rStyle w:val="Style1"/>
          <w:sz w:val="18"/>
        </w:rPr>
        <w:t xml:space="preserve">Analysis of Medicare Claims File for </w:t>
      </w:r>
      <w:r w:rsidR="002C1209">
        <w:rPr>
          <w:rStyle w:val="Style1"/>
          <w:sz w:val="18"/>
        </w:rPr>
        <w:t>IRF F</w:t>
      </w:r>
      <w:r>
        <w:rPr>
          <w:rStyle w:val="Style1"/>
          <w:sz w:val="18"/>
        </w:rPr>
        <w:t xml:space="preserve">Y 2016-2017 and </w:t>
      </w:r>
      <w:r w:rsidR="002C1209">
        <w:rPr>
          <w:rStyle w:val="Style1"/>
          <w:sz w:val="18"/>
        </w:rPr>
        <w:t>IRF</w:t>
      </w:r>
      <w:r>
        <w:rPr>
          <w:rStyle w:val="Style1"/>
          <w:sz w:val="18"/>
        </w:rPr>
        <w:t xml:space="preserve"> Compare data </w:t>
      </w:r>
      <w:r w:rsidR="002C1209">
        <w:rPr>
          <w:rStyle w:val="Style1"/>
          <w:sz w:val="18"/>
        </w:rPr>
        <w:t>F</w:t>
      </w:r>
      <w:r>
        <w:rPr>
          <w:rStyle w:val="Style1"/>
          <w:sz w:val="18"/>
        </w:rPr>
        <w:t>Y 2017</w:t>
      </w:r>
      <w:r w:rsidRPr="004A5072">
        <w:rPr>
          <w:rStyle w:val="Style1"/>
          <w:sz w:val="18"/>
        </w:rPr>
        <w:t>.</w:t>
      </w:r>
    </w:p>
    <w:p w14:paraId="144DC943" w14:textId="4D455E33" w:rsidR="00EE73A2" w:rsidRDefault="00EE73A2" w:rsidP="00EE73A2">
      <w:pPr>
        <w:autoSpaceDE w:val="0"/>
        <w:autoSpaceDN w:val="0"/>
        <w:adjustRightInd w:val="0"/>
        <w:spacing w:after="0" w:line="240" w:lineRule="auto"/>
        <w:rPr>
          <w:rStyle w:val="Style1"/>
          <w:sz w:val="18"/>
        </w:rPr>
      </w:pPr>
      <w:r>
        <w:rPr>
          <w:rStyle w:val="Style1"/>
          <w:sz w:val="18"/>
        </w:rPr>
        <w:t>*Number of reflec</w:t>
      </w:r>
      <w:r w:rsidR="0068298C">
        <w:rPr>
          <w:rStyle w:val="Style1"/>
          <w:sz w:val="18"/>
        </w:rPr>
        <w:t>ts providers with both MSPB and Pressure Ulcers</w:t>
      </w:r>
      <w:r>
        <w:rPr>
          <w:rStyle w:val="Style1"/>
          <w:sz w:val="18"/>
        </w:rPr>
        <w:t xml:space="preserve"> measure scores.</w:t>
      </w:r>
    </w:p>
    <w:p w14:paraId="27DB9D97" w14:textId="77777777" w:rsidR="00AA2A85" w:rsidRPr="00495623" w:rsidRDefault="00AA2A85" w:rsidP="00AA2A85">
      <w:pPr>
        <w:autoSpaceDE w:val="0"/>
        <w:autoSpaceDN w:val="0"/>
        <w:adjustRightInd w:val="0"/>
        <w:spacing w:after="0" w:line="240" w:lineRule="auto"/>
        <w:rPr>
          <w:rFonts w:cstheme="minorHAnsi"/>
          <w:bCs/>
          <w:color w:val="0000FF"/>
        </w:rPr>
      </w:pPr>
    </w:p>
    <w:p w14:paraId="67664085" w14:textId="77777777" w:rsidR="00C64278" w:rsidRDefault="009C7513" w:rsidP="00EE4048">
      <w:pPr>
        <w:pStyle w:val="Heading3"/>
      </w:pPr>
      <w:r>
        <w:t>2b1</w:t>
      </w:r>
      <w:r w:rsidR="00092566">
        <w:t>.</w:t>
      </w:r>
      <w:r w:rsidR="007757CE" w:rsidRPr="00A25024">
        <w:t xml:space="preserve">4. </w:t>
      </w:r>
      <w:r w:rsidR="000B2DF7" w:rsidRPr="00A25024">
        <w:t xml:space="preserve">What is your interpretation of the results </w:t>
      </w:r>
      <w:r w:rsidR="007422FD" w:rsidRPr="00A25024">
        <w:t xml:space="preserve">in terms of demonstrating validity? </w:t>
      </w:r>
    </w:p>
    <w:p w14:paraId="0CABCFDF" w14:textId="20B59E13" w:rsidR="007422FD" w:rsidRDefault="000B2DF7" w:rsidP="00DB3627">
      <w:pPr>
        <w:autoSpaceDE w:val="0"/>
        <w:autoSpaceDN w:val="0"/>
        <w:adjustRightInd w:val="0"/>
        <w:spacing w:after="0" w:line="240" w:lineRule="auto"/>
        <w:rPr>
          <w:rFonts w:cstheme="minorHAnsi"/>
          <w:bCs/>
        </w:rPr>
      </w:pPr>
      <w:r w:rsidRPr="00A25024">
        <w:rPr>
          <w:rFonts w:cstheme="minorHAnsi"/>
          <w:bCs/>
        </w:rPr>
        <w:t>(i</w:t>
      </w:r>
      <w:r w:rsidRPr="00A25024">
        <w:rPr>
          <w:rFonts w:cstheme="minorHAnsi"/>
          <w:bCs/>
          <w:i/>
        </w:rPr>
        <w:t>.e., what do the results mean and what are the norms for the test conducted</w:t>
      </w:r>
      <w:r w:rsidR="00A25024" w:rsidRPr="00A25024">
        <w:rPr>
          <w:rFonts w:cstheme="minorHAnsi"/>
          <w:bCs/>
          <w:i/>
        </w:rPr>
        <w:t>?</w:t>
      </w:r>
      <w:r w:rsidRPr="00A25024">
        <w:rPr>
          <w:rFonts w:cstheme="minorHAnsi"/>
          <w:bCs/>
        </w:rPr>
        <w:t>)</w:t>
      </w:r>
      <w:r w:rsidR="007422FD" w:rsidRPr="00A25024">
        <w:rPr>
          <w:rFonts w:cstheme="minorHAnsi"/>
          <w:bCs/>
        </w:rPr>
        <w:br/>
      </w:r>
    </w:p>
    <w:p w14:paraId="727E0D59" w14:textId="4AEB8400" w:rsidR="003F4BE9" w:rsidRPr="00932E8F" w:rsidRDefault="00417899" w:rsidP="00932E8F">
      <w:pPr>
        <w:autoSpaceDE w:val="0"/>
        <w:autoSpaceDN w:val="0"/>
        <w:adjustRightInd w:val="0"/>
        <w:spacing w:after="0" w:line="240" w:lineRule="auto"/>
        <w:ind w:firstLine="720"/>
        <w:rPr>
          <w:rFonts w:cstheme="minorHAnsi"/>
          <w:bCs/>
          <w:color w:val="0000FF"/>
        </w:rPr>
      </w:pPr>
      <w:r w:rsidRPr="00B5698F">
        <w:rPr>
          <w:rFonts w:cstheme="minorHAnsi"/>
          <w:bCs/>
          <w:color w:val="0000FF"/>
        </w:rPr>
        <w:t xml:space="preserve">The positive relationship between MSPB and known indicators of resource/service utilization confirms that the MSPB measure is sensitive to both the </w:t>
      </w:r>
      <w:r w:rsidR="001221F8" w:rsidRPr="00B5698F">
        <w:rPr>
          <w:rFonts w:cstheme="minorHAnsi"/>
          <w:bCs/>
          <w:color w:val="0000FF"/>
        </w:rPr>
        <w:t>occurrence</w:t>
      </w:r>
      <w:r w:rsidRPr="00B5698F">
        <w:rPr>
          <w:rFonts w:cstheme="minorHAnsi"/>
          <w:bCs/>
          <w:color w:val="0000FF"/>
        </w:rPr>
        <w:t xml:space="preserve"> and the intensity of high cost events.</w:t>
      </w:r>
      <w:r>
        <w:rPr>
          <w:rFonts w:cstheme="minorHAnsi"/>
          <w:bCs/>
          <w:color w:val="0000FF"/>
        </w:rPr>
        <w:t xml:space="preserve"> </w:t>
      </w:r>
      <w:r w:rsidR="003F4BE9" w:rsidRPr="00932E8F">
        <w:rPr>
          <w:rFonts w:cstheme="minorHAnsi"/>
          <w:bCs/>
          <w:color w:val="0000FF"/>
        </w:rPr>
        <w:t xml:space="preserve">The </w:t>
      </w:r>
      <w:r w:rsidR="003F4BE9">
        <w:rPr>
          <w:rFonts w:cstheme="minorHAnsi"/>
          <w:bCs/>
          <w:color w:val="0000FF"/>
        </w:rPr>
        <w:t>small, significant negative correlation between MSPB and DTC measures confirm</w:t>
      </w:r>
      <w:r w:rsidR="005F74E5">
        <w:rPr>
          <w:rFonts w:cstheme="minorHAnsi"/>
          <w:bCs/>
          <w:color w:val="0000FF"/>
        </w:rPr>
        <w:t>s</w:t>
      </w:r>
      <w:r w:rsidR="003F4BE9">
        <w:rPr>
          <w:rFonts w:cstheme="minorHAnsi"/>
          <w:bCs/>
          <w:color w:val="0000FF"/>
        </w:rPr>
        <w:t xml:space="preserve"> that, on average, more efficient </w:t>
      </w:r>
      <w:r w:rsidR="00B5698F">
        <w:rPr>
          <w:rFonts w:cstheme="minorHAnsi"/>
          <w:bCs/>
          <w:color w:val="0000FF"/>
        </w:rPr>
        <w:t>IRFs</w:t>
      </w:r>
      <w:r w:rsidR="003F4BE9">
        <w:rPr>
          <w:rFonts w:cstheme="minorHAnsi"/>
          <w:bCs/>
          <w:color w:val="0000FF"/>
        </w:rPr>
        <w:t xml:space="preserve"> </w:t>
      </w:r>
      <w:r w:rsidR="00D76227">
        <w:rPr>
          <w:rFonts w:cstheme="minorHAnsi"/>
          <w:bCs/>
          <w:color w:val="0000FF"/>
        </w:rPr>
        <w:t>are associated with</w:t>
      </w:r>
      <w:r w:rsidR="003F4BE9">
        <w:rPr>
          <w:rFonts w:cstheme="minorHAnsi"/>
          <w:bCs/>
          <w:color w:val="0000FF"/>
        </w:rPr>
        <w:t xml:space="preserve"> better </w:t>
      </w:r>
      <w:r w:rsidR="005B389F">
        <w:rPr>
          <w:rFonts w:cstheme="minorHAnsi"/>
          <w:bCs/>
          <w:color w:val="0000FF"/>
        </w:rPr>
        <w:t>discharge to community rates</w:t>
      </w:r>
      <w:r w:rsidR="00D97C1D">
        <w:rPr>
          <w:rFonts w:cstheme="minorHAnsi"/>
          <w:bCs/>
          <w:color w:val="0000FF"/>
        </w:rPr>
        <w:t xml:space="preserve"> and fewer unplanned hospitalizations</w:t>
      </w:r>
      <w:r w:rsidR="005B389F">
        <w:rPr>
          <w:rFonts w:cstheme="minorHAnsi"/>
          <w:bCs/>
          <w:color w:val="0000FF"/>
        </w:rPr>
        <w:t>.</w:t>
      </w:r>
      <w:r w:rsidR="00BF50A3">
        <w:rPr>
          <w:rFonts w:cstheme="minorHAnsi"/>
          <w:bCs/>
          <w:color w:val="0000FF"/>
        </w:rPr>
        <w:t xml:space="preserve"> </w:t>
      </w:r>
      <w:r w:rsidR="00BF50A3" w:rsidRPr="00B5698F">
        <w:rPr>
          <w:rFonts w:cstheme="minorHAnsi"/>
          <w:bCs/>
          <w:color w:val="0000FF"/>
        </w:rPr>
        <w:t xml:space="preserve">The low correlation between MSPB and </w:t>
      </w:r>
      <w:r w:rsidR="00B5698F" w:rsidRPr="005B2207">
        <w:rPr>
          <w:rFonts w:cstheme="minorHAnsi"/>
          <w:bCs/>
          <w:color w:val="0000FF"/>
        </w:rPr>
        <w:t>Pressure Ulcers</w:t>
      </w:r>
      <w:r w:rsidR="00BF50A3" w:rsidRPr="00B5698F">
        <w:rPr>
          <w:rFonts w:cstheme="minorHAnsi"/>
          <w:bCs/>
          <w:color w:val="0000FF"/>
        </w:rPr>
        <w:t xml:space="preserve"> measures is consistent with the finding that </w:t>
      </w:r>
      <w:r w:rsidR="00B5698F" w:rsidRPr="005B2207">
        <w:rPr>
          <w:rFonts w:cstheme="minorHAnsi"/>
          <w:bCs/>
          <w:color w:val="0000FF"/>
        </w:rPr>
        <w:t>the prevalence of pressure ulcers</w:t>
      </w:r>
      <w:r w:rsidR="00BF50A3" w:rsidRPr="00B5698F">
        <w:rPr>
          <w:rFonts w:cstheme="minorHAnsi"/>
          <w:bCs/>
          <w:color w:val="0000FF"/>
        </w:rPr>
        <w:t xml:space="preserve"> is not associated with lower rates of </w:t>
      </w:r>
      <w:r w:rsidR="00B5698F" w:rsidRPr="00B5698F">
        <w:rPr>
          <w:rFonts w:cstheme="minorHAnsi"/>
          <w:bCs/>
          <w:color w:val="0000FF"/>
        </w:rPr>
        <w:t>successful discharge to com</w:t>
      </w:r>
      <w:r w:rsidR="00B5698F">
        <w:rPr>
          <w:rFonts w:cstheme="minorHAnsi"/>
          <w:bCs/>
          <w:color w:val="0000FF"/>
        </w:rPr>
        <w:t>munity</w:t>
      </w:r>
      <w:r w:rsidR="00BF50A3">
        <w:rPr>
          <w:rFonts w:cstheme="minorHAnsi"/>
          <w:bCs/>
          <w:color w:val="0000FF"/>
        </w:rPr>
        <w:t>.</w:t>
      </w: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CF1289">
      <w:pPr>
        <w:pStyle w:val="Heading1"/>
      </w:pPr>
      <w:r w:rsidRPr="00A25024">
        <w:t>2</w:t>
      </w:r>
      <w:r w:rsidR="00EA5F47" w:rsidRPr="00A25024">
        <w:t>b</w:t>
      </w:r>
      <w:r w:rsidR="009C7513">
        <w:t>2.</w:t>
      </w:r>
      <w:r w:rsidRPr="00A25024">
        <w:t xml:space="preserve"> EXCLUSIONS</w:t>
      </w:r>
      <w:r w:rsidR="005333CC" w:rsidRPr="00A25024">
        <w:t xml:space="preserve"> </w:t>
      </w:r>
      <w:r w:rsidR="00356BAD" w:rsidRPr="00A25024">
        <w:t>ANALYSIS</w:t>
      </w:r>
    </w:p>
    <w:p w14:paraId="0CABCFE2" w14:textId="77777777"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05D0F99F" w14:textId="77777777" w:rsidR="00C64278" w:rsidRDefault="00092566" w:rsidP="00EE4048">
      <w:pPr>
        <w:pStyle w:val="Heading3"/>
      </w:pPr>
      <w:r>
        <w:t>2b</w:t>
      </w:r>
      <w:r w:rsidR="009C7513">
        <w:t>2</w:t>
      </w:r>
      <w:r>
        <w:t>.</w:t>
      </w:r>
      <w:r w:rsidR="00A25024" w:rsidRPr="00A25024">
        <w:t>1. Describe the method of</w:t>
      </w:r>
      <w:r w:rsidR="00E672D6" w:rsidRPr="00A25024">
        <w:t xml:space="preserve"> </w:t>
      </w:r>
      <w:r w:rsidR="005333CC" w:rsidRPr="00A25024">
        <w:t>testing</w:t>
      </w:r>
      <w:r w:rsidR="00833325" w:rsidRPr="00A25024">
        <w:t xml:space="preserve"> </w:t>
      </w:r>
      <w:r w:rsidR="004B6CEE" w:rsidRPr="00A25024">
        <w:t xml:space="preserve">exclusions </w:t>
      </w:r>
      <w:r w:rsidR="00A25024" w:rsidRPr="00A25024">
        <w:t>and what it tests</w:t>
      </w:r>
      <w:r w:rsidR="00833325" w:rsidRPr="00A25024">
        <w:t xml:space="preserve"> </w:t>
      </w:r>
    </w:p>
    <w:p w14:paraId="0CABCFE4" w14:textId="745F446D" w:rsidR="00833325" w:rsidRPr="009D3882" w:rsidRDefault="00833325" w:rsidP="00DB3627">
      <w:pPr>
        <w:autoSpaceDE w:val="0"/>
        <w:autoSpaceDN w:val="0"/>
        <w:adjustRightInd w:val="0"/>
        <w:spacing w:after="0" w:line="240" w:lineRule="auto"/>
        <w:rPr>
          <w:rFonts w:cstheme="minorHAnsi"/>
          <w:bCs/>
          <w:sz w:val="12"/>
        </w:rPr>
      </w:pPr>
      <w:r w:rsidRPr="00A25024">
        <w:rPr>
          <w:rFonts w:cstheme="minorHAnsi"/>
          <w:bCs/>
        </w:rPr>
        <w:t>(</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Pr="00A25024">
        <w:rPr>
          <w:rFonts w:cstheme="minorHAnsi"/>
          <w:bCs/>
        </w:rPr>
        <w:t>)</w:t>
      </w:r>
      <w:r w:rsidRPr="00A25024">
        <w:rPr>
          <w:rFonts w:cstheme="minorHAnsi"/>
          <w:bCs/>
        </w:rPr>
        <w:br/>
        <w:t xml:space="preserve"> </w:t>
      </w:r>
    </w:p>
    <w:p w14:paraId="0CABCFE5" w14:textId="01524956" w:rsidR="00833325" w:rsidRPr="003F307C" w:rsidRDefault="000B0F90" w:rsidP="00932E8F">
      <w:pPr>
        <w:spacing w:line="240" w:lineRule="auto"/>
        <w:ind w:firstLine="720"/>
        <w:rPr>
          <w:color w:val="0000FF"/>
        </w:rPr>
      </w:pPr>
      <w:r w:rsidRPr="000B0F90">
        <w:rPr>
          <w:rStyle w:val="Style1"/>
        </w:rPr>
        <w:t>Measure exclusion criteria and rationale for exclusions are presented in section 2b2.3. We examined the episode-level frequency of each exclusion</w:t>
      </w:r>
      <w:bookmarkStart w:id="21" w:name="_Hlk520661067"/>
      <w:bookmarkStart w:id="22" w:name="_Hlk520664626"/>
      <w:r w:rsidRPr="000B0F90">
        <w:rPr>
          <w:rStyle w:val="Style1"/>
        </w:rPr>
        <w:t xml:space="preserve"> and the facility-level</w:t>
      </w:r>
      <w:bookmarkEnd w:id="21"/>
      <w:bookmarkEnd w:id="22"/>
      <w:r w:rsidRPr="000B0F90">
        <w:rPr>
          <w:rStyle w:val="Style1"/>
        </w:rPr>
        <w:t xml:space="preserve"> distribution of exclusions. The exclusions were required to ensure availability of complete and valid data for measure specification (e.g., excluding episodes in which a patient is not enrolled in Medicare FFS or where Medicare was not the primary payer for the entirety of a 90-day lookback period </w:t>
      </w:r>
      <w:r w:rsidR="003F307C">
        <w:rPr>
          <w:rStyle w:val="Style1"/>
        </w:rPr>
        <w:t xml:space="preserve">plus episode window). </w:t>
      </w:r>
    </w:p>
    <w:p w14:paraId="66D562EA" w14:textId="77777777" w:rsidR="00C64278" w:rsidRDefault="00092566" w:rsidP="00EE4048">
      <w:pPr>
        <w:pStyle w:val="Heading3"/>
      </w:pPr>
      <w:r>
        <w:t>2b</w:t>
      </w:r>
      <w:r w:rsidR="009C7513">
        <w:t>2</w:t>
      </w:r>
      <w:r>
        <w:t>.</w:t>
      </w:r>
      <w:r w:rsidR="00A25024" w:rsidRPr="00A25024">
        <w:t xml:space="preserve">2. </w:t>
      </w:r>
      <w:r w:rsidR="00833325" w:rsidRPr="00A25024">
        <w:t xml:space="preserve">What were the statistical results </w:t>
      </w:r>
      <w:r w:rsidR="007422FD" w:rsidRPr="00A25024">
        <w:t>from testing exclusions</w:t>
      </w:r>
      <w:r w:rsidR="00833325" w:rsidRPr="00A25024">
        <w:t>?</w:t>
      </w:r>
      <w:r w:rsidR="000B2DF7" w:rsidRPr="00A25024">
        <w:t xml:space="preserve"> </w:t>
      </w:r>
    </w:p>
    <w:p w14:paraId="0CABCFE6" w14:textId="14C864F2" w:rsidR="007422FD" w:rsidRDefault="000B2DF7" w:rsidP="00092566">
      <w:pPr>
        <w:autoSpaceDE w:val="0"/>
        <w:autoSpaceDN w:val="0"/>
        <w:adjustRightInd w:val="0"/>
        <w:spacing w:after="0" w:line="240" w:lineRule="auto"/>
        <w:rPr>
          <w:rFonts w:cstheme="minorHAnsi"/>
          <w:bCs/>
        </w:rPr>
      </w:pPr>
      <w:r w:rsidRPr="00A25024">
        <w:rPr>
          <w:rFonts w:cstheme="minorHAnsi"/>
          <w:bCs/>
        </w:rPr>
        <w:t>(</w:t>
      </w:r>
      <w:r w:rsidRPr="00A25024">
        <w:rPr>
          <w:rFonts w:cstheme="minorHAnsi"/>
          <w:bCs/>
          <w:i/>
        </w:rPr>
        <w:t xml:space="preserve">include </w:t>
      </w:r>
      <w:r w:rsidR="00356BAD" w:rsidRPr="00A25024">
        <w:rPr>
          <w:rFonts w:cstheme="minorHAnsi"/>
          <w:bCs/>
          <w:i/>
        </w:rPr>
        <w:t xml:space="preserve">overall </w:t>
      </w:r>
      <w:r w:rsidRPr="00A25024">
        <w:rPr>
          <w:rFonts w:cstheme="minorHAnsi"/>
          <w:bCs/>
          <w:i/>
        </w:rPr>
        <w:t>number and percentage of individuals excluded</w:t>
      </w:r>
      <w:r w:rsidR="0025762F" w:rsidRPr="00A25024">
        <w:rPr>
          <w:rFonts w:cstheme="minorHAnsi"/>
          <w:bCs/>
          <w:i/>
        </w:rPr>
        <w:t>, frequency distribution of exclusions across measured entities,</w:t>
      </w:r>
      <w:r w:rsidRPr="00A25024">
        <w:rPr>
          <w:rFonts w:cstheme="minorHAnsi"/>
          <w:bCs/>
          <w:i/>
        </w:rPr>
        <w:t xml:space="preserve"> and impact on performance measure scores</w:t>
      </w:r>
      <w:r w:rsidRPr="00A25024">
        <w:rPr>
          <w:rFonts w:cstheme="minorHAnsi"/>
          <w:bCs/>
        </w:rPr>
        <w:t>)</w:t>
      </w:r>
      <w:r w:rsidR="00833325" w:rsidRPr="00A25024">
        <w:rPr>
          <w:rFonts w:cstheme="minorHAnsi"/>
          <w:bCs/>
        </w:rPr>
        <w:br/>
      </w:r>
    </w:p>
    <w:p w14:paraId="31FA97A4" w14:textId="3148C031" w:rsidR="003F307C" w:rsidRPr="008C7D29" w:rsidRDefault="00715FD3" w:rsidP="00932E8F">
      <w:pPr>
        <w:spacing w:line="240" w:lineRule="auto"/>
        <w:ind w:firstLine="720"/>
        <w:rPr>
          <w:rStyle w:val="Style1"/>
          <w:highlight w:val="yellow"/>
        </w:rPr>
      </w:pPr>
      <w:r w:rsidRPr="00AD2E50">
        <w:rPr>
          <w:rStyle w:val="Style1"/>
          <w:b/>
        </w:rPr>
        <w:fldChar w:fldCharType="begin"/>
      </w:r>
      <w:r w:rsidRPr="00EF74B5">
        <w:rPr>
          <w:rStyle w:val="Style1"/>
          <w:b/>
        </w:rPr>
        <w:instrText xml:space="preserve"> REF _Ref22633770 \h </w:instrText>
      </w:r>
      <w:r w:rsidR="009F6752" w:rsidRPr="00EF74B5">
        <w:rPr>
          <w:rStyle w:val="Style1"/>
          <w:b/>
        </w:rPr>
        <w:instrText xml:space="preserve"> \* MERGEFORMAT </w:instrText>
      </w:r>
      <w:r w:rsidRPr="00AD2E50">
        <w:rPr>
          <w:rStyle w:val="Style1"/>
          <w:b/>
        </w:rPr>
      </w:r>
      <w:r w:rsidRPr="00AD2E50">
        <w:rPr>
          <w:rStyle w:val="Style1"/>
          <w:b/>
        </w:rPr>
        <w:fldChar w:fldCharType="separate"/>
      </w:r>
      <w:r w:rsidR="00B6644A" w:rsidRPr="00EF74B5">
        <w:rPr>
          <w:rStyle w:val="Style1"/>
          <w:b/>
          <w:bCs/>
        </w:rPr>
        <w:t xml:space="preserve">Table </w:t>
      </w:r>
      <w:r w:rsidR="00B6644A" w:rsidRPr="00EF74B5">
        <w:rPr>
          <w:rStyle w:val="Style1"/>
          <w:b/>
          <w:bCs/>
          <w:noProof/>
        </w:rPr>
        <w:t>8</w:t>
      </w:r>
      <w:r w:rsidRPr="00AD2E50">
        <w:rPr>
          <w:rStyle w:val="Style1"/>
          <w:b/>
        </w:rPr>
        <w:fldChar w:fldCharType="end"/>
      </w:r>
      <w:r w:rsidR="003F307C" w:rsidRPr="00EF74B5">
        <w:rPr>
          <w:rStyle w:val="Style1"/>
        </w:rPr>
        <w:t xml:space="preserve"> displays the overall number and percentage of episodes excluded based on each criterion. Because the exclusions are not applied sequentially, one episode could be excluded for multiple reasons and the sum of individual exclusion frequencies may exceed the total number of episodes excluded. </w:t>
      </w:r>
      <w:r w:rsidR="003F307C" w:rsidRPr="00AD2E50">
        <w:rPr>
          <w:rStyle w:val="Style1"/>
        </w:rPr>
        <w:t xml:space="preserve">Overall, </w:t>
      </w:r>
      <w:r w:rsidR="00AD2E50" w:rsidRPr="008C7D29">
        <w:rPr>
          <w:rStyle w:val="Style1"/>
        </w:rPr>
        <w:t>18.48</w:t>
      </w:r>
      <w:r w:rsidR="003F307C" w:rsidRPr="00AD2E50">
        <w:rPr>
          <w:rStyle w:val="Style1"/>
        </w:rPr>
        <w:t>% of episodes were excluded because of one or more exclusion criteria. 1</w:t>
      </w:r>
      <w:r w:rsidR="00AD2E50" w:rsidRPr="008C7D29">
        <w:rPr>
          <w:rStyle w:val="Style1"/>
        </w:rPr>
        <w:t>0.01</w:t>
      </w:r>
      <w:r w:rsidR="003F307C" w:rsidRPr="00AD2E50">
        <w:rPr>
          <w:rStyle w:val="Style1"/>
        </w:rPr>
        <w:t xml:space="preserve">% of episodes were excluded due to a patient not being enrolled in Medicare FFS for the entirety of the 90-day lookback period plus the episode window. </w:t>
      </w:r>
      <w:r w:rsidR="00AD2E50" w:rsidRPr="00AD2E50">
        <w:rPr>
          <w:rStyle w:val="Style1"/>
        </w:rPr>
        <w:t>10.21</w:t>
      </w:r>
      <w:r w:rsidR="003F307C" w:rsidRPr="00AD2E50">
        <w:rPr>
          <w:rStyle w:val="Style1"/>
        </w:rPr>
        <w:t>% of episodes were excluded because a patient had a primary payer other than Medicare for any part of the 90-day lookback period plus the episode window.</w:t>
      </w:r>
    </w:p>
    <w:p w14:paraId="75983B01" w14:textId="41782F6E" w:rsidR="003F307C" w:rsidRDefault="00715FD3" w:rsidP="00932E8F">
      <w:pPr>
        <w:spacing w:line="240" w:lineRule="auto"/>
        <w:ind w:firstLine="720"/>
        <w:rPr>
          <w:rStyle w:val="Style1"/>
        </w:rPr>
      </w:pPr>
      <w:r w:rsidRPr="00AD2E50">
        <w:rPr>
          <w:rStyle w:val="Style1"/>
          <w:b/>
        </w:rPr>
        <w:fldChar w:fldCharType="begin"/>
      </w:r>
      <w:r w:rsidRPr="00EF74B5">
        <w:rPr>
          <w:rStyle w:val="Style1"/>
          <w:b/>
        </w:rPr>
        <w:instrText xml:space="preserve"> REF _Ref22633778 \h  \* MERGEFORMAT </w:instrText>
      </w:r>
      <w:r w:rsidRPr="00AD2E50">
        <w:rPr>
          <w:rStyle w:val="Style1"/>
          <w:b/>
        </w:rPr>
      </w:r>
      <w:r w:rsidRPr="00AD2E50">
        <w:rPr>
          <w:rStyle w:val="Style1"/>
          <w:b/>
        </w:rPr>
        <w:fldChar w:fldCharType="separate"/>
      </w:r>
      <w:r w:rsidR="00B6644A" w:rsidRPr="00EF74B5">
        <w:rPr>
          <w:b/>
          <w:color w:val="0000FF"/>
        </w:rPr>
        <w:t xml:space="preserve">Table </w:t>
      </w:r>
      <w:r w:rsidR="00B6644A" w:rsidRPr="00EF74B5">
        <w:rPr>
          <w:b/>
          <w:noProof/>
          <w:color w:val="0000FF"/>
        </w:rPr>
        <w:t>9</w:t>
      </w:r>
      <w:r w:rsidRPr="00AD2E50">
        <w:rPr>
          <w:rStyle w:val="Style1"/>
          <w:b/>
        </w:rPr>
        <w:fldChar w:fldCharType="end"/>
      </w:r>
      <w:r w:rsidR="003F307C" w:rsidRPr="00EF74B5">
        <w:rPr>
          <w:rStyle w:val="Style1"/>
          <w:b/>
        </w:rPr>
        <w:t xml:space="preserve"> </w:t>
      </w:r>
      <w:r w:rsidR="003F307C" w:rsidRPr="00EF74B5">
        <w:rPr>
          <w:rStyle w:val="Style1"/>
        </w:rPr>
        <w:t xml:space="preserve">shows </w:t>
      </w:r>
      <w:r w:rsidR="003F307C" w:rsidRPr="00AD2E50">
        <w:rPr>
          <w:rStyle w:val="Style1"/>
        </w:rPr>
        <w:t xml:space="preserve">the distribution of exclusions at the facility level. On average, </w:t>
      </w:r>
      <w:r w:rsidR="00AD2E50" w:rsidRPr="005B2207">
        <w:rPr>
          <w:rStyle w:val="Style1"/>
        </w:rPr>
        <w:t>10.52</w:t>
      </w:r>
      <w:r w:rsidR="003F307C" w:rsidRPr="00AD2E50">
        <w:rPr>
          <w:rStyle w:val="Style1"/>
        </w:rPr>
        <w:t xml:space="preserve">% of a facility’s episodes were excluded due to a patient not being enrolled in Medicare FFS for the entirety of the 90 day lookback period plus the episode window and </w:t>
      </w:r>
      <w:r w:rsidR="00AD2E50" w:rsidRPr="00AD2E50">
        <w:rPr>
          <w:rStyle w:val="Style1"/>
        </w:rPr>
        <w:t>10.18</w:t>
      </w:r>
      <w:r w:rsidR="003F307C" w:rsidRPr="00AD2E50">
        <w:rPr>
          <w:rStyle w:val="Style1"/>
        </w:rPr>
        <w:t>% of a facility’s episodes were excluded because a patient had a primary payer other than Medicare for any part of the 90-day lookback period plus the episode window.</w:t>
      </w:r>
    </w:p>
    <w:p w14:paraId="665F4D57" w14:textId="0C10CCAD" w:rsidR="003F307C" w:rsidRPr="003F307C" w:rsidRDefault="003F307C" w:rsidP="009F6752">
      <w:pPr>
        <w:pStyle w:val="Caption"/>
        <w:spacing w:after="0"/>
        <w:rPr>
          <w:rStyle w:val="Style1"/>
          <w:rFonts w:eastAsiaTheme="minorEastAsia" w:cstheme="minorBidi"/>
          <w:bCs w:val="0"/>
          <w:szCs w:val="22"/>
        </w:rPr>
      </w:pPr>
      <w:bookmarkStart w:id="23" w:name="_Ref22633770"/>
      <w:r w:rsidRPr="003F307C">
        <w:rPr>
          <w:rStyle w:val="Style1"/>
          <w:rFonts w:eastAsiaTheme="minorEastAsia" w:cstheme="minorBidi"/>
          <w:bCs w:val="0"/>
          <w:szCs w:val="22"/>
        </w:rPr>
        <w:t xml:space="preserve">Table </w:t>
      </w:r>
      <w:r w:rsidR="00715FD3">
        <w:rPr>
          <w:rStyle w:val="Style1"/>
          <w:rFonts w:eastAsiaTheme="minorEastAsia" w:cstheme="minorBidi"/>
          <w:bCs w:val="0"/>
          <w:szCs w:val="22"/>
        </w:rPr>
        <w:fldChar w:fldCharType="begin"/>
      </w:r>
      <w:r w:rsidR="00715FD3">
        <w:rPr>
          <w:rStyle w:val="Style1"/>
          <w:rFonts w:eastAsiaTheme="minorEastAsia" w:cstheme="minorBidi"/>
          <w:bCs w:val="0"/>
          <w:szCs w:val="22"/>
        </w:rPr>
        <w:instrText xml:space="preserve"> SEQ Table \* ARABIC </w:instrText>
      </w:r>
      <w:r w:rsidR="00715FD3">
        <w:rPr>
          <w:rStyle w:val="Style1"/>
          <w:rFonts w:eastAsiaTheme="minorEastAsia" w:cstheme="minorBidi"/>
          <w:bCs w:val="0"/>
          <w:szCs w:val="22"/>
        </w:rPr>
        <w:fldChar w:fldCharType="separate"/>
      </w:r>
      <w:r w:rsidR="00B6644A">
        <w:rPr>
          <w:rStyle w:val="Style1"/>
          <w:rFonts w:eastAsiaTheme="minorEastAsia" w:cstheme="minorBidi"/>
          <w:bCs w:val="0"/>
          <w:noProof/>
          <w:szCs w:val="22"/>
        </w:rPr>
        <w:t>8</w:t>
      </w:r>
      <w:r w:rsidR="00715FD3">
        <w:rPr>
          <w:rStyle w:val="Style1"/>
          <w:rFonts w:eastAsiaTheme="minorEastAsia" w:cstheme="minorBidi"/>
          <w:bCs w:val="0"/>
          <w:szCs w:val="22"/>
        </w:rPr>
        <w:fldChar w:fldCharType="end"/>
      </w:r>
      <w:bookmarkEnd w:id="23"/>
      <w:r w:rsidRPr="003F307C">
        <w:rPr>
          <w:rStyle w:val="Style1"/>
          <w:rFonts w:eastAsiaTheme="minorEastAsia" w:cstheme="minorBidi"/>
          <w:bCs w:val="0"/>
          <w:szCs w:val="22"/>
        </w:rPr>
        <w:t xml:space="preserve">. Episode Frequencies of Exclusion Criteria for the MSPB-PAC </w:t>
      </w:r>
      <w:r w:rsidR="005A5888">
        <w:rPr>
          <w:rStyle w:val="Style1"/>
          <w:rFonts w:eastAsiaTheme="minorEastAsia" w:cstheme="minorBidi"/>
          <w:bCs w:val="0"/>
          <w:szCs w:val="22"/>
        </w:rPr>
        <w:t>IRF</w:t>
      </w:r>
      <w:r w:rsidRPr="003F307C">
        <w:rPr>
          <w:rStyle w:val="Style1"/>
          <w:rFonts w:eastAsiaTheme="minorEastAsia" w:cstheme="minorBidi"/>
          <w:bCs w:val="0"/>
          <w:szCs w:val="22"/>
        </w:rPr>
        <w:t xml:space="preserve"> Measure</w:t>
      </w:r>
    </w:p>
    <w:tbl>
      <w:tblPr>
        <w:tblStyle w:val="CMSTable"/>
        <w:tblW w:w="5000" w:type="pct"/>
        <w:tblLayout w:type="fixed"/>
        <w:tblLook w:val="04A0" w:firstRow="1" w:lastRow="0" w:firstColumn="1" w:lastColumn="0" w:noHBand="0" w:noVBand="1"/>
      </w:tblPr>
      <w:tblGrid>
        <w:gridCol w:w="6481"/>
        <w:gridCol w:w="1619"/>
        <w:gridCol w:w="1260"/>
      </w:tblGrid>
      <w:tr w:rsidR="003F307C" w:rsidRPr="003F307C" w14:paraId="0CF8FAA4" w14:textId="77777777" w:rsidTr="002E6199">
        <w:trPr>
          <w:cnfStyle w:val="100000000000" w:firstRow="1" w:lastRow="0" w:firstColumn="0" w:lastColumn="0" w:oddVBand="0" w:evenVBand="0" w:oddHBand="0" w:evenHBand="0" w:firstRowFirstColumn="0" w:firstRowLastColumn="0" w:lastRowFirstColumn="0" w:lastRowLastColumn="0"/>
          <w:trHeight w:val="150"/>
        </w:trPr>
        <w:tc>
          <w:tcPr>
            <w:tcW w:w="3462" w:type="pct"/>
            <w:shd w:val="clear" w:color="auto" w:fill="D9D9D9" w:themeFill="background1" w:themeFillShade="D9"/>
            <w:vAlign w:val="center"/>
            <w:hideMark/>
          </w:tcPr>
          <w:p w14:paraId="7126EE80" w14:textId="77777777" w:rsidR="003F307C" w:rsidRPr="003F307C" w:rsidRDefault="003F307C" w:rsidP="00F2316D">
            <w:pPr>
              <w:rPr>
                <w:rStyle w:val="Style1"/>
                <w:rFonts w:eastAsiaTheme="minorEastAsia" w:cstheme="minorBidi"/>
              </w:rPr>
            </w:pPr>
            <w:r w:rsidRPr="003F307C">
              <w:rPr>
                <w:rStyle w:val="Style1"/>
                <w:rFonts w:eastAsiaTheme="minorEastAsia" w:cstheme="minorBidi"/>
              </w:rPr>
              <w:t>Exclusion</w:t>
            </w:r>
          </w:p>
        </w:tc>
        <w:tc>
          <w:tcPr>
            <w:tcW w:w="865" w:type="pct"/>
            <w:shd w:val="clear" w:color="auto" w:fill="D9D9D9" w:themeFill="background1" w:themeFillShade="D9"/>
            <w:vAlign w:val="center"/>
            <w:hideMark/>
          </w:tcPr>
          <w:p w14:paraId="7D9893EA" w14:textId="77777777" w:rsidR="003F307C" w:rsidRPr="003F307C" w:rsidRDefault="003F307C" w:rsidP="00F2316D">
            <w:pPr>
              <w:rPr>
                <w:rStyle w:val="Style1"/>
                <w:rFonts w:eastAsiaTheme="minorEastAsia" w:cstheme="minorBidi"/>
              </w:rPr>
            </w:pPr>
            <w:r w:rsidRPr="003F307C">
              <w:rPr>
                <w:rStyle w:val="Style1"/>
                <w:rFonts w:eastAsiaTheme="minorEastAsia" w:cstheme="minorBidi"/>
              </w:rPr>
              <w:t>N*</w:t>
            </w:r>
          </w:p>
        </w:tc>
        <w:tc>
          <w:tcPr>
            <w:tcW w:w="673" w:type="pct"/>
            <w:shd w:val="clear" w:color="auto" w:fill="D9D9D9" w:themeFill="background1" w:themeFillShade="D9"/>
            <w:vAlign w:val="center"/>
            <w:hideMark/>
          </w:tcPr>
          <w:p w14:paraId="616F7C1B" w14:textId="77777777" w:rsidR="003F307C" w:rsidRPr="003F307C" w:rsidRDefault="003F307C" w:rsidP="00F2316D">
            <w:pPr>
              <w:rPr>
                <w:rStyle w:val="Style1"/>
                <w:rFonts w:eastAsiaTheme="minorEastAsia" w:cstheme="minorBidi"/>
              </w:rPr>
            </w:pPr>
            <w:r w:rsidRPr="003F307C">
              <w:rPr>
                <w:rStyle w:val="Style1"/>
                <w:rFonts w:eastAsiaTheme="minorEastAsia" w:cstheme="minorBidi"/>
              </w:rPr>
              <w:t>%</w:t>
            </w:r>
          </w:p>
        </w:tc>
      </w:tr>
      <w:tr w:rsidR="003F307C" w:rsidRPr="003F307C" w14:paraId="2AC08590" w14:textId="77777777" w:rsidTr="002E6199">
        <w:trPr>
          <w:trHeight w:val="144"/>
        </w:trPr>
        <w:tc>
          <w:tcPr>
            <w:tcW w:w="3462" w:type="pct"/>
            <w:tcBorders>
              <w:top w:val="dashed" w:sz="4" w:space="0" w:color="auto"/>
              <w:bottom w:val="dashed" w:sz="4" w:space="0" w:color="auto"/>
            </w:tcBorders>
            <w:noWrap/>
            <w:vAlign w:val="center"/>
          </w:tcPr>
          <w:p w14:paraId="060CF076" w14:textId="6845CE39" w:rsidR="003F307C" w:rsidRPr="00AD2E50" w:rsidRDefault="003F307C">
            <w:pPr>
              <w:rPr>
                <w:rStyle w:val="Style1"/>
                <w:rFonts w:eastAsiaTheme="minorEastAsia" w:cstheme="minorBidi"/>
              </w:rPr>
            </w:pPr>
            <w:r w:rsidRPr="004B2F49">
              <w:rPr>
                <w:rStyle w:val="Style1"/>
              </w:rPr>
              <w:t>Any episode that is triggered by a</w:t>
            </w:r>
            <w:r w:rsidR="003A7C3A">
              <w:rPr>
                <w:rStyle w:val="Style1"/>
                <w:rFonts w:eastAsiaTheme="minorEastAsia" w:cstheme="minorBidi"/>
              </w:rPr>
              <w:t>n IRF</w:t>
            </w:r>
            <w:r w:rsidRPr="004B2F49">
              <w:rPr>
                <w:rStyle w:val="Style1"/>
              </w:rPr>
              <w:t xml:space="preserve"> claim outside the 50 states, D.C., Puerto Rico, or U.S. territories</w:t>
            </w:r>
          </w:p>
        </w:tc>
        <w:tc>
          <w:tcPr>
            <w:tcW w:w="865" w:type="pct"/>
            <w:tcBorders>
              <w:top w:val="dashed" w:sz="4" w:space="0" w:color="auto"/>
              <w:bottom w:val="dashed" w:sz="4" w:space="0" w:color="auto"/>
            </w:tcBorders>
            <w:vAlign w:val="center"/>
          </w:tcPr>
          <w:p w14:paraId="397193FE" w14:textId="77777777" w:rsidR="003F307C" w:rsidRPr="003F307C" w:rsidRDefault="003F307C" w:rsidP="002E6199">
            <w:pPr>
              <w:jc w:val="center"/>
              <w:rPr>
                <w:rStyle w:val="Style1"/>
                <w:rFonts w:eastAsiaTheme="minorEastAsia" w:cstheme="minorBidi"/>
              </w:rPr>
            </w:pPr>
            <w:r w:rsidRPr="003F307C">
              <w:rPr>
                <w:rStyle w:val="Style1"/>
                <w:rFonts w:eastAsiaTheme="minorEastAsia" w:cstheme="minorBidi"/>
              </w:rPr>
              <w:t>0</w:t>
            </w:r>
          </w:p>
        </w:tc>
        <w:tc>
          <w:tcPr>
            <w:tcW w:w="673" w:type="pct"/>
            <w:tcBorders>
              <w:top w:val="dashed" w:sz="4" w:space="0" w:color="auto"/>
              <w:bottom w:val="dashed" w:sz="4" w:space="0" w:color="auto"/>
            </w:tcBorders>
            <w:vAlign w:val="center"/>
          </w:tcPr>
          <w:p w14:paraId="554748CB" w14:textId="77777777" w:rsidR="003F307C" w:rsidRPr="003F307C" w:rsidRDefault="003F307C" w:rsidP="002E6199">
            <w:pPr>
              <w:jc w:val="center"/>
              <w:rPr>
                <w:rStyle w:val="Style1"/>
                <w:rFonts w:eastAsiaTheme="minorEastAsia" w:cstheme="minorBidi"/>
              </w:rPr>
            </w:pPr>
            <w:r w:rsidRPr="003F307C">
              <w:rPr>
                <w:rStyle w:val="Style1"/>
                <w:rFonts w:eastAsiaTheme="minorEastAsia" w:cstheme="minorBidi"/>
              </w:rPr>
              <w:t>0.00%</w:t>
            </w:r>
          </w:p>
        </w:tc>
      </w:tr>
      <w:tr w:rsidR="003F307C" w:rsidRPr="003F307C" w14:paraId="04435947" w14:textId="77777777" w:rsidTr="002E6199">
        <w:trPr>
          <w:trHeight w:val="74"/>
        </w:trPr>
        <w:tc>
          <w:tcPr>
            <w:tcW w:w="3462" w:type="pct"/>
            <w:tcBorders>
              <w:top w:val="dashed" w:sz="4" w:space="0" w:color="auto"/>
              <w:bottom w:val="dashed" w:sz="4" w:space="0" w:color="auto"/>
            </w:tcBorders>
            <w:shd w:val="clear" w:color="auto" w:fill="auto"/>
            <w:noWrap/>
            <w:vAlign w:val="center"/>
          </w:tcPr>
          <w:p w14:paraId="36D0BBC8" w14:textId="590543E9" w:rsidR="003F307C" w:rsidRPr="00AD2E50" w:rsidRDefault="003F307C">
            <w:pPr>
              <w:rPr>
                <w:rStyle w:val="Style1"/>
                <w:rFonts w:eastAsiaTheme="minorEastAsia" w:cstheme="minorBidi"/>
              </w:rPr>
            </w:pPr>
            <w:r w:rsidRPr="004B2F49">
              <w:rPr>
                <w:rStyle w:val="Style1"/>
              </w:rPr>
              <w:t xml:space="preserve">Any episode where the claim(s) constituting the attributed </w:t>
            </w:r>
            <w:r w:rsidR="003A7C3A">
              <w:rPr>
                <w:rStyle w:val="Style1"/>
                <w:rFonts w:eastAsiaTheme="minorEastAsia" w:cstheme="minorBidi"/>
              </w:rPr>
              <w:t xml:space="preserve">IRF </w:t>
            </w:r>
            <w:r w:rsidRPr="004B2F49">
              <w:rPr>
                <w:rStyle w:val="Style1"/>
              </w:rPr>
              <w:t>provider’s treatment have a standard allowed amount of zero or where the standard allowed amount cannot be calculated</w:t>
            </w:r>
          </w:p>
        </w:tc>
        <w:tc>
          <w:tcPr>
            <w:tcW w:w="865" w:type="pct"/>
            <w:tcBorders>
              <w:top w:val="dashed" w:sz="4" w:space="0" w:color="auto"/>
              <w:bottom w:val="dashed" w:sz="4" w:space="0" w:color="auto"/>
            </w:tcBorders>
            <w:shd w:val="clear" w:color="auto" w:fill="auto"/>
            <w:vAlign w:val="center"/>
          </w:tcPr>
          <w:p w14:paraId="00C0B2AA" w14:textId="3A0B2E5E" w:rsidR="003F307C" w:rsidRPr="003F307C" w:rsidRDefault="004B2F49" w:rsidP="002E6199">
            <w:pPr>
              <w:jc w:val="center"/>
              <w:rPr>
                <w:rStyle w:val="Style1"/>
                <w:rFonts w:eastAsiaTheme="minorEastAsia" w:cstheme="minorBidi"/>
                <w:szCs w:val="22"/>
              </w:rPr>
            </w:pPr>
            <w:r>
              <w:rPr>
                <w:rStyle w:val="Style1"/>
                <w:rFonts w:eastAsiaTheme="minorEastAsia" w:cstheme="minorBidi"/>
              </w:rPr>
              <w:t>0</w:t>
            </w:r>
          </w:p>
          <w:p w14:paraId="7B92D069" w14:textId="77777777" w:rsidR="003F307C" w:rsidRPr="003F307C" w:rsidRDefault="003F307C" w:rsidP="002E6199">
            <w:pPr>
              <w:jc w:val="center"/>
              <w:rPr>
                <w:rStyle w:val="Style1"/>
                <w:rFonts w:eastAsiaTheme="minorEastAsia" w:cstheme="minorBidi"/>
              </w:rPr>
            </w:pPr>
          </w:p>
        </w:tc>
        <w:tc>
          <w:tcPr>
            <w:tcW w:w="673" w:type="pct"/>
            <w:tcBorders>
              <w:top w:val="dashed" w:sz="4" w:space="0" w:color="auto"/>
              <w:bottom w:val="dashed" w:sz="4" w:space="0" w:color="auto"/>
            </w:tcBorders>
            <w:shd w:val="clear" w:color="auto" w:fill="auto"/>
            <w:vAlign w:val="center"/>
          </w:tcPr>
          <w:p w14:paraId="4A52563D" w14:textId="59FE9521" w:rsidR="003F307C" w:rsidRPr="003F307C" w:rsidRDefault="004B2F49" w:rsidP="002E6199">
            <w:pPr>
              <w:jc w:val="center"/>
              <w:rPr>
                <w:rStyle w:val="Style1"/>
                <w:rFonts w:eastAsiaTheme="minorEastAsia" w:cstheme="minorBidi"/>
                <w:szCs w:val="22"/>
              </w:rPr>
            </w:pPr>
            <w:r>
              <w:rPr>
                <w:rStyle w:val="Style1"/>
                <w:rFonts w:eastAsiaTheme="minorEastAsia" w:cstheme="minorBidi"/>
              </w:rPr>
              <w:t>0.00</w:t>
            </w:r>
            <w:r w:rsidR="003F307C" w:rsidRPr="003F307C">
              <w:rPr>
                <w:rStyle w:val="Style1"/>
                <w:rFonts w:eastAsiaTheme="minorEastAsia" w:cstheme="minorBidi"/>
              </w:rPr>
              <w:t>%</w:t>
            </w:r>
          </w:p>
          <w:p w14:paraId="53C33E8C" w14:textId="77777777" w:rsidR="003F307C" w:rsidRPr="003F307C" w:rsidRDefault="003F307C" w:rsidP="002E6199">
            <w:pPr>
              <w:jc w:val="center"/>
              <w:rPr>
                <w:rStyle w:val="Style1"/>
                <w:rFonts w:eastAsiaTheme="minorEastAsia" w:cstheme="minorBidi"/>
              </w:rPr>
            </w:pPr>
          </w:p>
        </w:tc>
      </w:tr>
      <w:tr w:rsidR="003F307C" w:rsidRPr="003F307C" w14:paraId="708D10CA" w14:textId="77777777" w:rsidTr="002E6199">
        <w:trPr>
          <w:trHeight w:val="74"/>
        </w:trPr>
        <w:tc>
          <w:tcPr>
            <w:tcW w:w="3462" w:type="pct"/>
            <w:tcBorders>
              <w:top w:val="dashed" w:sz="4" w:space="0" w:color="auto"/>
              <w:bottom w:val="dashed" w:sz="4" w:space="0" w:color="auto"/>
            </w:tcBorders>
            <w:shd w:val="clear" w:color="auto" w:fill="auto"/>
            <w:noWrap/>
            <w:vAlign w:val="center"/>
          </w:tcPr>
          <w:p w14:paraId="26C4B929" w14:textId="77777777" w:rsidR="003F307C" w:rsidRPr="00AD2E50" w:rsidRDefault="003F307C" w:rsidP="002E6199">
            <w:pPr>
              <w:rPr>
                <w:rStyle w:val="Style1"/>
                <w:rFonts w:eastAsiaTheme="minorEastAsia" w:cstheme="minorBidi"/>
              </w:rPr>
            </w:pPr>
            <w:r w:rsidRPr="004B2F49">
              <w:rPr>
                <w:rStyle w:val="Style1"/>
              </w:rPr>
              <w:t>Any episode in which a beneficiary is not enrolled in Medicare FFS for the entirety of the 90-day lookback period (i.e., a 90-day period prior to the episode trigger) plus episode window (including where a beneficiary dies), or is enrolled in Part C for any part of the lookback period plus episode window</w:t>
            </w:r>
          </w:p>
        </w:tc>
        <w:tc>
          <w:tcPr>
            <w:tcW w:w="865" w:type="pct"/>
            <w:tcBorders>
              <w:top w:val="dashed" w:sz="4" w:space="0" w:color="auto"/>
              <w:bottom w:val="dashed" w:sz="4" w:space="0" w:color="auto"/>
            </w:tcBorders>
            <w:shd w:val="clear" w:color="auto" w:fill="auto"/>
            <w:vAlign w:val="center"/>
          </w:tcPr>
          <w:p w14:paraId="7138E53E" w14:textId="4F48A3EB" w:rsidR="003F307C" w:rsidRPr="003F307C" w:rsidRDefault="004B2F49">
            <w:pPr>
              <w:jc w:val="center"/>
              <w:rPr>
                <w:rStyle w:val="Style1"/>
                <w:rFonts w:eastAsiaTheme="minorEastAsia" w:cstheme="minorBidi"/>
                <w:szCs w:val="22"/>
              </w:rPr>
            </w:pPr>
            <w:r>
              <w:rPr>
                <w:rStyle w:val="Style1"/>
                <w:rFonts w:eastAsiaTheme="minorEastAsia" w:cstheme="minorBidi"/>
              </w:rPr>
              <w:t>77,442</w:t>
            </w:r>
            <w:r w:rsidRPr="003F307C" w:rsidDel="004B2F49">
              <w:rPr>
                <w:rStyle w:val="Style1"/>
                <w:rFonts w:eastAsiaTheme="minorEastAsia" w:cstheme="minorBidi"/>
              </w:rPr>
              <w:t xml:space="preserve"> </w:t>
            </w:r>
          </w:p>
        </w:tc>
        <w:tc>
          <w:tcPr>
            <w:tcW w:w="673" w:type="pct"/>
            <w:tcBorders>
              <w:top w:val="dashed" w:sz="4" w:space="0" w:color="auto"/>
              <w:bottom w:val="dashed" w:sz="4" w:space="0" w:color="auto"/>
            </w:tcBorders>
            <w:shd w:val="clear" w:color="auto" w:fill="auto"/>
            <w:vAlign w:val="center"/>
          </w:tcPr>
          <w:p w14:paraId="33930C22" w14:textId="77777777" w:rsidR="004B2F49" w:rsidRDefault="004B2F49" w:rsidP="002E6199">
            <w:pPr>
              <w:jc w:val="center"/>
              <w:rPr>
                <w:rStyle w:val="Style1"/>
                <w:rFonts w:eastAsiaTheme="minorEastAsia" w:cstheme="minorBidi"/>
              </w:rPr>
            </w:pPr>
          </w:p>
          <w:p w14:paraId="2EBF63D3" w14:textId="30C5533A" w:rsidR="003F307C" w:rsidRPr="003F307C" w:rsidRDefault="003F307C" w:rsidP="002E6199">
            <w:pPr>
              <w:jc w:val="center"/>
              <w:rPr>
                <w:rStyle w:val="Style1"/>
                <w:rFonts w:eastAsiaTheme="minorEastAsia" w:cstheme="minorBidi"/>
                <w:szCs w:val="22"/>
              </w:rPr>
            </w:pPr>
            <w:r w:rsidRPr="003F307C">
              <w:rPr>
                <w:rStyle w:val="Style1"/>
                <w:rFonts w:eastAsiaTheme="minorEastAsia" w:cstheme="minorBidi"/>
              </w:rPr>
              <w:t>1</w:t>
            </w:r>
            <w:r w:rsidR="004B2F49">
              <w:rPr>
                <w:rStyle w:val="Style1"/>
                <w:rFonts w:eastAsiaTheme="minorEastAsia" w:cstheme="minorBidi"/>
              </w:rPr>
              <w:t>0.01</w:t>
            </w:r>
            <w:r w:rsidRPr="003F307C">
              <w:rPr>
                <w:rStyle w:val="Style1"/>
                <w:rFonts w:eastAsiaTheme="minorEastAsia" w:cstheme="minorBidi"/>
              </w:rPr>
              <w:t>%</w:t>
            </w:r>
          </w:p>
          <w:p w14:paraId="7F65697E" w14:textId="77777777" w:rsidR="003F307C" w:rsidRPr="003F307C" w:rsidRDefault="003F307C" w:rsidP="002E6199">
            <w:pPr>
              <w:jc w:val="center"/>
              <w:rPr>
                <w:rStyle w:val="Style1"/>
                <w:rFonts w:eastAsiaTheme="minorEastAsia" w:cstheme="minorBidi"/>
              </w:rPr>
            </w:pPr>
          </w:p>
        </w:tc>
      </w:tr>
      <w:tr w:rsidR="003F307C" w:rsidRPr="003F307C" w14:paraId="2D7DD848" w14:textId="77777777" w:rsidTr="002E6199">
        <w:trPr>
          <w:trHeight w:val="74"/>
        </w:trPr>
        <w:tc>
          <w:tcPr>
            <w:tcW w:w="3462" w:type="pct"/>
            <w:tcBorders>
              <w:top w:val="dashed" w:sz="4" w:space="0" w:color="auto"/>
            </w:tcBorders>
            <w:shd w:val="clear" w:color="auto" w:fill="auto"/>
            <w:noWrap/>
            <w:vAlign w:val="center"/>
          </w:tcPr>
          <w:p w14:paraId="6ECA05B3" w14:textId="77777777" w:rsidR="003F307C" w:rsidRPr="00AD2E50" w:rsidRDefault="003F307C" w:rsidP="002E6199">
            <w:pPr>
              <w:rPr>
                <w:rStyle w:val="Style1"/>
                <w:rFonts w:eastAsiaTheme="minorEastAsia" w:cstheme="minorBidi"/>
              </w:rPr>
            </w:pPr>
            <w:r w:rsidRPr="004B2F49">
              <w:rPr>
                <w:rStyle w:val="Style1"/>
              </w:rPr>
              <w:t>Any episode in which a beneficiary has a primary payer other than Medicare for any part of the 90-day lookback period plus episode window</w:t>
            </w:r>
          </w:p>
        </w:tc>
        <w:tc>
          <w:tcPr>
            <w:tcW w:w="865" w:type="pct"/>
            <w:tcBorders>
              <w:top w:val="dashed" w:sz="4" w:space="0" w:color="auto"/>
            </w:tcBorders>
            <w:shd w:val="clear" w:color="auto" w:fill="auto"/>
            <w:vAlign w:val="center"/>
          </w:tcPr>
          <w:p w14:paraId="574988A8" w14:textId="1D169E48" w:rsidR="003F307C" w:rsidRPr="003F307C" w:rsidRDefault="004B2F49" w:rsidP="002E6199">
            <w:pPr>
              <w:jc w:val="center"/>
              <w:rPr>
                <w:rStyle w:val="Style1"/>
                <w:rFonts w:eastAsiaTheme="minorEastAsia" w:cstheme="minorBidi"/>
                <w:szCs w:val="22"/>
              </w:rPr>
            </w:pPr>
            <w:r>
              <w:rPr>
                <w:rStyle w:val="Style1"/>
                <w:rFonts w:eastAsiaTheme="minorEastAsia" w:cstheme="minorBidi"/>
              </w:rPr>
              <w:t>78,981</w:t>
            </w:r>
          </w:p>
          <w:p w14:paraId="3B0C6CC6" w14:textId="77777777" w:rsidR="003F307C" w:rsidRPr="003F307C" w:rsidRDefault="003F307C" w:rsidP="002E6199">
            <w:pPr>
              <w:jc w:val="center"/>
              <w:rPr>
                <w:rStyle w:val="Style1"/>
                <w:rFonts w:eastAsiaTheme="minorEastAsia" w:cstheme="minorBidi"/>
              </w:rPr>
            </w:pPr>
          </w:p>
        </w:tc>
        <w:tc>
          <w:tcPr>
            <w:tcW w:w="673" w:type="pct"/>
            <w:tcBorders>
              <w:top w:val="dashed" w:sz="4" w:space="0" w:color="auto"/>
            </w:tcBorders>
            <w:shd w:val="clear" w:color="auto" w:fill="auto"/>
            <w:vAlign w:val="center"/>
          </w:tcPr>
          <w:p w14:paraId="66B5B64D" w14:textId="07C2EB34" w:rsidR="003F307C" w:rsidRPr="003F307C" w:rsidRDefault="004B2F49" w:rsidP="002E6199">
            <w:pPr>
              <w:jc w:val="center"/>
              <w:rPr>
                <w:rStyle w:val="Style1"/>
                <w:rFonts w:eastAsiaTheme="minorEastAsia" w:cstheme="minorBidi"/>
                <w:szCs w:val="22"/>
              </w:rPr>
            </w:pPr>
            <w:r>
              <w:rPr>
                <w:rStyle w:val="Style1"/>
                <w:rFonts w:eastAsiaTheme="minorEastAsia" w:cstheme="minorBidi"/>
              </w:rPr>
              <w:t>10.21</w:t>
            </w:r>
            <w:r w:rsidR="003F307C" w:rsidRPr="003F307C">
              <w:rPr>
                <w:rStyle w:val="Style1"/>
                <w:rFonts w:eastAsiaTheme="minorEastAsia" w:cstheme="minorBidi"/>
              </w:rPr>
              <w:t>%</w:t>
            </w:r>
          </w:p>
          <w:p w14:paraId="641FA806" w14:textId="77777777" w:rsidR="003F307C" w:rsidRPr="003F307C" w:rsidRDefault="003F307C" w:rsidP="002E6199">
            <w:pPr>
              <w:jc w:val="center"/>
              <w:rPr>
                <w:rStyle w:val="Style1"/>
                <w:rFonts w:eastAsiaTheme="minorEastAsia" w:cstheme="minorBidi"/>
              </w:rPr>
            </w:pPr>
          </w:p>
        </w:tc>
      </w:tr>
      <w:tr w:rsidR="003F307C" w:rsidRPr="003F307C" w14:paraId="78F52CD9" w14:textId="77777777" w:rsidTr="002E6199">
        <w:trPr>
          <w:trHeight w:val="74"/>
        </w:trPr>
        <w:tc>
          <w:tcPr>
            <w:tcW w:w="3462" w:type="pct"/>
            <w:tcBorders>
              <w:top w:val="dashed" w:sz="4" w:space="0" w:color="auto"/>
              <w:bottom w:val="dashed" w:sz="4" w:space="0" w:color="auto"/>
            </w:tcBorders>
            <w:shd w:val="clear" w:color="auto" w:fill="auto"/>
            <w:noWrap/>
            <w:vAlign w:val="center"/>
          </w:tcPr>
          <w:p w14:paraId="4FDEFD6D" w14:textId="4273E23E" w:rsidR="003F307C" w:rsidRPr="00AD2E50" w:rsidRDefault="003F307C">
            <w:pPr>
              <w:rPr>
                <w:rStyle w:val="Style1"/>
                <w:rFonts w:eastAsiaTheme="minorEastAsia" w:cstheme="minorBidi"/>
                <w:szCs w:val="22"/>
              </w:rPr>
            </w:pPr>
            <w:r w:rsidRPr="004B2F49">
              <w:rPr>
                <w:rStyle w:val="Style1"/>
              </w:rPr>
              <w:t xml:space="preserve">Any episode where the claim(s) constituting the attributed </w:t>
            </w:r>
            <w:r w:rsidR="003A7C3A">
              <w:rPr>
                <w:rStyle w:val="Style1"/>
                <w:rFonts w:eastAsiaTheme="minorEastAsia" w:cstheme="minorBidi"/>
              </w:rPr>
              <w:t>IRF</w:t>
            </w:r>
            <w:r w:rsidRPr="004B2F49">
              <w:rPr>
                <w:rStyle w:val="Style1"/>
              </w:rPr>
              <w:t>’s treatment include at least one related condition code indicating that it is not a prospective payment system bill</w:t>
            </w:r>
          </w:p>
        </w:tc>
        <w:tc>
          <w:tcPr>
            <w:tcW w:w="865" w:type="pct"/>
            <w:tcBorders>
              <w:top w:val="dashed" w:sz="4" w:space="0" w:color="auto"/>
              <w:bottom w:val="dashed" w:sz="4" w:space="0" w:color="auto"/>
            </w:tcBorders>
            <w:shd w:val="clear" w:color="auto" w:fill="auto"/>
            <w:vAlign w:val="center"/>
          </w:tcPr>
          <w:p w14:paraId="38AD0C13" w14:textId="72BB4C39" w:rsidR="003F307C" w:rsidRPr="003F307C" w:rsidRDefault="004B2F49" w:rsidP="002E6199">
            <w:pPr>
              <w:jc w:val="center"/>
              <w:rPr>
                <w:rStyle w:val="Style1"/>
                <w:rFonts w:eastAsiaTheme="minorEastAsia" w:cstheme="minorBidi"/>
              </w:rPr>
            </w:pPr>
            <w:r>
              <w:rPr>
                <w:rStyle w:val="Style1"/>
                <w:rFonts w:eastAsiaTheme="minorEastAsia" w:cstheme="minorBidi"/>
              </w:rPr>
              <w:t>0</w:t>
            </w:r>
          </w:p>
        </w:tc>
        <w:tc>
          <w:tcPr>
            <w:tcW w:w="673" w:type="pct"/>
            <w:tcBorders>
              <w:top w:val="dashed" w:sz="4" w:space="0" w:color="auto"/>
              <w:bottom w:val="dashed" w:sz="4" w:space="0" w:color="auto"/>
            </w:tcBorders>
            <w:shd w:val="clear" w:color="auto" w:fill="auto"/>
            <w:vAlign w:val="center"/>
          </w:tcPr>
          <w:p w14:paraId="61B507B2" w14:textId="77777777" w:rsidR="003F307C" w:rsidRPr="003F307C" w:rsidRDefault="003F307C" w:rsidP="002E6199">
            <w:pPr>
              <w:jc w:val="center"/>
              <w:rPr>
                <w:rStyle w:val="Style1"/>
                <w:rFonts w:eastAsiaTheme="minorEastAsia" w:cstheme="minorBidi"/>
              </w:rPr>
            </w:pPr>
            <w:r w:rsidRPr="003F307C">
              <w:rPr>
                <w:rStyle w:val="Style1"/>
                <w:rFonts w:eastAsiaTheme="minorEastAsia" w:cstheme="minorBidi"/>
              </w:rPr>
              <w:t>0.00%</w:t>
            </w:r>
          </w:p>
        </w:tc>
      </w:tr>
      <w:tr w:rsidR="003F307C" w:rsidRPr="004B52E4" w14:paraId="0482ADCC" w14:textId="77777777" w:rsidTr="002E6199">
        <w:trPr>
          <w:trHeight w:val="74"/>
        </w:trPr>
        <w:tc>
          <w:tcPr>
            <w:tcW w:w="3462" w:type="pct"/>
            <w:tcBorders>
              <w:top w:val="dashed" w:sz="4" w:space="0" w:color="auto"/>
              <w:bottom w:val="dashed" w:sz="4" w:space="0" w:color="auto"/>
            </w:tcBorders>
            <w:shd w:val="clear" w:color="auto" w:fill="auto"/>
            <w:noWrap/>
            <w:vAlign w:val="center"/>
          </w:tcPr>
          <w:p w14:paraId="70C68454" w14:textId="77777777" w:rsidR="003F307C" w:rsidRPr="004B52E4" w:rsidRDefault="003F307C" w:rsidP="002E6199">
            <w:pPr>
              <w:rPr>
                <w:rStyle w:val="Style1"/>
                <w:rFonts w:eastAsiaTheme="minorEastAsia" w:cstheme="minorBidi"/>
                <w:szCs w:val="22"/>
              </w:rPr>
            </w:pPr>
            <w:r w:rsidRPr="004B52E4">
              <w:rPr>
                <w:rStyle w:val="Style1"/>
              </w:rPr>
              <w:t>Any episode with problematic claims data (e.g., anomalous records for stays that overlap wholly or in part, or are otherwise erroneous or contradictory)</w:t>
            </w:r>
          </w:p>
        </w:tc>
        <w:tc>
          <w:tcPr>
            <w:tcW w:w="865" w:type="pct"/>
            <w:tcBorders>
              <w:top w:val="dashed" w:sz="4" w:space="0" w:color="auto"/>
              <w:bottom w:val="dashed" w:sz="4" w:space="0" w:color="auto"/>
            </w:tcBorders>
            <w:shd w:val="clear" w:color="auto" w:fill="auto"/>
            <w:vAlign w:val="center"/>
          </w:tcPr>
          <w:p w14:paraId="0ACF8254" w14:textId="77777777" w:rsidR="003F307C" w:rsidRPr="00D10415" w:rsidRDefault="003F307C" w:rsidP="002E6199">
            <w:pPr>
              <w:jc w:val="center"/>
              <w:rPr>
                <w:rStyle w:val="Style1"/>
                <w:rFonts w:eastAsiaTheme="minorEastAsia" w:cstheme="minorBidi"/>
              </w:rPr>
            </w:pPr>
          </w:p>
          <w:p w14:paraId="55C79513" w14:textId="16680F89" w:rsidR="003F307C" w:rsidRPr="004B52E4" w:rsidRDefault="004B52E4" w:rsidP="002E6199">
            <w:pPr>
              <w:jc w:val="center"/>
              <w:rPr>
                <w:rStyle w:val="Style1"/>
                <w:rFonts w:eastAsiaTheme="minorEastAsia" w:cstheme="minorBidi"/>
                <w:szCs w:val="22"/>
              </w:rPr>
            </w:pPr>
            <w:r>
              <w:rPr>
                <w:rStyle w:val="Style1"/>
              </w:rPr>
              <w:t>18</w:t>
            </w:r>
          </w:p>
          <w:p w14:paraId="64AEDB75" w14:textId="77777777" w:rsidR="003F307C" w:rsidRPr="004B52E4" w:rsidRDefault="003F307C" w:rsidP="002E6199">
            <w:pPr>
              <w:jc w:val="center"/>
              <w:rPr>
                <w:rStyle w:val="Style1"/>
                <w:rFonts w:eastAsiaTheme="minorEastAsia" w:cstheme="minorBidi"/>
                <w:szCs w:val="22"/>
              </w:rPr>
            </w:pPr>
          </w:p>
        </w:tc>
        <w:tc>
          <w:tcPr>
            <w:tcW w:w="673" w:type="pct"/>
            <w:tcBorders>
              <w:top w:val="dashed" w:sz="4" w:space="0" w:color="auto"/>
              <w:bottom w:val="dashed" w:sz="4" w:space="0" w:color="auto"/>
            </w:tcBorders>
            <w:shd w:val="clear" w:color="auto" w:fill="auto"/>
            <w:vAlign w:val="center"/>
          </w:tcPr>
          <w:p w14:paraId="23260460" w14:textId="3128B2BE" w:rsidR="003F307C" w:rsidRPr="00D10415" w:rsidRDefault="003F307C">
            <w:pPr>
              <w:jc w:val="center"/>
              <w:rPr>
                <w:rStyle w:val="Style1"/>
                <w:rFonts w:eastAsiaTheme="minorEastAsia" w:cstheme="minorBidi"/>
              </w:rPr>
            </w:pPr>
            <w:r w:rsidRPr="004B52E4">
              <w:rPr>
                <w:rStyle w:val="Style1"/>
              </w:rPr>
              <w:t>0.</w:t>
            </w:r>
            <w:r w:rsidR="004B52E4">
              <w:rPr>
                <w:rStyle w:val="Style1"/>
              </w:rPr>
              <w:t>00</w:t>
            </w:r>
            <w:r w:rsidRPr="004B52E4">
              <w:rPr>
                <w:rStyle w:val="Style1"/>
              </w:rPr>
              <w:t>%</w:t>
            </w:r>
          </w:p>
        </w:tc>
      </w:tr>
      <w:tr w:rsidR="003F307C" w:rsidRPr="003F307C" w14:paraId="7BFF65C8" w14:textId="77777777" w:rsidTr="002E6199">
        <w:trPr>
          <w:trHeight w:val="144"/>
        </w:trPr>
        <w:tc>
          <w:tcPr>
            <w:tcW w:w="3462" w:type="pct"/>
            <w:tcBorders>
              <w:top w:val="dashed" w:sz="4" w:space="0" w:color="auto"/>
              <w:bottom w:val="single" w:sz="4" w:space="0" w:color="auto"/>
            </w:tcBorders>
            <w:noWrap/>
            <w:vAlign w:val="center"/>
          </w:tcPr>
          <w:p w14:paraId="24521333" w14:textId="77777777" w:rsidR="003F307C" w:rsidRPr="00AD2E50" w:rsidRDefault="003F307C" w:rsidP="002E6199">
            <w:pPr>
              <w:rPr>
                <w:rStyle w:val="Style1"/>
                <w:rFonts w:eastAsiaTheme="minorEastAsia" w:cstheme="minorBidi"/>
              </w:rPr>
            </w:pPr>
            <w:r w:rsidRPr="004B2F49">
              <w:rPr>
                <w:rStyle w:val="Style1"/>
              </w:rPr>
              <w:t>Total Number of Episodes Excluded</w:t>
            </w:r>
          </w:p>
        </w:tc>
        <w:tc>
          <w:tcPr>
            <w:tcW w:w="865" w:type="pct"/>
            <w:tcBorders>
              <w:top w:val="dashed" w:sz="4" w:space="0" w:color="auto"/>
              <w:bottom w:val="single" w:sz="4" w:space="0" w:color="auto"/>
            </w:tcBorders>
            <w:vAlign w:val="center"/>
          </w:tcPr>
          <w:p w14:paraId="7BB745D1" w14:textId="015DF0CE" w:rsidR="003F307C" w:rsidRPr="003F307C" w:rsidRDefault="0085005A" w:rsidP="002E6199">
            <w:pPr>
              <w:jc w:val="center"/>
              <w:rPr>
                <w:rStyle w:val="Style1"/>
                <w:rFonts w:eastAsiaTheme="minorEastAsia" w:cstheme="minorBidi"/>
                <w:szCs w:val="22"/>
              </w:rPr>
            </w:pPr>
            <w:r>
              <w:rPr>
                <w:rStyle w:val="Style1"/>
                <w:rFonts w:eastAsiaTheme="minorEastAsia" w:cstheme="minorBidi"/>
              </w:rPr>
              <w:t>143,001</w:t>
            </w:r>
          </w:p>
        </w:tc>
        <w:tc>
          <w:tcPr>
            <w:tcW w:w="673" w:type="pct"/>
            <w:tcBorders>
              <w:top w:val="dashed" w:sz="4" w:space="0" w:color="auto"/>
              <w:bottom w:val="single" w:sz="4" w:space="0" w:color="auto"/>
            </w:tcBorders>
            <w:vAlign w:val="center"/>
          </w:tcPr>
          <w:p w14:paraId="40FE6F44" w14:textId="0BEBB0C8" w:rsidR="003F307C" w:rsidRPr="003F307C" w:rsidRDefault="003F307C" w:rsidP="002E6199">
            <w:pPr>
              <w:jc w:val="center"/>
              <w:rPr>
                <w:rStyle w:val="Style1"/>
                <w:rFonts w:eastAsiaTheme="minorEastAsia" w:cstheme="minorBidi"/>
                <w:szCs w:val="22"/>
              </w:rPr>
            </w:pPr>
            <w:r w:rsidRPr="003F307C">
              <w:rPr>
                <w:rStyle w:val="Style1"/>
                <w:rFonts w:eastAsiaTheme="minorEastAsia" w:cstheme="minorBidi"/>
              </w:rPr>
              <w:t>1</w:t>
            </w:r>
            <w:r w:rsidR="0085005A">
              <w:rPr>
                <w:rStyle w:val="Style1"/>
                <w:rFonts w:eastAsiaTheme="minorEastAsia" w:cstheme="minorBidi"/>
              </w:rPr>
              <w:t>8.48</w:t>
            </w:r>
            <w:r w:rsidRPr="003F307C">
              <w:rPr>
                <w:rStyle w:val="Style1"/>
                <w:rFonts w:eastAsiaTheme="minorEastAsia" w:cstheme="minorBidi"/>
              </w:rPr>
              <w:t>%</w:t>
            </w:r>
          </w:p>
        </w:tc>
      </w:tr>
    </w:tbl>
    <w:p w14:paraId="0FF0A0F2" w14:textId="7DB86EC5" w:rsidR="003F307C" w:rsidRPr="00B8568F" w:rsidRDefault="003F307C" w:rsidP="003F307C">
      <w:pPr>
        <w:spacing w:after="0" w:line="240" w:lineRule="auto"/>
        <w:rPr>
          <w:rStyle w:val="Style1"/>
          <w:sz w:val="18"/>
        </w:rPr>
      </w:pPr>
      <w:r w:rsidRPr="00F2316D">
        <w:rPr>
          <w:rStyle w:val="Style1"/>
          <w:sz w:val="18"/>
        </w:rPr>
        <w:t xml:space="preserve">Analysis of Medicare Claims File </w:t>
      </w:r>
      <w:r w:rsidRPr="00B8568F">
        <w:rPr>
          <w:rStyle w:val="Style1"/>
          <w:sz w:val="18"/>
        </w:rPr>
        <w:t xml:space="preserve">for </w:t>
      </w:r>
      <w:r w:rsidR="004B2F49" w:rsidRPr="00B8568F">
        <w:rPr>
          <w:rStyle w:val="Style1"/>
          <w:sz w:val="18"/>
        </w:rPr>
        <w:t>IRF</w:t>
      </w:r>
      <w:r w:rsidRPr="00B8568F">
        <w:rPr>
          <w:rStyle w:val="Style1"/>
          <w:sz w:val="18"/>
        </w:rPr>
        <w:t xml:space="preserve">, </w:t>
      </w:r>
      <w:r w:rsidR="00B8568F" w:rsidRPr="008C7D29">
        <w:rPr>
          <w:rStyle w:val="Style1"/>
          <w:sz w:val="18"/>
        </w:rPr>
        <w:t>F</w:t>
      </w:r>
      <w:r w:rsidRPr="00B8568F">
        <w:rPr>
          <w:rStyle w:val="Style1"/>
          <w:sz w:val="18"/>
        </w:rPr>
        <w:t xml:space="preserve">Y 2016-2017 </w:t>
      </w:r>
    </w:p>
    <w:p w14:paraId="1D5B1DFC" w14:textId="77777777" w:rsidR="003F307C" w:rsidRPr="00F2316D" w:rsidRDefault="003F307C" w:rsidP="003F307C">
      <w:pPr>
        <w:spacing w:after="0" w:line="240" w:lineRule="auto"/>
        <w:rPr>
          <w:rStyle w:val="Style1"/>
          <w:sz w:val="18"/>
        </w:rPr>
      </w:pPr>
      <w:r w:rsidRPr="00B8568F">
        <w:rPr>
          <w:rStyle w:val="Style1"/>
          <w:sz w:val="18"/>
        </w:rPr>
        <w:t>*Exclusions are not mutually exclusive; one episode could be excluded</w:t>
      </w:r>
      <w:r w:rsidRPr="00F2316D">
        <w:rPr>
          <w:rStyle w:val="Style1"/>
          <w:sz w:val="18"/>
        </w:rPr>
        <w:t xml:space="preserve"> for multiple reasons. </w:t>
      </w:r>
      <w:bookmarkStart w:id="24" w:name="_Hlk520661166"/>
      <w:r w:rsidRPr="00F2316D">
        <w:rPr>
          <w:rStyle w:val="Style1"/>
          <w:sz w:val="18"/>
        </w:rPr>
        <w:t>The sum of individual exclusion frequencies may exceed the total number of episodes excluded.</w:t>
      </w:r>
    </w:p>
    <w:bookmarkEnd w:id="24"/>
    <w:p w14:paraId="4B9A1D9E" w14:textId="77777777" w:rsidR="003F307C" w:rsidRDefault="003F307C" w:rsidP="003F307C">
      <w:pPr>
        <w:autoSpaceDE w:val="0"/>
        <w:autoSpaceDN w:val="0"/>
        <w:adjustRightInd w:val="0"/>
        <w:spacing w:after="0" w:line="240" w:lineRule="auto"/>
        <w:rPr>
          <w:rFonts w:cstheme="minorHAnsi"/>
          <w:bCs/>
        </w:rPr>
      </w:pPr>
    </w:p>
    <w:p w14:paraId="726F24C4" w14:textId="277E73FA" w:rsidR="003F307C" w:rsidRPr="003F307C" w:rsidRDefault="00715FD3" w:rsidP="009F6752">
      <w:pPr>
        <w:pStyle w:val="Caption"/>
        <w:spacing w:after="0"/>
        <w:rPr>
          <w:rStyle w:val="Style1"/>
          <w:szCs w:val="20"/>
        </w:rPr>
      </w:pPr>
      <w:bookmarkStart w:id="25" w:name="_Ref22633778"/>
      <w:bookmarkStart w:id="26" w:name="_Ref22209433"/>
      <w:r>
        <w:t xml:space="preserve">Table </w:t>
      </w:r>
      <w:r w:rsidR="008107BD">
        <w:rPr>
          <w:noProof/>
        </w:rPr>
        <w:fldChar w:fldCharType="begin"/>
      </w:r>
      <w:r w:rsidR="008107BD">
        <w:rPr>
          <w:noProof/>
        </w:rPr>
        <w:instrText xml:space="preserve"> SEQ Table \* ARABIC </w:instrText>
      </w:r>
      <w:r w:rsidR="008107BD">
        <w:rPr>
          <w:noProof/>
        </w:rPr>
        <w:fldChar w:fldCharType="separate"/>
      </w:r>
      <w:r w:rsidR="00B6644A">
        <w:rPr>
          <w:noProof/>
        </w:rPr>
        <w:t>9</w:t>
      </w:r>
      <w:r w:rsidR="008107BD">
        <w:rPr>
          <w:noProof/>
        </w:rPr>
        <w:fldChar w:fldCharType="end"/>
      </w:r>
      <w:bookmarkEnd w:id="25"/>
      <w:bookmarkEnd w:id="26"/>
      <w:r w:rsidR="003F307C" w:rsidRPr="003F307C">
        <w:rPr>
          <w:rStyle w:val="Style1"/>
          <w:b w:val="0"/>
        </w:rPr>
        <w:t xml:space="preserve">. </w:t>
      </w:r>
      <w:bookmarkStart w:id="27" w:name="_Hlk520661194"/>
      <w:r w:rsidR="003F307C" w:rsidRPr="009F6752">
        <w:rPr>
          <w:rStyle w:val="Style1"/>
        </w:rPr>
        <w:t xml:space="preserve">Facility-Level Distribution of </w:t>
      </w:r>
      <w:bookmarkEnd w:id="27"/>
      <w:r w:rsidR="003F307C" w:rsidRPr="009F6752">
        <w:rPr>
          <w:rStyle w:val="Style1"/>
        </w:rPr>
        <w:t xml:space="preserve">Exclusion Criteria for the MSPB-PAC </w:t>
      </w:r>
      <w:r w:rsidR="004B2F49">
        <w:rPr>
          <w:rStyle w:val="Style1"/>
        </w:rPr>
        <w:t>IRF</w:t>
      </w:r>
      <w:r w:rsidR="003F307C" w:rsidRPr="009F6752">
        <w:rPr>
          <w:rStyle w:val="Style1"/>
        </w:rPr>
        <w:t xml:space="preserve"> Measure</w:t>
      </w:r>
    </w:p>
    <w:tbl>
      <w:tblPr>
        <w:tblStyle w:val="CMSTable"/>
        <w:tblW w:w="5000" w:type="pct"/>
        <w:tblLayout w:type="fixed"/>
        <w:tblLook w:val="04A0" w:firstRow="1" w:lastRow="0" w:firstColumn="1" w:lastColumn="0" w:noHBand="0" w:noVBand="1"/>
      </w:tblPr>
      <w:tblGrid>
        <w:gridCol w:w="6119"/>
        <w:gridCol w:w="807"/>
        <w:gridCol w:w="723"/>
        <w:gridCol w:w="900"/>
        <w:gridCol w:w="811"/>
      </w:tblGrid>
      <w:tr w:rsidR="000C0C80" w:rsidRPr="003F307C" w14:paraId="373A6765" w14:textId="77777777" w:rsidTr="00EA3F5E">
        <w:trPr>
          <w:cnfStyle w:val="100000000000" w:firstRow="1" w:lastRow="0" w:firstColumn="0" w:lastColumn="0" w:oddVBand="0" w:evenVBand="0" w:oddHBand="0" w:evenHBand="0" w:firstRowFirstColumn="0" w:firstRowLastColumn="0" w:lastRowFirstColumn="0" w:lastRowLastColumn="0"/>
          <w:trHeight w:val="150"/>
          <w:tblHeader/>
        </w:trPr>
        <w:tc>
          <w:tcPr>
            <w:tcW w:w="3269" w:type="pct"/>
            <w:shd w:val="clear" w:color="auto" w:fill="D9D9D9" w:themeFill="background1" w:themeFillShade="D9"/>
            <w:vAlign w:val="center"/>
            <w:hideMark/>
          </w:tcPr>
          <w:p w14:paraId="2CE26266" w14:textId="77777777" w:rsidR="000C0C80" w:rsidRPr="003F307C" w:rsidRDefault="000C0C80" w:rsidP="002E6199">
            <w:pPr>
              <w:rPr>
                <w:rStyle w:val="Style1"/>
                <w:rFonts w:eastAsiaTheme="minorEastAsia" w:cstheme="minorBidi"/>
              </w:rPr>
            </w:pPr>
            <w:r w:rsidRPr="003F307C">
              <w:rPr>
                <w:rStyle w:val="Style1"/>
                <w:rFonts w:eastAsiaTheme="minorEastAsia" w:cstheme="minorBidi"/>
              </w:rPr>
              <w:t>Exclusion</w:t>
            </w:r>
          </w:p>
        </w:tc>
        <w:tc>
          <w:tcPr>
            <w:tcW w:w="431" w:type="pct"/>
            <w:shd w:val="clear" w:color="auto" w:fill="D9D9D9" w:themeFill="background1" w:themeFillShade="D9"/>
            <w:vAlign w:val="center"/>
          </w:tcPr>
          <w:p w14:paraId="03E5ABD0" w14:textId="77777777" w:rsidR="000C0C80" w:rsidRPr="003F307C" w:rsidRDefault="000C0C80" w:rsidP="002E6199">
            <w:pPr>
              <w:rPr>
                <w:rStyle w:val="Style1"/>
                <w:rFonts w:eastAsiaTheme="minorEastAsia" w:cstheme="minorBidi"/>
              </w:rPr>
            </w:pPr>
            <w:r w:rsidRPr="003F307C">
              <w:rPr>
                <w:rStyle w:val="Style1"/>
                <w:rFonts w:eastAsiaTheme="minorEastAsia" w:cstheme="minorBidi"/>
              </w:rPr>
              <w:t>Mean</w:t>
            </w:r>
          </w:p>
        </w:tc>
        <w:tc>
          <w:tcPr>
            <w:tcW w:w="386" w:type="pct"/>
            <w:shd w:val="clear" w:color="auto" w:fill="D9D9D9" w:themeFill="background1" w:themeFillShade="D9"/>
            <w:vAlign w:val="center"/>
          </w:tcPr>
          <w:p w14:paraId="32CF9E9B" w14:textId="77777777" w:rsidR="000C0C80" w:rsidRPr="003F307C" w:rsidRDefault="000C0C80" w:rsidP="002E6199">
            <w:pPr>
              <w:rPr>
                <w:rStyle w:val="Style1"/>
                <w:rFonts w:eastAsiaTheme="minorEastAsia" w:cstheme="minorBidi"/>
              </w:rPr>
            </w:pPr>
            <w:r w:rsidRPr="003F307C">
              <w:rPr>
                <w:rStyle w:val="Style1"/>
                <w:rFonts w:eastAsiaTheme="minorEastAsia" w:cstheme="minorBidi"/>
              </w:rPr>
              <w:t>25th Perc.</w:t>
            </w:r>
          </w:p>
        </w:tc>
        <w:tc>
          <w:tcPr>
            <w:tcW w:w="481" w:type="pct"/>
            <w:shd w:val="clear" w:color="auto" w:fill="D9D9D9" w:themeFill="background1" w:themeFillShade="D9"/>
            <w:vAlign w:val="center"/>
          </w:tcPr>
          <w:p w14:paraId="620465D7" w14:textId="77777777" w:rsidR="000C0C80" w:rsidRPr="003F307C" w:rsidRDefault="000C0C80" w:rsidP="002E6199">
            <w:pPr>
              <w:rPr>
                <w:rStyle w:val="Style1"/>
                <w:rFonts w:eastAsiaTheme="minorEastAsia" w:cstheme="minorBidi"/>
              </w:rPr>
            </w:pPr>
            <w:r w:rsidRPr="003F307C">
              <w:rPr>
                <w:rStyle w:val="Style1"/>
                <w:rFonts w:eastAsiaTheme="minorEastAsia" w:cstheme="minorBidi"/>
              </w:rPr>
              <w:t>Median</w:t>
            </w:r>
          </w:p>
        </w:tc>
        <w:tc>
          <w:tcPr>
            <w:tcW w:w="433" w:type="pct"/>
            <w:shd w:val="clear" w:color="auto" w:fill="D9D9D9" w:themeFill="background1" w:themeFillShade="D9"/>
            <w:vAlign w:val="center"/>
          </w:tcPr>
          <w:p w14:paraId="5DC3D886" w14:textId="77777777" w:rsidR="000C0C80" w:rsidRPr="003F307C" w:rsidRDefault="000C0C80" w:rsidP="002E6199">
            <w:pPr>
              <w:rPr>
                <w:rStyle w:val="Style1"/>
                <w:rFonts w:eastAsiaTheme="minorEastAsia" w:cstheme="minorBidi"/>
              </w:rPr>
            </w:pPr>
            <w:r w:rsidRPr="003F307C">
              <w:rPr>
                <w:rStyle w:val="Style1"/>
                <w:rFonts w:eastAsiaTheme="minorEastAsia" w:cstheme="minorBidi"/>
              </w:rPr>
              <w:t>75th Perc.</w:t>
            </w:r>
          </w:p>
        </w:tc>
      </w:tr>
      <w:tr w:rsidR="000C0C80" w:rsidRPr="003F307C" w14:paraId="49DBCF44" w14:textId="77777777" w:rsidTr="00EA3F5E">
        <w:trPr>
          <w:trHeight w:val="144"/>
        </w:trPr>
        <w:tc>
          <w:tcPr>
            <w:tcW w:w="3269" w:type="pct"/>
            <w:tcBorders>
              <w:top w:val="dashed" w:sz="4" w:space="0" w:color="auto"/>
              <w:bottom w:val="dashed" w:sz="4" w:space="0" w:color="auto"/>
            </w:tcBorders>
            <w:noWrap/>
            <w:vAlign w:val="center"/>
          </w:tcPr>
          <w:p w14:paraId="610137A9" w14:textId="393413C4" w:rsidR="000C0C80" w:rsidRPr="003F307C" w:rsidRDefault="000C0C80">
            <w:pPr>
              <w:rPr>
                <w:rStyle w:val="Style1"/>
                <w:rFonts w:eastAsiaTheme="minorEastAsia" w:cstheme="minorBidi"/>
                <w:szCs w:val="22"/>
              </w:rPr>
            </w:pPr>
            <w:r w:rsidRPr="003F307C">
              <w:rPr>
                <w:rStyle w:val="Style1"/>
                <w:rFonts w:eastAsiaTheme="minorEastAsia" w:cstheme="minorBidi"/>
              </w:rPr>
              <w:t>Any episode that is triggered by a</w:t>
            </w:r>
            <w:r>
              <w:rPr>
                <w:rStyle w:val="Style1"/>
                <w:rFonts w:eastAsiaTheme="minorEastAsia" w:cstheme="minorBidi"/>
              </w:rPr>
              <w:t xml:space="preserve">n IRF </w:t>
            </w:r>
            <w:r w:rsidRPr="003F307C">
              <w:rPr>
                <w:rStyle w:val="Style1"/>
                <w:rFonts w:eastAsiaTheme="minorEastAsia" w:cstheme="minorBidi"/>
              </w:rPr>
              <w:t>claim outside the 50 states, D.C., Puerto Rico, or U.S. territories</w:t>
            </w:r>
          </w:p>
        </w:tc>
        <w:tc>
          <w:tcPr>
            <w:tcW w:w="431" w:type="pct"/>
            <w:tcBorders>
              <w:top w:val="dashed" w:sz="4" w:space="0" w:color="auto"/>
              <w:bottom w:val="dashed" w:sz="4" w:space="0" w:color="auto"/>
            </w:tcBorders>
            <w:vAlign w:val="center"/>
          </w:tcPr>
          <w:p w14:paraId="06C12996" w14:textId="77777777" w:rsidR="000C0C80" w:rsidRPr="003F307C" w:rsidRDefault="000C0C80" w:rsidP="002E6199">
            <w:pPr>
              <w:jc w:val="center"/>
              <w:rPr>
                <w:rStyle w:val="Style1"/>
                <w:rFonts w:eastAsiaTheme="minorEastAsia" w:cstheme="minorBidi"/>
              </w:rPr>
            </w:pPr>
            <w:r w:rsidRPr="003F307C">
              <w:rPr>
                <w:rStyle w:val="Style1"/>
                <w:rFonts w:eastAsiaTheme="minorEastAsia" w:cstheme="minorBidi"/>
              </w:rPr>
              <w:t>0.00%</w:t>
            </w:r>
          </w:p>
          <w:p w14:paraId="3B651524" w14:textId="77777777" w:rsidR="000C0C80" w:rsidRPr="003F307C" w:rsidRDefault="000C0C80" w:rsidP="002E6199">
            <w:pPr>
              <w:jc w:val="center"/>
              <w:rPr>
                <w:rStyle w:val="Style1"/>
                <w:rFonts w:eastAsiaTheme="minorEastAsia" w:cstheme="minorBidi"/>
              </w:rPr>
            </w:pPr>
          </w:p>
        </w:tc>
        <w:tc>
          <w:tcPr>
            <w:tcW w:w="386" w:type="pct"/>
            <w:tcBorders>
              <w:top w:val="dashed" w:sz="4" w:space="0" w:color="auto"/>
              <w:bottom w:val="dashed" w:sz="4" w:space="0" w:color="auto"/>
            </w:tcBorders>
            <w:vAlign w:val="center"/>
          </w:tcPr>
          <w:p w14:paraId="18057054" w14:textId="77777777" w:rsidR="000C0C80" w:rsidRPr="003F307C" w:rsidRDefault="000C0C80" w:rsidP="002E6199">
            <w:pPr>
              <w:jc w:val="center"/>
              <w:rPr>
                <w:rStyle w:val="Style1"/>
                <w:rFonts w:eastAsiaTheme="minorEastAsia" w:cstheme="minorBidi"/>
              </w:rPr>
            </w:pPr>
            <w:r w:rsidRPr="003F307C">
              <w:rPr>
                <w:rStyle w:val="Style1"/>
                <w:rFonts w:eastAsiaTheme="minorEastAsia" w:cstheme="minorBidi"/>
              </w:rPr>
              <w:t>0.00%</w:t>
            </w:r>
          </w:p>
          <w:p w14:paraId="23B2F8DF" w14:textId="77777777" w:rsidR="000C0C80" w:rsidRPr="003F307C" w:rsidRDefault="000C0C80" w:rsidP="002E6199">
            <w:pPr>
              <w:jc w:val="center"/>
              <w:rPr>
                <w:rStyle w:val="Style1"/>
                <w:rFonts w:eastAsiaTheme="minorEastAsia" w:cstheme="minorBidi"/>
              </w:rPr>
            </w:pPr>
          </w:p>
        </w:tc>
        <w:tc>
          <w:tcPr>
            <w:tcW w:w="481" w:type="pct"/>
            <w:tcBorders>
              <w:top w:val="dashed" w:sz="4" w:space="0" w:color="auto"/>
              <w:bottom w:val="dashed" w:sz="4" w:space="0" w:color="auto"/>
            </w:tcBorders>
            <w:vAlign w:val="center"/>
          </w:tcPr>
          <w:p w14:paraId="240238E3" w14:textId="77777777" w:rsidR="000C0C80" w:rsidRPr="003F307C" w:rsidRDefault="000C0C80" w:rsidP="002E6199">
            <w:pPr>
              <w:jc w:val="center"/>
              <w:rPr>
                <w:rStyle w:val="Style1"/>
                <w:rFonts w:eastAsiaTheme="minorEastAsia" w:cstheme="minorBidi"/>
              </w:rPr>
            </w:pPr>
            <w:r w:rsidRPr="003F307C">
              <w:rPr>
                <w:rStyle w:val="Style1"/>
                <w:rFonts w:eastAsiaTheme="minorEastAsia" w:cstheme="minorBidi"/>
              </w:rPr>
              <w:t>0.00%</w:t>
            </w:r>
          </w:p>
          <w:p w14:paraId="044D26F3" w14:textId="77777777" w:rsidR="000C0C80" w:rsidRPr="003F307C" w:rsidRDefault="000C0C80" w:rsidP="002E6199">
            <w:pPr>
              <w:jc w:val="center"/>
              <w:rPr>
                <w:rStyle w:val="Style1"/>
                <w:rFonts w:eastAsiaTheme="minorEastAsia" w:cstheme="minorBidi"/>
              </w:rPr>
            </w:pPr>
          </w:p>
        </w:tc>
        <w:tc>
          <w:tcPr>
            <w:tcW w:w="433" w:type="pct"/>
            <w:tcBorders>
              <w:top w:val="dashed" w:sz="4" w:space="0" w:color="auto"/>
              <w:bottom w:val="dashed" w:sz="4" w:space="0" w:color="auto"/>
            </w:tcBorders>
            <w:vAlign w:val="center"/>
          </w:tcPr>
          <w:p w14:paraId="1EDBDA86" w14:textId="77777777" w:rsidR="000C0C80" w:rsidRPr="003F307C" w:rsidRDefault="000C0C80" w:rsidP="002E6199">
            <w:pPr>
              <w:jc w:val="center"/>
              <w:rPr>
                <w:rStyle w:val="Style1"/>
                <w:rFonts w:eastAsiaTheme="minorEastAsia" w:cstheme="minorBidi"/>
              </w:rPr>
            </w:pPr>
            <w:r w:rsidRPr="003F307C">
              <w:rPr>
                <w:rStyle w:val="Style1"/>
                <w:rFonts w:eastAsiaTheme="minorEastAsia" w:cstheme="minorBidi"/>
              </w:rPr>
              <w:t>0.00%</w:t>
            </w:r>
          </w:p>
          <w:p w14:paraId="735AFA87" w14:textId="77777777" w:rsidR="000C0C80" w:rsidRPr="003F307C" w:rsidRDefault="000C0C80" w:rsidP="002E6199">
            <w:pPr>
              <w:jc w:val="center"/>
              <w:rPr>
                <w:rStyle w:val="Style1"/>
                <w:rFonts w:eastAsiaTheme="minorEastAsia" w:cstheme="minorBidi"/>
              </w:rPr>
            </w:pPr>
          </w:p>
        </w:tc>
      </w:tr>
      <w:tr w:rsidR="000C0C80" w:rsidRPr="003F307C" w14:paraId="53BFD15F" w14:textId="77777777" w:rsidTr="00EA3F5E">
        <w:trPr>
          <w:trHeight w:val="74"/>
        </w:trPr>
        <w:tc>
          <w:tcPr>
            <w:tcW w:w="3269" w:type="pct"/>
            <w:tcBorders>
              <w:top w:val="dashed" w:sz="4" w:space="0" w:color="auto"/>
              <w:bottom w:val="dashed" w:sz="4" w:space="0" w:color="auto"/>
            </w:tcBorders>
            <w:shd w:val="clear" w:color="auto" w:fill="auto"/>
            <w:noWrap/>
            <w:vAlign w:val="center"/>
          </w:tcPr>
          <w:p w14:paraId="10AB4018" w14:textId="1DE706CB" w:rsidR="000C0C80" w:rsidRPr="003F307C" w:rsidRDefault="000C0C80" w:rsidP="002E6199">
            <w:pPr>
              <w:rPr>
                <w:rStyle w:val="Style1"/>
                <w:rFonts w:eastAsiaTheme="minorEastAsia" w:cstheme="minorBidi"/>
              </w:rPr>
            </w:pPr>
            <w:r w:rsidRPr="003F307C">
              <w:rPr>
                <w:rStyle w:val="Style1"/>
                <w:rFonts w:eastAsiaTheme="minorEastAsia" w:cstheme="minorBidi"/>
              </w:rPr>
              <w:t xml:space="preserve">Any episode where the claim(s) constituting the attributed </w:t>
            </w:r>
            <w:r>
              <w:rPr>
                <w:rStyle w:val="Style1"/>
                <w:rFonts w:eastAsiaTheme="minorEastAsia" w:cstheme="minorBidi"/>
              </w:rPr>
              <w:t>IRF</w:t>
            </w:r>
            <w:r w:rsidRPr="003F307C">
              <w:rPr>
                <w:rStyle w:val="Style1"/>
                <w:rFonts w:eastAsiaTheme="minorEastAsia" w:cstheme="minorBidi"/>
              </w:rPr>
              <w:t xml:space="preserve"> provider’s treatment have a standard allowed amount of zero or where the standard allowed amount cannot be calculated</w:t>
            </w:r>
          </w:p>
        </w:tc>
        <w:tc>
          <w:tcPr>
            <w:tcW w:w="431" w:type="pct"/>
            <w:tcBorders>
              <w:top w:val="dashed" w:sz="4" w:space="0" w:color="auto"/>
              <w:bottom w:val="dashed" w:sz="4" w:space="0" w:color="auto"/>
            </w:tcBorders>
            <w:shd w:val="clear" w:color="auto" w:fill="auto"/>
            <w:vAlign w:val="center"/>
          </w:tcPr>
          <w:p w14:paraId="14C68AC6" w14:textId="42FC6340" w:rsidR="000C0C80" w:rsidRPr="003F307C" w:rsidRDefault="000C0C80" w:rsidP="002E6199">
            <w:pPr>
              <w:jc w:val="center"/>
              <w:rPr>
                <w:rStyle w:val="Style1"/>
                <w:rFonts w:eastAsiaTheme="minorEastAsia" w:cstheme="minorBidi"/>
              </w:rPr>
            </w:pPr>
            <w:r>
              <w:rPr>
                <w:rStyle w:val="Style1"/>
                <w:rFonts w:eastAsiaTheme="minorEastAsia" w:cstheme="minorBidi"/>
              </w:rPr>
              <w:t>0.00</w:t>
            </w:r>
            <w:r w:rsidRPr="003F307C">
              <w:rPr>
                <w:rStyle w:val="Style1"/>
                <w:rFonts w:eastAsiaTheme="minorEastAsia" w:cstheme="minorBidi"/>
              </w:rPr>
              <w:t>%</w:t>
            </w:r>
          </w:p>
          <w:p w14:paraId="1FC68E4C" w14:textId="77777777" w:rsidR="000C0C80" w:rsidRPr="003F307C" w:rsidRDefault="000C0C80" w:rsidP="002E6199">
            <w:pPr>
              <w:jc w:val="center"/>
              <w:rPr>
                <w:rStyle w:val="Style1"/>
                <w:rFonts w:eastAsiaTheme="minorEastAsia" w:cstheme="minorBidi"/>
              </w:rPr>
            </w:pPr>
          </w:p>
        </w:tc>
        <w:tc>
          <w:tcPr>
            <w:tcW w:w="386" w:type="pct"/>
            <w:tcBorders>
              <w:top w:val="dashed" w:sz="4" w:space="0" w:color="auto"/>
              <w:bottom w:val="dashed" w:sz="4" w:space="0" w:color="auto"/>
            </w:tcBorders>
            <w:vAlign w:val="center"/>
          </w:tcPr>
          <w:p w14:paraId="4A24E582" w14:textId="67786F5B" w:rsidR="000C0C80" w:rsidRPr="003F307C" w:rsidRDefault="000C0C80" w:rsidP="002E6199">
            <w:pPr>
              <w:jc w:val="center"/>
              <w:rPr>
                <w:rStyle w:val="Style1"/>
                <w:rFonts w:eastAsiaTheme="minorEastAsia" w:cstheme="minorBidi"/>
              </w:rPr>
            </w:pPr>
            <w:r w:rsidRPr="003F307C">
              <w:rPr>
                <w:rStyle w:val="Style1"/>
                <w:rFonts w:eastAsiaTheme="minorEastAsia" w:cstheme="minorBidi"/>
              </w:rPr>
              <w:t>0.</w:t>
            </w:r>
            <w:r>
              <w:rPr>
                <w:rStyle w:val="Style1"/>
                <w:rFonts w:eastAsiaTheme="minorEastAsia" w:cstheme="minorBidi"/>
              </w:rPr>
              <w:t>00</w:t>
            </w:r>
            <w:r w:rsidRPr="003F307C">
              <w:rPr>
                <w:rStyle w:val="Style1"/>
                <w:rFonts w:eastAsiaTheme="minorEastAsia" w:cstheme="minorBidi"/>
              </w:rPr>
              <w:t>%</w:t>
            </w:r>
          </w:p>
          <w:p w14:paraId="04858014" w14:textId="77777777" w:rsidR="000C0C80" w:rsidRPr="003F307C" w:rsidRDefault="000C0C80" w:rsidP="002E6199">
            <w:pPr>
              <w:jc w:val="center"/>
              <w:rPr>
                <w:rStyle w:val="Style1"/>
                <w:rFonts w:eastAsiaTheme="minorEastAsia" w:cstheme="minorBidi"/>
              </w:rPr>
            </w:pPr>
          </w:p>
        </w:tc>
        <w:tc>
          <w:tcPr>
            <w:tcW w:w="481" w:type="pct"/>
            <w:tcBorders>
              <w:top w:val="dashed" w:sz="4" w:space="0" w:color="auto"/>
              <w:bottom w:val="dashed" w:sz="4" w:space="0" w:color="auto"/>
            </w:tcBorders>
            <w:vAlign w:val="center"/>
          </w:tcPr>
          <w:p w14:paraId="108F2D33" w14:textId="1254DF7C" w:rsidR="000C0C80" w:rsidRPr="003F307C" w:rsidRDefault="000C0C80" w:rsidP="002E6199">
            <w:pPr>
              <w:jc w:val="center"/>
              <w:rPr>
                <w:rStyle w:val="Style1"/>
                <w:rFonts w:eastAsiaTheme="minorEastAsia" w:cstheme="minorBidi"/>
              </w:rPr>
            </w:pPr>
            <w:r>
              <w:rPr>
                <w:rStyle w:val="Style1"/>
                <w:rFonts w:eastAsiaTheme="minorEastAsia" w:cstheme="minorBidi"/>
              </w:rPr>
              <w:t>0.00</w:t>
            </w:r>
            <w:r w:rsidRPr="003F307C">
              <w:rPr>
                <w:rStyle w:val="Style1"/>
                <w:rFonts w:eastAsiaTheme="minorEastAsia" w:cstheme="minorBidi"/>
              </w:rPr>
              <w:t>%</w:t>
            </w:r>
          </w:p>
          <w:p w14:paraId="5FC5BE44" w14:textId="77777777" w:rsidR="000C0C80" w:rsidRPr="003F307C" w:rsidRDefault="000C0C80" w:rsidP="002E6199">
            <w:pPr>
              <w:jc w:val="center"/>
              <w:rPr>
                <w:rStyle w:val="Style1"/>
                <w:rFonts w:eastAsiaTheme="minorEastAsia" w:cstheme="minorBidi"/>
              </w:rPr>
            </w:pPr>
          </w:p>
        </w:tc>
        <w:tc>
          <w:tcPr>
            <w:tcW w:w="433" w:type="pct"/>
            <w:tcBorders>
              <w:top w:val="dashed" w:sz="4" w:space="0" w:color="auto"/>
              <w:bottom w:val="dashed" w:sz="4" w:space="0" w:color="auto"/>
            </w:tcBorders>
            <w:vAlign w:val="center"/>
          </w:tcPr>
          <w:p w14:paraId="40210E25" w14:textId="5D0E6153" w:rsidR="000C0C80" w:rsidRPr="003F307C" w:rsidRDefault="000C0C80" w:rsidP="002E6199">
            <w:pPr>
              <w:jc w:val="center"/>
              <w:rPr>
                <w:rStyle w:val="Style1"/>
                <w:rFonts w:eastAsiaTheme="minorEastAsia" w:cstheme="minorBidi"/>
              </w:rPr>
            </w:pPr>
            <w:r>
              <w:rPr>
                <w:rStyle w:val="Style1"/>
                <w:rFonts w:eastAsiaTheme="minorEastAsia" w:cstheme="minorBidi"/>
              </w:rPr>
              <w:t>0.00</w:t>
            </w:r>
            <w:r w:rsidRPr="003F307C">
              <w:rPr>
                <w:rStyle w:val="Style1"/>
                <w:rFonts w:eastAsiaTheme="minorEastAsia" w:cstheme="minorBidi"/>
              </w:rPr>
              <w:t>%</w:t>
            </w:r>
          </w:p>
          <w:p w14:paraId="4F287A4E" w14:textId="77777777" w:rsidR="000C0C80" w:rsidRPr="003F307C" w:rsidRDefault="000C0C80" w:rsidP="002E6199">
            <w:pPr>
              <w:jc w:val="center"/>
              <w:rPr>
                <w:rStyle w:val="Style1"/>
                <w:rFonts w:eastAsiaTheme="minorEastAsia" w:cstheme="minorBidi"/>
              </w:rPr>
            </w:pPr>
          </w:p>
        </w:tc>
      </w:tr>
      <w:tr w:rsidR="000C0C80" w:rsidRPr="003F307C" w14:paraId="13C13B65" w14:textId="77777777" w:rsidTr="00EA3F5E">
        <w:trPr>
          <w:trHeight w:val="74"/>
        </w:trPr>
        <w:tc>
          <w:tcPr>
            <w:tcW w:w="3269" w:type="pct"/>
            <w:tcBorders>
              <w:top w:val="dashed" w:sz="4" w:space="0" w:color="auto"/>
              <w:bottom w:val="dashed" w:sz="4" w:space="0" w:color="auto"/>
            </w:tcBorders>
            <w:shd w:val="clear" w:color="auto" w:fill="auto"/>
            <w:noWrap/>
            <w:vAlign w:val="center"/>
          </w:tcPr>
          <w:p w14:paraId="00CFFCB0" w14:textId="77777777" w:rsidR="000C0C80" w:rsidRPr="003F307C" w:rsidRDefault="000C0C80" w:rsidP="002E6199">
            <w:pPr>
              <w:rPr>
                <w:rStyle w:val="Style1"/>
                <w:rFonts w:eastAsiaTheme="minorEastAsia" w:cstheme="minorBidi"/>
              </w:rPr>
            </w:pPr>
            <w:r w:rsidRPr="003F307C">
              <w:rPr>
                <w:rStyle w:val="Style1"/>
                <w:rFonts w:eastAsiaTheme="minorEastAsia" w:cstheme="minorBidi"/>
              </w:rPr>
              <w:t>Any episode in which a beneficiary is not enrolled in Medicare FFS for the entirety of the 90-day lookback period (i.e., a 90-day period prior to the episode trigger) plus episode window (including where a beneficiary dies), or is enrolled in Part C for any part of the lookback period plus episode window</w:t>
            </w:r>
          </w:p>
        </w:tc>
        <w:tc>
          <w:tcPr>
            <w:tcW w:w="431" w:type="pct"/>
            <w:tcBorders>
              <w:top w:val="dashed" w:sz="4" w:space="0" w:color="auto"/>
              <w:bottom w:val="dashed" w:sz="4" w:space="0" w:color="auto"/>
            </w:tcBorders>
            <w:shd w:val="clear" w:color="auto" w:fill="auto"/>
            <w:vAlign w:val="center"/>
          </w:tcPr>
          <w:p w14:paraId="461D90E1" w14:textId="44D42545" w:rsidR="000C0C80" w:rsidRPr="003F307C" w:rsidRDefault="000C0C80" w:rsidP="002E6199">
            <w:pPr>
              <w:jc w:val="center"/>
              <w:rPr>
                <w:rStyle w:val="Style1"/>
                <w:rFonts w:eastAsiaTheme="minorEastAsia" w:cstheme="minorBidi"/>
              </w:rPr>
            </w:pPr>
            <w:r w:rsidRPr="003F307C">
              <w:rPr>
                <w:rStyle w:val="Style1"/>
                <w:rFonts w:eastAsiaTheme="minorEastAsia" w:cstheme="minorBidi"/>
              </w:rPr>
              <w:t>1</w:t>
            </w:r>
            <w:r>
              <w:rPr>
                <w:rStyle w:val="Style1"/>
                <w:rFonts w:eastAsiaTheme="minorEastAsia" w:cstheme="minorBidi"/>
              </w:rPr>
              <w:t>0.52</w:t>
            </w:r>
            <w:r w:rsidRPr="003F307C">
              <w:rPr>
                <w:rStyle w:val="Style1"/>
                <w:rFonts w:eastAsiaTheme="minorEastAsia" w:cstheme="minorBidi"/>
              </w:rPr>
              <w:t>%</w:t>
            </w:r>
          </w:p>
          <w:p w14:paraId="774BD044" w14:textId="77777777" w:rsidR="000C0C80" w:rsidRPr="003F307C" w:rsidRDefault="000C0C80" w:rsidP="002E6199">
            <w:pPr>
              <w:jc w:val="center"/>
              <w:rPr>
                <w:rStyle w:val="Style1"/>
                <w:rFonts w:eastAsiaTheme="minorEastAsia" w:cstheme="minorBidi"/>
              </w:rPr>
            </w:pPr>
          </w:p>
        </w:tc>
        <w:tc>
          <w:tcPr>
            <w:tcW w:w="386" w:type="pct"/>
            <w:tcBorders>
              <w:top w:val="dashed" w:sz="4" w:space="0" w:color="auto"/>
              <w:bottom w:val="dashed" w:sz="4" w:space="0" w:color="auto"/>
            </w:tcBorders>
            <w:vAlign w:val="center"/>
          </w:tcPr>
          <w:p w14:paraId="3E192DEC" w14:textId="19A6903A" w:rsidR="000C0C80" w:rsidRPr="003F307C" w:rsidRDefault="000C0C80" w:rsidP="002E6199">
            <w:pPr>
              <w:jc w:val="center"/>
              <w:rPr>
                <w:rStyle w:val="Style1"/>
                <w:rFonts w:eastAsiaTheme="minorEastAsia" w:cstheme="minorBidi"/>
              </w:rPr>
            </w:pPr>
            <w:r w:rsidRPr="003F307C">
              <w:rPr>
                <w:rStyle w:val="Style1"/>
                <w:rFonts w:eastAsiaTheme="minorEastAsia" w:cstheme="minorBidi"/>
              </w:rPr>
              <w:t>7.</w:t>
            </w:r>
            <w:r>
              <w:rPr>
                <w:rStyle w:val="Style1"/>
                <w:rFonts w:eastAsiaTheme="minorEastAsia" w:cstheme="minorBidi"/>
              </w:rPr>
              <w:t>58</w:t>
            </w:r>
            <w:r w:rsidRPr="003F307C">
              <w:rPr>
                <w:rStyle w:val="Style1"/>
                <w:rFonts w:eastAsiaTheme="minorEastAsia" w:cstheme="minorBidi"/>
              </w:rPr>
              <w:t>%</w:t>
            </w:r>
          </w:p>
          <w:p w14:paraId="67039D4F" w14:textId="77777777" w:rsidR="000C0C80" w:rsidRPr="003F307C" w:rsidRDefault="000C0C80" w:rsidP="002E6199">
            <w:pPr>
              <w:jc w:val="center"/>
              <w:rPr>
                <w:rStyle w:val="Style1"/>
                <w:rFonts w:eastAsiaTheme="minorEastAsia" w:cstheme="minorBidi"/>
              </w:rPr>
            </w:pPr>
          </w:p>
        </w:tc>
        <w:tc>
          <w:tcPr>
            <w:tcW w:w="481" w:type="pct"/>
            <w:tcBorders>
              <w:top w:val="dashed" w:sz="4" w:space="0" w:color="auto"/>
              <w:bottom w:val="dashed" w:sz="4" w:space="0" w:color="auto"/>
            </w:tcBorders>
            <w:vAlign w:val="center"/>
          </w:tcPr>
          <w:p w14:paraId="10B6D318" w14:textId="25F7B17A" w:rsidR="000C0C80" w:rsidRPr="003F307C" w:rsidRDefault="000C0C80" w:rsidP="002E6199">
            <w:pPr>
              <w:jc w:val="center"/>
              <w:rPr>
                <w:rStyle w:val="Style1"/>
                <w:rFonts w:eastAsiaTheme="minorEastAsia" w:cstheme="minorBidi"/>
              </w:rPr>
            </w:pPr>
            <w:r>
              <w:rPr>
                <w:rStyle w:val="Style1"/>
                <w:rFonts w:eastAsiaTheme="minorEastAsia" w:cstheme="minorBidi"/>
              </w:rPr>
              <w:t>9.29</w:t>
            </w:r>
            <w:r w:rsidRPr="003F307C">
              <w:rPr>
                <w:rStyle w:val="Style1"/>
                <w:rFonts w:eastAsiaTheme="minorEastAsia" w:cstheme="minorBidi"/>
              </w:rPr>
              <w:t>%</w:t>
            </w:r>
          </w:p>
          <w:p w14:paraId="50CCE8B4" w14:textId="77777777" w:rsidR="000C0C80" w:rsidRPr="003F307C" w:rsidRDefault="000C0C80" w:rsidP="002E6199">
            <w:pPr>
              <w:jc w:val="center"/>
              <w:rPr>
                <w:rStyle w:val="Style1"/>
                <w:rFonts w:eastAsiaTheme="minorEastAsia" w:cstheme="minorBidi"/>
              </w:rPr>
            </w:pPr>
          </w:p>
        </w:tc>
        <w:tc>
          <w:tcPr>
            <w:tcW w:w="433" w:type="pct"/>
            <w:tcBorders>
              <w:top w:val="dashed" w:sz="4" w:space="0" w:color="auto"/>
              <w:bottom w:val="dashed" w:sz="4" w:space="0" w:color="auto"/>
            </w:tcBorders>
            <w:vAlign w:val="center"/>
          </w:tcPr>
          <w:p w14:paraId="600828F1" w14:textId="2A6055D6" w:rsidR="000C0C80" w:rsidRPr="003F307C" w:rsidRDefault="000C0C80" w:rsidP="002E6199">
            <w:pPr>
              <w:jc w:val="center"/>
              <w:rPr>
                <w:rStyle w:val="Style1"/>
                <w:rFonts w:eastAsiaTheme="minorEastAsia" w:cstheme="minorBidi"/>
              </w:rPr>
            </w:pPr>
            <w:r w:rsidRPr="003F307C">
              <w:rPr>
                <w:rStyle w:val="Style1"/>
                <w:rFonts w:eastAsiaTheme="minorEastAsia" w:cstheme="minorBidi"/>
              </w:rPr>
              <w:t>1</w:t>
            </w:r>
            <w:r>
              <w:rPr>
                <w:rStyle w:val="Style1"/>
                <w:rFonts w:eastAsiaTheme="minorEastAsia" w:cstheme="minorBidi"/>
              </w:rPr>
              <w:t>1.46</w:t>
            </w:r>
            <w:r w:rsidRPr="003F307C">
              <w:rPr>
                <w:rStyle w:val="Style1"/>
                <w:rFonts w:eastAsiaTheme="minorEastAsia" w:cstheme="minorBidi"/>
              </w:rPr>
              <w:t>%</w:t>
            </w:r>
          </w:p>
          <w:p w14:paraId="34178071" w14:textId="77777777" w:rsidR="000C0C80" w:rsidRPr="003F307C" w:rsidRDefault="000C0C80" w:rsidP="002E6199">
            <w:pPr>
              <w:jc w:val="center"/>
              <w:rPr>
                <w:rStyle w:val="Style1"/>
                <w:rFonts w:eastAsiaTheme="minorEastAsia" w:cstheme="minorBidi"/>
              </w:rPr>
            </w:pPr>
          </w:p>
        </w:tc>
      </w:tr>
      <w:tr w:rsidR="000C0C80" w:rsidRPr="003F307C" w14:paraId="2669EBB4" w14:textId="77777777" w:rsidTr="00EA3F5E">
        <w:trPr>
          <w:trHeight w:val="74"/>
        </w:trPr>
        <w:tc>
          <w:tcPr>
            <w:tcW w:w="3269" w:type="pct"/>
            <w:tcBorders>
              <w:top w:val="dashed" w:sz="4" w:space="0" w:color="auto"/>
              <w:bottom w:val="dashed" w:sz="4" w:space="0" w:color="auto"/>
            </w:tcBorders>
            <w:shd w:val="clear" w:color="auto" w:fill="auto"/>
            <w:noWrap/>
            <w:vAlign w:val="center"/>
          </w:tcPr>
          <w:p w14:paraId="77105280" w14:textId="77777777" w:rsidR="000C0C80" w:rsidRPr="003F307C" w:rsidRDefault="000C0C80" w:rsidP="002E6199">
            <w:pPr>
              <w:rPr>
                <w:rStyle w:val="Style1"/>
                <w:rFonts w:eastAsiaTheme="minorEastAsia" w:cstheme="minorBidi"/>
              </w:rPr>
            </w:pPr>
            <w:r w:rsidRPr="003F307C">
              <w:rPr>
                <w:rStyle w:val="Style1"/>
                <w:rFonts w:eastAsiaTheme="minorEastAsia" w:cstheme="minorBidi"/>
              </w:rPr>
              <w:t>Any episode in which a beneficiary has a primary payer other than Medicare for any part of the 90-day lookback period plus episode window</w:t>
            </w:r>
          </w:p>
        </w:tc>
        <w:tc>
          <w:tcPr>
            <w:tcW w:w="431" w:type="pct"/>
            <w:tcBorders>
              <w:top w:val="dashed" w:sz="4" w:space="0" w:color="auto"/>
              <w:bottom w:val="dashed" w:sz="4" w:space="0" w:color="auto"/>
            </w:tcBorders>
            <w:shd w:val="clear" w:color="auto" w:fill="auto"/>
            <w:vAlign w:val="center"/>
          </w:tcPr>
          <w:p w14:paraId="4839FD46" w14:textId="713C4A05" w:rsidR="000C0C80" w:rsidRPr="003F307C" w:rsidRDefault="000C0C80" w:rsidP="002E6199">
            <w:pPr>
              <w:jc w:val="center"/>
              <w:rPr>
                <w:rStyle w:val="Style1"/>
                <w:rFonts w:eastAsiaTheme="minorEastAsia" w:cstheme="minorBidi"/>
              </w:rPr>
            </w:pPr>
            <w:r>
              <w:rPr>
                <w:rStyle w:val="Style1"/>
                <w:rFonts w:eastAsiaTheme="minorEastAsia" w:cstheme="minorBidi"/>
              </w:rPr>
              <w:t>10.18</w:t>
            </w:r>
            <w:r w:rsidRPr="003F307C">
              <w:rPr>
                <w:rStyle w:val="Style1"/>
                <w:rFonts w:eastAsiaTheme="minorEastAsia" w:cstheme="minorBidi"/>
              </w:rPr>
              <w:t>%</w:t>
            </w:r>
          </w:p>
          <w:p w14:paraId="73B63B2C" w14:textId="77777777" w:rsidR="000C0C80" w:rsidRPr="003F307C" w:rsidRDefault="000C0C80" w:rsidP="002E6199">
            <w:pPr>
              <w:jc w:val="center"/>
              <w:rPr>
                <w:rStyle w:val="Style1"/>
                <w:rFonts w:eastAsiaTheme="minorEastAsia" w:cstheme="minorBidi"/>
              </w:rPr>
            </w:pPr>
          </w:p>
        </w:tc>
        <w:tc>
          <w:tcPr>
            <w:tcW w:w="386" w:type="pct"/>
            <w:tcBorders>
              <w:top w:val="dashed" w:sz="4" w:space="0" w:color="auto"/>
              <w:bottom w:val="dashed" w:sz="4" w:space="0" w:color="auto"/>
            </w:tcBorders>
            <w:vAlign w:val="center"/>
          </w:tcPr>
          <w:p w14:paraId="4F91D6E7" w14:textId="30F08ADE" w:rsidR="000C0C80" w:rsidRPr="003F307C" w:rsidRDefault="000C0C80" w:rsidP="002E6199">
            <w:pPr>
              <w:jc w:val="center"/>
              <w:rPr>
                <w:rStyle w:val="Style1"/>
                <w:rFonts w:eastAsiaTheme="minorEastAsia" w:cstheme="minorBidi"/>
              </w:rPr>
            </w:pPr>
            <w:r>
              <w:rPr>
                <w:rStyle w:val="Style1"/>
                <w:rFonts w:eastAsiaTheme="minorEastAsia" w:cstheme="minorBidi"/>
              </w:rPr>
              <w:t>7.95</w:t>
            </w:r>
            <w:r w:rsidRPr="003F307C">
              <w:rPr>
                <w:rStyle w:val="Style1"/>
                <w:rFonts w:eastAsiaTheme="minorEastAsia" w:cstheme="minorBidi"/>
              </w:rPr>
              <w:t>%</w:t>
            </w:r>
          </w:p>
          <w:p w14:paraId="28EE28B9" w14:textId="77777777" w:rsidR="000C0C80" w:rsidRPr="003F307C" w:rsidRDefault="000C0C80" w:rsidP="002E6199">
            <w:pPr>
              <w:jc w:val="center"/>
              <w:rPr>
                <w:rStyle w:val="Style1"/>
                <w:rFonts w:eastAsiaTheme="minorEastAsia" w:cstheme="minorBidi"/>
              </w:rPr>
            </w:pPr>
          </w:p>
        </w:tc>
        <w:tc>
          <w:tcPr>
            <w:tcW w:w="481" w:type="pct"/>
            <w:tcBorders>
              <w:top w:val="dashed" w:sz="4" w:space="0" w:color="auto"/>
              <w:bottom w:val="dashed" w:sz="4" w:space="0" w:color="auto"/>
            </w:tcBorders>
            <w:vAlign w:val="center"/>
          </w:tcPr>
          <w:p w14:paraId="539CFBA6" w14:textId="170C339A" w:rsidR="000C0C80" w:rsidRPr="003F307C" w:rsidRDefault="000C0C80" w:rsidP="002E6199">
            <w:pPr>
              <w:jc w:val="center"/>
              <w:rPr>
                <w:rStyle w:val="Style1"/>
                <w:rFonts w:eastAsiaTheme="minorEastAsia" w:cstheme="minorBidi"/>
              </w:rPr>
            </w:pPr>
            <w:r>
              <w:rPr>
                <w:rStyle w:val="Style1"/>
                <w:rFonts w:eastAsiaTheme="minorEastAsia" w:cstheme="minorBidi"/>
              </w:rPr>
              <w:t>9.77</w:t>
            </w:r>
            <w:r w:rsidRPr="003F307C">
              <w:rPr>
                <w:rStyle w:val="Style1"/>
                <w:rFonts w:eastAsiaTheme="minorEastAsia" w:cstheme="minorBidi"/>
              </w:rPr>
              <w:t>%</w:t>
            </w:r>
          </w:p>
          <w:p w14:paraId="486F0338" w14:textId="77777777" w:rsidR="000C0C80" w:rsidRPr="003F307C" w:rsidRDefault="000C0C80" w:rsidP="002E6199">
            <w:pPr>
              <w:jc w:val="center"/>
              <w:rPr>
                <w:rStyle w:val="Style1"/>
                <w:rFonts w:eastAsiaTheme="minorEastAsia" w:cstheme="minorBidi"/>
              </w:rPr>
            </w:pPr>
          </w:p>
        </w:tc>
        <w:tc>
          <w:tcPr>
            <w:tcW w:w="433" w:type="pct"/>
            <w:tcBorders>
              <w:top w:val="dashed" w:sz="4" w:space="0" w:color="auto"/>
              <w:bottom w:val="dashed" w:sz="4" w:space="0" w:color="auto"/>
            </w:tcBorders>
            <w:vAlign w:val="center"/>
          </w:tcPr>
          <w:p w14:paraId="65DB551B" w14:textId="4A246353" w:rsidR="000C0C80" w:rsidRPr="003F307C" w:rsidRDefault="000C0C80" w:rsidP="002E6199">
            <w:pPr>
              <w:jc w:val="center"/>
              <w:rPr>
                <w:rStyle w:val="Style1"/>
                <w:rFonts w:eastAsiaTheme="minorEastAsia" w:cstheme="minorBidi"/>
              </w:rPr>
            </w:pPr>
            <w:r>
              <w:rPr>
                <w:rStyle w:val="Style1"/>
                <w:rFonts w:eastAsiaTheme="minorEastAsia" w:cstheme="minorBidi"/>
              </w:rPr>
              <w:t>12.13%</w:t>
            </w:r>
          </w:p>
          <w:p w14:paraId="2A5CDDE1" w14:textId="77777777" w:rsidR="000C0C80" w:rsidRPr="003F307C" w:rsidRDefault="000C0C80" w:rsidP="002E6199">
            <w:pPr>
              <w:jc w:val="center"/>
              <w:rPr>
                <w:rStyle w:val="Style1"/>
                <w:rFonts w:eastAsiaTheme="minorEastAsia" w:cstheme="minorBidi"/>
              </w:rPr>
            </w:pPr>
          </w:p>
        </w:tc>
      </w:tr>
      <w:tr w:rsidR="000C0C80" w:rsidRPr="003F307C" w14:paraId="0235C581" w14:textId="77777777" w:rsidTr="00EA3F5E">
        <w:trPr>
          <w:trHeight w:val="74"/>
        </w:trPr>
        <w:tc>
          <w:tcPr>
            <w:tcW w:w="3269" w:type="pct"/>
            <w:tcBorders>
              <w:top w:val="dashed" w:sz="4" w:space="0" w:color="auto"/>
              <w:bottom w:val="dashed" w:sz="4" w:space="0" w:color="auto"/>
            </w:tcBorders>
            <w:shd w:val="clear" w:color="auto" w:fill="auto"/>
            <w:noWrap/>
            <w:vAlign w:val="center"/>
          </w:tcPr>
          <w:p w14:paraId="4884129C" w14:textId="278D432B" w:rsidR="000C0C80" w:rsidRPr="003F307C" w:rsidRDefault="000C0C80">
            <w:pPr>
              <w:rPr>
                <w:rStyle w:val="Style1"/>
                <w:rFonts w:eastAsiaTheme="minorEastAsia" w:cstheme="minorBidi"/>
                <w:szCs w:val="22"/>
              </w:rPr>
            </w:pPr>
            <w:r w:rsidRPr="003F307C">
              <w:rPr>
                <w:rStyle w:val="Style1"/>
                <w:rFonts w:eastAsiaTheme="minorEastAsia" w:cstheme="minorBidi"/>
              </w:rPr>
              <w:t xml:space="preserve">Any episode where the claim(s) constituting the attributed </w:t>
            </w:r>
            <w:r>
              <w:rPr>
                <w:rStyle w:val="Style1"/>
                <w:rFonts w:eastAsiaTheme="minorEastAsia" w:cstheme="minorBidi"/>
              </w:rPr>
              <w:t>IRF</w:t>
            </w:r>
            <w:r w:rsidRPr="003F307C">
              <w:rPr>
                <w:rStyle w:val="Style1"/>
                <w:rFonts w:eastAsiaTheme="minorEastAsia" w:cstheme="minorBidi"/>
              </w:rPr>
              <w:t xml:space="preserve"> provider’s treatment include at least one related condition code indicating that it is not a prospective payment system bill</w:t>
            </w:r>
          </w:p>
        </w:tc>
        <w:tc>
          <w:tcPr>
            <w:tcW w:w="431" w:type="pct"/>
            <w:tcBorders>
              <w:top w:val="dashed" w:sz="4" w:space="0" w:color="auto"/>
              <w:bottom w:val="dashed" w:sz="4" w:space="0" w:color="auto"/>
            </w:tcBorders>
            <w:shd w:val="clear" w:color="auto" w:fill="auto"/>
            <w:vAlign w:val="center"/>
          </w:tcPr>
          <w:p w14:paraId="0DCAC9AF" w14:textId="77777777" w:rsidR="000C0C80" w:rsidRPr="003F307C" w:rsidRDefault="000C0C80" w:rsidP="002E6199">
            <w:pPr>
              <w:jc w:val="center"/>
              <w:rPr>
                <w:rStyle w:val="Style1"/>
                <w:rFonts w:eastAsiaTheme="minorEastAsia" w:cstheme="minorBidi"/>
              </w:rPr>
            </w:pPr>
            <w:r w:rsidRPr="003F307C">
              <w:rPr>
                <w:rStyle w:val="Style1"/>
                <w:rFonts w:eastAsiaTheme="minorEastAsia" w:cstheme="minorBidi"/>
              </w:rPr>
              <w:t>0.00%</w:t>
            </w:r>
          </w:p>
          <w:p w14:paraId="37A7FE57" w14:textId="77777777" w:rsidR="000C0C80" w:rsidRPr="003F307C" w:rsidRDefault="000C0C80" w:rsidP="002E6199">
            <w:pPr>
              <w:jc w:val="center"/>
              <w:rPr>
                <w:rStyle w:val="Style1"/>
                <w:rFonts w:eastAsiaTheme="minorEastAsia" w:cstheme="minorBidi"/>
              </w:rPr>
            </w:pPr>
          </w:p>
        </w:tc>
        <w:tc>
          <w:tcPr>
            <w:tcW w:w="386" w:type="pct"/>
            <w:tcBorders>
              <w:top w:val="dashed" w:sz="4" w:space="0" w:color="auto"/>
              <w:bottom w:val="dashed" w:sz="4" w:space="0" w:color="auto"/>
            </w:tcBorders>
            <w:vAlign w:val="center"/>
          </w:tcPr>
          <w:p w14:paraId="5B297F1B" w14:textId="77777777" w:rsidR="000C0C80" w:rsidRPr="003F307C" w:rsidRDefault="000C0C80" w:rsidP="002E6199">
            <w:pPr>
              <w:jc w:val="center"/>
              <w:rPr>
                <w:rStyle w:val="Style1"/>
                <w:rFonts w:eastAsiaTheme="minorEastAsia" w:cstheme="minorBidi"/>
              </w:rPr>
            </w:pPr>
            <w:r w:rsidRPr="003F307C">
              <w:rPr>
                <w:rStyle w:val="Style1"/>
                <w:rFonts w:eastAsiaTheme="minorEastAsia" w:cstheme="minorBidi"/>
              </w:rPr>
              <w:t>0.00%</w:t>
            </w:r>
          </w:p>
          <w:p w14:paraId="61FE1ED3" w14:textId="77777777" w:rsidR="000C0C80" w:rsidRPr="003F307C" w:rsidRDefault="000C0C80" w:rsidP="002E6199">
            <w:pPr>
              <w:jc w:val="center"/>
              <w:rPr>
                <w:rStyle w:val="Style1"/>
                <w:rFonts w:eastAsiaTheme="minorEastAsia" w:cstheme="minorBidi"/>
              </w:rPr>
            </w:pPr>
          </w:p>
        </w:tc>
        <w:tc>
          <w:tcPr>
            <w:tcW w:w="481" w:type="pct"/>
            <w:tcBorders>
              <w:top w:val="dashed" w:sz="4" w:space="0" w:color="auto"/>
              <w:bottom w:val="dashed" w:sz="4" w:space="0" w:color="auto"/>
            </w:tcBorders>
            <w:vAlign w:val="center"/>
          </w:tcPr>
          <w:p w14:paraId="6CF173B2" w14:textId="77777777" w:rsidR="000C0C80" w:rsidRPr="003F307C" w:rsidRDefault="000C0C80" w:rsidP="002E6199">
            <w:pPr>
              <w:jc w:val="center"/>
              <w:rPr>
                <w:rStyle w:val="Style1"/>
                <w:rFonts w:eastAsiaTheme="minorEastAsia" w:cstheme="minorBidi"/>
              </w:rPr>
            </w:pPr>
            <w:r w:rsidRPr="003F307C">
              <w:rPr>
                <w:rStyle w:val="Style1"/>
                <w:rFonts w:eastAsiaTheme="minorEastAsia" w:cstheme="minorBidi"/>
              </w:rPr>
              <w:t>0.00%</w:t>
            </w:r>
          </w:p>
          <w:p w14:paraId="05F054DA" w14:textId="77777777" w:rsidR="000C0C80" w:rsidRPr="003F307C" w:rsidRDefault="000C0C80" w:rsidP="002E6199">
            <w:pPr>
              <w:jc w:val="center"/>
              <w:rPr>
                <w:rStyle w:val="Style1"/>
                <w:rFonts w:eastAsiaTheme="minorEastAsia" w:cstheme="minorBidi"/>
              </w:rPr>
            </w:pPr>
          </w:p>
        </w:tc>
        <w:tc>
          <w:tcPr>
            <w:tcW w:w="433" w:type="pct"/>
            <w:tcBorders>
              <w:top w:val="dashed" w:sz="4" w:space="0" w:color="auto"/>
              <w:bottom w:val="dashed" w:sz="4" w:space="0" w:color="auto"/>
            </w:tcBorders>
            <w:vAlign w:val="center"/>
          </w:tcPr>
          <w:p w14:paraId="6FF3D2EF" w14:textId="77777777" w:rsidR="000C0C80" w:rsidRPr="003F307C" w:rsidRDefault="000C0C80" w:rsidP="002E6199">
            <w:pPr>
              <w:jc w:val="center"/>
              <w:rPr>
                <w:rStyle w:val="Style1"/>
                <w:rFonts w:eastAsiaTheme="minorEastAsia" w:cstheme="minorBidi"/>
              </w:rPr>
            </w:pPr>
            <w:r w:rsidRPr="003F307C">
              <w:rPr>
                <w:rStyle w:val="Style1"/>
                <w:rFonts w:eastAsiaTheme="minorEastAsia" w:cstheme="minorBidi"/>
              </w:rPr>
              <w:t>0.00%</w:t>
            </w:r>
          </w:p>
          <w:p w14:paraId="77F00D50" w14:textId="77777777" w:rsidR="000C0C80" w:rsidRPr="003F307C" w:rsidRDefault="000C0C80" w:rsidP="002E6199">
            <w:pPr>
              <w:jc w:val="center"/>
              <w:rPr>
                <w:rStyle w:val="Style1"/>
                <w:rFonts w:eastAsiaTheme="minorEastAsia" w:cstheme="minorBidi"/>
              </w:rPr>
            </w:pPr>
          </w:p>
        </w:tc>
      </w:tr>
      <w:tr w:rsidR="000C0C80" w:rsidRPr="00FE4F0A" w14:paraId="61EFF33C" w14:textId="77777777" w:rsidTr="00EA3F5E">
        <w:trPr>
          <w:trHeight w:val="74"/>
        </w:trPr>
        <w:tc>
          <w:tcPr>
            <w:tcW w:w="3269" w:type="pct"/>
            <w:tcBorders>
              <w:top w:val="dashed" w:sz="4" w:space="0" w:color="auto"/>
              <w:bottom w:val="single" w:sz="4" w:space="0" w:color="auto"/>
            </w:tcBorders>
            <w:shd w:val="clear" w:color="auto" w:fill="auto"/>
            <w:noWrap/>
            <w:vAlign w:val="center"/>
          </w:tcPr>
          <w:p w14:paraId="63E6A5C6" w14:textId="77777777" w:rsidR="000C0C80" w:rsidRPr="00D10415" w:rsidRDefault="000C0C80" w:rsidP="002E6199">
            <w:pPr>
              <w:rPr>
                <w:rStyle w:val="Style1"/>
                <w:rFonts w:eastAsiaTheme="minorEastAsia" w:cstheme="minorBidi"/>
              </w:rPr>
            </w:pPr>
            <w:r w:rsidRPr="00FE4F0A">
              <w:rPr>
                <w:rStyle w:val="Style1"/>
              </w:rPr>
              <w:t>Any episode with problematic claims data (e.g., anomalous records for stays that overlap wholly or in part, or are otherwise erroneous or contradictory)</w:t>
            </w:r>
          </w:p>
        </w:tc>
        <w:tc>
          <w:tcPr>
            <w:tcW w:w="431" w:type="pct"/>
            <w:tcBorders>
              <w:top w:val="dashed" w:sz="4" w:space="0" w:color="auto"/>
              <w:bottom w:val="single" w:sz="4" w:space="0" w:color="auto"/>
            </w:tcBorders>
            <w:shd w:val="clear" w:color="auto" w:fill="auto"/>
            <w:vAlign w:val="center"/>
          </w:tcPr>
          <w:p w14:paraId="22729AD0" w14:textId="205080D2" w:rsidR="000C0C80" w:rsidRPr="00D10415" w:rsidRDefault="000C0C80" w:rsidP="002E6199">
            <w:pPr>
              <w:jc w:val="center"/>
              <w:rPr>
                <w:rStyle w:val="Style1"/>
                <w:rFonts w:eastAsiaTheme="minorEastAsia" w:cstheme="minorBidi"/>
              </w:rPr>
            </w:pPr>
            <w:r w:rsidRPr="00FE4F0A">
              <w:rPr>
                <w:rStyle w:val="Style1"/>
              </w:rPr>
              <w:t>0.</w:t>
            </w:r>
            <w:r>
              <w:rPr>
                <w:rStyle w:val="Style1"/>
              </w:rPr>
              <w:t>00</w:t>
            </w:r>
            <w:r w:rsidRPr="00FE4F0A">
              <w:rPr>
                <w:rStyle w:val="Style1"/>
              </w:rPr>
              <w:t>%</w:t>
            </w:r>
          </w:p>
          <w:p w14:paraId="21A9EE0A" w14:textId="77777777" w:rsidR="000C0C80" w:rsidRPr="008C7D29" w:rsidRDefault="000C0C80" w:rsidP="002E6199">
            <w:pPr>
              <w:jc w:val="center"/>
              <w:rPr>
                <w:rStyle w:val="Style1"/>
                <w:rFonts w:eastAsiaTheme="minorEastAsia" w:cstheme="minorBidi"/>
              </w:rPr>
            </w:pPr>
          </w:p>
        </w:tc>
        <w:tc>
          <w:tcPr>
            <w:tcW w:w="386" w:type="pct"/>
            <w:tcBorders>
              <w:top w:val="dashed" w:sz="4" w:space="0" w:color="auto"/>
              <w:bottom w:val="single" w:sz="4" w:space="0" w:color="auto"/>
            </w:tcBorders>
            <w:vAlign w:val="center"/>
          </w:tcPr>
          <w:p w14:paraId="69695F44" w14:textId="77777777" w:rsidR="000C0C80" w:rsidRPr="00D10415" w:rsidRDefault="000C0C80" w:rsidP="002E6199">
            <w:pPr>
              <w:jc w:val="center"/>
              <w:rPr>
                <w:rStyle w:val="Style1"/>
                <w:rFonts w:eastAsiaTheme="minorEastAsia" w:cstheme="minorBidi"/>
              </w:rPr>
            </w:pPr>
            <w:r w:rsidRPr="00FE4F0A">
              <w:rPr>
                <w:rStyle w:val="Style1"/>
              </w:rPr>
              <w:t>0.00%</w:t>
            </w:r>
          </w:p>
          <w:p w14:paraId="0A7891AB" w14:textId="77777777" w:rsidR="000C0C80" w:rsidRPr="008C7D29" w:rsidRDefault="000C0C80" w:rsidP="002E6199">
            <w:pPr>
              <w:jc w:val="center"/>
              <w:rPr>
                <w:rStyle w:val="Style1"/>
                <w:rFonts w:eastAsiaTheme="minorEastAsia" w:cstheme="minorBidi"/>
              </w:rPr>
            </w:pPr>
          </w:p>
        </w:tc>
        <w:tc>
          <w:tcPr>
            <w:tcW w:w="481" w:type="pct"/>
            <w:tcBorders>
              <w:top w:val="dashed" w:sz="4" w:space="0" w:color="auto"/>
              <w:bottom w:val="single" w:sz="4" w:space="0" w:color="auto"/>
            </w:tcBorders>
            <w:vAlign w:val="center"/>
          </w:tcPr>
          <w:p w14:paraId="4E790671" w14:textId="4B6ACA09" w:rsidR="000C0C80" w:rsidRPr="00D10415" w:rsidRDefault="000C0C80" w:rsidP="002E6199">
            <w:pPr>
              <w:jc w:val="center"/>
              <w:rPr>
                <w:rStyle w:val="Style1"/>
                <w:rFonts w:eastAsiaTheme="minorEastAsia" w:cstheme="minorBidi"/>
              </w:rPr>
            </w:pPr>
            <w:r w:rsidRPr="00FE4F0A">
              <w:rPr>
                <w:rStyle w:val="Style1"/>
              </w:rPr>
              <w:t>0.</w:t>
            </w:r>
            <w:r>
              <w:rPr>
                <w:rStyle w:val="Style1"/>
              </w:rPr>
              <w:t>00</w:t>
            </w:r>
            <w:r w:rsidRPr="00FE4F0A">
              <w:rPr>
                <w:rStyle w:val="Style1"/>
              </w:rPr>
              <w:t>%</w:t>
            </w:r>
          </w:p>
          <w:p w14:paraId="13F8F52B" w14:textId="77777777" w:rsidR="000C0C80" w:rsidRPr="008C7D29" w:rsidRDefault="000C0C80" w:rsidP="002E6199">
            <w:pPr>
              <w:jc w:val="center"/>
              <w:rPr>
                <w:rStyle w:val="Style1"/>
                <w:rFonts w:eastAsiaTheme="minorEastAsia" w:cstheme="minorBidi"/>
              </w:rPr>
            </w:pPr>
          </w:p>
        </w:tc>
        <w:tc>
          <w:tcPr>
            <w:tcW w:w="433" w:type="pct"/>
            <w:tcBorders>
              <w:top w:val="dashed" w:sz="4" w:space="0" w:color="auto"/>
              <w:bottom w:val="single" w:sz="4" w:space="0" w:color="auto"/>
            </w:tcBorders>
            <w:vAlign w:val="center"/>
          </w:tcPr>
          <w:p w14:paraId="50E23D79" w14:textId="5AD59BA0" w:rsidR="000C0C80" w:rsidRPr="00D10415" w:rsidRDefault="000C0C80" w:rsidP="002E6199">
            <w:pPr>
              <w:jc w:val="center"/>
              <w:rPr>
                <w:rStyle w:val="Style1"/>
                <w:rFonts w:eastAsiaTheme="minorEastAsia" w:cstheme="minorBidi"/>
              </w:rPr>
            </w:pPr>
            <w:r w:rsidRPr="00FE4F0A">
              <w:rPr>
                <w:rStyle w:val="Style1"/>
              </w:rPr>
              <w:t>0.</w:t>
            </w:r>
            <w:r>
              <w:rPr>
                <w:rStyle w:val="Style1"/>
              </w:rPr>
              <w:t>00</w:t>
            </w:r>
            <w:r w:rsidRPr="00FE4F0A">
              <w:rPr>
                <w:rStyle w:val="Style1"/>
              </w:rPr>
              <w:t>%</w:t>
            </w:r>
          </w:p>
          <w:p w14:paraId="125D3668" w14:textId="77777777" w:rsidR="000C0C80" w:rsidRPr="008C7D29" w:rsidRDefault="000C0C80" w:rsidP="002E6199">
            <w:pPr>
              <w:jc w:val="center"/>
              <w:rPr>
                <w:rStyle w:val="Style1"/>
                <w:rFonts w:eastAsiaTheme="minorEastAsia" w:cstheme="minorBidi"/>
              </w:rPr>
            </w:pPr>
          </w:p>
        </w:tc>
      </w:tr>
    </w:tbl>
    <w:p w14:paraId="4D5320F5" w14:textId="4DDA46CA" w:rsidR="003F307C" w:rsidRPr="00F2316D" w:rsidRDefault="003F307C" w:rsidP="003F307C">
      <w:pPr>
        <w:spacing w:after="0" w:line="240" w:lineRule="auto"/>
        <w:rPr>
          <w:rStyle w:val="Style1"/>
          <w:sz w:val="18"/>
          <w:szCs w:val="20"/>
        </w:rPr>
      </w:pPr>
      <w:r w:rsidRPr="00F2316D">
        <w:rPr>
          <w:rStyle w:val="Style1"/>
          <w:sz w:val="18"/>
          <w:szCs w:val="20"/>
        </w:rPr>
        <w:t xml:space="preserve">Analysis of Medicare Claims File for </w:t>
      </w:r>
      <w:r w:rsidR="003A7C3A" w:rsidRPr="00B8568F">
        <w:rPr>
          <w:rStyle w:val="Style1"/>
          <w:sz w:val="18"/>
          <w:szCs w:val="20"/>
        </w:rPr>
        <w:t>IRF</w:t>
      </w:r>
      <w:r w:rsidRPr="00B8568F">
        <w:rPr>
          <w:rStyle w:val="Style1"/>
          <w:sz w:val="18"/>
          <w:szCs w:val="20"/>
        </w:rPr>
        <w:t xml:space="preserve">, </w:t>
      </w:r>
      <w:r w:rsidR="00B8568F" w:rsidRPr="008C7D29">
        <w:rPr>
          <w:rStyle w:val="Style1"/>
          <w:sz w:val="18"/>
          <w:szCs w:val="20"/>
        </w:rPr>
        <w:t>FY</w:t>
      </w:r>
      <w:r w:rsidRPr="00B8568F">
        <w:rPr>
          <w:rStyle w:val="Style1"/>
          <w:sz w:val="18"/>
          <w:szCs w:val="20"/>
        </w:rPr>
        <w:t xml:space="preserve"> 2016-2017</w:t>
      </w:r>
      <w:r w:rsidRPr="00F2316D">
        <w:rPr>
          <w:rStyle w:val="Style1"/>
          <w:sz w:val="18"/>
          <w:szCs w:val="20"/>
        </w:rPr>
        <w:t xml:space="preserve"> </w:t>
      </w:r>
    </w:p>
    <w:p w14:paraId="5A75703A" w14:textId="77777777" w:rsidR="003F307C" w:rsidRPr="003F307C" w:rsidRDefault="003F307C" w:rsidP="003F307C">
      <w:pPr>
        <w:rPr>
          <w:rStyle w:val="Style1"/>
        </w:rPr>
      </w:pP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3BE9EF65" w14:textId="77777777" w:rsidR="00C64278" w:rsidRDefault="00092566" w:rsidP="00EE4048">
      <w:pPr>
        <w:pStyle w:val="Heading3"/>
      </w:pPr>
      <w:r>
        <w:t>2b</w:t>
      </w:r>
      <w:r w:rsidR="009C7513">
        <w:t>2</w:t>
      </w:r>
      <w:r>
        <w:t>.</w:t>
      </w:r>
      <w:r w:rsidR="00A25024" w:rsidRPr="00A25024">
        <w:t xml:space="preserve">3. </w:t>
      </w:r>
      <w:r w:rsidR="000B2DF7" w:rsidRPr="00A25024">
        <w:t xml:space="preserve">What is your interpretation of the results </w:t>
      </w:r>
      <w:r w:rsidR="007422FD" w:rsidRPr="00A25024">
        <w:t xml:space="preserve">in terms of </w:t>
      </w:r>
      <w:r w:rsidR="00713394" w:rsidRPr="00A25024">
        <w:t>demonstrating</w:t>
      </w:r>
      <w:r w:rsidR="007422FD" w:rsidRPr="00A25024">
        <w:t xml:space="preserve"> </w:t>
      </w:r>
      <w:r w:rsidR="00713394" w:rsidRPr="00A25024">
        <w:t>that exclusions are needed to prevent unfair distortion of performance results</w:t>
      </w:r>
      <w:r w:rsidR="007422FD" w:rsidRPr="00A25024">
        <w:t xml:space="preserve">? </w:t>
      </w:r>
    </w:p>
    <w:p w14:paraId="0CABCFE8" w14:textId="74F025E0" w:rsidR="007422FD" w:rsidRDefault="000B2DF7" w:rsidP="00DB3627">
      <w:pPr>
        <w:autoSpaceDE w:val="0"/>
        <w:autoSpaceDN w:val="0"/>
        <w:adjustRightInd w:val="0"/>
        <w:spacing w:after="0" w:line="240" w:lineRule="auto"/>
        <w:rPr>
          <w:rFonts w:cstheme="minorHAnsi"/>
          <w:bCs/>
        </w:rPr>
      </w:pPr>
      <w:r w:rsidRPr="00A25024">
        <w:rPr>
          <w:rFonts w:cstheme="minorHAnsi"/>
          <w:bCs/>
        </w:rPr>
        <w:t>(</w:t>
      </w:r>
      <w:r w:rsidR="00713394" w:rsidRPr="00A25024">
        <w:rPr>
          <w:rFonts w:cstheme="minorHAnsi"/>
          <w:bCs/>
          <w:i/>
        </w:rPr>
        <w:t>i.e.,</w:t>
      </w:r>
      <w:r w:rsidRPr="00A25024">
        <w:rPr>
          <w:rFonts w:cstheme="minorHAnsi"/>
          <w:bCs/>
          <w:i/>
        </w:rPr>
        <w:t xml:space="preserve"> the value </w:t>
      </w:r>
      <w:r w:rsidR="00713394" w:rsidRPr="00A25024">
        <w:rPr>
          <w:rFonts w:cstheme="minorHAnsi"/>
          <w:bCs/>
          <w:i/>
        </w:rPr>
        <w:t>outweighs the</w:t>
      </w:r>
      <w:r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24CA6BCE" w14:textId="49DA7FA9" w:rsidR="003F307C" w:rsidRPr="003F307C" w:rsidRDefault="003F307C" w:rsidP="00932E8F">
      <w:pPr>
        <w:spacing w:line="240" w:lineRule="auto"/>
        <w:ind w:firstLine="720"/>
        <w:rPr>
          <w:rStyle w:val="Style1"/>
        </w:rPr>
      </w:pPr>
      <w:r w:rsidRPr="003F307C">
        <w:rPr>
          <w:rStyle w:val="Style1"/>
        </w:rPr>
        <w:t xml:space="preserve">Exclusions for the MSPB-PAC measure are listed in </w:t>
      </w:r>
      <w:r w:rsidR="00715FD3" w:rsidRPr="00F21CE6">
        <w:rPr>
          <w:rStyle w:val="Style1"/>
          <w:b/>
        </w:rPr>
        <w:fldChar w:fldCharType="begin"/>
      </w:r>
      <w:r w:rsidR="00715FD3" w:rsidRPr="00F21CE6">
        <w:rPr>
          <w:rStyle w:val="Style1"/>
          <w:b/>
        </w:rPr>
        <w:instrText xml:space="preserve"> REF _Ref22633798 \h </w:instrText>
      </w:r>
      <w:r w:rsidR="00715FD3" w:rsidRPr="00715FD3">
        <w:rPr>
          <w:rStyle w:val="Style1"/>
          <w:b/>
        </w:rPr>
        <w:instrText xml:space="preserve"> \* MERGEFORMAT </w:instrText>
      </w:r>
      <w:r w:rsidR="00715FD3" w:rsidRPr="00F21CE6">
        <w:rPr>
          <w:rStyle w:val="Style1"/>
          <w:b/>
        </w:rPr>
      </w:r>
      <w:r w:rsidR="00715FD3" w:rsidRPr="00F21CE6">
        <w:rPr>
          <w:rStyle w:val="Style1"/>
          <w:b/>
        </w:rPr>
        <w:fldChar w:fldCharType="separate"/>
      </w:r>
      <w:r w:rsidR="00B6644A" w:rsidRPr="00495623">
        <w:rPr>
          <w:b/>
          <w:color w:val="0000FF"/>
        </w:rPr>
        <w:t xml:space="preserve">Table </w:t>
      </w:r>
      <w:r w:rsidR="00B6644A" w:rsidRPr="00495623">
        <w:rPr>
          <w:b/>
          <w:noProof/>
          <w:color w:val="0000FF"/>
        </w:rPr>
        <w:t>10</w:t>
      </w:r>
      <w:r w:rsidR="00715FD3" w:rsidRPr="00F21CE6">
        <w:rPr>
          <w:rStyle w:val="Style1"/>
          <w:b/>
        </w:rPr>
        <w:fldChar w:fldCharType="end"/>
      </w:r>
      <w:r w:rsidRPr="003F307C">
        <w:rPr>
          <w:rStyle w:val="Style1"/>
        </w:rPr>
        <w:t>, along with the rationale for each exclusion. Enrollment in Medicare FFS with Medicare as the primary payer is necessary to calculate the Medicare spending measures. Without these exclusion criteria</w:t>
      </w:r>
      <w:r w:rsidR="00137888">
        <w:rPr>
          <w:rStyle w:val="Style1"/>
        </w:rPr>
        <w:t>,</w:t>
      </w:r>
      <w:r w:rsidRPr="003F307C">
        <w:rPr>
          <w:rStyle w:val="Style1"/>
        </w:rPr>
        <w:t xml:space="preserve"> it would not be possible to calculate the full cost to the Medicare program. The risk</w:t>
      </w:r>
      <w:r w:rsidR="00137888">
        <w:rPr>
          <w:rStyle w:val="Style1"/>
        </w:rPr>
        <w:t xml:space="preserve"> </w:t>
      </w:r>
      <w:r w:rsidRPr="003F307C">
        <w:rPr>
          <w:rStyle w:val="Style1"/>
        </w:rPr>
        <w:t>adjustment methodology relies on Medicare FFS claims during the 90-day look back period and, therefore, the model will not be accurate without full Medicare claims data for the period of analysis.</w:t>
      </w:r>
    </w:p>
    <w:p w14:paraId="2E4FD0CF" w14:textId="5E604CC9" w:rsidR="003F307C" w:rsidRPr="005B2207" w:rsidRDefault="00715FD3" w:rsidP="009F6752">
      <w:pPr>
        <w:pStyle w:val="Caption"/>
        <w:spacing w:after="0"/>
        <w:rPr>
          <w:rStyle w:val="Style1"/>
        </w:rPr>
      </w:pPr>
      <w:bookmarkStart w:id="28" w:name="_Ref22633798"/>
      <w:r w:rsidRPr="00A62DF7">
        <w:t xml:space="preserve">Table </w:t>
      </w:r>
      <w:r w:rsidR="008107BD" w:rsidRPr="00805629">
        <w:rPr>
          <w:noProof/>
        </w:rPr>
        <w:fldChar w:fldCharType="begin"/>
      </w:r>
      <w:r w:rsidR="008107BD" w:rsidRPr="00A62DF7">
        <w:rPr>
          <w:noProof/>
        </w:rPr>
        <w:instrText xml:space="preserve"> SEQ Table \* ARABIC </w:instrText>
      </w:r>
      <w:r w:rsidR="008107BD" w:rsidRPr="00805629">
        <w:rPr>
          <w:noProof/>
        </w:rPr>
        <w:fldChar w:fldCharType="separate"/>
      </w:r>
      <w:r w:rsidR="00B6644A" w:rsidRPr="00A62DF7">
        <w:rPr>
          <w:noProof/>
        </w:rPr>
        <w:t>10</w:t>
      </w:r>
      <w:r w:rsidR="008107BD" w:rsidRPr="00805629">
        <w:rPr>
          <w:noProof/>
        </w:rPr>
        <w:fldChar w:fldCharType="end"/>
      </w:r>
      <w:bookmarkEnd w:id="28"/>
      <w:r w:rsidR="003F307C" w:rsidRPr="00A62DF7">
        <w:rPr>
          <w:rStyle w:val="Style1"/>
          <w:b w:val="0"/>
        </w:rPr>
        <w:t xml:space="preserve">. </w:t>
      </w:r>
      <w:r w:rsidR="003F307C" w:rsidRPr="00A62DF7">
        <w:rPr>
          <w:rStyle w:val="Style1"/>
        </w:rPr>
        <w:t xml:space="preserve">Exclusion Criteria and Rationale for the MSPB-PAC </w:t>
      </w:r>
      <w:r w:rsidR="003A7C3A" w:rsidRPr="00A62DF7">
        <w:rPr>
          <w:rStyle w:val="Style1"/>
        </w:rPr>
        <w:t>IRF</w:t>
      </w:r>
      <w:r w:rsidR="003F307C" w:rsidRPr="00A62DF7">
        <w:rPr>
          <w:rStyle w:val="Style1"/>
        </w:rPr>
        <w:t xml:space="preserve"> Measure</w:t>
      </w:r>
      <w:r w:rsidR="003F307C" w:rsidRPr="00A62DF7">
        <w:rPr>
          <w:rStyle w:val="Style1"/>
          <w:b w:val="0"/>
        </w:rPr>
        <w:t xml:space="preserve"> </w:t>
      </w:r>
    </w:p>
    <w:tbl>
      <w:tblPr>
        <w:tblW w:w="9990" w:type="dxa"/>
        <w:tblLook w:val="04A0" w:firstRow="1" w:lastRow="0" w:firstColumn="1" w:lastColumn="0" w:noHBand="0" w:noVBand="1"/>
      </w:tblPr>
      <w:tblGrid>
        <w:gridCol w:w="4320"/>
        <w:gridCol w:w="5670"/>
      </w:tblGrid>
      <w:tr w:rsidR="003F307C" w:rsidRPr="003F307C" w14:paraId="4FCE8B21" w14:textId="77777777" w:rsidTr="00122DF1">
        <w:trPr>
          <w:tblHeader/>
        </w:trPr>
        <w:tc>
          <w:tcPr>
            <w:tcW w:w="4320" w:type="dxa"/>
            <w:tcBorders>
              <w:top w:val="single" w:sz="4" w:space="0" w:color="auto"/>
              <w:left w:val="nil"/>
              <w:bottom w:val="single" w:sz="4" w:space="0" w:color="auto"/>
              <w:right w:val="nil"/>
            </w:tcBorders>
            <w:shd w:val="clear" w:color="000000" w:fill="BFBFBF"/>
            <w:hideMark/>
          </w:tcPr>
          <w:p w14:paraId="470A6898" w14:textId="77777777" w:rsidR="003F307C" w:rsidRPr="005B2207" w:rsidRDefault="003F307C" w:rsidP="00943B15">
            <w:pPr>
              <w:spacing w:after="0" w:line="240" w:lineRule="auto"/>
              <w:rPr>
                <w:rStyle w:val="Style1"/>
                <w:b/>
              </w:rPr>
            </w:pPr>
            <w:r w:rsidRPr="00A62DF7">
              <w:rPr>
                <w:rStyle w:val="Style1"/>
                <w:b/>
              </w:rPr>
              <w:t>Exclusion</w:t>
            </w:r>
          </w:p>
        </w:tc>
        <w:tc>
          <w:tcPr>
            <w:tcW w:w="5670" w:type="dxa"/>
            <w:tcBorders>
              <w:top w:val="single" w:sz="4" w:space="0" w:color="auto"/>
              <w:left w:val="nil"/>
              <w:bottom w:val="single" w:sz="4" w:space="0" w:color="auto"/>
              <w:right w:val="nil"/>
            </w:tcBorders>
            <w:shd w:val="clear" w:color="000000" w:fill="BFBFBF"/>
            <w:hideMark/>
          </w:tcPr>
          <w:p w14:paraId="755B6F6C" w14:textId="77777777" w:rsidR="003F307C" w:rsidRPr="003F307C" w:rsidRDefault="003F307C" w:rsidP="00943B15">
            <w:pPr>
              <w:spacing w:after="0" w:line="240" w:lineRule="auto"/>
              <w:rPr>
                <w:rStyle w:val="Style1"/>
                <w:b/>
              </w:rPr>
            </w:pPr>
            <w:r w:rsidRPr="00A62DF7">
              <w:rPr>
                <w:rStyle w:val="Style1"/>
                <w:b/>
              </w:rPr>
              <w:t>Rationale</w:t>
            </w:r>
          </w:p>
        </w:tc>
      </w:tr>
      <w:tr w:rsidR="003F307C" w:rsidRPr="003F307C" w14:paraId="413C83E6" w14:textId="77777777" w:rsidTr="00122DF1">
        <w:tc>
          <w:tcPr>
            <w:tcW w:w="4320" w:type="dxa"/>
            <w:tcBorders>
              <w:top w:val="nil"/>
              <w:left w:val="nil"/>
              <w:bottom w:val="nil"/>
              <w:right w:val="nil"/>
            </w:tcBorders>
            <w:shd w:val="clear" w:color="000000" w:fill="D9D9D9"/>
          </w:tcPr>
          <w:p w14:paraId="6895C337" w14:textId="5F78B431" w:rsidR="003F307C" w:rsidRPr="003F307C" w:rsidRDefault="003F307C" w:rsidP="00E66E1F">
            <w:pPr>
              <w:spacing w:line="240" w:lineRule="auto"/>
              <w:rPr>
                <w:rStyle w:val="Style1"/>
              </w:rPr>
            </w:pPr>
            <w:r w:rsidRPr="003F307C">
              <w:rPr>
                <w:rStyle w:val="Style1"/>
              </w:rPr>
              <w:t>Any episode that is triggered by a</w:t>
            </w:r>
            <w:r w:rsidR="00137888">
              <w:rPr>
                <w:rStyle w:val="Style1"/>
              </w:rPr>
              <w:t xml:space="preserve">n IRF </w:t>
            </w:r>
            <w:r w:rsidRPr="003F307C">
              <w:rPr>
                <w:rStyle w:val="Style1"/>
              </w:rPr>
              <w:t>claim outside the 50 states, D.C., Puerto Rico, or U.S. territories</w:t>
            </w:r>
            <w:r w:rsidR="0040466A">
              <w:rPr>
                <w:rStyle w:val="Style1"/>
              </w:rPr>
              <w:t>.</w:t>
            </w:r>
          </w:p>
        </w:tc>
        <w:tc>
          <w:tcPr>
            <w:tcW w:w="5670" w:type="dxa"/>
            <w:tcBorders>
              <w:top w:val="nil"/>
              <w:left w:val="nil"/>
              <w:bottom w:val="nil"/>
              <w:right w:val="nil"/>
            </w:tcBorders>
            <w:shd w:val="clear" w:color="000000" w:fill="D9D9D9"/>
          </w:tcPr>
          <w:p w14:paraId="546EFF14" w14:textId="77777777" w:rsidR="003F307C" w:rsidRPr="003F307C" w:rsidRDefault="003F307C" w:rsidP="00367585">
            <w:pPr>
              <w:spacing w:after="0" w:line="240" w:lineRule="auto"/>
              <w:rPr>
                <w:rStyle w:val="Style1"/>
              </w:rPr>
            </w:pPr>
            <w:r w:rsidRPr="003F307C">
              <w:rPr>
                <w:rStyle w:val="Style1"/>
              </w:rPr>
              <w:t>This exclusion ensures that complete claims data are available for each provider.</w:t>
            </w:r>
          </w:p>
        </w:tc>
      </w:tr>
      <w:tr w:rsidR="003F307C" w:rsidRPr="003F307C" w14:paraId="42925537" w14:textId="77777777" w:rsidTr="00122DF1">
        <w:tc>
          <w:tcPr>
            <w:tcW w:w="4320" w:type="dxa"/>
            <w:tcBorders>
              <w:top w:val="nil"/>
              <w:left w:val="nil"/>
              <w:bottom w:val="nil"/>
              <w:right w:val="nil"/>
            </w:tcBorders>
            <w:shd w:val="clear" w:color="000000" w:fill="FFFFFF"/>
          </w:tcPr>
          <w:p w14:paraId="499CDC08" w14:textId="120329DE" w:rsidR="003F307C" w:rsidRPr="003F307C" w:rsidRDefault="003F307C" w:rsidP="00E66E1F">
            <w:pPr>
              <w:spacing w:line="240" w:lineRule="auto"/>
              <w:rPr>
                <w:rStyle w:val="Style1"/>
              </w:rPr>
            </w:pPr>
            <w:r w:rsidRPr="003F307C">
              <w:rPr>
                <w:rStyle w:val="Style1"/>
              </w:rPr>
              <w:t xml:space="preserve">Any episode where the claim(s) constituting the attributed </w:t>
            </w:r>
            <w:r w:rsidR="00137888">
              <w:rPr>
                <w:rStyle w:val="Style1"/>
              </w:rPr>
              <w:t>IRF</w:t>
            </w:r>
            <w:r w:rsidRPr="003F307C">
              <w:rPr>
                <w:rStyle w:val="Style1"/>
              </w:rPr>
              <w:t>’s treatment have a standard allowed amount of zero or where the standard allowed amount cannot be calculated</w:t>
            </w:r>
            <w:r w:rsidR="0040466A">
              <w:rPr>
                <w:rStyle w:val="Style1"/>
              </w:rPr>
              <w:t>.</w:t>
            </w:r>
          </w:p>
        </w:tc>
        <w:tc>
          <w:tcPr>
            <w:tcW w:w="5670" w:type="dxa"/>
            <w:tcBorders>
              <w:top w:val="nil"/>
              <w:left w:val="nil"/>
              <w:bottom w:val="nil"/>
              <w:right w:val="nil"/>
            </w:tcBorders>
            <w:shd w:val="clear" w:color="000000" w:fill="FFFFFF"/>
          </w:tcPr>
          <w:p w14:paraId="21B1F1B4" w14:textId="77777777" w:rsidR="003F307C" w:rsidRPr="003F307C" w:rsidRDefault="003F307C" w:rsidP="00367585">
            <w:pPr>
              <w:spacing w:after="0" w:line="240" w:lineRule="auto"/>
              <w:rPr>
                <w:rStyle w:val="Style1"/>
              </w:rPr>
            </w:pPr>
            <w:r w:rsidRPr="003F307C">
              <w:rPr>
                <w:rStyle w:val="Style1"/>
              </w:rPr>
              <w:t>Episodes where the claim(s) constituting the attributed PAC provider’s treatment are zero or have unknown allowed payment do not reflect the cost to Medicare. Including these episodes in the calculation of MSPB-PAC measures could potentially misrepresent a providers’ resource use.</w:t>
            </w:r>
          </w:p>
        </w:tc>
      </w:tr>
      <w:tr w:rsidR="003F307C" w:rsidRPr="003F307C" w14:paraId="2E0626F3" w14:textId="77777777" w:rsidTr="00122DF1">
        <w:tc>
          <w:tcPr>
            <w:tcW w:w="4320" w:type="dxa"/>
            <w:tcBorders>
              <w:top w:val="nil"/>
              <w:left w:val="nil"/>
              <w:bottom w:val="nil"/>
              <w:right w:val="nil"/>
            </w:tcBorders>
            <w:shd w:val="clear" w:color="000000" w:fill="D9D9D9"/>
          </w:tcPr>
          <w:p w14:paraId="02DBFC1F" w14:textId="5AEE9A77" w:rsidR="003F307C" w:rsidRPr="003F307C" w:rsidRDefault="003F307C" w:rsidP="00E66E1F">
            <w:pPr>
              <w:spacing w:line="240" w:lineRule="auto"/>
              <w:rPr>
                <w:rStyle w:val="Style1"/>
              </w:rPr>
            </w:pPr>
            <w:r w:rsidRPr="003F307C">
              <w:rPr>
                <w:rStyle w:val="Style1"/>
              </w:rPr>
              <w:t>Any episode in which a beneficiary is not enrolled in Medicare FFS for the entirety of the 90-day lookback period (i.e., a 90-day period prior to the episode trigger) plus episode window (including where a beneficiary dies), or is enrolled in Part C for any part of the lookback period plus episode window</w:t>
            </w:r>
            <w:r w:rsidR="0040466A">
              <w:rPr>
                <w:rStyle w:val="Style1"/>
              </w:rPr>
              <w:t>.</w:t>
            </w:r>
          </w:p>
        </w:tc>
        <w:tc>
          <w:tcPr>
            <w:tcW w:w="5670" w:type="dxa"/>
            <w:tcBorders>
              <w:top w:val="nil"/>
              <w:left w:val="nil"/>
              <w:bottom w:val="nil"/>
              <w:right w:val="nil"/>
            </w:tcBorders>
            <w:shd w:val="clear" w:color="000000" w:fill="D9D9D9"/>
          </w:tcPr>
          <w:p w14:paraId="4C63DC45" w14:textId="77777777" w:rsidR="003F307C" w:rsidRPr="003F307C" w:rsidRDefault="003F307C" w:rsidP="00367585">
            <w:pPr>
              <w:spacing w:after="0" w:line="240" w:lineRule="auto"/>
              <w:rPr>
                <w:rStyle w:val="Style1"/>
              </w:rPr>
            </w:pPr>
            <w:r w:rsidRPr="003F307C">
              <w:rPr>
                <w:rStyle w:val="Style1"/>
              </w:rPr>
              <w:t>Episodes meeting this criteria do not have complete claims information that is needed for risk adjustment and the measure calculation, as there may be other claims (e.g., for services provided under Medicare Advantage [Part C]) that are not observable in the Medicare Part A and B claims data. Including these episodes in the MSPB-PAC measures could potentially misrepresent a provider’s resource use. This exclusion also allows us to faithfully construct Hierarchical Condition Categories (HCCs) for each episode by scanning the lookback period prior to its start without missing claims.</w:t>
            </w:r>
          </w:p>
        </w:tc>
      </w:tr>
      <w:tr w:rsidR="003F307C" w:rsidRPr="003F307C" w14:paraId="2E7C03BD" w14:textId="77777777" w:rsidTr="00122DF1">
        <w:tc>
          <w:tcPr>
            <w:tcW w:w="4320" w:type="dxa"/>
            <w:tcBorders>
              <w:top w:val="nil"/>
              <w:left w:val="nil"/>
              <w:bottom w:val="nil"/>
              <w:right w:val="nil"/>
            </w:tcBorders>
            <w:shd w:val="clear" w:color="000000" w:fill="FFFFFF"/>
          </w:tcPr>
          <w:p w14:paraId="3D1107A0" w14:textId="0543D937" w:rsidR="003F307C" w:rsidRPr="003F307C" w:rsidRDefault="003F307C" w:rsidP="00E66E1F">
            <w:pPr>
              <w:spacing w:after="0" w:line="240" w:lineRule="auto"/>
              <w:rPr>
                <w:rStyle w:val="Style1"/>
              </w:rPr>
            </w:pPr>
            <w:r w:rsidRPr="003F307C">
              <w:rPr>
                <w:rStyle w:val="Style1"/>
              </w:rPr>
              <w:t>Any episode in which a beneficiary has a primary payer other than Medicare for any part of the 90-day lookback period plus episode window</w:t>
            </w:r>
            <w:r w:rsidR="0040466A">
              <w:rPr>
                <w:rStyle w:val="Style1"/>
              </w:rPr>
              <w:t>.</w:t>
            </w:r>
          </w:p>
        </w:tc>
        <w:tc>
          <w:tcPr>
            <w:tcW w:w="5670" w:type="dxa"/>
            <w:tcBorders>
              <w:top w:val="nil"/>
              <w:left w:val="nil"/>
              <w:bottom w:val="nil"/>
              <w:right w:val="nil"/>
            </w:tcBorders>
            <w:shd w:val="clear" w:color="000000" w:fill="FFFFFF"/>
          </w:tcPr>
          <w:p w14:paraId="515E6CAD" w14:textId="77777777" w:rsidR="003F307C" w:rsidRPr="003F307C" w:rsidRDefault="003F307C" w:rsidP="00367585">
            <w:pPr>
              <w:spacing w:after="0" w:line="240" w:lineRule="auto"/>
              <w:rPr>
                <w:rStyle w:val="Style1"/>
              </w:rPr>
            </w:pPr>
            <w:r w:rsidRPr="003F307C">
              <w:rPr>
                <w:rStyle w:val="Style1"/>
              </w:rPr>
              <w:t>Where a patient has a primary payer other than Medicare, complete claims data may not be observable. These episodes are removed to ensure that the measures are accurately calculated using complete data.</w:t>
            </w:r>
          </w:p>
        </w:tc>
      </w:tr>
      <w:tr w:rsidR="003F307C" w:rsidRPr="003F307C" w14:paraId="45EF2BE0" w14:textId="77777777" w:rsidTr="00122DF1">
        <w:tc>
          <w:tcPr>
            <w:tcW w:w="4320" w:type="dxa"/>
            <w:tcBorders>
              <w:top w:val="nil"/>
              <w:left w:val="nil"/>
              <w:right w:val="nil"/>
            </w:tcBorders>
            <w:shd w:val="clear" w:color="000000" w:fill="D9D9D9"/>
          </w:tcPr>
          <w:p w14:paraId="66A829CC" w14:textId="02FFCCCE" w:rsidR="003F307C" w:rsidRPr="003F307C" w:rsidRDefault="003F307C" w:rsidP="00E66E1F">
            <w:pPr>
              <w:spacing w:after="0" w:line="240" w:lineRule="auto"/>
              <w:rPr>
                <w:rStyle w:val="Style1"/>
              </w:rPr>
            </w:pPr>
            <w:r w:rsidRPr="003F307C">
              <w:rPr>
                <w:rStyle w:val="Style1"/>
              </w:rPr>
              <w:t xml:space="preserve">Any episode where the claim(s) constituting the attributed </w:t>
            </w:r>
            <w:r w:rsidR="00D10415">
              <w:rPr>
                <w:rStyle w:val="Style1"/>
              </w:rPr>
              <w:t>IRF</w:t>
            </w:r>
            <w:r w:rsidRPr="003F307C">
              <w:rPr>
                <w:rStyle w:val="Style1"/>
              </w:rPr>
              <w:t>’s treatment include at least one related condition code indicating that it is not a prospective payment system bill</w:t>
            </w:r>
            <w:r w:rsidR="0040466A">
              <w:rPr>
                <w:rStyle w:val="Style1"/>
              </w:rPr>
              <w:t>.</w:t>
            </w:r>
          </w:p>
        </w:tc>
        <w:tc>
          <w:tcPr>
            <w:tcW w:w="5670" w:type="dxa"/>
            <w:tcBorders>
              <w:top w:val="nil"/>
              <w:left w:val="nil"/>
              <w:right w:val="nil"/>
            </w:tcBorders>
            <w:shd w:val="clear" w:color="000000" w:fill="D9D9D9"/>
          </w:tcPr>
          <w:p w14:paraId="5C586387" w14:textId="77777777" w:rsidR="003F307C" w:rsidRPr="003F307C" w:rsidRDefault="003F307C" w:rsidP="00367585">
            <w:pPr>
              <w:spacing w:after="0" w:line="240" w:lineRule="auto"/>
              <w:rPr>
                <w:rStyle w:val="Style1"/>
              </w:rPr>
            </w:pPr>
            <w:r w:rsidRPr="003F307C">
              <w:rPr>
                <w:rStyle w:val="Style1"/>
              </w:rPr>
              <w:t xml:space="preserve">Claims that are not a prospective payment system bill may not report sufficient information to allow for payment standardization. </w:t>
            </w:r>
          </w:p>
        </w:tc>
      </w:tr>
      <w:tr w:rsidR="003F307C" w:rsidRPr="003F307C" w14:paraId="58B0CD98" w14:textId="77777777" w:rsidTr="00122DF1">
        <w:tc>
          <w:tcPr>
            <w:tcW w:w="4320" w:type="dxa"/>
            <w:tcBorders>
              <w:top w:val="nil"/>
              <w:left w:val="nil"/>
              <w:bottom w:val="single" w:sz="4" w:space="0" w:color="auto"/>
              <w:right w:val="nil"/>
            </w:tcBorders>
            <w:shd w:val="clear" w:color="000000" w:fill="FFFFFF"/>
          </w:tcPr>
          <w:p w14:paraId="0373178E" w14:textId="47C8892B" w:rsidR="003F307C" w:rsidRPr="004B52E4" w:rsidRDefault="003F307C" w:rsidP="00E66E1F">
            <w:pPr>
              <w:spacing w:line="240" w:lineRule="auto"/>
              <w:rPr>
                <w:rStyle w:val="Style1"/>
              </w:rPr>
            </w:pPr>
            <w:r w:rsidRPr="004B52E4">
              <w:rPr>
                <w:rStyle w:val="Style1"/>
              </w:rPr>
              <w:t>Any episode with problematic claims data (e.g., anomalous records for stays that overlap wholly or in part, or are otherwise erroneous or contradictory)</w:t>
            </w:r>
            <w:r w:rsidR="0040466A">
              <w:rPr>
                <w:rStyle w:val="Style1"/>
              </w:rPr>
              <w:t>.</w:t>
            </w:r>
          </w:p>
        </w:tc>
        <w:tc>
          <w:tcPr>
            <w:tcW w:w="5670" w:type="dxa"/>
            <w:tcBorders>
              <w:top w:val="nil"/>
              <w:left w:val="nil"/>
              <w:bottom w:val="single" w:sz="4" w:space="0" w:color="auto"/>
              <w:right w:val="nil"/>
            </w:tcBorders>
            <w:shd w:val="clear" w:color="000000" w:fill="FFFFFF"/>
          </w:tcPr>
          <w:p w14:paraId="715B5AA1" w14:textId="77777777" w:rsidR="003F307C" w:rsidRPr="004B52E4" w:rsidRDefault="003F307C" w:rsidP="00367585">
            <w:pPr>
              <w:spacing w:after="0" w:line="240" w:lineRule="auto"/>
              <w:rPr>
                <w:rStyle w:val="Style1"/>
              </w:rPr>
            </w:pPr>
            <w:r w:rsidRPr="004B52E4">
              <w:rPr>
                <w:rStyle w:val="Style1"/>
              </w:rPr>
              <w:t xml:space="preserve">The episode with the most recent processing date is kept to ensure the accuracy of data elements. </w:t>
            </w:r>
          </w:p>
        </w:tc>
      </w:tr>
    </w:tbl>
    <w:p w14:paraId="2DB4445C" w14:textId="77777777" w:rsidR="003F307C" w:rsidRPr="00A25024" w:rsidRDefault="003F307C" w:rsidP="00DB3627">
      <w:pPr>
        <w:autoSpaceDE w:val="0"/>
        <w:autoSpaceDN w:val="0"/>
        <w:adjustRightInd w:val="0"/>
        <w:spacing w:after="0" w:line="240" w:lineRule="auto"/>
        <w:rPr>
          <w:rFonts w:cstheme="minorHAnsi"/>
          <w:bCs/>
        </w:rPr>
      </w:pPr>
    </w:p>
    <w:p w14:paraId="0CABCFE9" w14:textId="77777777" w:rsidR="001202E9" w:rsidRPr="00AD2E50" w:rsidRDefault="0086464B" w:rsidP="00DB3627">
      <w:pPr>
        <w:autoSpaceDE w:val="0"/>
        <w:autoSpaceDN w:val="0"/>
        <w:adjustRightInd w:val="0"/>
        <w:spacing w:after="0" w:line="240" w:lineRule="auto"/>
        <w:rPr>
          <w:rFonts w:cstheme="minorHAnsi"/>
          <w:bCs/>
        </w:rPr>
      </w:pPr>
      <w:r w:rsidRPr="00AD2E50">
        <w:rPr>
          <w:rFonts w:cstheme="minorHAnsi"/>
          <w:bCs/>
        </w:rPr>
        <w:t>____________________________</w:t>
      </w:r>
    </w:p>
    <w:p w14:paraId="0CABCFEA" w14:textId="149BD120" w:rsidR="00AC1D8E" w:rsidRPr="0086464B" w:rsidRDefault="00092566" w:rsidP="00CF1289">
      <w:pPr>
        <w:pStyle w:val="Heading1"/>
        <w:rPr>
          <w:i/>
        </w:rPr>
      </w:pPr>
      <w:bookmarkStart w:id="29" w:name="section2b4"/>
      <w:bookmarkEnd w:id="29"/>
      <w:r w:rsidRPr="00AD2E50">
        <w:t>2b</w:t>
      </w:r>
      <w:r w:rsidR="009C7513" w:rsidRPr="00AD2E50">
        <w:t>3</w:t>
      </w:r>
      <w:r w:rsidRPr="00AD2E50">
        <w:t>. RISK ADJUSTMENT/STRATIFICATION FOR OUTCOME</w:t>
      </w:r>
      <w:r w:rsidRPr="00A25024">
        <w:t xml:space="preserve"> OR RESOURCE USE MEASURES</w:t>
      </w:r>
      <w:r w:rsidRPr="00A25024">
        <w:br/>
      </w:r>
      <w:r w:rsidR="00AC1D8E" w:rsidRPr="0086464B">
        <w:rPr>
          <w:i/>
          <w:highlight w:val="green"/>
        </w:rPr>
        <w:t>If not an intermediate or health outcome</w:t>
      </w:r>
      <w:r w:rsidR="00127C06">
        <w:rPr>
          <w:i/>
          <w:highlight w:val="green"/>
        </w:rPr>
        <w:t>,</w:t>
      </w:r>
      <w:r w:rsidR="00AC1D8E" w:rsidRPr="0086464B">
        <w:rPr>
          <w:i/>
          <w:highlight w:val="green"/>
        </w:rPr>
        <w:t xml:space="preserve"> </w:t>
      </w:r>
      <w:r w:rsidR="00127C06">
        <w:rPr>
          <w:i/>
          <w:highlight w:val="green"/>
        </w:rPr>
        <w:t xml:space="preserve">or PRO-PM, </w:t>
      </w:r>
      <w:r w:rsidR="00AC1D8E" w:rsidRPr="0086464B">
        <w:rPr>
          <w:i/>
          <w:highlight w:val="green"/>
        </w:rPr>
        <w:t xml:space="preserve">or resource use measure, </w:t>
      </w:r>
      <w:r w:rsidR="00BE592D" w:rsidRPr="00BE592D">
        <w:rPr>
          <w:i/>
          <w:highlight w:val="green"/>
        </w:rPr>
        <w:t xml:space="preserve">skip to section </w:t>
      </w:r>
      <w:hyperlink w:anchor="section2b5" w:history="1">
        <w:r w:rsidR="00BE592D" w:rsidRPr="00BE592D">
          <w:rPr>
            <w:rStyle w:val="Hyperlink"/>
            <w:bCs/>
            <w:i/>
            <w:highlight w:val="green"/>
          </w:rPr>
          <w:t>2b5</w:t>
        </w:r>
      </w:hyperlink>
      <w:r w:rsidR="00BE592D" w:rsidRPr="00BE592D">
        <w:rPr>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EE4048">
      <w:pPr>
        <w:pStyle w:val="Heading3"/>
      </w:pPr>
      <w:r w:rsidRPr="005232D6">
        <w:t>2b</w:t>
      </w:r>
      <w:r w:rsidR="009C7513">
        <w:t>3</w:t>
      </w:r>
      <w:r w:rsidRPr="005232D6">
        <w:t xml:space="preserve">.1. </w:t>
      </w:r>
      <w:r w:rsidR="00743E46" w:rsidRPr="005232D6">
        <w:t>What method of controlling for differences in case mix is used?</w:t>
      </w:r>
    </w:p>
    <w:p w14:paraId="0CABCFED" w14:textId="77777777" w:rsidR="00033038" w:rsidRPr="005232D6" w:rsidRDefault="00186AE1"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305F4873" w:rsidR="00743E46" w:rsidRPr="005232D6" w:rsidRDefault="00186AE1"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DF7017">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color w:val="0000FF"/>
            <w:u w:val="none"/>
          </w:rPr>
          <w:id w:val="309760327"/>
          <w:text/>
        </w:sdtPr>
        <w:sdtEndPr>
          <w:rPr>
            <w:rStyle w:val="DefaultParagraphFont"/>
            <w:rFonts w:asciiTheme="minorHAnsi" w:hAnsiTheme="minorHAnsi" w:cstheme="minorHAnsi"/>
            <w:b w:val="0"/>
            <w:bCs/>
          </w:rPr>
        </w:sdtEndPr>
        <w:sdtContent>
          <w:r w:rsidR="00122DF1" w:rsidRPr="00DA4E26">
            <w:rPr>
              <w:rStyle w:val="Style4"/>
              <w:color w:val="0000FF"/>
              <w:u w:val="none"/>
            </w:rPr>
            <w:t xml:space="preserve">146 </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186AE1"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186AE1"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7B192693" w:rsidR="00092566" w:rsidRDefault="000B7D57" w:rsidP="00EE4048">
      <w:pPr>
        <w:pStyle w:val="Heading3"/>
      </w:pPr>
      <w:r w:rsidRPr="00450C58">
        <w:t>2b</w:t>
      </w:r>
      <w:r w:rsidR="009C7513">
        <w:t>3</w:t>
      </w:r>
      <w:r w:rsidRPr="00450C58">
        <w:t xml:space="preserve">.1.1 </w:t>
      </w:r>
      <w:r w:rsidR="00F34FAB" w:rsidRPr="00450C58">
        <w:t xml:space="preserve">If using a statistical risk model, provide detailed risk model specifications, including the risk model method, risk factors, coefficients, equations, codes with descriptors, and definitions. </w:t>
      </w:r>
    </w:p>
    <w:p w14:paraId="0E633ED9" w14:textId="77777777" w:rsidR="001D73CD" w:rsidRDefault="001D73CD" w:rsidP="00932E8F">
      <w:pPr>
        <w:ind w:firstLine="360"/>
        <w:rPr>
          <w:color w:val="0000FF"/>
        </w:rPr>
      </w:pPr>
    </w:p>
    <w:p w14:paraId="24681E27" w14:textId="6A7FD45F" w:rsidR="0065616A" w:rsidRPr="00487B24" w:rsidRDefault="001D73CD" w:rsidP="0065616A">
      <w:pPr>
        <w:rPr>
          <w:color w:val="0000FF"/>
        </w:rPr>
      </w:pPr>
      <w:r w:rsidRPr="00487B24">
        <w:rPr>
          <w:color w:val="0000FF"/>
        </w:rPr>
        <w:t xml:space="preserve">The </w:t>
      </w:r>
      <w:r>
        <w:rPr>
          <w:color w:val="0000FF"/>
        </w:rPr>
        <w:t xml:space="preserve">MSPB-PAC </w:t>
      </w:r>
      <w:r w:rsidR="00D10415">
        <w:rPr>
          <w:color w:val="0000FF"/>
        </w:rPr>
        <w:t>IRF</w:t>
      </w:r>
      <w:r w:rsidRPr="00487B24">
        <w:rPr>
          <w:color w:val="0000FF"/>
        </w:rPr>
        <w:t xml:space="preserve"> risk adjustment models are adapted from the model used in the NQF-endorsed hospital MSPB measure</w:t>
      </w:r>
      <w:r>
        <w:rPr>
          <w:color w:val="0000FF"/>
        </w:rPr>
        <w:t xml:space="preserve"> (#2158),</w:t>
      </w:r>
      <w:r w:rsidRPr="00487B24">
        <w:rPr>
          <w:color w:val="0000FF"/>
        </w:rPr>
        <w:t xml:space="preserve"> which is itself an adaptation of the standard CMS-HCC risk adjustment model.</w:t>
      </w:r>
      <w:r w:rsidRPr="00487B24">
        <w:rPr>
          <w:rStyle w:val="FootnoteReference"/>
          <w:color w:val="0000FF"/>
        </w:rPr>
        <w:footnoteReference w:id="9"/>
      </w:r>
      <w:r w:rsidRPr="004C4ACD">
        <w:rPr>
          <w:color w:val="0000FF"/>
          <w:vertAlign w:val="superscript"/>
        </w:rPr>
        <w:t>,</w:t>
      </w:r>
      <w:r>
        <w:rPr>
          <w:rStyle w:val="FootnoteReference"/>
          <w:color w:val="0000FF"/>
        </w:rPr>
        <w:footnoteReference w:id="10"/>
      </w:r>
      <w:r w:rsidRPr="00487B24">
        <w:rPr>
          <w:color w:val="0000FF"/>
        </w:rPr>
        <w:t xml:space="preserve"> The </w:t>
      </w:r>
      <w:r>
        <w:rPr>
          <w:color w:val="0000FF"/>
        </w:rPr>
        <w:t xml:space="preserve">MSPB-PAC </w:t>
      </w:r>
      <w:r w:rsidR="00D10415">
        <w:rPr>
          <w:color w:val="0000FF"/>
        </w:rPr>
        <w:t>IRF</w:t>
      </w:r>
      <w:r w:rsidRPr="00487B24">
        <w:rPr>
          <w:color w:val="0000FF"/>
        </w:rPr>
        <w:t xml:space="preserve"> model use</w:t>
      </w:r>
      <w:r w:rsidR="006F3559">
        <w:rPr>
          <w:color w:val="0000FF"/>
        </w:rPr>
        <w:t>s</w:t>
      </w:r>
      <w:r w:rsidRPr="00487B24">
        <w:rPr>
          <w:color w:val="0000FF"/>
        </w:rPr>
        <w:t xml:space="preserve"> a linear regression framework and a 90-day HCC lookback period.</w:t>
      </w:r>
      <w:r>
        <w:rPr>
          <w:color w:val="0000FF"/>
        </w:rPr>
        <w:t xml:space="preserve"> </w:t>
      </w:r>
      <w:r w:rsidR="0065616A" w:rsidRPr="00487B24">
        <w:rPr>
          <w:color w:val="0000FF"/>
        </w:rPr>
        <w:t xml:space="preserve">The following beneficiary health status indicators are included as covariates in </w:t>
      </w:r>
      <w:r w:rsidR="006F3559">
        <w:rPr>
          <w:color w:val="0000FF"/>
        </w:rPr>
        <w:t>the</w:t>
      </w:r>
      <w:r w:rsidR="0065616A" w:rsidRPr="00487B24">
        <w:rPr>
          <w:color w:val="0000FF"/>
        </w:rPr>
        <w:t xml:space="preserve"> </w:t>
      </w:r>
      <w:r w:rsidR="0065616A">
        <w:rPr>
          <w:color w:val="0000FF"/>
        </w:rPr>
        <w:t xml:space="preserve">MSPB-PAC </w:t>
      </w:r>
      <w:r w:rsidR="00D10415">
        <w:rPr>
          <w:color w:val="0000FF"/>
        </w:rPr>
        <w:t>IRF</w:t>
      </w:r>
      <w:r w:rsidR="0065616A" w:rsidRPr="00487B24">
        <w:rPr>
          <w:color w:val="0000FF"/>
        </w:rPr>
        <w:t xml:space="preserve"> risk adjustment model and to the greatest extent possible are consistent acr</w:t>
      </w:r>
      <w:r w:rsidR="00A6442E">
        <w:rPr>
          <w:color w:val="0000FF"/>
        </w:rPr>
        <w:t xml:space="preserve">oss PAC settings (see </w:t>
      </w:r>
      <w:r w:rsidR="006F3559" w:rsidRPr="006F3559">
        <w:rPr>
          <w:rFonts w:cstheme="minorHAnsi"/>
          <w:color w:val="0000FF"/>
        </w:rPr>
        <w:t>Appendix C of the Measure Specifications</w:t>
      </w:r>
      <w:r w:rsidR="006F3559">
        <w:rPr>
          <w:rStyle w:val="FootnoteReference"/>
          <w:color w:val="0000FF"/>
        </w:rPr>
        <w:footnoteReference w:id="11"/>
      </w:r>
      <w:r w:rsidR="006F3559" w:rsidRPr="00487B24">
        <w:rPr>
          <w:color w:val="0000FF"/>
        </w:rPr>
        <w:t xml:space="preserve"> </w:t>
      </w:r>
      <w:r w:rsidR="0065616A" w:rsidRPr="00487B24">
        <w:rPr>
          <w:color w:val="0000FF"/>
        </w:rPr>
        <w:t xml:space="preserve">for a comprehensive list of independent variables used in the risk adjustment models): </w:t>
      </w:r>
    </w:p>
    <w:p w14:paraId="4959856D" w14:textId="77777777" w:rsidR="0065616A" w:rsidRPr="00487B24" w:rsidRDefault="0065616A" w:rsidP="0065616A">
      <w:pPr>
        <w:pStyle w:val="ListParagraph"/>
        <w:numPr>
          <w:ilvl w:val="0"/>
          <w:numId w:val="35"/>
        </w:numPr>
        <w:spacing w:after="160" w:line="259" w:lineRule="auto"/>
        <w:rPr>
          <w:color w:val="0000FF"/>
        </w:rPr>
      </w:pPr>
      <w:r w:rsidRPr="00487B24">
        <w:rPr>
          <w:color w:val="0000FF"/>
        </w:rPr>
        <w:t xml:space="preserve">70 HCCs </w:t>
      </w:r>
    </w:p>
    <w:p w14:paraId="0A60767A" w14:textId="77777777" w:rsidR="0065616A" w:rsidRPr="00487B24" w:rsidRDefault="0065616A" w:rsidP="0065616A">
      <w:pPr>
        <w:pStyle w:val="ListParagraph"/>
        <w:numPr>
          <w:ilvl w:val="0"/>
          <w:numId w:val="35"/>
        </w:numPr>
        <w:spacing w:after="160" w:line="259" w:lineRule="auto"/>
        <w:rPr>
          <w:color w:val="0000FF"/>
        </w:rPr>
      </w:pPr>
      <w:r w:rsidRPr="00487B24">
        <w:rPr>
          <w:color w:val="0000FF"/>
        </w:rPr>
        <w:t xml:space="preserve">11 HCC interactions </w:t>
      </w:r>
    </w:p>
    <w:p w14:paraId="31ADCB90" w14:textId="77777777" w:rsidR="0065616A" w:rsidRPr="00487B24" w:rsidRDefault="0065616A" w:rsidP="0065616A">
      <w:pPr>
        <w:pStyle w:val="ListParagraph"/>
        <w:numPr>
          <w:ilvl w:val="0"/>
          <w:numId w:val="35"/>
        </w:numPr>
        <w:spacing w:after="160" w:line="259" w:lineRule="auto"/>
        <w:rPr>
          <w:color w:val="0000FF"/>
        </w:rPr>
      </w:pPr>
      <w:r w:rsidRPr="00487B24">
        <w:rPr>
          <w:color w:val="0000FF"/>
        </w:rPr>
        <w:t xml:space="preserve">11 brackets for age at the start of the episode </w:t>
      </w:r>
    </w:p>
    <w:p w14:paraId="7367115A" w14:textId="0F7D40E6" w:rsidR="0065616A" w:rsidRPr="00487B24" w:rsidRDefault="0065616A" w:rsidP="0065616A">
      <w:pPr>
        <w:pStyle w:val="ListParagraph"/>
        <w:numPr>
          <w:ilvl w:val="0"/>
          <w:numId w:val="35"/>
        </w:numPr>
        <w:spacing w:after="160" w:line="259" w:lineRule="auto"/>
        <w:rPr>
          <w:color w:val="0000FF"/>
        </w:rPr>
      </w:pPr>
      <w:r w:rsidRPr="00487B24">
        <w:rPr>
          <w:color w:val="0000FF"/>
        </w:rPr>
        <w:t xml:space="preserve">Original entitlement to Medicare through disability </w:t>
      </w:r>
      <w:r w:rsidR="00FD48B9">
        <w:rPr>
          <w:color w:val="0000FF"/>
        </w:rPr>
        <w:t xml:space="preserve"> </w:t>
      </w:r>
    </w:p>
    <w:p w14:paraId="541192D2" w14:textId="0350F8DF" w:rsidR="0065616A" w:rsidRPr="00487B24" w:rsidRDefault="0065616A" w:rsidP="0065616A">
      <w:pPr>
        <w:pStyle w:val="ListParagraph"/>
        <w:numPr>
          <w:ilvl w:val="0"/>
          <w:numId w:val="35"/>
        </w:numPr>
        <w:spacing w:after="160" w:line="259" w:lineRule="auto"/>
        <w:rPr>
          <w:color w:val="0000FF"/>
        </w:rPr>
      </w:pPr>
      <w:r w:rsidRPr="00487B24">
        <w:rPr>
          <w:color w:val="0000FF"/>
        </w:rPr>
        <w:t xml:space="preserve">ESRD </w:t>
      </w:r>
      <w:r w:rsidR="0040466A">
        <w:rPr>
          <w:color w:val="0000FF"/>
        </w:rPr>
        <w:t>status</w:t>
      </w:r>
    </w:p>
    <w:p w14:paraId="413A5622" w14:textId="77777777" w:rsidR="0065616A" w:rsidRPr="00487B24" w:rsidRDefault="0065616A" w:rsidP="0065616A">
      <w:pPr>
        <w:pStyle w:val="ListParagraph"/>
        <w:numPr>
          <w:ilvl w:val="0"/>
          <w:numId w:val="35"/>
        </w:numPr>
        <w:spacing w:after="160" w:line="259" w:lineRule="auto"/>
        <w:rPr>
          <w:color w:val="0000FF"/>
        </w:rPr>
      </w:pPr>
      <w:r w:rsidRPr="00487B24">
        <w:rPr>
          <w:color w:val="0000FF"/>
        </w:rPr>
        <w:t>Long-term care institutionalization at start of episode</w:t>
      </w:r>
      <w:r w:rsidRPr="00487B24">
        <w:rPr>
          <w:rStyle w:val="FootnoteReference"/>
          <w:color w:val="0000FF"/>
        </w:rPr>
        <w:footnoteReference w:id="12"/>
      </w:r>
      <w:r w:rsidRPr="00487B24">
        <w:rPr>
          <w:color w:val="0000FF"/>
        </w:rPr>
        <w:t xml:space="preserve"> </w:t>
      </w:r>
    </w:p>
    <w:p w14:paraId="76073A01" w14:textId="77777777" w:rsidR="0065616A" w:rsidRPr="00487B24" w:rsidRDefault="0065616A" w:rsidP="0065616A">
      <w:pPr>
        <w:pStyle w:val="ListParagraph"/>
        <w:numPr>
          <w:ilvl w:val="0"/>
          <w:numId w:val="35"/>
        </w:numPr>
        <w:spacing w:after="160" w:line="259" w:lineRule="auto"/>
        <w:rPr>
          <w:color w:val="0000FF"/>
        </w:rPr>
      </w:pPr>
      <w:r w:rsidRPr="00487B24">
        <w:rPr>
          <w:color w:val="0000FF"/>
        </w:rPr>
        <w:t>6 clinical case mix categories reflecting recent prior care (described further below)</w:t>
      </w:r>
      <w:r w:rsidRPr="00487B24">
        <w:rPr>
          <w:rStyle w:val="FootnoteReference"/>
          <w:color w:val="0000FF"/>
        </w:rPr>
        <w:footnoteReference w:id="13"/>
      </w:r>
      <w:r w:rsidRPr="00487B24">
        <w:rPr>
          <w:color w:val="0000FF"/>
        </w:rPr>
        <w:t xml:space="preserve"> </w:t>
      </w:r>
    </w:p>
    <w:p w14:paraId="0E492889" w14:textId="77777777" w:rsidR="0065616A" w:rsidRPr="00487B24" w:rsidRDefault="0065616A" w:rsidP="0065616A">
      <w:pPr>
        <w:pStyle w:val="ListParagraph"/>
        <w:numPr>
          <w:ilvl w:val="0"/>
          <w:numId w:val="35"/>
        </w:numPr>
        <w:spacing w:after="160" w:line="259" w:lineRule="auto"/>
        <w:rPr>
          <w:color w:val="0000FF"/>
        </w:rPr>
      </w:pPr>
      <w:r w:rsidRPr="00487B24">
        <w:rPr>
          <w:color w:val="0000FF"/>
        </w:rPr>
        <w:t xml:space="preserve">Hospice utilization during the episode </w:t>
      </w:r>
    </w:p>
    <w:p w14:paraId="27A4C01A" w14:textId="77777777" w:rsidR="0065616A" w:rsidRPr="00487B24" w:rsidRDefault="0065616A" w:rsidP="0065616A">
      <w:pPr>
        <w:pStyle w:val="ListParagraph"/>
        <w:numPr>
          <w:ilvl w:val="0"/>
          <w:numId w:val="35"/>
        </w:numPr>
        <w:spacing w:after="160" w:line="259" w:lineRule="auto"/>
        <w:rPr>
          <w:color w:val="0000FF"/>
        </w:rPr>
      </w:pPr>
      <w:r w:rsidRPr="00487B24">
        <w:rPr>
          <w:color w:val="0000FF"/>
        </w:rPr>
        <w:t xml:space="preserve">Prior acute ICU utilization day categories </w:t>
      </w:r>
    </w:p>
    <w:p w14:paraId="1E964561" w14:textId="77777777" w:rsidR="001B42E3" w:rsidRDefault="0065616A" w:rsidP="0065616A">
      <w:pPr>
        <w:pStyle w:val="ListParagraph"/>
        <w:numPr>
          <w:ilvl w:val="0"/>
          <w:numId w:val="35"/>
        </w:numPr>
        <w:spacing w:after="160" w:line="259" w:lineRule="auto"/>
        <w:rPr>
          <w:color w:val="0000FF"/>
        </w:rPr>
      </w:pPr>
      <w:r w:rsidRPr="00487B24">
        <w:rPr>
          <w:color w:val="0000FF"/>
        </w:rPr>
        <w:t>Prior acute length of stay categories</w:t>
      </w:r>
    </w:p>
    <w:p w14:paraId="766A5EFD" w14:textId="403FF980" w:rsidR="0065616A" w:rsidRPr="00487B24" w:rsidRDefault="001B42E3" w:rsidP="001B42E3">
      <w:pPr>
        <w:pStyle w:val="ListParagraph"/>
        <w:numPr>
          <w:ilvl w:val="0"/>
          <w:numId w:val="35"/>
        </w:numPr>
        <w:spacing w:after="160" w:line="259" w:lineRule="auto"/>
        <w:rPr>
          <w:color w:val="0000FF"/>
        </w:rPr>
      </w:pPr>
      <w:r w:rsidRPr="001B42E3">
        <w:rPr>
          <w:color w:val="0000FF"/>
        </w:rPr>
        <w:t>Rehabilitation Impairment Categories (RICs)</w:t>
      </w:r>
    </w:p>
    <w:p w14:paraId="69CAFCEE" w14:textId="367BC3C8" w:rsidR="0065616A" w:rsidRPr="00487B24" w:rsidRDefault="00723138" w:rsidP="00932E8F">
      <w:pPr>
        <w:ind w:firstLine="360"/>
        <w:rPr>
          <w:color w:val="0000FF"/>
        </w:rPr>
      </w:pPr>
      <w:r>
        <w:rPr>
          <w:color w:val="0000FF"/>
        </w:rPr>
        <w:t>C</w:t>
      </w:r>
      <w:r w:rsidR="0065616A" w:rsidRPr="00487B24">
        <w:rPr>
          <w:color w:val="0000FF"/>
        </w:rPr>
        <w:t>linical case mix categor</w:t>
      </w:r>
      <w:r>
        <w:rPr>
          <w:color w:val="0000FF"/>
        </w:rPr>
        <w:t>ies are also included</w:t>
      </w:r>
      <w:r w:rsidR="0065616A" w:rsidRPr="00487B24">
        <w:rPr>
          <w:color w:val="0000FF"/>
        </w:rPr>
        <w:t xml:space="preserve"> in the </w:t>
      </w:r>
      <w:r w:rsidR="0065616A">
        <w:rPr>
          <w:color w:val="0000FF"/>
        </w:rPr>
        <w:t xml:space="preserve">MSPB-PAC </w:t>
      </w:r>
      <w:r w:rsidR="00D10415">
        <w:rPr>
          <w:color w:val="0000FF"/>
        </w:rPr>
        <w:t>IRF</w:t>
      </w:r>
      <w:r w:rsidR="0065616A" w:rsidRPr="00487B24">
        <w:rPr>
          <w:color w:val="0000FF"/>
        </w:rPr>
        <w:t xml:space="preserve"> risk adjustment models to account for differences in</w:t>
      </w:r>
      <w:r>
        <w:rPr>
          <w:color w:val="0000FF"/>
        </w:rPr>
        <w:t xml:space="preserve"> the</w:t>
      </w:r>
      <w:r w:rsidR="0065616A" w:rsidRPr="00487B24">
        <w:rPr>
          <w:color w:val="0000FF"/>
        </w:rPr>
        <w:t xml:space="preserve"> intensity and type of care received by beneficiaries prior to the start of an </w:t>
      </w:r>
      <w:r w:rsidR="0065616A">
        <w:rPr>
          <w:color w:val="0000FF"/>
        </w:rPr>
        <w:t xml:space="preserve">MSPB-PAC </w:t>
      </w:r>
      <w:r w:rsidR="00D10415">
        <w:rPr>
          <w:color w:val="0000FF"/>
        </w:rPr>
        <w:t>IRF</w:t>
      </w:r>
      <w:r w:rsidR="0065616A" w:rsidRPr="00487B24">
        <w:rPr>
          <w:color w:val="0000FF"/>
        </w:rPr>
        <w:t xml:space="preserve"> episode. A beneficiary is assigned to a clinical case mix category using the following methodology. Taking the most recent institutional claim (by end date) in the 60 days prior to the start of an </w:t>
      </w:r>
      <w:r w:rsidR="0065616A">
        <w:rPr>
          <w:color w:val="0000FF"/>
        </w:rPr>
        <w:t xml:space="preserve">MSPB-PAC </w:t>
      </w:r>
      <w:r w:rsidR="00D10415">
        <w:rPr>
          <w:color w:val="0000FF"/>
        </w:rPr>
        <w:t>IRF</w:t>
      </w:r>
      <w:r w:rsidR="0065616A" w:rsidRPr="00487B24">
        <w:rPr>
          <w:color w:val="0000FF"/>
        </w:rPr>
        <w:t xml:space="preserve"> episode, the episode is assigned to one of the following mutually exclusive and exhaustive clinical case mix categories: </w:t>
      </w:r>
    </w:p>
    <w:p w14:paraId="2B561B64" w14:textId="77777777" w:rsidR="0065616A" w:rsidRPr="00487B24" w:rsidRDefault="0065616A" w:rsidP="0065616A">
      <w:pPr>
        <w:pStyle w:val="ListParagraph"/>
        <w:numPr>
          <w:ilvl w:val="0"/>
          <w:numId w:val="36"/>
        </w:numPr>
        <w:spacing w:after="160" w:line="259" w:lineRule="auto"/>
        <w:rPr>
          <w:color w:val="0000FF"/>
        </w:rPr>
      </w:pPr>
      <w:r w:rsidRPr="00487B24">
        <w:rPr>
          <w:b/>
          <w:bCs/>
          <w:color w:val="0000FF"/>
        </w:rPr>
        <w:t xml:space="preserve">Prior Acute Surgical IP – Orthopedic </w:t>
      </w:r>
      <w:r w:rsidRPr="00487B24">
        <w:rPr>
          <w:color w:val="0000FF"/>
        </w:rPr>
        <w:t xml:space="preserve">– beneficiaries who have most recently undergone orthopedic surgery in an acute inpatient hospital </w:t>
      </w:r>
    </w:p>
    <w:p w14:paraId="21659882" w14:textId="77777777" w:rsidR="0065616A" w:rsidRPr="00487B24" w:rsidRDefault="0065616A" w:rsidP="0065616A">
      <w:pPr>
        <w:pStyle w:val="ListParagraph"/>
        <w:numPr>
          <w:ilvl w:val="0"/>
          <w:numId w:val="36"/>
        </w:numPr>
        <w:spacing w:after="160" w:line="259" w:lineRule="auto"/>
        <w:rPr>
          <w:color w:val="0000FF"/>
        </w:rPr>
      </w:pPr>
      <w:r w:rsidRPr="00487B24">
        <w:rPr>
          <w:b/>
          <w:bCs/>
          <w:color w:val="0000FF"/>
        </w:rPr>
        <w:t xml:space="preserve">Prior Acute Surgical IP – Non-Orthopedic </w:t>
      </w:r>
      <w:r w:rsidRPr="00487B24">
        <w:rPr>
          <w:color w:val="0000FF"/>
        </w:rPr>
        <w:t xml:space="preserve">– beneficiaries who have most recently undergone a non-orthopedic surgery in an acute inpatient hospital </w:t>
      </w:r>
    </w:p>
    <w:p w14:paraId="51986A26" w14:textId="77777777" w:rsidR="0065616A" w:rsidRPr="00487B24" w:rsidRDefault="0065616A" w:rsidP="0065616A">
      <w:pPr>
        <w:pStyle w:val="ListParagraph"/>
        <w:numPr>
          <w:ilvl w:val="0"/>
          <w:numId w:val="36"/>
        </w:numPr>
        <w:spacing w:after="160" w:line="259" w:lineRule="auto"/>
        <w:rPr>
          <w:color w:val="0000FF"/>
        </w:rPr>
      </w:pPr>
      <w:r w:rsidRPr="00487B24">
        <w:rPr>
          <w:b/>
          <w:bCs/>
          <w:color w:val="0000FF"/>
        </w:rPr>
        <w:t xml:space="preserve">Prior Acute Medical IP with ICU </w:t>
      </w:r>
      <w:r w:rsidRPr="00487B24">
        <w:rPr>
          <w:color w:val="0000FF"/>
        </w:rPr>
        <w:t xml:space="preserve">– beneficiaries who have most recently stayed in an acute inpatient hospital for non-surgical reasons and had a stay in the ICU </w:t>
      </w:r>
    </w:p>
    <w:p w14:paraId="5F2D131D" w14:textId="77777777" w:rsidR="0065616A" w:rsidRPr="00487B24" w:rsidRDefault="0065616A" w:rsidP="0065616A">
      <w:pPr>
        <w:pStyle w:val="ListParagraph"/>
        <w:numPr>
          <w:ilvl w:val="0"/>
          <w:numId w:val="36"/>
        </w:numPr>
        <w:spacing w:after="160" w:line="259" w:lineRule="auto"/>
        <w:rPr>
          <w:color w:val="0000FF"/>
        </w:rPr>
      </w:pPr>
      <w:r w:rsidRPr="00487B24">
        <w:rPr>
          <w:b/>
          <w:bCs/>
          <w:color w:val="0000FF"/>
        </w:rPr>
        <w:t xml:space="preserve">Prior Acute Medical IP without ICU </w:t>
      </w:r>
      <w:r w:rsidRPr="00487B24">
        <w:rPr>
          <w:color w:val="0000FF"/>
        </w:rPr>
        <w:t xml:space="preserve">– beneficiaries who have most recently stayed in an acute inpatient hospital for non-surgical reasons but did not have a stay in the ICU </w:t>
      </w:r>
    </w:p>
    <w:p w14:paraId="5F431B2C" w14:textId="77777777" w:rsidR="0065616A" w:rsidRPr="00487B24" w:rsidRDefault="0065616A" w:rsidP="0065616A">
      <w:pPr>
        <w:pStyle w:val="ListParagraph"/>
        <w:numPr>
          <w:ilvl w:val="0"/>
          <w:numId w:val="36"/>
        </w:numPr>
        <w:spacing w:after="160" w:line="259" w:lineRule="auto"/>
        <w:rPr>
          <w:color w:val="0000FF"/>
        </w:rPr>
      </w:pPr>
      <w:r w:rsidRPr="00487B24">
        <w:rPr>
          <w:b/>
          <w:bCs/>
          <w:color w:val="0000FF"/>
        </w:rPr>
        <w:t xml:space="preserve">Prior PAC - Institutional </w:t>
      </w:r>
      <w:r w:rsidRPr="00487B24">
        <w:rPr>
          <w:color w:val="0000FF"/>
        </w:rPr>
        <w:t xml:space="preserve">– beneficiaries who are continuing PAC from an institutional PAC setting (i.e., coming from an LTCH, IRF, or SNF) </w:t>
      </w:r>
    </w:p>
    <w:p w14:paraId="2C764672" w14:textId="5DFC8306" w:rsidR="0065616A" w:rsidRPr="00487B24" w:rsidRDefault="0065616A" w:rsidP="0065616A">
      <w:pPr>
        <w:pStyle w:val="ListParagraph"/>
        <w:numPr>
          <w:ilvl w:val="0"/>
          <w:numId w:val="36"/>
        </w:numPr>
        <w:spacing w:after="160" w:line="259" w:lineRule="auto"/>
        <w:rPr>
          <w:color w:val="0000FF"/>
        </w:rPr>
      </w:pPr>
      <w:r w:rsidRPr="00487B24">
        <w:rPr>
          <w:b/>
          <w:bCs/>
          <w:color w:val="0000FF"/>
        </w:rPr>
        <w:t xml:space="preserve">Prior PAC - </w:t>
      </w:r>
      <w:r w:rsidR="00F52602">
        <w:rPr>
          <w:b/>
          <w:bCs/>
          <w:color w:val="0000FF"/>
        </w:rPr>
        <w:t>HHA</w:t>
      </w:r>
      <w:r w:rsidRPr="00487B24">
        <w:rPr>
          <w:b/>
          <w:bCs/>
          <w:color w:val="0000FF"/>
        </w:rPr>
        <w:t xml:space="preserve"> </w:t>
      </w:r>
      <w:r w:rsidRPr="00487B24">
        <w:rPr>
          <w:color w:val="0000FF"/>
        </w:rPr>
        <w:t>– beneficiaries who are continuing PAC from a</w:t>
      </w:r>
      <w:r>
        <w:rPr>
          <w:color w:val="0000FF"/>
        </w:rPr>
        <w:t>n</w:t>
      </w:r>
      <w:r w:rsidRPr="00487B24">
        <w:rPr>
          <w:color w:val="0000FF"/>
        </w:rPr>
        <w:t xml:space="preserve"> </w:t>
      </w:r>
      <w:r w:rsidR="00F52602">
        <w:rPr>
          <w:color w:val="0000FF"/>
        </w:rPr>
        <w:t>HHA</w:t>
      </w:r>
      <w:r w:rsidRPr="00487B24">
        <w:rPr>
          <w:color w:val="0000FF"/>
        </w:rPr>
        <w:t xml:space="preserve"> </w:t>
      </w:r>
    </w:p>
    <w:p w14:paraId="507946A0" w14:textId="77777777" w:rsidR="0065616A" w:rsidRPr="00487B24" w:rsidRDefault="0065616A" w:rsidP="0065616A">
      <w:pPr>
        <w:pStyle w:val="ListParagraph"/>
        <w:numPr>
          <w:ilvl w:val="0"/>
          <w:numId w:val="36"/>
        </w:numPr>
        <w:spacing w:after="160" w:line="259" w:lineRule="auto"/>
        <w:rPr>
          <w:color w:val="0000FF"/>
        </w:rPr>
      </w:pPr>
      <w:r w:rsidRPr="00487B24">
        <w:rPr>
          <w:b/>
          <w:bCs/>
          <w:color w:val="0000FF"/>
        </w:rPr>
        <w:t xml:space="preserve">Community </w:t>
      </w:r>
      <w:r w:rsidRPr="00487B24">
        <w:rPr>
          <w:color w:val="0000FF"/>
        </w:rPr>
        <w:t xml:space="preserve">– all other beneficiaries </w:t>
      </w:r>
    </w:p>
    <w:p w14:paraId="134854BF" w14:textId="2F92C87E" w:rsidR="0065616A" w:rsidRDefault="0065616A" w:rsidP="009F6752">
      <w:pPr>
        <w:ind w:firstLine="360"/>
        <w:rPr>
          <w:rFonts w:cs="Calibri"/>
          <w:b/>
          <w:bCs/>
        </w:rPr>
      </w:pPr>
      <w:r w:rsidRPr="00487B24">
        <w:rPr>
          <w:color w:val="0000FF"/>
        </w:rPr>
        <w:t>In the event that there are multiple prior claims with the same end date in the 60 days prior to the start of a PAC episode, additional logic is employed to determine the episodes’ clinical case mix category. For conflicts occurring between two IP claims, the clinical case mix category corresponding to the claim with the longest length of stay (LOS) is assigned. For all other types of conflicts including those where the LOS is the same between two IP claims, the clinical case mix category is assigned using a hierarchy in the order of the categories listed above.</w:t>
      </w:r>
    </w:p>
    <w:p w14:paraId="0CABCFF4" w14:textId="063DB946" w:rsidR="009D3882" w:rsidRDefault="009C7513" w:rsidP="00D76B4F">
      <w:pPr>
        <w:pStyle w:val="Heading3"/>
        <w:rPr>
          <w:sz w:val="14"/>
        </w:rPr>
      </w:pPr>
      <w:r>
        <w:t>2b3</w:t>
      </w:r>
      <w:r w:rsidR="009D3882">
        <w:t xml:space="preserve">.2. If an outcome or resource use component measure is </w:t>
      </w:r>
      <w:r w:rsidR="009D3882">
        <w:rPr>
          <w:u w:val="single"/>
        </w:rPr>
        <w:t>not risk adjusted or stratified</w:t>
      </w:r>
      <w:r w:rsidR="009D3882">
        <w:t xml:space="preserve">, provide </w:t>
      </w:r>
      <w:r w:rsidR="009D3882">
        <w:rPr>
          <w:u w:val="single"/>
        </w:rPr>
        <w:t>rationale and analyses</w:t>
      </w:r>
      <w:r w:rsidR="009D3882">
        <w:t xml:space="preserve"> to demonstrate that controlling for differences in patient characteristics (case mix) is not needed to achieve fair comparisons across measured entities. </w:t>
      </w:r>
      <w:r w:rsidR="009D3882">
        <w:br/>
      </w:r>
    </w:p>
    <w:p w14:paraId="08F9695B" w14:textId="27749338" w:rsidR="00653076" w:rsidRPr="00932E8F" w:rsidRDefault="008121AB" w:rsidP="00653076">
      <w:pPr>
        <w:rPr>
          <w:color w:val="0000FF"/>
        </w:rPr>
      </w:pPr>
      <w:r>
        <w:rPr>
          <w:color w:val="0000FF"/>
        </w:rPr>
        <w:t>Not applicable</w:t>
      </w:r>
    </w:p>
    <w:p w14:paraId="515F5460" w14:textId="77777777" w:rsidR="00941A96" w:rsidRDefault="009C7513" w:rsidP="00EE4048">
      <w:pPr>
        <w:pStyle w:val="Heading3"/>
      </w:pPr>
      <w:r>
        <w:t>2b3</w:t>
      </w:r>
      <w:r w:rsidR="00092566">
        <w:t>.3</w:t>
      </w:r>
      <w:r w:rsidR="00275563">
        <w:t>a</w:t>
      </w:r>
      <w:r w:rsidR="00092566">
        <w:t xml:space="preserve">. </w:t>
      </w:r>
      <w:r w:rsidR="00927027">
        <w:t>Describe</w:t>
      </w:r>
      <w:r w:rsidR="00092566" w:rsidRPr="00A25024">
        <w:t xml:space="preserve"> the conceptual/clinical </w:t>
      </w:r>
      <w:r w:rsidR="00092566" w:rsidRPr="00A25024">
        <w:rPr>
          <w:u w:val="single"/>
        </w:rPr>
        <w:t>and</w:t>
      </w:r>
      <w:r w:rsidR="00092566" w:rsidRPr="00A25024">
        <w:t xml:space="preserve"> statistical methods and criteria used to select </w:t>
      </w:r>
      <w:r w:rsidR="005363F1">
        <w:t xml:space="preserve">patient </w:t>
      </w:r>
      <w:r w:rsidR="00092566" w:rsidRPr="00A25024">
        <w:t xml:space="preserve">factors </w:t>
      </w:r>
      <w:r w:rsidR="0021054A">
        <w:t>(</w:t>
      </w:r>
      <w:r w:rsidR="00E967AD">
        <w:t xml:space="preserve">clinical factors or </w:t>
      </w:r>
      <w:r w:rsidR="00AF2D68">
        <w:t xml:space="preserve">social risk </w:t>
      </w:r>
      <w:r w:rsidR="0021054A">
        <w:t xml:space="preserve">factors) </w:t>
      </w:r>
      <w:r w:rsidR="00092566" w:rsidRPr="00A25024">
        <w:t>used in the statistical risk model or for stratification by risk</w:t>
      </w:r>
      <w:r w:rsidR="00927027">
        <w:t xml:space="preserve"> </w:t>
      </w:r>
    </w:p>
    <w:p w14:paraId="692CE488" w14:textId="77777777" w:rsidR="007B4DB0" w:rsidRDefault="00092566" w:rsidP="00AF2D68">
      <w:pPr>
        <w:rPr>
          <w:rFonts w:cstheme="minorHAnsi"/>
          <w:bCs/>
        </w:rPr>
      </w:pP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p>
    <w:p w14:paraId="2E142C00" w14:textId="77777777" w:rsidR="007B4DB0" w:rsidRPr="007B4DB0" w:rsidRDefault="007B4DB0" w:rsidP="007B4DB0">
      <w:pPr>
        <w:pStyle w:val="Heading4"/>
        <w:rPr>
          <w:color w:val="0000FF"/>
        </w:rPr>
      </w:pPr>
      <w:r w:rsidRPr="007B4DB0">
        <w:rPr>
          <w:color w:val="0000FF"/>
        </w:rPr>
        <w:t>Clinical Factors</w:t>
      </w:r>
    </w:p>
    <w:p w14:paraId="7C91BF9A" w14:textId="4D931A1C" w:rsidR="00750059" w:rsidRDefault="007B4DB0" w:rsidP="00932E8F">
      <w:pPr>
        <w:ind w:firstLine="720"/>
        <w:rPr>
          <w:bCs/>
          <w:color w:val="0000FF"/>
        </w:rPr>
      </w:pPr>
      <w:r w:rsidRPr="007B4DB0">
        <w:rPr>
          <w:bCs/>
          <w:color w:val="0000FF"/>
        </w:rPr>
        <w:t xml:space="preserve">The CMS-HCC model was selected based on previous studies evaluating its appropriateness for use in risk-adjusting Medicare claims data. This model was developed specifically for use in the Medicare population, meaning that it accounts for conditions found in the Medicare population and is calibrated on Medicare Fee-for-Service (FFS) beneficiaries. In addition, the CMS-HCC model is annually updated for changes in coding practices and is exhaustive on these code sets. Because the CMS-HCC model has already been extensively tested, we focus on adapting the CMS-HCC model to the </w:t>
      </w:r>
      <w:r w:rsidR="00D10415">
        <w:rPr>
          <w:bCs/>
          <w:color w:val="0000FF"/>
        </w:rPr>
        <w:t xml:space="preserve">IRF </w:t>
      </w:r>
      <w:r w:rsidRPr="007B4DB0">
        <w:rPr>
          <w:bCs/>
          <w:color w:val="0000FF"/>
        </w:rPr>
        <w:t>measure methodology.</w:t>
      </w:r>
      <w:r w:rsidRPr="007B4DB0">
        <w:rPr>
          <w:bCs/>
          <w:color w:val="0000FF"/>
          <w:vertAlign w:val="superscript"/>
        </w:rPr>
        <w:footnoteReference w:id="14"/>
      </w:r>
      <w:r w:rsidRPr="007B4DB0">
        <w:rPr>
          <w:bCs/>
          <w:color w:val="0000FF"/>
        </w:rPr>
        <w:t xml:space="preserve"> </w:t>
      </w:r>
    </w:p>
    <w:p w14:paraId="72E29E8D" w14:textId="5DF0C735" w:rsidR="0017364A" w:rsidRDefault="00CA3A7B" w:rsidP="00932E8F">
      <w:pPr>
        <w:ind w:firstLine="720"/>
        <w:rPr>
          <w:rFonts w:cstheme="minorHAnsi"/>
          <w:iCs/>
          <w:color w:val="0000FF"/>
          <w:szCs w:val="18"/>
          <w:lang w:val="en"/>
        </w:rPr>
      </w:pPr>
      <w:r w:rsidRPr="0048707A">
        <w:rPr>
          <w:rFonts w:cstheme="minorHAnsi"/>
          <w:iCs/>
          <w:color w:val="0000FF"/>
          <w:szCs w:val="18"/>
          <w:lang w:val="en"/>
        </w:rPr>
        <w:t xml:space="preserve">Extensive clinical review was performed by clinicians with experience providing care in </w:t>
      </w:r>
      <w:r w:rsidR="00D10415">
        <w:rPr>
          <w:rFonts w:cstheme="minorHAnsi"/>
          <w:iCs/>
          <w:color w:val="0000FF"/>
          <w:szCs w:val="18"/>
          <w:lang w:val="en"/>
        </w:rPr>
        <w:t>IRF</w:t>
      </w:r>
      <w:r w:rsidRPr="0048707A">
        <w:rPr>
          <w:rFonts w:cstheme="minorHAnsi"/>
          <w:iCs/>
          <w:color w:val="0000FF"/>
          <w:szCs w:val="18"/>
          <w:lang w:val="en"/>
        </w:rPr>
        <w:t xml:space="preserve"> settings</w:t>
      </w:r>
      <w:r>
        <w:rPr>
          <w:rFonts w:cstheme="minorHAnsi"/>
          <w:iCs/>
          <w:color w:val="0000FF"/>
          <w:szCs w:val="18"/>
          <w:lang w:val="en"/>
        </w:rPr>
        <w:t>,</w:t>
      </w:r>
      <w:r w:rsidRPr="0048707A">
        <w:rPr>
          <w:rFonts w:cstheme="minorHAnsi"/>
          <w:iCs/>
          <w:color w:val="0000FF"/>
          <w:szCs w:val="18"/>
          <w:lang w:val="en"/>
        </w:rPr>
        <w:t xml:space="preserve"> in collaboration with Medical Officers at CMS. The hospitalizations and outpatient services felt least clinically related to the </w:t>
      </w:r>
      <w:r w:rsidR="00D10415">
        <w:rPr>
          <w:rFonts w:cstheme="minorHAnsi"/>
          <w:iCs/>
          <w:color w:val="0000FF"/>
          <w:szCs w:val="18"/>
          <w:lang w:val="en"/>
        </w:rPr>
        <w:t>IRF</w:t>
      </w:r>
      <w:r w:rsidRPr="0048707A">
        <w:rPr>
          <w:rFonts w:cstheme="minorHAnsi"/>
          <w:iCs/>
          <w:color w:val="0000FF"/>
          <w:szCs w:val="18"/>
          <w:lang w:val="en"/>
        </w:rPr>
        <w:t xml:space="preserve"> care were excluded from resource use calculation. Services were only added to the exclusions list if there was consensus across </w:t>
      </w:r>
      <w:r w:rsidR="00D10415">
        <w:rPr>
          <w:rFonts w:cstheme="minorHAnsi"/>
          <w:iCs/>
          <w:color w:val="0000FF"/>
          <w:szCs w:val="18"/>
          <w:lang w:val="en"/>
        </w:rPr>
        <w:t>IRF</w:t>
      </w:r>
      <w:r w:rsidRPr="0048707A">
        <w:rPr>
          <w:rFonts w:cstheme="minorHAnsi"/>
          <w:iCs/>
          <w:color w:val="0000FF"/>
          <w:szCs w:val="18"/>
          <w:lang w:val="en"/>
        </w:rPr>
        <w:t xml:space="preserve"> and CMS clinicians.</w:t>
      </w:r>
      <w:r>
        <w:rPr>
          <w:rFonts w:cstheme="minorHAnsi"/>
          <w:iCs/>
          <w:color w:val="0000FF"/>
          <w:szCs w:val="18"/>
          <w:lang w:val="en"/>
        </w:rPr>
        <w:t xml:space="preserve"> </w:t>
      </w:r>
    </w:p>
    <w:p w14:paraId="468AD18E" w14:textId="79173303" w:rsidR="0017364A" w:rsidRDefault="0017364A" w:rsidP="00932E8F">
      <w:pPr>
        <w:ind w:firstLine="720"/>
        <w:rPr>
          <w:rFonts w:cstheme="minorHAnsi"/>
          <w:iCs/>
          <w:color w:val="0000FF"/>
          <w:szCs w:val="18"/>
          <w:lang w:val="en"/>
        </w:rPr>
      </w:pPr>
      <w:r w:rsidRPr="00EE0F9B">
        <w:rPr>
          <w:rFonts w:cstheme="minorHAnsi"/>
          <w:iCs/>
          <w:color w:val="0000FF"/>
          <w:szCs w:val="18"/>
          <w:lang w:val="en"/>
        </w:rPr>
        <w:t xml:space="preserve">The </w:t>
      </w:r>
      <w:r w:rsidR="00B6296E">
        <w:rPr>
          <w:rFonts w:cstheme="minorHAnsi"/>
          <w:iCs/>
          <w:color w:val="0000FF"/>
          <w:szCs w:val="18"/>
          <w:lang w:val="en"/>
        </w:rPr>
        <w:t xml:space="preserve">MSPB-PAC </w:t>
      </w:r>
      <w:r w:rsidR="00D10415">
        <w:rPr>
          <w:rFonts w:cstheme="minorHAnsi"/>
          <w:iCs/>
          <w:color w:val="0000FF"/>
          <w:szCs w:val="18"/>
          <w:lang w:val="en"/>
        </w:rPr>
        <w:t>IRF</w:t>
      </w:r>
      <w:r w:rsidR="00B6296E">
        <w:rPr>
          <w:rFonts w:cstheme="minorHAnsi"/>
          <w:iCs/>
          <w:color w:val="0000FF"/>
          <w:szCs w:val="18"/>
          <w:lang w:val="en"/>
        </w:rPr>
        <w:t xml:space="preserve"> measure</w:t>
      </w:r>
      <w:r w:rsidRPr="00EE0F9B">
        <w:rPr>
          <w:rFonts w:cstheme="minorHAnsi"/>
          <w:iCs/>
          <w:color w:val="0000FF"/>
          <w:szCs w:val="18"/>
          <w:lang w:val="en"/>
        </w:rPr>
        <w:t xml:space="preserve"> accounts for comorbid interactions by incorporating a number of health status interactions, such as disability and selected HCC groups (e.g., Cystic Fibrosis, Severe Hematological Disorders, Opportunistic Infections, among others). </w:t>
      </w:r>
      <w:r>
        <w:rPr>
          <w:rFonts w:cstheme="minorHAnsi"/>
          <w:iCs/>
          <w:color w:val="0000FF"/>
          <w:szCs w:val="18"/>
          <w:lang w:val="en"/>
        </w:rPr>
        <w:t>Given the fact that beneficiaries often have more than one comorbidity, t</w:t>
      </w:r>
      <w:r w:rsidRPr="00EE0F9B">
        <w:rPr>
          <w:rFonts w:cstheme="minorHAnsi"/>
          <w:iCs/>
          <w:color w:val="0000FF"/>
          <w:szCs w:val="18"/>
          <w:lang w:val="en"/>
        </w:rPr>
        <w:t>he model includes</w:t>
      </w:r>
      <w:r>
        <w:rPr>
          <w:rFonts w:cstheme="minorHAnsi"/>
          <w:iCs/>
          <w:color w:val="0000FF"/>
          <w:szCs w:val="18"/>
          <w:lang w:val="en"/>
        </w:rPr>
        <w:t xml:space="preserve"> commonly observed </w:t>
      </w:r>
      <w:r w:rsidRPr="00EE0F9B">
        <w:rPr>
          <w:rFonts w:cstheme="minorHAnsi"/>
          <w:iCs/>
          <w:color w:val="0000FF"/>
          <w:szCs w:val="18"/>
          <w:lang w:val="en"/>
        </w:rPr>
        <w:t xml:space="preserve">paired condition interactions, (e.g., chronic obstructive pulmonary disease [COPD] and congestive heart failure [CHF]) and </w:t>
      </w:r>
      <w:r>
        <w:rPr>
          <w:rFonts w:cstheme="minorHAnsi"/>
          <w:iCs/>
          <w:color w:val="0000FF"/>
          <w:szCs w:val="18"/>
          <w:lang w:val="en"/>
        </w:rPr>
        <w:t xml:space="preserve">commonly observed </w:t>
      </w:r>
      <w:r w:rsidRPr="00EE0F9B">
        <w:rPr>
          <w:rFonts w:cstheme="minorHAnsi"/>
          <w:iCs/>
          <w:color w:val="0000FF"/>
          <w:szCs w:val="18"/>
          <w:lang w:val="en"/>
        </w:rPr>
        <w:t>triple-interactions (e.g., diabetes mellitus, congestive heart failure, and renal failure).</w:t>
      </w:r>
      <w:r w:rsidR="00750059">
        <w:rPr>
          <w:rFonts w:cstheme="minorHAnsi"/>
          <w:iCs/>
          <w:color w:val="0000FF"/>
          <w:szCs w:val="18"/>
          <w:lang w:val="en"/>
        </w:rPr>
        <w:t xml:space="preserve"> </w:t>
      </w:r>
      <w:r w:rsidR="00750059">
        <w:rPr>
          <w:bCs/>
          <w:color w:val="0000FF"/>
        </w:rPr>
        <w:t xml:space="preserve">The </w:t>
      </w:r>
      <w:r w:rsidR="00750059" w:rsidRPr="00487B24">
        <w:rPr>
          <w:color w:val="0000FF"/>
        </w:rPr>
        <w:t>beneficiary health status indicators</w:t>
      </w:r>
      <w:r w:rsidR="00750059">
        <w:rPr>
          <w:color w:val="0000FF"/>
        </w:rPr>
        <w:t xml:space="preserve"> included in the model are described in </w:t>
      </w:r>
      <w:r w:rsidR="00750059" w:rsidRPr="00932E8F">
        <w:rPr>
          <w:b/>
          <w:color w:val="0000FF"/>
        </w:rPr>
        <w:t>Section 2b3.1.1</w:t>
      </w:r>
      <w:r w:rsidR="00750059">
        <w:rPr>
          <w:color w:val="0000FF"/>
        </w:rPr>
        <w:t>.</w:t>
      </w:r>
    </w:p>
    <w:p w14:paraId="398C36E1" w14:textId="77777777" w:rsidR="007B4DB0" w:rsidRPr="007B4DB0" w:rsidRDefault="007B4DB0" w:rsidP="007B4DB0">
      <w:pPr>
        <w:pStyle w:val="Heading4"/>
        <w:rPr>
          <w:color w:val="0000FF"/>
        </w:rPr>
      </w:pPr>
      <w:r w:rsidRPr="007B4DB0">
        <w:rPr>
          <w:color w:val="0000FF"/>
        </w:rPr>
        <w:t>Social Risk Factors</w:t>
      </w:r>
    </w:p>
    <w:p w14:paraId="532220F7" w14:textId="605EEEC5" w:rsidR="007B4DB0" w:rsidRPr="007B4DB0" w:rsidRDefault="007B4DB0" w:rsidP="00932E8F">
      <w:pPr>
        <w:ind w:firstLine="720"/>
        <w:rPr>
          <w:color w:val="0000FF"/>
        </w:rPr>
      </w:pPr>
      <w:r w:rsidRPr="007B4DB0">
        <w:rPr>
          <w:bCs/>
          <w:color w:val="0000FF"/>
        </w:rPr>
        <w:t>A</w:t>
      </w:r>
      <w:r w:rsidRPr="007B4DB0">
        <w:rPr>
          <w:color w:val="0000FF"/>
        </w:rPr>
        <w:t xml:space="preserve"> number of studies have shown that socioeconomic status is associated with the amount of resources used during the period in which patients are hospitalized</w:t>
      </w:r>
      <w:r w:rsidR="00FD48B9">
        <w:rPr>
          <w:color w:val="0000FF"/>
        </w:rPr>
        <w:t>,</w:t>
      </w:r>
      <w:r w:rsidRPr="007B4DB0">
        <w:rPr>
          <w:color w:val="0000FF"/>
        </w:rPr>
        <w:t xml:space="preserve"> as well as during post-acute care. </w:t>
      </w:r>
      <w:r w:rsidRPr="00DF483A">
        <w:rPr>
          <w:color w:val="0000FF"/>
        </w:rPr>
        <w:t xml:space="preserve">For example, </w:t>
      </w:r>
      <w:r w:rsidR="00DF483A" w:rsidRPr="00DF483A">
        <w:rPr>
          <w:color w:val="0000FF"/>
        </w:rPr>
        <w:t>individuals on Medicaid or who are uninsured, individuals with lower income, and individuals living in metropolitan areas are more likely to use SNF versus IRF care</w:t>
      </w:r>
      <w:r w:rsidRPr="00DF483A">
        <w:rPr>
          <w:color w:val="0000FF"/>
        </w:rPr>
        <w:t>.</w:t>
      </w:r>
      <w:r w:rsidRPr="00DF483A">
        <w:rPr>
          <w:color w:val="0000FF"/>
          <w:vertAlign w:val="superscript"/>
        </w:rPr>
        <w:footnoteReference w:id="15"/>
      </w:r>
      <w:r w:rsidRPr="00DF483A">
        <w:rPr>
          <w:color w:val="0000FF"/>
        </w:rPr>
        <w:t xml:space="preserve"> End-of-life care for</w:t>
      </w:r>
      <w:r w:rsidRPr="007B4DB0">
        <w:rPr>
          <w:color w:val="0000FF"/>
        </w:rPr>
        <w:t xml:space="preserve"> Medicare beneficiaries who are Black or Hispanic is also substantially different than the end-of-life hospital services </w:t>
      </w:r>
      <w:r w:rsidR="00FD48B9">
        <w:rPr>
          <w:color w:val="0000FF"/>
        </w:rPr>
        <w:t>received by</w:t>
      </w:r>
      <w:r w:rsidR="00FD48B9" w:rsidRPr="007B4DB0">
        <w:rPr>
          <w:color w:val="0000FF"/>
        </w:rPr>
        <w:t xml:space="preserve"> </w:t>
      </w:r>
      <w:r w:rsidRPr="007B4DB0">
        <w:rPr>
          <w:color w:val="0000FF"/>
        </w:rPr>
        <w:t xml:space="preserve">Medicare beneficiaries who are White. Much of the variation in end-of-life care is due to differences in utilization levels among hospitalized patients. Beneficiaries who are Black and </w:t>
      </w:r>
      <w:r w:rsidR="00BB1632">
        <w:rPr>
          <w:color w:val="0000FF"/>
        </w:rPr>
        <w:t xml:space="preserve">beneficiaries </w:t>
      </w:r>
      <w:r w:rsidRPr="007B4DB0">
        <w:rPr>
          <w:color w:val="0000FF"/>
        </w:rPr>
        <w:t>who are Hispanic are significantly more likely to be admitted to the ICU than beneficiaries who are White, and minorities also receive significantly more intensive procedures, such as resuscitation and cardiac convers</w:t>
      </w:r>
      <w:r w:rsidR="00367585">
        <w:rPr>
          <w:color w:val="0000FF"/>
        </w:rPr>
        <w:t>ion</w:t>
      </w:r>
      <w:r w:rsidRPr="007B4DB0">
        <w:rPr>
          <w:color w:val="0000FF"/>
        </w:rPr>
        <w:t>, mechanical ventilation, and gastrostomy for artificial nutrition.</w:t>
      </w:r>
      <w:r w:rsidRPr="007B4DB0">
        <w:rPr>
          <w:color w:val="0000FF"/>
          <w:vertAlign w:val="superscript"/>
        </w:rPr>
        <w:footnoteReference w:id="16"/>
      </w:r>
      <w:r w:rsidRPr="007B4DB0">
        <w:rPr>
          <w:color w:val="0000FF"/>
        </w:rPr>
        <w:t xml:space="preserve">  </w:t>
      </w:r>
    </w:p>
    <w:p w14:paraId="5F578BA8" w14:textId="17AE5360" w:rsidR="007B4DB0" w:rsidRPr="007B4DB0" w:rsidRDefault="007B4DB0" w:rsidP="00932E8F">
      <w:pPr>
        <w:ind w:firstLine="720"/>
        <w:rPr>
          <w:color w:val="0000FF"/>
        </w:rPr>
      </w:pPr>
      <w:r w:rsidRPr="007B4DB0">
        <w:rPr>
          <w:color w:val="0000FF"/>
        </w:rPr>
        <w:t>According to a 2014 National Quality Forum report, the mechanisms underlying differences in resource use by socioeconomic status and race are complex and may be impacted by factors such as financial resources, community resources, historical and current discrimination, and reduced access to preventive services. Provider assumptions or implicit biases may impact quality of care for beneficiaries of different races.</w:t>
      </w:r>
      <w:r w:rsidRPr="007B4DB0">
        <w:rPr>
          <w:color w:val="0000FF"/>
          <w:vertAlign w:val="superscript"/>
        </w:rPr>
        <w:footnoteReference w:id="17"/>
      </w:r>
      <w:r w:rsidRPr="007B4DB0">
        <w:rPr>
          <w:color w:val="0000FF"/>
        </w:rPr>
        <w:t xml:space="preserve"> These factors may result in inefficient care, increased disease severity, or greater morbidity, leading to higher Medicare spending for beneficiaries depending on socioeconomic status or race.</w:t>
      </w:r>
    </w:p>
    <w:p w14:paraId="3C958366" w14:textId="3E60E786" w:rsidR="007B4DB0" w:rsidRPr="007B4DB0" w:rsidRDefault="007B4DB0" w:rsidP="00932E8F">
      <w:pPr>
        <w:ind w:firstLine="720"/>
        <w:rPr>
          <w:color w:val="0000FF"/>
        </w:rPr>
      </w:pPr>
      <w:r w:rsidRPr="007B4DB0">
        <w:rPr>
          <w:bCs/>
          <w:color w:val="0000FF"/>
        </w:rPr>
        <w:t xml:space="preserve">Given the conceptual and empirical relationship between income, race, and resource use, we analyzed </w:t>
      </w:r>
      <w:r w:rsidRPr="007B4DB0">
        <w:rPr>
          <w:rFonts w:eastAsia="Calibri" w:cstheme="minorHAnsi"/>
          <w:color w:val="0000FF"/>
        </w:rPr>
        <w:t>the impact of the following beneficiary-level and county-level social risk factors: dual eligibility, race/ethnicity, urbanicity based on beneficiary residence, and socioeconomic status (SES). We used</w:t>
      </w:r>
      <w:r w:rsidR="000D62B8">
        <w:rPr>
          <w:rFonts w:eastAsia="Calibri" w:cstheme="minorHAnsi"/>
          <w:color w:val="0000FF"/>
        </w:rPr>
        <w:t xml:space="preserve"> the</w:t>
      </w:r>
      <w:r w:rsidRPr="007B4DB0">
        <w:rPr>
          <w:rFonts w:eastAsia="Calibri" w:cstheme="minorHAnsi"/>
          <w:color w:val="0000FF"/>
        </w:rPr>
        <w:t xml:space="preserve"> CMS Enrollment Database (EDB) and Common Medicare Environment (CME) to determine dual eligibility, race, and beneficiary ZIP code. Urbanicity was defined by cross-walking beneficiary residence ZIP codes to </w:t>
      </w:r>
      <w:r w:rsidRPr="007B4DB0">
        <w:rPr>
          <w:rStyle w:val="st1"/>
          <w:rFonts w:cstheme="minorHAnsi"/>
          <w:color w:val="0000FF"/>
          <w:lang w:val="en"/>
        </w:rPr>
        <w:t>Federal Information Processing Standard Publication</w:t>
      </w:r>
      <w:r w:rsidRPr="007B4DB0">
        <w:rPr>
          <w:rFonts w:eastAsia="Calibri" w:cstheme="minorHAnsi"/>
          <w:color w:val="0000FF"/>
        </w:rPr>
        <w:t xml:space="preserve"> (FIPS) codes,</w:t>
      </w:r>
      <w:r w:rsidRPr="007B4DB0">
        <w:rPr>
          <w:rStyle w:val="FootnoteReference"/>
          <w:rFonts w:eastAsia="Calibri"/>
          <w:color w:val="0000FF"/>
        </w:rPr>
        <w:footnoteReference w:id="18"/>
      </w:r>
      <w:r w:rsidRPr="007B4DB0">
        <w:rPr>
          <w:rFonts w:eastAsia="Calibri" w:cstheme="minorHAnsi"/>
          <w:color w:val="0000FF"/>
        </w:rPr>
        <w:t xml:space="preserve"> then cross-walking FIPS codes to Rural-Urban Continuum Codes (RUCC_2013).</w:t>
      </w:r>
      <w:r w:rsidRPr="007B4DB0">
        <w:rPr>
          <w:rStyle w:val="FootnoteReference"/>
          <w:rFonts w:eastAsia="Calibri"/>
          <w:color w:val="0000FF"/>
        </w:rPr>
        <w:footnoteReference w:id="19"/>
      </w:r>
      <w:r w:rsidRPr="007B4DB0">
        <w:rPr>
          <w:rFonts w:eastAsia="Calibri" w:cstheme="minorHAnsi"/>
          <w:color w:val="0000FF"/>
        </w:rPr>
        <w:t xml:space="preserve"> Socioeconomic </w:t>
      </w:r>
      <w:r w:rsidR="004C3950">
        <w:rPr>
          <w:rFonts w:eastAsia="Calibri" w:cstheme="minorHAnsi"/>
          <w:color w:val="0000FF"/>
        </w:rPr>
        <w:t>status was determined using the Agency</w:t>
      </w:r>
      <w:r w:rsidRPr="007B4DB0">
        <w:rPr>
          <w:rFonts w:eastAsia="Calibri" w:cstheme="minorHAnsi"/>
          <w:color w:val="0000FF"/>
        </w:rPr>
        <w:t xml:space="preserve"> of Healthcare Research and Quality (AHRQ) SES Index</w:t>
      </w:r>
      <w:r w:rsidRPr="007B4DB0">
        <w:rPr>
          <w:rStyle w:val="FootnoteReference"/>
          <w:rFonts w:eastAsia="Calibri"/>
          <w:color w:val="0000FF"/>
        </w:rPr>
        <w:footnoteReference w:id="20"/>
      </w:r>
      <w:r w:rsidRPr="007B4DB0">
        <w:rPr>
          <w:rFonts w:eastAsia="Calibri" w:cstheme="minorHAnsi"/>
          <w:color w:val="0000FF"/>
        </w:rPr>
        <w:t xml:space="preserve">, </w:t>
      </w:r>
      <w:r w:rsidRPr="007B4DB0">
        <w:rPr>
          <w:color w:val="0000FF"/>
        </w:rPr>
        <w:t>calculated based on beneficiary residence ZIP Code Tabulation Area (ZCTA).</w:t>
      </w:r>
      <w:r w:rsidRPr="007B4DB0">
        <w:rPr>
          <w:rFonts w:ascii="Arial" w:hAnsi="Arial" w:cs="Arial"/>
          <w:color w:val="0000FF"/>
          <w:sz w:val="24"/>
          <w:szCs w:val="24"/>
          <w:shd w:val="clear" w:color="auto" w:fill="FFFFFF"/>
        </w:rPr>
        <w:t xml:space="preserve"> </w:t>
      </w:r>
      <w:r w:rsidRPr="007B4DB0">
        <w:rPr>
          <w:color w:val="0000FF"/>
        </w:rPr>
        <w:t>ZCTA was found by cross-walking the beneficiary residence ZIP code with ZCTA.</w:t>
      </w:r>
      <w:r w:rsidRPr="007B4DB0">
        <w:rPr>
          <w:rFonts w:eastAsia="Calibri" w:cstheme="minorHAnsi"/>
          <w:color w:val="0000FF"/>
        </w:rPr>
        <w:t xml:space="preserve"> We used data from the </w:t>
      </w:r>
      <w:r w:rsidR="00D83AE2">
        <w:rPr>
          <w:rFonts w:eastAsia="Calibri" w:cstheme="minorHAnsi"/>
          <w:color w:val="0000FF"/>
        </w:rPr>
        <w:t>2017</w:t>
      </w:r>
      <w:r w:rsidRPr="007B4DB0">
        <w:rPr>
          <w:rFonts w:eastAsia="Calibri" w:cstheme="minorHAnsi"/>
          <w:color w:val="0000FF"/>
        </w:rPr>
        <w:t xml:space="preserve"> American Community Survey (5-year file) to calculate the AHRQ SES Index, with higher values indicating higher SES.</w:t>
      </w:r>
    </w:p>
    <w:p w14:paraId="4EDEB1F3" w14:textId="77777777" w:rsidR="007B4DB0" w:rsidRPr="007B4DB0" w:rsidRDefault="007B4DB0" w:rsidP="00265939">
      <w:pPr>
        <w:ind w:firstLine="720"/>
        <w:rPr>
          <w:color w:val="0000FF"/>
        </w:rPr>
      </w:pPr>
      <w:r w:rsidRPr="007B4DB0">
        <w:rPr>
          <w:color w:val="0000FF"/>
        </w:rPr>
        <w:t xml:space="preserve">Using these data, we conducted a number of analyses for each social risk factor: </w:t>
      </w:r>
    </w:p>
    <w:p w14:paraId="505DA592" w14:textId="332DEFB8" w:rsidR="007B4DB0" w:rsidRPr="007B4DB0" w:rsidRDefault="007B4DB0" w:rsidP="00265939">
      <w:pPr>
        <w:pStyle w:val="paragraph"/>
        <w:numPr>
          <w:ilvl w:val="0"/>
          <w:numId w:val="33"/>
        </w:numPr>
        <w:spacing w:before="0" w:beforeAutospacing="0" w:after="0" w:afterAutospacing="0"/>
        <w:ind w:left="1080"/>
        <w:textAlignment w:val="baseline"/>
        <w:rPr>
          <w:rStyle w:val="eop"/>
          <w:color w:val="0000FF"/>
        </w:rPr>
      </w:pPr>
      <w:r w:rsidRPr="007B4DB0">
        <w:rPr>
          <w:rStyle w:val="normaltextrun"/>
          <w:color w:val="0000FF"/>
        </w:rPr>
        <w:t xml:space="preserve">Calculated the </w:t>
      </w:r>
      <w:r w:rsidR="000D62B8">
        <w:rPr>
          <w:rStyle w:val="normaltextrun"/>
          <w:color w:val="0000FF"/>
        </w:rPr>
        <w:t>frequency</w:t>
      </w:r>
      <w:r w:rsidRPr="007B4DB0">
        <w:rPr>
          <w:rStyle w:val="normaltextrun"/>
          <w:color w:val="0000FF"/>
        </w:rPr>
        <w:t xml:space="preserve"> of patients with each social risk factor;</w:t>
      </w:r>
      <w:r w:rsidRPr="007B4DB0">
        <w:rPr>
          <w:rStyle w:val="eop"/>
          <w:color w:val="0000FF"/>
        </w:rPr>
        <w:t> </w:t>
      </w:r>
    </w:p>
    <w:p w14:paraId="33A5BA44" w14:textId="77777777" w:rsidR="007B4DB0" w:rsidRPr="007B4DB0" w:rsidRDefault="007B4DB0" w:rsidP="00265939">
      <w:pPr>
        <w:pStyle w:val="paragraph"/>
        <w:numPr>
          <w:ilvl w:val="0"/>
          <w:numId w:val="33"/>
        </w:numPr>
        <w:spacing w:before="0" w:beforeAutospacing="0" w:after="0" w:afterAutospacing="0"/>
        <w:ind w:left="1080"/>
        <w:textAlignment w:val="baseline"/>
        <w:rPr>
          <w:rStyle w:val="normaltextrun"/>
          <w:color w:val="0000FF"/>
        </w:rPr>
      </w:pPr>
      <w:r w:rsidRPr="007B4DB0">
        <w:rPr>
          <w:rStyle w:val="normaltextrun"/>
          <w:color w:val="0000FF"/>
        </w:rPr>
        <w:t xml:space="preserve">Calculated average Medicare spending for patients with each social risk factor; </w:t>
      </w:r>
    </w:p>
    <w:p w14:paraId="77E78F94" w14:textId="5EDAD310" w:rsidR="007B4DB0" w:rsidRPr="007B4DB0" w:rsidRDefault="007B4DB0" w:rsidP="00265939">
      <w:pPr>
        <w:pStyle w:val="ListParagraph"/>
        <w:numPr>
          <w:ilvl w:val="0"/>
          <w:numId w:val="33"/>
        </w:numPr>
        <w:ind w:left="1080"/>
        <w:rPr>
          <w:rStyle w:val="normaltextrun"/>
          <w:color w:val="0000FF"/>
        </w:rPr>
      </w:pPr>
      <w:r w:rsidRPr="007B4DB0">
        <w:rPr>
          <w:rStyle w:val="normaltextrun"/>
          <w:rFonts w:cstheme="minorHAnsi"/>
          <w:color w:val="0000FF"/>
        </w:rPr>
        <w:t xml:space="preserve">Assessed the difference in the measure scores estimated with and without </w:t>
      </w:r>
      <w:r w:rsidR="00AA43D2">
        <w:rPr>
          <w:rStyle w:val="normaltextrun"/>
          <w:rFonts w:cstheme="minorHAnsi"/>
          <w:color w:val="0000FF"/>
        </w:rPr>
        <w:t xml:space="preserve">adjustment for </w:t>
      </w:r>
      <w:r w:rsidRPr="007B4DB0">
        <w:rPr>
          <w:rStyle w:val="normaltextrun"/>
          <w:rFonts w:cstheme="minorHAnsi"/>
          <w:color w:val="0000FF"/>
        </w:rPr>
        <w:t>the social risk factors</w:t>
      </w:r>
    </w:p>
    <w:p w14:paraId="0CABCFF6" w14:textId="097C088C" w:rsidR="00001D73" w:rsidRPr="00AF2D68" w:rsidRDefault="007B4DB0" w:rsidP="007B4DB0">
      <w:pPr>
        <w:rPr>
          <w:rFonts w:cstheme="minorHAnsi"/>
          <w:bCs/>
          <w:sz w:val="4"/>
        </w:rPr>
      </w:pPr>
      <w:r w:rsidRPr="007B4DB0">
        <w:rPr>
          <w:color w:val="0000FF"/>
        </w:rPr>
        <w:t xml:space="preserve">The outcomes of these analyses are discussed in </w:t>
      </w:r>
      <w:r w:rsidRPr="007B4DB0">
        <w:rPr>
          <w:b/>
          <w:color w:val="0000FF"/>
        </w:rPr>
        <w:t>Section 2b3.4b</w:t>
      </w:r>
      <w:r w:rsidRPr="007B4DB0">
        <w:rPr>
          <w:color w:val="0000FF"/>
        </w:rPr>
        <w:t>.</w:t>
      </w:r>
      <w:r w:rsidR="00092566" w:rsidRPr="00A25024">
        <w:rPr>
          <w:rFonts w:cstheme="minorHAnsi"/>
          <w:bCs/>
        </w:rPr>
        <w:br/>
      </w:r>
    </w:p>
    <w:p w14:paraId="415B6160" w14:textId="77777777" w:rsidR="00941A96" w:rsidRDefault="00275563" w:rsidP="00893355">
      <w:pPr>
        <w:pStyle w:val="Heading3"/>
      </w:pPr>
      <w:r>
        <w:t xml:space="preserve">2b3.3b. How was the conceptual model </w:t>
      </w:r>
      <w:r w:rsidR="00CE284E">
        <w:t xml:space="preserve">of how social risk impacts this outcome </w:t>
      </w:r>
      <w:r>
        <w:t xml:space="preserve">developed?  </w:t>
      </w:r>
    </w:p>
    <w:p w14:paraId="4260792A" w14:textId="72FF25D5" w:rsidR="00275563" w:rsidRDefault="00275563" w:rsidP="00001D73">
      <w:pPr>
        <w:autoSpaceDE w:val="0"/>
        <w:autoSpaceDN w:val="0"/>
        <w:adjustRightInd w:val="0"/>
        <w:spacing w:after="0" w:line="240" w:lineRule="auto"/>
        <w:rPr>
          <w:rFonts w:cstheme="minorHAnsi"/>
          <w:b/>
          <w:bCs/>
        </w:rPr>
      </w:pPr>
      <w:r>
        <w:rPr>
          <w:rFonts w:cstheme="minorHAnsi"/>
          <w:b/>
          <w:bCs/>
        </w:rPr>
        <w:t>Please check all that apply:</w:t>
      </w:r>
    </w:p>
    <w:p w14:paraId="2B47DA83" w14:textId="3448C120" w:rsidR="00275563" w:rsidRPr="005232D6" w:rsidRDefault="00186AE1"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1"/>
            <w14:checkedState w14:val="2612" w14:font="MS Gothic"/>
            <w14:uncheckedState w14:val="2610" w14:font="MS Gothic"/>
          </w14:checkbox>
        </w:sdtPr>
        <w:sdtEndPr/>
        <w:sdtContent>
          <w:r w:rsidR="008121AB">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6F074593" w:rsidR="00275563" w:rsidRPr="005232D6" w:rsidRDefault="00186AE1"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1"/>
            <w14:checkedState w14:val="2612" w14:font="MS Gothic"/>
            <w14:uncheckedState w14:val="2610" w14:font="MS Gothic"/>
          </w14:checkbox>
        </w:sdtPr>
        <w:sdtEndPr/>
        <w:sdtContent>
          <w:r w:rsidR="007B4DB0">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1489D6C2" w:rsidR="00275563" w:rsidRPr="005232D6" w:rsidRDefault="00186AE1"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7C5644B4" w14:textId="77777777" w:rsidR="00275563" w:rsidRDefault="00275563" w:rsidP="00001D73">
      <w:pPr>
        <w:autoSpaceDE w:val="0"/>
        <w:autoSpaceDN w:val="0"/>
        <w:adjustRightInd w:val="0"/>
        <w:spacing w:after="0" w:line="240" w:lineRule="auto"/>
        <w:rPr>
          <w:rFonts w:cstheme="minorHAnsi"/>
          <w:b/>
          <w:bCs/>
        </w:rPr>
      </w:pPr>
    </w:p>
    <w:p w14:paraId="0CABCFF7" w14:textId="377A50D3" w:rsidR="00092566" w:rsidRDefault="009C7513" w:rsidP="00893355">
      <w:pPr>
        <w:pStyle w:val="Heading3"/>
      </w:pPr>
      <w:r>
        <w:t>2b3</w:t>
      </w:r>
      <w:r w:rsidR="00092566">
        <w:t>.4</w:t>
      </w:r>
      <w:r w:rsidR="00193F21">
        <w:t>a</w:t>
      </w:r>
      <w:r w:rsidR="00092566">
        <w:t xml:space="preserve">. </w:t>
      </w:r>
      <w:r w:rsidR="00092566" w:rsidRPr="00A25024">
        <w:t>What were the statistical results of the analyses used to select risk factors?</w:t>
      </w:r>
    </w:p>
    <w:p w14:paraId="39E664AD" w14:textId="63FF225C" w:rsidR="00BB652D" w:rsidRPr="00BB652D" w:rsidRDefault="00BB652D" w:rsidP="00932E8F">
      <w:pPr>
        <w:spacing w:before="120" w:after="120" w:line="240" w:lineRule="auto"/>
        <w:ind w:firstLine="720"/>
        <w:rPr>
          <w:rFonts w:ascii="Calibri" w:eastAsiaTheme="minorHAnsi" w:hAnsi="Calibri"/>
          <w:color w:val="0000FF"/>
        </w:rPr>
      </w:pPr>
      <w:r w:rsidRPr="00BB652D">
        <w:rPr>
          <w:rFonts w:ascii="Calibri" w:eastAsiaTheme="minorHAnsi" w:hAnsi="Calibri" w:cs="Times New Roman"/>
          <w:color w:val="0000FF"/>
        </w:rPr>
        <w:t xml:space="preserve">The </w:t>
      </w:r>
      <w:r w:rsidR="00B6296E">
        <w:rPr>
          <w:rFonts w:ascii="Calibri" w:eastAsiaTheme="minorHAnsi" w:hAnsi="Calibri" w:cs="Times New Roman"/>
          <w:color w:val="0000FF"/>
        </w:rPr>
        <w:t xml:space="preserve">MSPB-PAC </w:t>
      </w:r>
      <w:r w:rsidR="00D10415">
        <w:rPr>
          <w:rFonts w:ascii="Calibri" w:eastAsiaTheme="minorHAnsi" w:hAnsi="Calibri" w:cs="Times New Roman"/>
          <w:color w:val="0000FF"/>
        </w:rPr>
        <w:t>IRF</w:t>
      </w:r>
      <w:r w:rsidR="00B6296E">
        <w:rPr>
          <w:rFonts w:ascii="Calibri" w:eastAsiaTheme="minorHAnsi" w:hAnsi="Calibri" w:cs="Times New Roman"/>
          <w:color w:val="0000FF"/>
        </w:rPr>
        <w:t xml:space="preserve"> measure</w:t>
      </w:r>
      <w:r w:rsidRPr="00BB652D">
        <w:rPr>
          <w:rFonts w:ascii="Calibri" w:eastAsiaTheme="minorHAnsi" w:hAnsi="Calibri" w:cs="Times New Roman"/>
          <w:color w:val="0000FF"/>
        </w:rPr>
        <w:t xml:space="preserve"> broadly replicates the CMS-HCC model. The literature has extensively tested the use of the HCC model as applied to Medicare claims data. </w:t>
      </w:r>
      <w:r w:rsidR="00A739A5">
        <w:rPr>
          <w:rFonts w:ascii="Calibri" w:eastAsiaTheme="minorHAnsi" w:hAnsi="Calibri" w:cs="Times New Roman"/>
          <w:color w:val="0000FF"/>
        </w:rPr>
        <w:t>It was also adopted for the</w:t>
      </w:r>
      <w:r w:rsidR="00D217C2">
        <w:rPr>
          <w:rFonts w:ascii="Calibri" w:eastAsiaTheme="minorHAnsi" w:hAnsi="Calibri" w:cs="Times New Roman"/>
          <w:color w:val="0000FF"/>
        </w:rPr>
        <w:t xml:space="preserve"> NQF-endorsed</w:t>
      </w:r>
      <w:r w:rsidR="00A739A5">
        <w:rPr>
          <w:rFonts w:ascii="Calibri" w:eastAsiaTheme="minorHAnsi" w:hAnsi="Calibri" w:cs="Times New Roman"/>
          <w:color w:val="0000FF"/>
        </w:rPr>
        <w:t xml:space="preserve"> MSPB-Hospital measure (#2158).</w:t>
      </w:r>
      <w:r w:rsidRPr="00BB652D">
        <w:rPr>
          <w:rFonts w:ascii="Calibri" w:eastAsiaTheme="minorHAnsi" w:hAnsi="Calibri" w:cs="Times New Roman"/>
          <w:color w:val="0000FF"/>
        </w:rPr>
        <w:t xml:space="preserve"> Although the variables in the HCC model were chosen to predict annual cost, CMS also uses this risk adjustment model in a number of other settings (e.g., ACOs and physician QRUR programs). </w:t>
      </w:r>
      <w:r w:rsidRPr="00BB652D">
        <w:rPr>
          <w:rFonts w:ascii="Calibri" w:eastAsiaTheme="minorHAnsi" w:hAnsi="Calibri"/>
          <w:color w:val="0000FF"/>
        </w:rPr>
        <w:t>More information on selection of factors included in the CMS-HCC model can be found at Pope et al. (2011).</w:t>
      </w:r>
      <w:r w:rsidR="00A739A5">
        <w:rPr>
          <w:rFonts w:ascii="Calibri" w:eastAsiaTheme="minorHAnsi" w:hAnsi="Calibri"/>
          <w:color w:val="0000FF"/>
        </w:rPr>
        <w:t xml:space="preserve"> During the development phase of MSPB-PAC </w:t>
      </w:r>
      <w:r w:rsidR="00D10415">
        <w:rPr>
          <w:rFonts w:ascii="Calibri" w:eastAsiaTheme="minorHAnsi" w:hAnsi="Calibri"/>
          <w:color w:val="0000FF"/>
        </w:rPr>
        <w:t>IRF</w:t>
      </w:r>
      <w:r w:rsidR="00A739A5">
        <w:rPr>
          <w:rFonts w:ascii="Calibri" w:eastAsiaTheme="minorHAnsi" w:hAnsi="Calibri"/>
          <w:color w:val="0000FF"/>
        </w:rPr>
        <w:t xml:space="preserve">, we also conducted additional analyses. We tested stratifying by </w:t>
      </w:r>
      <w:r w:rsidR="00A739A5">
        <w:rPr>
          <w:color w:val="0000FF"/>
        </w:rPr>
        <w:t xml:space="preserve">clinical case mix categories (e.g., </w:t>
      </w:r>
      <w:r w:rsidR="00A739A5" w:rsidRPr="00113F04">
        <w:rPr>
          <w:color w:val="0000FF"/>
        </w:rPr>
        <w:t>Prior Acute Surgical IP – Orthopedic</w:t>
      </w:r>
      <w:r w:rsidR="00A739A5">
        <w:rPr>
          <w:color w:val="0000FF"/>
        </w:rPr>
        <w:t xml:space="preserve">). We found that the improvement in model fit was small, while the approach also created small sample sizes in some strata. Further, we tested a longer look-back period (180 days) for identifying patients’ comorbidities. This approach resulted in lower model fit and increased </w:t>
      </w:r>
      <w:r w:rsidR="00C850B9">
        <w:rPr>
          <w:color w:val="0000FF"/>
        </w:rPr>
        <w:t xml:space="preserve">the </w:t>
      </w:r>
      <w:r w:rsidR="00A739A5">
        <w:rPr>
          <w:color w:val="0000FF"/>
        </w:rPr>
        <w:t>number of excluded episodes. Lastly, we used bootstrapping techniques to investigate the significance of individual risk factors. We found that the risk factors that were not consistently significant across replications were clinically analogous to the risk factors that were consistently significant. As a results, we did not remove such risk factors from the model.</w:t>
      </w:r>
    </w:p>
    <w:p w14:paraId="2D386528" w14:textId="77777777" w:rsidR="00941A96" w:rsidRDefault="009C7513" w:rsidP="00893355">
      <w:pPr>
        <w:pStyle w:val="Heading3"/>
      </w:pPr>
      <w:r>
        <w:t>2b3</w:t>
      </w:r>
      <w:r w:rsidR="00C1695E">
        <w:t xml:space="preserve">.4b. Describe the analyses and interpretation resulting in the decision to select </w:t>
      </w:r>
      <w:r w:rsidR="00AF2D68">
        <w:t>social risk</w:t>
      </w:r>
      <w:r w:rsidR="00C1695E">
        <w:t xml:space="preserve"> factors </w:t>
      </w:r>
    </w:p>
    <w:p w14:paraId="0CABCFF8" w14:textId="67AE8530" w:rsidR="00001D73" w:rsidRPr="00CE284E" w:rsidRDefault="00C1695E" w:rsidP="00001D73">
      <w:pPr>
        <w:autoSpaceDE w:val="0"/>
        <w:autoSpaceDN w:val="0"/>
        <w:adjustRightInd w:val="0"/>
        <w:spacing w:after="0" w:line="240" w:lineRule="auto"/>
        <w:rPr>
          <w:rFonts w:cstheme="minorHAnsi"/>
          <w:b/>
          <w:bCs/>
        </w:rPr>
      </w:pPr>
      <w:r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2105A9EE" w14:textId="5FCD44B5" w:rsidR="0064453F" w:rsidRPr="0064453F" w:rsidRDefault="0064453F" w:rsidP="00932E8F">
      <w:pPr>
        <w:ind w:firstLine="720"/>
        <w:rPr>
          <w:color w:val="0000FF"/>
        </w:rPr>
      </w:pPr>
      <w:r w:rsidRPr="0064453F">
        <w:rPr>
          <w:color w:val="0000FF"/>
        </w:rPr>
        <w:t xml:space="preserve">First, we examined </w:t>
      </w:r>
      <w:r w:rsidR="000D62B8">
        <w:rPr>
          <w:color w:val="0000FF"/>
        </w:rPr>
        <w:t>the frequency</w:t>
      </w:r>
      <w:r w:rsidRPr="0064453F">
        <w:rPr>
          <w:color w:val="0000FF"/>
        </w:rPr>
        <w:t xml:space="preserve"> of patients with each social risk factor (SRF). Overall, </w:t>
      </w:r>
      <w:r w:rsidR="005C046A">
        <w:rPr>
          <w:color w:val="0000FF"/>
        </w:rPr>
        <w:t>19</w:t>
      </w:r>
      <w:r w:rsidRPr="0064453F">
        <w:rPr>
          <w:color w:val="0000FF"/>
        </w:rPr>
        <w:t xml:space="preserve">% of </w:t>
      </w:r>
      <w:r w:rsidR="00430FE4">
        <w:rPr>
          <w:color w:val="0000FF"/>
        </w:rPr>
        <w:t>IRF</w:t>
      </w:r>
      <w:r w:rsidR="00430FE4" w:rsidRPr="0064453F">
        <w:rPr>
          <w:color w:val="0000FF"/>
        </w:rPr>
        <w:t xml:space="preserve"> </w:t>
      </w:r>
      <w:r w:rsidRPr="0064453F">
        <w:rPr>
          <w:color w:val="0000FF"/>
        </w:rPr>
        <w:t xml:space="preserve">episodes in the </w:t>
      </w:r>
      <w:r w:rsidR="005C046A">
        <w:rPr>
          <w:color w:val="0000FF"/>
        </w:rPr>
        <w:t>F</w:t>
      </w:r>
      <w:r w:rsidRPr="0064453F">
        <w:rPr>
          <w:color w:val="0000FF"/>
        </w:rPr>
        <w:t xml:space="preserve">Y 2016-2017 period involved patients who were dual-eligible, </w:t>
      </w:r>
      <w:r w:rsidR="00430FE4">
        <w:rPr>
          <w:color w:val="0000FF"/>
        </w:rPr>
        <w:t>1</w:t>
      </w:r>
      <w:r w:rsidR="005C046A">
        <w:rPr>
          <w:color w:val="0000FF"/>
        </w:rPr>
        <w:t>6</w:t>
      </w:r>
      <w:r w:rsidRPr="0064453F">
        <w:rPr>
          <w:color w:val="0000FF"/>
        </w:rPr>
        <w:t>% involved patients who were no</w:t>
      </w:r>
      <w:r w:rsidR="00BB1632">
        <w:rPr>
          <w:color w:val="0000FF"/>
        </w:rPr>
        <w:t xml:space="preserve">t </w:t>
      </w:r>
      <w:r w:rsidRPr="0064453F">
        <w:rPr>
          <w:color w:val="0000FF"/>
        </w:rPr>
        <w:t xml:space="preserve">White, and </w:t>
      </w:r>
      <w:r w:rsidR="005C046A">
        <w:rPr>
          <w:color w:val="0000FF"/>
        </w:rPr>
        <w:t>5</w:t>
      </w:r>
      <w:r w:rsidRPr="0064453F">
        <w:rPr>
          <w:color w:val="0000FF"/>
        </w:rPr>
        <w:t xml:space="preserve">% involved patients in rural locations (see </w:t>
      </w:r>
      <w:r w:rsidRPr="0064453F">
        <w:rPr>
          <w:b/>
          <w:color w:val="0000FF"/>
        </w:rPr>
        <w:t>Appendix Table 2b3.4b_1</w:t>
      </w:r>
      <w:r w:rsidRPr="0064453F">
        <w:rPr>
          <w:color w:val="0000FF"/>
        </w:rPr>
        <w:t xml:space="preserve">). </w:t>
      </w:r>
    </w:p>
    <w:p w14:paraId="7154CA5A" w14:textId="4DD6225A" w:rsidR="0064453F" w:rsidRPr="0064453F" w:rsidRDefault="0064453F" w:rsidP="00932E8F">
      <w:pPr>
        <w:ind w:firstLine="720"/>
        <w:rPr>
          <w:color w:val="0000FF"/>
        </w:rPr>
      </w:pPr>
      <w:r w:rsidRPr="005C046A">
        <w:rPr>
          <w:color w:val="0000FF"/>
        </w:rPr>
        <w:t>Second, we compare</w:t>
      </w:r>
      <w:r w:rsidR="00560F38" w:rsidRPr="005C046A">
        <w:rPr>
          <w:color w:val="0000FF"/>
        </w:rPr>
        <w:t>d</w:t>
      </w:r>
      <w:r w:rsidRPr="005C046A">
        <w:rPr>
          <w:color w:val="0000FF"/>
        </w:rPr>
        <w:t xml:space="preserve"> average observed per-episode spending across patients with each SRF. Overall, we f</w:t>
      </w:r>
      <w:r w:rsidR="00D217C2">
        <w:rPr>
          <w:color w:val="0000FF"/>
        </w:rPr>
        <w:t>oun</w:t>
      </w:r>
      <w:r w:rsidRPr="005C046A">
        <w:rPr>
          <w:color w:val="0000FF"/>
        </w:rPr>
        <w:t xml:space="preserve">d that spending is higher for patients </w:t>
      </w:r>
      <w:r w:rsidR="00BB1632" w:rsidRPr="005C046A">
        <w:rPr>
          <w:color w:val="0000FF"/>
        </w:rPr>
        <w:t>who are dual-eligible</w:t>
      </w:r>
      <w:r w:rsidR="00AC7EB7">
        <w:rPr>
          <w:color w:val="0000FF"/>
        </w:rPr>
        <w:t xml:space="preserve"> patients</w:t>
      </w:r>
      <w:r w:rsidRPr="005C046A">
        <w:rPr>
          <w:color w:val="0000FF"/>
        </w:rPr>
        <w:t xml:space="preserve">, patients who are Black, and patients who live in urban areas. Spending is highest among patients who reside in areas with average SES in the </w:t>
      </w:r>
      <w:r w:rsidR="005C046A" w:rsidRPr="005B2207">
        <w:rPr>
          <w:color w:val="0000FF"/>
        </w:rPr>
        <w:t>first quartile</w:t>
      </w:r>
      <w:r w:rsidRPr="005C046A">
        <w:rPr>
          <w:color w:val="0000FF"/>
        </w:rPr>
        <w:t xml:space="preserve"> of the AHRQ SES Index (see </w:t>
      </w:r>
      <w:r w:rsidRPr="005C046A">
        <w:rPr>
          <w:b/>
          <w:color w:val="0000FF"/>
        </w:rPr>
        <w:t>Appendix Table 2b3.4b_2</w:t>
      </w:r>
      <w:r w:rsidRPr="005C046A">
        <w:rPr>
          <w:color w:val="0000FF"/>
        </w:rPr>
        <w:t xml:space="preserve">). </w:t>
      </w:r>
    </w:p>
    <w:p w14:paraId="5CE3D60E" w14:textId="2AF0A4FF" w:rsidR="0064453F" w:rsidRPr="0064453F" w:rsidRDefault="0064453F" w:rsidP="00932E8F">
      <w:pPr>
        <w:ind w:firstLine="720"/>
        <w:rPr>
          <w:color w:val="0000FF"/>
        </w:rPr>
      </w:pPr>
      <w:r w:rsidRPr="005C046A">
        <w:rPr>
          <w:color w:val="0000FF"/>
        </w:rPr>
        <w:t>Third, we examine</w:t>
      </w:r>
      <w:r w:rsidR="00560F38" w:rsidRPr="005C046A">
        <w:rPr>
          <w:color w:val="0000FF"/>
        </w:rPr>
        <w:t>d</w:t>
      </w:r>
      <w:r w:rsidRPr="005C046A">
        <w:rPr>
          <w:color w:val="0000FF"/>
        </w:rPr>
        <w:t xml:space="preserve"> risk-adjustment models with all or some of the SRFs added (see </w:t>
      </w:r>
      <w:r w:rsidR="0099179B" w:rsidRPr="005C046A">
        <w:rPr>
          <w:b/>
          <w:color w:val="0000FF"/>
        </w:rPr>
        <w:t xml:space="preserve">Appendix </w:t>
      </w:r>
      <w:r w:rsidRPr="005C046A">
        <w:rPr>
          <w:b/>
          <w:color w:val="0000FF"/>
        </w:rPr>
        <w:t>Tables 2b3.4b_3a-e</w:t>
      </w:r>
      <w:r w:rsidRPr="005C046A">
        <w:rPr>
          <w:color w:val="0000FF"/>
        </w:rPr>
        <w:t>). We f</w:t>
      </w:r>
      <w:r w:rsidR="00705E21">
        <w:rPr>
          <w:color w:val="0000FF"/>
        </w:rPr>
        <w:t>oun</w:t>
      </w:r>
      <w:r w:rsidRPr="005C046A">
        <w:rPr>
          <w:color w:val="0000FF"/>
        </w:rPr>
        <w:t>d that each SRF is statistically significant, when added to the model individually as well as when added together with all other SRFs</w:t>
      </w:r>
      <w:r w:rsidR="002A6801" w:rsidRPr="005C046A">
        <w:rPr>
          <w:color w:val="0000FF"/>
        </w:rPr>
        <w:t>;</w:t>
      </w:r>
      <w:r w:rsidRPr="005C046A">
        <w:rPr>
          <w:rStyle w:val="FootnoteReference"/>
          <w:color w:val="0000FF"/>
        </w:rPr>
        <w:footnoteReference w:id="21"/>
      </w:r>
      <w:r w:rsidRPr="005C046A">
        <w:rPr>
          <w:color w:val="0000FF"/>
        </w:rPr>
        <w:t xml:space="preserve"> </w:t>
      </w:r>
      <w:r w:rsidR="002A6801" w:rsidRPr="005C046A">
        <w:rPr>
          <w:color w:val="0000FF"/>
        </w:rPr>
        <w:t>t</w:t>
      </w:r>
      <w:r w:rsidRPr="005C046A">
        <w:rPr>
          <w:color w:val="0000FF"/>
        </w:rPr>
        <w:t>his is</w:t>
      </w:r>
      <w:r w:rsidR="002A6801" w:rsidRPr="005C046A">
        <w:rPr>
          <w:color w:val="0000FF"/>
        </w:rPr>
        <w:t xml:space="preserve"> expected</w:t>
      </w:r>
      <w:r w:rsidRPr="005C046A">
        <w:rPr>
          <w:color w:val="0000FF"/>
        </w:rPr>
        <w:t xml:space="preserve"> given the</w:t>
      </w:r>
      <w:r w:rsidR="002A6801" w:rsidRPr="005C046A">
        <w:rPr>
          <w:color w:val="0000FF"/>
        </w:rPr>
        <w:t xml:space="preserve"> large</w:t>
      </w:r>
      <w:r w:rsidRPr="005C046A">
        <w:rPr>
          <w:color w:val="0000FF"/>
        </w:rPr>
        <w:t xml:space="preserve"> sample size. </w:t>
      </w:r>
      <w:r w:rsidR="002A6801" w:rsidRPr="005C046A">
        <w:rPr>
          <w:color w:val="0000FF"/>
        </w:rPr>
        <w:t>However, a</w:t>
      </w:r>
      <w:r w:rsidRPr="005C046A">
        <w:rPr>
          <w:color w:val="0000FF"/>
        </w:rPr>
        <w:t>dding SRFs, individually or together, does not substantially improve overall model fit: adjusted R-squared values increase by less than 0.0</w:t>
      </w:r>
      <w:r w:rsidR="00534A20">
        <w:rPr>
          <w:color w:val="0000FF"/>
        </w:rPr>
        <w:t>0</w:t>
      </w:r>
      <w:r w:rsidRPr="005C046A">
        <w:rPr>
          <w:color w:val="0000FF"/>
        </w:rPr>
        <w:t>1 in all cases.</w:t>
      </w:r>
    </w:p>
    <w:p w14:paraId="2B97BE90" w14:textId="019AAFC0" w:rsidR="0064453F" w:rsidRPr="0064453F" w:rsidRDefault="0064453F" w:rsidP="00932E8F">
      <w:pPr>
        <w:ind w:firstLine="720"/>
        <w:rPr>
          <w:color w:val="0000FF"/>
        </w:rPr>
      </w:pPr>
      <w:r w:rsidRPr="0064453F">
        <w:rPr>
          <w:color w:val="0000FF"/>
        </w:rPr>
        <w:t>Fourth, to</w:t>
      </w:r>
      <w:r w:rsidR="002A6801">
        <w:rPr>
          <w:color w:val="0000FF"/>
        </w:rPr>
        <w:t xml:space="preserve"> further</w:t>
      </w:r>
      <w:r w:rsidRPr="0064453F">
        <w:rPr>
          <w:color w:val="0000FF"/>
        </w:rPr>
        <w:t xml:space="preserve"> examine the impact of adding </w:t>
      </w:r>
      <w:r w:rsidR="00BD4BFD">
        <w:rPr>
          <w:color w:val="0000FF"/>
        </w:rPr>
        <w:t>social risk factor</w:t>
      </w:r>
      <w:r w:rsidR="00BD4BFD" w:rsidRPr="0064453F">
        <w:rPr>
          <w:color w:val="0000FF"/>
        </w:rPr>
        <w:t xml:space="preserve">s </w:t>
      </w:r>
      <w:r w:rsidRPr="0064453F">
        <w:rPr>
          <w:color w:val="0000FF"/>
        </w:rPr>
        <w:t>to the risk</w:t>
      </w:r>
      <w:r w:rsidR="00BD4BFD">
        <w:rPr>
          <w:color w:val="0000FF"/>
        </w:rPr>
        <w:t xml:space="preserve"> </w:t>
      </w:r>
      <w:r w:rsidRPr="0064453F">
        <w:rPr>
          <w:color w:val="0000FF"/>
        </w:rPr>
        <w:t>adjustment model, we examine</w:t>
      </w:r>
      <w:r w:rsidR="00560F38">
        <w:rPr>
          <w:color w:val="0000FF"/>
        </w:rPr>
        <w:t>d</w:t>
      </w:r>
      <w:r w:rsidRPr="0064453F">
        <w:rPr>
          <w:color w:val="0000FF"/>
        </w:rPr>
        <w:t xml:space="preserve"> the change in individual </w:t>
      </w:r>
      <w:r w:rsidR="00B8568F">
        <w:rPr>
          <w:color w:val="0000FF"/>
        </w:rPr>
        <w:t>provider</w:t>
      </w:r>
      <w:r w:rsidR="00B8568F" w:rsidRPr="0064453F">
        <w:rPr>
          <w:color w:val="0000FF"/>
        </w:rPr>
        <w:t xml:space="preserve">’s </w:t>
      </w:r>
      <w:r w:rsidR="00B6296E">
        <w:rPr>
          <w:color w:val="0000FF"/>
        </w:rPr>
        <w:t xml:space="preserve">MSPB-PAC </w:t>
      </w:r>
      <w:r w:rsidR="00B8568F">
        <w:rPr>
          <w:color w:val="0000FF"/>
        </w:rPr>
        <w:t>IRF</w:t>
      </w:r>
      <w:r w:rsidR="00B6296E">
        <w:rPr>
          <w:color w:val="0000FF"/>
        </w:rPr>
        <w:t xml:space="preserve"> measure</w:t>
      </w:r>
      <w:r w:rsidRPr="0064453F">
        <w:rPr>
          <w:color w:val="0000FF"/>
        </w:rPr>
        <w:t xml:space="preserve"> scores when computed with and without </w:t>
      </w:r>
      <w:r w:rsidR="00BD4BFD">
        <w:rPr>
          <w:color w:val="0000FF"/>
        </w:rPr>
        <w:t>social risk factor</w:t>
      </w:r>
      <w:r w:rsidR="00BD4BFD" w:rsidRPr="0064453F">
        <w:rPr>
          <w:color w:val="0000FF"/>
        </w:rPr>
        <w:t>s</w:t>
      </w:r>
      <w:r w:rsidRPr="0064453F">
        <w:rPr>
          <w:color w:val="0000FF"/>
        </w:rPr>
        <w:t xml:space="preserve">. The results are highly correlated: correlation between baseline scores and scores adjusted for all </w:t>
      </w:r>
      <w:r w:rsidRPr="00B8568F">
        <w:rPr>
          <w:color w:val="0000FF"/>
        </w:rPr>
        <w:t>SRFs is 0.9</w:t>
      </w:r>
      <w:r w:rsidR="00B8568F" w:rsidRPr="008C7D29">
        <w:rPr>
          <w:color w:val="0000FF"/>
        </w:rPr>
        <w:t>9</w:t>
      </w:r>
      <w:r w:rsidR="00DE33CD">
        <w:rPr>
          <w:color w:val="0000FF"/>
        </w:rPr>
        <w:t>7</w:t>
      </w:r>
      <w:r w:rsidRPr="00B8568F">
        <w:rPr>
          <w:color w:val="0000FF"/>
        </w:rPr>
        <w:t xml:space="preserve"> (Pearson</w:t>
      </w:r>
      <w:r w:rsidR="00BD4BFD">
        <w:rPr>
          <w:color w:val="0000FF"/>
        </w:rPr>
        <w:t xml:space="preserve"> and </w:t>
      </w:r>
      <w:r w:rsidRPr="00B8568F">
        <w:rPr>
          <w:color w:val="0000FF"/>
        </w:rPr>
        <w:t>Spearman)</w:t>
      </w:r>
      <w:r w:rsidR="00BD4BFD">
        <w:rPr>
          <w:color w:val="0000FF"/>
        </w:rPr>
        <w:t>.</w:t>
      </w:r>
      <w:r w:rsidR="005047D7" w:rsidRPr="00B8568F">
        <w:rPr>
          <w:color w:val="0000FF"/>
        </w:rPr>
        <w:t xml:space="preserve"> (</w:t>
      </w:r>
      <w:r w:rsidR="00BD4BFD">
        <w:rPr>
          <w:color w:val="0000FF"/>
        </w:rPr>
        <w:t xml:space="preserve">See </w:t>
      </w:r>
      <w:r w:rsidR="005047D7" w:rsidRPr="00B8568F">
        <w:rPr>
          <w:b/>
          <w:color w:val="0000FF"/>
        </w:rPr>
        <w:t>Appendix Figure2b3.4b_1 and Figure2b3.4b_2</w:t>
      </w:r>
      <w:r w:rsidR="005047D7" w:rsidRPr="00B8568F">
        <w:rPr>
          <w:color w:val="0000FF"/>
        </w:rPr>
        <w:t>)</w:t>
      </w:r>
      <w:r w:rsidRPr="00B8568F">
        <w:rPr>
          <w:color w:val="0000FF"/>
        </w:rPr>
        <w:t xml:space="preserve">. The average absolute change </w:t>
      </w:r>
      <w:r w:rsidR="00424DFD" w:rsidRPr="00B8568F">
        <w:rPr>
          <w:color w:val="0000FF"/>
        </w:rPr>
        <w:t xml:space="preserve">in </w:t>
      </w:r>
      <w:r w:rsidR="00424DFD" w:rsidRPr="002B08F5">
        <w:rPr>
          <w:color w:val="0000FF"/>
        </w:rPr>
        <w:t xml:space="preserve">provider scores </w:t>
      </w:r>
      <w:r w:rsidRPr="002B08F5">
        <w:rPr>
          <w:color w:val="0000FF"/>
        </w:rPr>
        <w:t>is 0.0</w:t>
      </w:r>
      <w:r w:rsidR="00F07365" w:rsidRPr="002B08F5">
        <w:rPr>
          <w:color w:val="0000FF"/>
        </w:rPr>
        <w:t>04</w:t>
      </w:r>
      <w:r w:rsidRPr="00B8568F">
        <w:rPr>
          <w:color w:val="0000FF"/>
        </w:rPr>
        <w:t xml:space="preserve"> (</w:t>
      </w:r>
      <w:r w:rsidR="0099179B" w:rsidRPr="00B8568F">
        <w:rPr>
          <w:b/>
          <w:color w:val="0000FF"/>
        </w:rPr>
        <w:t xml:space="preserve">Appendix </w:t>
      </w:r>
      <w:r w:rsidRPr="00B8568F">
        <w:rPr>
          <w:b/>
          <w:color w:val="0000FF"/>
        </w:rPr>
        <w:t>Table 2b3.4b_4a</w:t>
      </w:r>
      <w:r w:rsidRPr="00B8568F">
        <w:rPr>
          <w:color w:val="0000FF"/>
        </w:rPr>
        <w:t>)</w:t>
      </w:r>
      <w:r w:rsidR="00424DFD" w:rsidRPr="00B8568F">
        <w:rPr>
          <w:color w:val="0000FF"/>
        </w:rPr>
        <w:t>;</w:t>
      </w:r>
      <w:r w:rsidRPr="00B8568F">
        <w:rPr>
          <w:color w:val="0000FF"/>
        </w:rPr>
        <w:t xml:space="preserve"> </w:t>
      </w:r>
      <w:r w:rsidR="00B8568F" w:rsidRPr="008C7D29">
        <w:rPr>
          <w:color w:val="0000FF"/>
        </w:rPr>
        <w:t>91</w:t>
      </w:r>
      <w:r w:rsidRPr="00B8568F">
        <w:rPr>
          <w:color w:val="0000FF"/>
        </w:rPr>
        <w:t xml:space="preserve">% of </w:t>
      </w:r>
      <w:r w:rsidR="00D10415">
        <w:rPr>
          <w:color w:val="0000FF"/>
        </w:rPr>
        <w:t>IRF</w:t>
      </w:r>
      <w:r w:rsidRPr="00B8568F">
        <w:rPr>
          <w:color w:val="0000FF"/>
        </w:rPr>
        <w:t xml:space="preserve"> scores change by </w:t>
      </w:r>
      <w:r w:rsidRPr="00B8568F">
        <w:rPr>
          <w:rFonts w:cstheme="minorHAnsi"/>
          <w:color w:val="0000FF"/>
        </w:rPr>
        <w:t>±</w:t>
      </w:r>
      <w:r w:rsidRPr="00B8568F">
        <w:rPr>
          <w:color w:val="0000FF"/>
        </w:rPr>
        <w:t>0.0</w:t>
      </w:r>
      <w:r w:rsidR="00B8568F" w:rsidRPr="008C7D29">
        <w:rPr>
          <w:color w:val="0000FF"/>
        </w:rPr>
        <w:t>1</w:t>
      </w:r>
      <w:r w:rsidR="00424DFD" w:rsidRPr="00B8568F">
        <w:rPr>
          <w:color w:val="0000FF"/>
        </w:rPr>
        <w:t xml:space="preserve">, i.e., </w:t>
      </w:r>
      <w:r w:rsidR="00BB7659">
        <w:rPr>
          <w:color w:val="0000FF"/>
        </w:rPr>
        <w:t xml:space="preserve">about </w:t>
      </w:r>
      <w:r w:rsidR="00B8568F" w:rsidRPr="008C7D29">
        <w:rPr>
          <w:color w:val="0000FF"/>
        </w:rPr>
        <w:t xml:space="preserve">one </w:t>
      </w:r>
      <w:r w:rsidR="00BB7659">
        <w:rPr>
          <w:color w:val="0000FF"/>
        </w:rPr>
        <w:t>tenth</w:t>
      </w:r>
      <w:r w:rsidRPr="00B8568F">
        <w:rPr>
          <w:color w:val="0000FF"/>
        </w:rPr>
        <w:t xml:space="preserve"> of a standar</w:t>
      </w:r>
      <w:r w:rsidRPr="0064453F">
        <w:rPr>
          <w:color w:val="0000FF"/>
        </w:rPr>
        <w:t>d deviation of the measure scores</w:t>
      </w:r>
      <w:r w:rsidR="0099179B">
        <w:rPr>
          <w:color w:val="0000FF"/>
        </w:rPr>
        <w:t xml:space="preserve"> (</w:t>
      </w:r>
      <w:r w:rsidR="0099179B" w:rsidRPr="0064453F">
        <w:rPr>
          <w:b/>
          <w:color w:val="0000FF"/>
        </w:rPr>
        <w:t>Appendix</w:t>
      </w:r>
      <w:r w:rsidR="0099179B">
        <w:rPr>
          <w:b/>
          <w:color w:val="0000FF"/>
        </w:rPr>
        <w:t xml:space="preserve"> </w:t>
      </w:r>
      <w:r w:rsidR="0099179B" w:rsidRPr="0064453F">
        <w:rPr>
          <w:b/>
          <w:color w:val="0000FF"/>
        </w:rPr>
        <w:t>Table</w:t>
      </w:r>
      <w:r w:rsidR="0099179B">
        <w:rPr>
          <w:b/>
          <w:color w:val="0000FF"/>
        </w:rPr>
        <w:t>s</w:t>
      </w:r>
      <w:r w:rsidR="0099179B" w:rsidRPr="0064453F">
        <w:rPr>
          <w:b/>
          <w:color w:val="0000FF"/>
        </w:rPr>
        <w:t xml:space="preserve"> 2b3.4b_</w:t>
      </w:r>
      <w:r w:rsidR="0099179B">
        <w:rPr>
          <w:b/>
          <w:color w:val="0000FF"/>
        </w:rPr>
        <w:t>4b</w:t>
      </w:r>
      <w:r w:rsidR="0099179B">
        <w:rPr>
          <w:color w:val="0000FF"/>
        </w:rPr>
        <w:t>)</w:t>
      </w:r>
      <w:r w:rsidRPr="0064453F">
        <w:rPr>
          <w:color w:val="0000FF"/>
        </w:rPr>
        <w:t>.</w:t>
      </w:r>
    </w:p>
    <w:p w14:paraId="0CABCFF9" w14:textId="173E004D" w:rsidR="00C1695E" w:rsidRPr="0064453F" w:rsidRDefault="0064453F" w:rsidP="00932E8F">
      <w:pPr>
        <w:autoSpaceDE w:val="0"/>
        <w:autoSpaceDN w:val="0"/>
        <w:adjustRightInd w:val="0"/>
        <w:spacing w:after="0" w:line="240" w:lineRule="auto"/>
        <w:ind w:firstLine="720"/>
        <w:rPr>
          <w:color w:val="0000FF"/>
        </w:rPr>
      </w:pPr>
      <w:r w:rsidRPr="0064453F">
        <w:rPr>
          <w:color w:val="0000FF"/>
        </w:rPr>
        <w:t>Given the minimal impact of including SRFs in the risk-adjustment model on measure scores, we do not recommend adjusting the scores for these social risk factors.</w:t>
      </w:r>
    </w:p>
    <w:p w14:paraId="409E4983" w14:textId="77777777" w:rsidR="0064453F" w:rsidRPr="00001D73" w:rsidRDefault="0064453F" w:rsidP="0064453F">
      <w:pPr>
        <w:autoSpaceDE w:val="0"/>
        <w:autoSpaceDN w:val="0"/>
        <w:adjustRightInd w:val="0"/>
        <w:spacing w:after="0" w:line="240" w:lineRule="auto"/>
        <w:rPr>
          <w:rFonts w:cstheme="minorHAnsi"/>
          <w:b/>
          <w:bCs/>
        </w:rPr>
      </w:pPr>
    </w:p>
    <w:p w14:paraId="6059B5EB" w14:textId="77777777" w:rsidR="00941A96" w:rsidRDefault="009C7513" w:rsidP="00893355">
      <w:pPr>
        <w:pStyle w:val="Heading3"/>
      </w:pPr>
      <w:r>
        <w:t>2b3</w:t>
      </w:r>
      <w:r w:rsidR="00E1508F">
        <w:t>.</w:t>
      </w:r>
      <w:r w:rsidR="00092566">
        <w:t xml:space="preserve">5. </w:t>
      </w:r>
      <w:r w:rsidR="008871A9">
        <w:t>Describe the method of</w:t>
      </w:r>
      <w:r w:rsidR="00092566" w:rsidRPr="00A25024">
        <w:t xml:space="preserve"> </w:t>
      </w:r>
      <w:r w:rsidR="008871A9">
        <w:t xml:space="preserve">testing/analysis used </w:t>
      </w:r>
      <w:r w:rsidR="00092566" w:rsidRPr="00A25024">
        <w:t xml:space="preserve">to develop and validate the adequacy of the statistical model </w:t>
      </w:r>
      <w:r w:rsidR="00092566" w:rsidRPr="006C3A4F">
        <w:rPr>
          <w:u w:val="single"/>
        </w:rPr>
        <w:t>or</w:t>
      </w:r>
      <w:r w:rsidR="00092566" w:rsidRPr="00A25024">
        <w:t xml:space="preserve"> stratification approach</w:t>
      </w:r>
    </w:p>
    <w:p w14:paraId="0CABCFFA" w14:textId="67239958" w:rsidR="00092566" w:rsidRDefault="00092566" w:rsidP="00092566">
      <w:pPr>
        <w:autoSpaceDE w:val="0"/>
        <w:autoSpaceDN w:val="0"/>
        <w:adjustRightInd w:val="0"/>
        <w:spacing w:after="0" w:line="240" w:lineRule="auto"/>
        <w:rPr>
          <w:rFonts w:cstheme="minorHAnsi"/>
          <w:bCs/>
        </w:rPr>
      </w:pPr>
      <w:r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Pr="00A25024">
        <w:rPr>
          <w:rFonts w:cstheme="minorHAnsi"/>
          <w:bCs/>
        </w:rPr>
        <w:t>)</w:t>
      </w:r>
      <w:r w:rsidRPr="00A25024">
        <w:rPr>
          <w:rFonts w:cstheme="minorHAnsi"/>
          <w:bCs/>
        </w:rPr>
        <w:br/>
      </w:r>
    </w:p>
    <w:p w14:paraId="2EE30C93" w14:textId="77777777" w:rsidR="009252E1" w:rsidRPr="00AB5055" w:rsidRDefault="009252E1" w:rsidP="009252E1">
      <w:pPr>
        <w:autoSpaceDE w:val="0"/>
        <w:autoSpaceDN w:val="0"/>
        <w:adjustRightInd w:val="0"/>
        <w:spacing w:after="0" w:line="240" w:lineRule="auto"/>
        <w:rPr>
          <w:color w:val="0000FF"/>
        </w:rPr>
      </w:pPr>
      <w:r w:rsidRPr="00AB5055">
        <w:rPr>
          <w:color w:val="0000FF"/>
        </w:rPr>
        <w:t>To test the adequacy of this model, we conducted several analyses and tests:</w:t>
      </w:r>
    </w:p>
    <w:p w14:paraId="57663885" w14:textId="77777777" w:rsidR="009252E1" w:rsidRPr="00AB5055" w:rsidRDefault="009252E1" w:rsidP="009252E1">
      <w:pPr>
        <w:autoSpaceDE w:val="0"/>
        <w:autoSpaceDN w:val="0"/>
        <w:adjustRightInd w:val="0"/>
        <w:spacing w:after="0" w:line="240" w:lineRule="auto"/>
        <w:rPr>
          <w:color w:val="0000FF"/>
        </w:rPr>
      </w:pPr>
    </w:p>
    <w:p w14:paraId="07932D59" w14:textId="77777777" w:rsidR="009252E1" w:rsidRPr="00AB5055" w:rsidRDefault="009252E1" w:rsidP="009252E1">
      <w:pPr>
        <w:pStyle w:val="ListParagraph"/>
        <w:numPr>
          <w:ilvl w:val="0"/>
          <w:numId w:val="37"/>
        </w:numPr>
        <w:autoSpaceDE w:val="0"/>
        <w:autoSpaceDN w:val="0"/>
        <w:adjustRightInd w:val="0"/>
        <w:spacing w:after="0" w:line="240" w:lineRule="auto"/>
        <w:rPr>
          <w:color w:val="0000FF"/>
        </w:rPr>
      </w:pPr>
      <w:r w:rsidRPr="00AB5055">
        <w:rPr>
          <w:b/>
          <w:color w:val="0000FF"/>
        </w:rPr>
        <w:t>Model Discrimination</w:t>
      </w:r>
      <w:r w:rsidRPr="00AB5055">
        <w:rPr>
          <w:color w:val="0000FF"/>
        </w:rPr>
        <w:t>: We examined the model’s fit (adjusted R-squared).</w:t>
      </w:r>
    </w:p>
    <w:p w14:paraId="343F5971" w14:textId="77777777" w:rsidR="009252E1" w:rsidRPr="00AB5055" w:rsidRDefault="009252E1" w:rsidP="009252E1">
      <w:pPr>
        <w:pStyle w:val="ListParagraph"/>
        <w:numPr>
          <w:ilvl w:val="0"/>
          <w:numId w:val="37"/>
        </w:numPr>
        <w:autoSpaceDE w:val="0"/>
        <w:autoSpaceDN w:val="0"/>
        <w:adjustRightInd w:val="0"/>
        <w:spacing w:after="0" w:line="240" w:lineRule="auto"/>
        <w:rPr>
          <w:color w:val="0000FF"/>
        </w:rPr>
      </w:pPr>
      <w:r w:rsidRPr="00AB5055">
        <w:rPr>
          <w:rFonts w:cstheme="minorHAnsi"/>
          <w:b/>
          <w:bCs/>
          <w:color w:val="0000FF"/>
        </w:rPr>
        <w:t>Risk-decile testing and plots:</w:t>
      </w:r>
      <w:r w:rsidRPr="00AB5055">
        <w:rPr>
          <w:rFonts w:cstheme="minorHAnsi"/>
          <w:bCs/>
          <w:color w:val="0000FF"/>
        </w:rPr>
        <w:t xml:space="preserve"> W</w:t>
      </w:r>
      <w:r w:rsidRPr="00AB5055">
        <w:rPr>
          <w:rFonts w:ascii="Calibri" w:eastAsia="Times New Roman" w:hAnsi="Calibri" w:cstheme="minorHAnsi"/>
          <w:color w:val="0000FF"/>
        </w:rPr>
        <w:t>e calculated the distribution of episode spending by decile to examine the model’s ability to predict both very low and high cost episodes. Specifically, we created a “risk score” for each episode calculated as the predicted cost values from each episode divided by the national average predicted cost value. After arranging episodes into deciles based on the risk score, we calculated the difference and ratio between predicted and observed cost for each decile.</w:t>
      </w:r>
    </w:p>
    <w:p w14:paraId="7D572109" w14:textId="2655058F" w:rsidR="009252E1" w:rsidRPr="00AB5055" w:rsidRDefault="009252E1" w:rsidP="009252E1">
      <w:pPr>
        <w:pStyle w:val="ListParagraph"/>
        <w:numPr>
          <w:ilvl w:val="0"/>
          <w:numId w:val="37"/>
        </w:numPr>
        <w:autoSpaceDE w:val="0"/>
        <w:autoSpaceDN w:val="0"/>
        <w:adjustRightInd w:val="0"/>
        <w:spacing w:after="0" w:line="240" w:lineRule="auto"/>
        <w:rPr>
          <w:rFonts w:cstheme="minorHAnsi"/>
          <w:color w:val="0000FF"/>
        </w:rPr>
      </w:pPr>
      <w:r w:rsidRPr="00AB5055">
        <w:rPr>
          <w:rFonts w:cstheme="minorHAnsi"/>
          <w:b/>
          <w:color w:val="0000FF"/>
        </w:rPr>
        <w:t>Score Distribution</w:t>
      </w:r>
      <w:r w:rsidRPr="00AB5055">
        <w:rPr>
          <w:rFonts w:cstheme="minorHAnsi"/>
          <w:color w:val="0000FF"/>
        </w:rPr>
        <w:t xml:space="preserve">: We examined the distribution of </w:t>
      </w:r>
      <w:r w:rsidR="00B8568F">
        <w:rPr>
          <w:rFonts w:cstheme="minorHAnsi"/>
          <w:color w:val="0000FF"/>
        </w:rPr>
        <w:t>IRF</w:t>
      </w:r>
      <w:r w:rsidRPr="00AB5055">
        <w:rPr>
          <w:rFonts w:cstheme="minorHAnsi"/>
          <w:color w:val="0000FF"/>
        </w:rPr>
        <w:t>-level observed and risk-adjusted episode cost.</w:t>
      </w:r>
    </w:p>
    <w:p w14:paraId="5BBEC578" w14:textId="77777777" w:rsidR="009252E1" w:rsidRPr="00A25024" w:rsidRDefault="009252E1" w:rsidP="00092566">
      <w:pPr>
        <w:autoSpaceDE w:val="0"/>
        <w:autoSpaceDN w:val="0"/>
        <w:adjustRightInd w:val="0"/>
        <w:spacing w:after="0" w:line="240" w:lineRule="auto"/>
        <w:rPr>
          <w:rFonts w:cstheme="minorHAnsi"/>
          <w:bCs/>
        </w:rPr>
      </w:pP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9C7513">
          <w:rPr>
            <w:rStyle w:val="Hyperlink"/>
            <w:rFonts w:cstheme="minorHAnsi"/>
            <w:b/>
            <w:bCs/>
            <w:i/>
            <w:highlight w:val="green"/>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0CABCFFD" w14:textId="244DF739" w:rsidR="00001D73" w:rsidRPr="008C7D29" w:rsidRDefault="00743E46" w:rsidP="00893355">
      <w:pPr>
        <w:pStyle w:val="Heading3"/>
        <w:rPr>
          <w:highlight w:val="yellow"/>
        </w:rPr>
      </w:pPr>
      <w:r w:rsidRPr="00452183">
        <w:t>2b</w:t>
      </w:r>
      <w:r w:rsidR="009C7513" w:rsidRPr="00452183">
        <w:t>3</w:t>
      </w:r>
      <w:r w:rsidRPr="00452183">
        <w:t xml:space="preserve">.6. </w:t>
      </w:r>
      <w:r w:rsidR="00001D73" w:rsidRPr="00452183">
        <w:t xml:space="preserve">Statistical </w:t>
      </w:r>
      <w:r w:rsidR="00092566" w:rsidRPr="00452183">
        <w:t>Risk Model Discrimination Statistics</w:t>
      </w:r>
      <w:r w:rsidR="003605B4" w:rsidRPr="00452183">
        <w:t xml:space="preserve"> (</w:t>
      </w:r>
      <w:r w:rsidR="003605B4" w:rsidRPr="00452183">
        <w:rPr>
          <w:i/>
        </w:rPr>
        <w:t>e.g., c-statistic, R-squared</w:t>
      </w:r>
      <w:r w:rsidR="003605B4" w:rsidRPr="00452183">
        <w:t>)</w:t>
      </w:r>
      <w:r w:rsidRPr="00452183">
        <w:t>:</w:t>
      </w:r>
      <w:r w:rsidR="00092566" w:rsidRPr="00452183">
        <w:t xml:space="preserve">  </w:t>
      </w:r>
      <w:r w:rsidR="00092566" w:rsidRPr="008C7D29">
        <w:rPr>
          <w:highlight w:val="yellow"/>
        </w:rPr>
        <w:br/>
      </w:r>
    </w:p>
    <w:p w14:paraId="5E12179A" w14:textId="6CF69D5B" w:rsidR="009252E1" w:rsidRPr="008C7D29" w:rsidRDefault="002A66EE" w:rsidP="00265939">
      <w:pPr>
        <w:ind w:firstLine="720"/>
        <w:rPr>
          <w:color w:val="0000FF"/>
          <w:highlight w:val="yellow"/>
        </w:rPr>
      </w:pPr>
      <w:r w:rsidRPr="00B8568F">
        <w:rPr>
          <w:color w:val="0000FF"/>
        </w:rPr>
        <w:t>The adjusted R-squared is 0.</w:t>
      </w:r>
      <w:r w:rsidR="00B8568F" w:rsidRPr="008C7D29">
        <w:rPr>
          <w:color w:val="0000FF"/>
        </w:rPr>
        <w:t>159</w:t>
      </w:r>
      <w:r w:rsidR="002B60EA">
        <w:rPr>
          <w:color w:val="0000FF"/>
        </w:rPr>
        <w:t>5</w:t>
      </w:r>
      <w:r w:rsidRPr="00B8568F">
        <w:rPr>
          <w:color w:val="0000FF"/>
        </w:rPr>
        <w:t xml:space="preserve">. </w:t>
      </w:r>
      <w:r w:rsidR="002B60EA">
        <w:rPr>
          <w:rFonts w:ascii="Calibri" w:eastAsia="Times New Roman" w:hAnsi="Calibri" w:cstheme="minorHAnsi"/>
          <w:color w:val="0000FF"/>
        </w:rPr>
        <w:t>R</w:t>
      </w:r>
      <w:r w:rsidR="0087257C" w:rsidRPr="00452183">
        <w:rPr>
          <w:rFonts w:ascii="Calibri" w:eastAsia="Times New Roman" w:hAnsi="Calibri" w:cstheme="minorHAnsi"/>
          <w:color w:val="0000FF"/>
        </w:rPr>
        <w:t>egression coefficients, standard errors, and p-values for each of the covariates used in the risk adjustment model</w:t>
      </w:r>
      <w:r w:rsidR="002B60EA">
        <w:rPr>
          <w:rFonts w:ascii="Calibri" w:eastAsia="Times New Roman" w:hAnsi="Calibri" w:cstheme="minorHAnsi"/>
          <w:color w:val="0000FF"/>
        </w:rPr>
        <w:t xml:space="preserve"> are shown in </w:t>
      </w:r>
      <w:r w:rsidR="002B60EA" w:rsidRPr="00452183">
        <w:rPr>
          <w:rFonts w:ascii="Calibri" w:eastAsia="Times New Roman" w:hAnsi="Calibri" w:cstheme="minorHAnsi"/>
          <w:b/>
          <w:color w:val="0000FF"/>
        </w:rPr>
        <w:t>Appendix Table 2b3.6_1</w:t>
      </w:r>
      <w:r w:rsidR="0087257C" w:rsidRPr="00452183">
        <w:rPr>
          <w:rFonts w:ascii="Calibri" w:eastAsia="Times New Roman" w:hAnsi="Calibri" w:cstheme="minorHAnsi"/>
          <w:color w:val="0000FF"/>
        </w:rPr>
        <w:t>.</w:t>
      </w:r>
    </w:p>
    <w:p w14:paraId="65A73969" w14:textId="77777777" w:rsidR="00F769E7" w:rsidRPr="008C7D29" w:rsidRDefault="009C7513" w:rsidP="00893355">
      <w:pPr>
        <w:pStyle w:val="Heading3"/>
        <w:rPr>
          <w:highlight w:val="yellow"/>
        </w:rPr>
      </w:pPr>
      <w:r w:rsidRPr="00AD2E50">
        <w:t>2b3</w:t>
      </w:r>
      <w:r w:rsidR="00743E46" w:rsidRPr="00AD2E50">
        <w:t>.7</w:t>
      </w:r>
      <w:r w:rsidR="00001D73" w:rsidRPr="00AD2E50">
        <w:t xml:space="preserve">. </w:t>
      </w:r>
      <w:r w:rsidR="00743E46" w:rsidRPr="00AD2E50">
        <w:t xml:space="preserve">Statistical </w:t>
      </w:r>
      <w:r w:rsidR="00092566" w:rsidRPr="00AD2E50">
        <w:t>Risk Model Calibration Statistics</w:t>
      </w:r>
      <w:r w:rsidR="003605B4" w:rsidRPr="00AD2E50">
        <w:t xml:space="preserve"> (</w:t>
      </w:r>
      <w:r w:rsidR="003605B4" w:rsidRPr="00AD2E50">
        <w:rPr>
          <w:i/>
        </w:rPr>
        <w:t>e.g., Hosmer-Lemeshow statistic</w:t>
      </w:r>
      <w:r w:rsidR="003605B4" w:rsidRPr="00AD2E50">
        <w:t>)</w:t>
      </w:r>
      <w:r w:rsidR="00092566" w:rsidRPr="00AD2E50">
        <w:t xml:space="preserve">:  </w:t>
      </w:r>
    </w:p>
    <w:p w14:paraId="491E7820" w14:textId="77777777" w:rsidR="00F769E7" w:rsidRPr="00B8568F" w:rsidRDefault="00F769E7" w:rsidP="00932E8F"/>
    <w:p w14:paraId="0827D099" w14:textId="16E33559" w:rsidR="00960B62" w:rsidRDefault="00960B62" w:rsidP="00932E8F">
      <w:pPr>
        <w:pStyle w:val="ListParagraph"/>
        <w:ind w:left="0" w:firstLine="720"/>
        <w:rPr>
          <w:rFonts w:ascii="Calibri" w:eastAsia="Calibri" w:hAnsi="Calibri" w:cs="Calibri"/>
          <w:color w:val="0000FF"/>
        </w:rPr>
      </w:pPr>
      <w:r w:rsidRPr="00B8568F">
        <w:rPr>
          <w:rFonts w:cstheme="minorHAnsi"/>
          <w:bCs/>
          <w:color w:val="0000FF"/>
        </w:rPr>
        <w:t xml:space="preserve">The episode-level predicted costs range from </w:t>
      </w:r>
      <w:r w:rsidR="008C3C8A" w:rsidRPr="00B8568F">
        <w:rPr>
          <w:rFonts w:cstheme="minorHAnsi"/>
          <w:bCs/>
          <w:color w:val="0000FF"/>
        </w:rPr>
        <w:t>$</w:t>
      </w:r>
      <w:r w:rsidR="00AD2E50" w:rsidRPr="00B8568F">
        <w:rPr>
          <w:rFonts w:ascii="Calibri" w:eastAsia="Times New Roman" w:hAnsi="Calibri" w:cs="Calibri"/>
          <w:color w:val="0000FF"/>
        </w:rPr>
        <w:t>2</w:t>
      </w:r>
      <w:r w:rsidR="00B8568F" w:rsidRPr="008C7D29">
        <w:rPr>
          <w:rFonts w:ascii="Calibri" w:eastAsia="Times New Roman" w:hAnsi="Calibri" w:cs="Calibri"/>
          <w:color w:val="0000FF"/>
        </w:rPr>
        <w:t>6,376</w:t>
      </w:r>
      <w:r w:rsidRPr="00B8568F">
        <w:rPr>
          <w:rFonts w:cstheme="minorHAnsi"/>
          <w:bCs/>
          <w:color w:val="0000FF"/>
        </w:rPr>
        <w:t xml:space="preserve"> to </w:t>
      </w:r>
      <w:r w:rsidR="008C3C8A" w:rsidRPr="00B8568F">
        <w:rPr>
          <w:rFonts w:cstheme="minorHAnsi"/>
          <w:bCs/>
          <w:color w:val="0000FF"/>
        </w:rPr>
        <w:t>$</w:t>
      </w:r>
      <w:r w:rsidR="00B8568F" w:rsidRPr="008C7D29">
        <w:rPr>
          <w:rFonts w:cstheme="minorHAnsi"/>
          <w:bCs/>
          <w:color w:val="0000FF"/>
        </w:rPr>
        <w:t>41,876</w:t>
      </w:r>
      <w:r w:rsidRPr="00B8568F">
        <w:rPr>
          <w:rFonts w:cstheme="minorHAnsi"/>
          <w:color w:val="0000FF"/>
        </w:rPr>
        <w:t>, indicating</w:t>
      </w:r>
      <w:r w:rsidRPr="00AD2E50">
        <w:rPr>
          <w:rFonts w:cstheme="minorHAnsi"/>
          <w:color w:val="0000FF"/>
        </w:rPr>
        <w:t xml:space="preserve"> that this model has a range of predictions and can predict both high and low costs.</w:t>
      </w:r>
      <w:r w:rsidRPr="00AD2E50">
        <w:rPr>
          <w:rFonts w:ascii="Calibri" w:eastAsia="Calibri" w:hAnsi="Calibri" w:cs="Calibri"/>
          <w:color w:val="0000FF"/>
        </w:rPr>
        <w:t xml:space="preserve"> The results of our analysis</w:t>
      </w:r>
      <w:r w:rsidRPr="00AD2E50">
        <w:rPr>
          <w:rFonts w:cstheme="minorHAnsi"/>
          <w:bCs/>
          <w:color w:val="0000FF"/>
        </w:rPr>
        <w:t xml:space="preserve"> comparing the observed and predicted costs by risk decile are displayed in </w:t>
      </w:r>
      <w:r w:rsidRPr="00FE4F0A">
        <w:rPr>
          <w:rFonts w:cstheme="minorHAnsi"/>
          <w:b/>
          <w:bCs/>
          <w:color w:val="0000FF"/>
        </w:rPr>
        <w:fldChar w:fldCharType="begin"/>
      </w:r>
      <w:r w:rsidRPr="00AD2E50">
        <w:rPr>
          <w:rFonts w:cstheme="minorHAnsi"/>
          <w:bCs/>
          <w:color w:val="0000FF"/>
        </w:rPr>
        <w:instrText xml:space="preserve"> REF _Ref23428643 \h </w:instrText>
      </w:r>
      <w:r w:rsidRPr="00AD2E50">
        <w:rPr>
          <w:rFonts w:cstheme="minorHAnsi"/>
          <w:b/>
          <w:bCs/>
          <w:color w:val="0000FF"/>
        </w:rPr>
        <w:instrText xml:space="preserve"> \* MERGEFORMAT </w:instrText>
      </w:r>
      <w:r w:rsidRPr="00FE4F0A">
        <w:rPr>
          <w:rFonts w:cstheme="minorHAnsi"/>
          <w:b/>
          <w:bCs/>
          <w:color w:val="0000FF"/>
        </w:rPr>
      </w:r>
      <w:r w:rsidRPr="00FE4F0A">
        <w:rPr>
          <w:rFonts w:cstheme="minorHAnsi"/>
          <w:b/>
          <w:bCs/>
          <w:color w:val="0000FF"/>
        </w:rPr>
        <w:fldChar w:fldCharType="separate"/>
      </w:r>
      <w:r w:rsidR="00B6644A" w:rsidRPr="00AD2E50">
        <w:rPr>
          <w:b/>
          <w:color w:val="0000FF"/>
        </w:rPr>
        <w:t xml:space="preserve">Figure </w:t>
      </w:r>
      <w:r w:rsidR="00B6644A" w:rsidRPr="00AD2E50">
        <w:rPr>
          <w:b/>
          <w:noProof/>
          <w:color w:val="0000FF"/>
        </w:rPr>
        <w:t>1</w:t>
      </w:r>
      <w:r w:rsidRPr="00FE4F0A">
        <w:rPr>
          <w:rFonts w:cstheme="minorHAnsi"/>
          <w:b/>
          <w:bCs/>
          <w:color w:val="0000FF"/>
        </w:rPr>
        <w:fldChar w:fldCharType="end"/>
      </w:r>
      <w:r w:rsidRPr="00AD2E50">
        <w:rPr>
          <w:rFonts w:cstheme="minorHAnsi"/>
          <w:bCs/>
          <w:color w:val="0000FF"/>
        </w:rPr>
        <w:t xml:space="preserve"> and </w:t>
      </w:r>
      <w:r w:rsidRPr="00D10415">
        <w:rPr>
          <w:rFonts w:cstheme="minorHAnsi"/>
          <w:b/>
          <w:bCs/>
          <w:color w:val="0000FF"/>
        </w:rPr>
        <w:fldChar w:fldCharType="begin"/>
      </w:r>
      <w:r w:rsidRPr="00B8568F">
        <w:rPr>
          <w:rFonts w:cstheme="minorHAnsi"/>
          <w:bCs/>
          <w:color w:val="0000FF"/>
        </w:rPr>
        <w:instrText xml:space="preserve"> REF _Ref23428662 \h </w:instrText>
      </w:r>
      <w:r w:rsidRPr="00B8568F">
        <w:rPr>
          <w:rFonts w:cstheme="minorHAnsi"/>
          <w:b/>
          <w:bCs/>
          <w:color w:val="0000FF"/>
        </w:rPr>
        <w:instrText xml:space="preserve"> \* MERGEFORMAT </w:instrText>
      </w:r>
      <w:r w:rsidRPr="00D10415">
        <w:rPr>
          <w:rFonts w:cstheme="minorHAnsi"/>
          <w:b/>
          <w:bCs/>
          <w:color w:val="0000FF"/>
        </w:rPr>
      </w:r>
      <w:r w:rsidRPr="00D10415">
        <w:rPr>
          <w:rFonts w:cstheme="minorHAnsi"/>
          <w:b/>
          <w:bCs/>
          <w:color w:val="0000FF"/>
        </w:rPr>
        <w:fldChar w:fldCharType="separate"/>
      </w:r>
      <w:r w:rsidR="00B6644A" w:rsidRPr="00B8568F">
        <w:rPr>
          <w:b/>
          <w:color w:val="0000FF"/>
        </w:rPr>
        <w:t xml:space="preserve">Table </w:t>
      </w:r>
      <w:r w:rsidR="00B6644A" w:rsidRPr="00B8568F">
        <w:rPr>
          <w:b/>
          <w:noProof/>
          <w:color w:val="0000FF"/>
        </w:rPr>
        <w:t>11</w:t>
      </w:r>
      <w:r w:rsidRPr="00D10415">
        <w:rPr>
          <w:rFonts w:cstheme="minorHAnsi"/>
          <w:b/>
          <w:bCs/>
          <w:color w:val="0000FF"/>
        </w:rPr>
        <w:fldChar w:fldCharType="end"/>
      </w:r>
      <w:r w:rsidRPr="00B8568F">
        <w:rPr>
          <w:rFonts w:cstheme="minorHAnsi"/>
          <w:b/>
          <w:bCs/>
          <w:color w:val="0000FF"/>
        </w:rPr>
        <w:t>.</w:t>
      </w:r>
      <w:r w:rsidRPr="00B8568F">
        <w:rPr>
          <w:rFonts w:cstheme="minorHAnsi"/>
          <w:bCs/>
          <w:color w:val="0000FF"/>
        </w:rPr>
        <w:t xml:space="preserve"> </w:t>
      </w:r>
      <w:r w:rsidRPr="00B8568F">
        <w:rPr>
          <w:rFonts w:ascii="Calibri" w:eastAsia="Calibri" w:hAnsi="Calibri" w:cs="Calibri"/>
          <w:color w:val="0000FF"/>
        </w:rPr>
        <w:t xml:space="preserve">In each risk decile, the observed and predicted costs are close, with a difference of </w:t>
      </w:r>
      <w:r w:rsidR="00F96946">
        <w:rPr>
          <w:rFonts w:ascii="Calibri" w:eastAsia="Calibri" w:hAnsi="Calibri" w:cs="Calibri"/>
          <w:color w:val="0000FF"/>
        </w:rPr>
        <w:t>1</w:t>
      </w:r>
      <w:r w:rsidRPr="00B8568F">
        <w:rPr>
          <w:rFonts w:ascii="Calibri" w:eastAsia="Calibri" w:hAnsi="Calibri" w:cs="Calibri"/>
          <w:color w:val="0000FF"/>
        </w:rPr>
        <w:t xml:space="preserve"> percentage point</w:t>
      </w:r>
      <w:r w:rsidR="00F96946">
        <w:rPr>
          <w:rFonts w:ascii="Calibri" w:eastAsia="Calibri" w:hAnsi="Calibri" w:cs="Calibri"/>
          <w:color w:val="0000FF"/>
        </w:rPr>
        <w:t>s</w:t>
      </w:r>
      <w:r w:rsidRPr="00B8568F">
        <w:rPr>
          <w:rFonts w:ascii="Calibri" w:eastAsia="Calibri" w:hAnsi="Calibri" w:cs="Calibri"/>
          <w:color w:val="0000FF"/>
        </w:rPr>
        <w:t xml:space="preserve"> or less. The</w:t>
      </w:r>
      <w:r w:rsidRPr="00AD2E50">
        <w:rPr>
          <w:rFonts w:ascii="Calibri" w:eastAsia="Calibri" w:hAnsi="Calibri" w:cs="Calibri"/>
          <w:color w:val="0000FF"/>
        </w:rPr>
        <w:t xml:space="preserve"> ratio of observed to predicted rates is close to 1 across risk deciles, with the smallest ratio being 0.9</w:t>
      </w:r>
      <w:r w:rsidR="00AD2E50" w:rsidRPr="008C7D29">
        <w:rPr>
          <w:rFonts w:ascii="Calibri" w:eastAsia="Calibri" w:hAnsi="Calibri" w:cs="Calibri"/>
          <w:color w:val="0000FF"/>
        </w:rPr>
        <w:t>9</w:t>
      </w:r>
      <w:r w:rsidRPr="00AD2E50">
        <w:rPr>
          <w:rFonts w:ascii="Calibri" w:eastAsia="Calibri" w:hAnsi="Calibri" w:cs="Calibri"/>
          <w:color w:val="0000FF"/>
        </w:rPr>
        <w:t xml:space="preserve"> and the largest ratio being 1.0</w:t>
      </w:r>
      <w:r w:rsidR="00AD2E50" w:rsidRPr="008C7D29">
        <w:rPr>
          <w:rFonts w:ascii="Calibri" w:eastAsia="Calibri" w:hAnsi="Calibri" w:cs="Calibri"/>
          <w:color w:val="0000FF"/>
        </w:rPr>
        <w:t>1</w:t>
      </w:r>
      <w:r w:rsidRPr="00AD2E50">
        <w:rPr>
          <w:rFonts w:ascii="Calibri" w:eastAsia="Calibri" w:hAnsi="Calibri" w:cs="Calibri"/>
          <w:color w:val="0000FF"/>
        </w:rPr>
        <w:t>.</w:t>
      </w:r>
    </w:p>
    <w:p w14:paraId="7A7A201F" w14:textId="77777777" w:rsidR="00960B62" w:rsidRDefault="00960B62" w:rsidP="00960B62">
      <w:pPr>
        <w:pStyle w:val="ListParagraph"/>
        <w:ind w:left="0"/>
        <w:rPr>
          <w:rFonts w:ascii="Calibri" w:eastAsia="Calibri" w:hAnsi="Calibri" w:cs="Calibri"/>
          <w:color w:val="0000FF"/>
        </w:rPr>
      </w:pPr>
    </w:p>
    <w:p w14:paraId="3A2F3B59" w14:textId="25825F6A" w:rsidR="00960B62" w:rsidRDefault="00960B62" w:rsidP="00265939">
      <w:pPr>
        <w:pStyle w:val="Caption"/>
        <w:spacing w:after="0"/>
        <w:rPr>
          <w:rFonts w:ascii="Calibri" w:eastAsia="Calibri" w:hAnsi="Calibri" w:cs="Calibri"/>
          <w:bCs w:val="0"/>
          <w:szCs w:val="22"/>
        </w:rPr>
      </w:pPr>
      <w:bookmarkStart w:id="30" w:name="_Ref23428643"/>
      <w:r w:rsidRPr="00FD15CA">
        <w:rPr>
          <w:szCs w:val="22"/>
        </w:rPr>
        <w:t xml:space="preserve">Figure </w:t>
      </w:r>
      <w:r w:rsidRPr="00AD2E50">
        <w:rPr>
          <w:szCs w:val="22"/>
        </w:rPr>
        <w:fldChar w:fldCharType="begin"/>
      </w:r>
      <w:r w:rsidRPr="00FD15CA">
        <w:rPr>
          <w:szCs w:val="22"/>
        </w:rPr>
        <w:instrText xml:space="preserve"> SEQ Figure \* ARABIC </w:instrText>
      </w:r>
      <w:r w:rsidRPr="00AD2E50">
        <w:rPr>
          <w:szCs w:val="22"/>
        </w:rPr>
        <w:fldChar w:fldCharType="separate"/>
      </w:r>
      <w:r w:rsidR="00B6644A" w:rsidRPr="00FD15CA">
        <w:rPr>
          <w:noProof/>
          <w:szCs w:val="22"/>
        </w:rPr>
        <w:t>1</w:t>
      </w:r>
      <w:r w:rsidRPr="00AD2E50">
        <w:rPr>
          <w:szCs w:val="22"/>
        </w:rPr>
        <w:fldChar w:fldCharType="end"/>
      </w:r>
      <w:bookmarkEnd w:id="30"/>
      <w:r w:rsidRPr="00FD15CA">
        <w:rPr>
          <w:rFonts w:ascii="Calibri" w:eastAsia="Calibri" w:hAnsi="Calibri" w:cs="Calibri"/>
          <w:szCs w:val="22"/>
        </w:rPr>
        <w:t xml:space="preserve">. </w:t>
      </w:r>
      <w:r w:rsidR="00D10415">
        <w:rPr>
          <w:rFonts w:ascii="Calibri" w:eastAsia="Calibri" w:hAnsi="Calibri" w:cs="Calibri"/>
          <w:szCs w:val="22"/>
        </w:rPr>
        <w:t>IRF</w:t>
      </w:r>
      <w:r w:rsidRPr="00FD15CA">
        <w:rPr>
          <w:rFonts w:ascii="Calibri" w:eastAsia="Calibri" w:hAnsi="Calibri" w:cs="Calibri"/>
          <w:szCs w:val="22"/>
        </w:rPr>
        <w:t xml:space="preserve"> Model Diagnostics: Comparison of Observed and Predicted </w:t>
      </w:r>
      <w:r w:rsidRPr="00FD15CA">
        <w:rPr>
          <w:rFonts w:ascii="Calibri" w:eastAsia="Calibri" w:hAnsi="Calibri" w:cs="Calibri"/>
          <w:bCs w:val="0"/>
          <w:szCs w:val="22"/>
        </w:rPr>
        <w:t>Spending</w:t>
      </w:r>
      <w:r w:rsidRPr="00FD15CA">
        <w:rPr>
          <w:rFonts w:ascii="Calibri" w:eastAsia="Calibri" w:hAnsi="Calibri" w:cs="Calibri"/>
          <w:szCs w:val="22"/>
        </w:rPr>
        <w:t xml:space="preserve"> by Predicted </w:t>
      </w:r>
      <w:r w:rsidRPr="00FD15CA">
        <w:rPr>
          <w:rFonts w:ascii="Calibri" w:eastAsia="Calibri" w:hAnsi="Calibri" w:cs="Calibri"/>
          <w:bCs w:val="0"/>
          <w:szCs w:val="22"/>
        </w:rPr>
        <w:t>Spending Deciles</w:t>
      </w:r>
    </w:p>
    <w:p w14:paraId="47517543" w14:textId="77777777" w:rsidR="00DA4E26" w:rsidRDefault="003B7495" w:rsidP="00DA4E26">
      <w:pPr>
        <w:spacing w:after="0"/>
        <w:rPr>
          <w:rStyle w:val="Style1"/>
          <w:sz w:val="18"/>
        </w:rPr>
      </w:pPr>
      <w:r>
        <w:rPr>
          <w:noProof/>
        </w:rPr>
        <w:drawing>
          <wp:inline distT="0" distB="0" distL="0" distR="0" wp14:anchorId="7F1D7363" wp14:editId="1DD8B0AA">
            <wp:extent cx="4532243" cy="3399182"/>
            <wp:effectExtent l="0" t="0" r="1905" b="0"/>
            <wp:docPr id="7" name="Picture 6" descr="Column chart showing mean observed and predicted spending by decile of predicted episode spending. Accompanied by underlying data in the following table (Tabl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a:xfrm>
                      <a:off x="0" y="0"/>
                      <a:ext cx="4553788" cy="3415341"/>
                    </a:xfrm>
                    <a:prstGeom prst="rect">
                      <a:avLst/>
                    </a:prstGeom>
                  </pic:spPr>
                </pic:pic>
              </a:graphicData>
            </a:graphic>
          </wp:inline>
        </w:drawing>
      </w:r>
    </w:p>
    <w:p w14:paraId="0364F9B6" w14:textId="6F0FAC4A" w:rsidR="00706660" w:rsidRPr="00932E8F" w:rsidRDefault="00706660" w:rsidP="00932E8F">
      <w:pPr>
        <w:rPr>
          <w:b/>
          <w:bCs/>
        </w:rPr>
      </w:pPr>
      <w:r w:rsidRPr="004A5072">
        <w:rPr>
          <w:rStyle w:val="Style1"/>
          <w:sz w:val="18"/>
        </w:rPr>
        <w:t xml:space="preserve">Analysis of Medicare Claims File for </w:t>
      </w:r>
      <w:r w:rsidR="00B8568F" w:rsidRPr="00B8568F">
        <w:rPr>
          <w:rStyle w:val="Style1"/>
          <w:sz w:val="18"/>
        </w:rPr>
        <w:t>IRF</w:t>
      </w:r>
      <w:r w:rsidRPr="00B8568F">
        <w:rPr>
          <w:rStyle w:val="Style1"/>
          <w:sz w:val="18"/>
        </w:rPr>
        <w:t xml:space="preserve"> </w:t>
      </w:r>
      <w:r w:rsidR="00B8568F" w:rsidRPr="008C7D29">
        <w:rPr>
          <w:rStyle w:val="Style1"/>
          <w:sz w:val="18"/>
        </w:rPr>
        <w:t>F</w:t>
      </w:r>
      <w:r w:rsidRPr="00B8568F">
        <w:rPr>
          <w:rStyle w:val="Style1"/>
          <w:sz w:val="18"/>
        </w:rPr>
        <w:t>Y 2016</w:t>
      </w:r>
      <w:r w:rsidR="008E3298" w:rsidRPr="00B8568F">
        <w:rPr>
          <w:rStyle w:val="Style1"/>
          <w:sz w:val="18"/>
        </w:rPr>
        <w:t>-</w:t>
      </w:r>
      <w:r w:rsidRPr="00B8568F">
        <w:rPr>
          <w:rStyle w:val="Style1"/>
          <w:sz w:val="18"/>
        </w:rPr>
        <w:t>2017.</w:t>
      </w:r>
    </w:p>
    <w:p w14:paraId="4104A95D" w14:textId="2A2988B3" w:rsidR="00960B62" w:rsidRPr="00932E8F" w:rsidRDefault="00960B62" w:rsidP="00265939">
      <w:pPr>
        <w:pStyle w:val="Caption"/>
        <w:spacing w:after="0"/>
        <w:rPr>
          <w:rFonts w:ascii="Calibri" w:eastAsia="Calibri" w:hAnsi="Calibri" w:cs="Calibri"/>
          <w:bCs w:val="0"/>
          <w:szCs w:val="22"/>
        </w:rPr>
      </w:pPr>
      <w:bookmarkStart w:id="31" w:name="_Ref23428662"/>
      <w:r w:rsidRPr="00932E8F">
        <w:rPr>
          <w:szCs w:val="22"/>
        </w:rPr>
        <w:t xml:space="preserve">Table </w:t>
      </w:r>
      <w:r w:rsidRPr="00932E8F">
        <w:rPr>
          <w:szCs w:val="22"/>
        </w:rPr>
        <w:fldChar w:fldCharType="begin"/>
      </w:r>
      <w:r w:rsidRPr="00932E8F">
        <w:rPr>
          <w:szCs w:val="22"/>
        </w:rPr>
        <w:instrText xml:space="preserve"> SEQ Table \* ARABIC </w:instrText>
      </w:r>
      <w:r w:rsidRPr="00932E8F">
        <w:rPr>
          <w:szCs w:val="22"/>
        </w:rPr>
        <w:fldChar w:fldCharType="separate"/>
      </w:r>
      <w:r w:rsidR="00B6644A">
        <w:rPr>
          <w:noProof/>
          <w:szCs w:val="22"/>
        </w:rPr>
        <w:t>11</w:t>
      </w:r>
      <w:r w:rsidRPr="00932E8F">
        <w:rPr>
          <w:szCs w:val="22"/>
        </w:rPr>
        <w:fldChar w:fldCharType="end"/>
      </w:r>
      <w:bookmarkEnd w:id="31"/>
      <w:r w:rsidRPr="00932E8F">
        <w:rPr>
          <w:szCs w:val="22"/>
        </w:rPr>
        <w:t xml:space="preserve">. </w:t>
      </w:r>
      <w:r w:rsidR="00913C6F">
        <w:rPr>
          <w:rFonts w:ascii="Calibri" w:eastAsia="Calibri" w:hAnsi="Calibri" w:cs="Calibri"/>
          <w:szCs w:val="22"/>
        </w:rPr>
        <w:t>IRF</w:t>
      </w:r>
      <w:r w:rsidRPr="00932E8F">
        <w:rPr>
          <w:rFonts w:ascii="Calibri" w:eastAsia="Calibri" w:hAnsi="Calibri" w:cs="Calibri"/>
          <w:szCs w:val="22"/>
        </w:rPr>
        <w:t xml:space="preserve"> Model Diagnostics: Comparison of Observed and Predicted </w:t>
      </w:r>
      <w:r w:rsidRPr="00932E8F">
        <w:rPr>
          <w:rFonts w:ascii="Calibri" w:eastAsia="Calibri" w:hAnsi="Calibri" w:cs="Calibri"/>
          <w:bCs w:val="0"/>
          <w:szCs w:val="22"/>
        </w:rPr>
        <w:t>Spending</w:t>
      </w:r>
      <w:r w:rsidRPr="00932E8F">
        <w:rPr>
          <w:rFonts w:ascii="Calibri" w:eastAsia="Calibri" w:hAnsi="Calibri" w:cs="Calibri"/>
          <w:szCs w:val="22"/>
        </w:rPr>
        <w:t xml:space="preserve"> by Predicted </w:t>
      </w:r>
      <w:r w:rsidRPr="00932E8F">
        <w:rPr>
          <w:rFonts w:ascii="Calibri" w:eastAsia="Calibri" w:hAnsi="Calibri" w:cs="Calibri"/>
          <w:bCs w:val="0"/>
          <w:szCs w:val="22"/>
        </w:rPr>
        <w:t>Spending Deciles</w:t>
      </w:r>
    </w:p>
    <w:tbl>
      <w:tblPr>
        <w:tblW w:w="8820" w:type="dxa"/>
        <w:tblBorders>
          <w:top w:val="single" w:sz="4" w:space="0" w:color="auto"/>
          <w:bottom w:val="single" w:sz="4" w:space="0" w:color="auto"/>
        </w:tblBorders>
        <w:tblLayout w:type="fixed"/>
        <w:tblLook w:val="04A0" w:firstRow="1" w:lastRow="0" w:firstColumn="1" w:lastColumn="0" w:noHBand="0" w:noVBand="1"/>
      </w:tblPr>
      <w:tblGrid>
        <w:gridCol w:w="1403"/>
        <w:gridCol w:w="1503"/>
        <w:gridCol w:w="1695"/>
        <w:gridCol w:w="1695"/>
        <w:gridCol w:w="1266"/>
        <w:gridCol w:w="1258"/>
      </w:tblGrid>
      <w:tr w:rsidR="00667423" w:rsidRPr="00706660" w14:paraId="7C1C579C" w14:textId="77777777" w:rsidTr="005B2207">
        <w:trPr>
          <w:cantSplit/>
          <w:trHeight w:val="614"/>
          <w:tblHeader/>
        </w:trPr>
        <w:tc>
          <w:tcPr>
            <w:tcW w:w="1403" w:type="dxa"/>
            <w:tcBorders>
              <w:top w:val="single" w:sz="4" w:space="0" w:color="auto"/>
              <w:bottom w:val="single" w:sz="4" w:space="0" w:color="auto"/>
            </w:tcBorders>
            <w:shd w:val="clear" w:color="auto" w:fill="BFBFBF" w:themeFill="background1" w:themeFillShade="BF"/>
            <w:vAlign w:val="bottom"/>
            <w:hideMark/>
          </w:tcPr>
          <w:p w14:paraId="4E8668D3" w14:textId="77777777" w:rsidR="00706660" w:rsidRPr="00932E8F" w:rsidRDefault="00706660">
            <w:pPr>
              <w:spacing w:after="0" w:line="240" w:lineRule="auto"/>
              <w:jc w:val="center"/>
              <w:rPr>
                <w:rFonts w:ascii="Calibri" w:eastAsia="Times New Roman" w:hAnsi="Calibri" w:cs="Calibri"/>
                <w:b/>
                <w:bCs/>
                <w:color w:val="0000FF"/>
              </w:rPr>
            </w:pPr>
            <w:r w:rsidRPr="00932E8F">
              <w:rPr>
                <w:rFonts w:ascii="Calibri" w:eastAsia="Times New Roman" w:hAnsi="Calibri" w:cs="Calibri"/>
                <w:b/>
                <w:bCs/>
                <w:color w:val="0000FF"/>
              </w:rPr>
              <w:t>Deciles of predicted episode cost</w:t>
            </w:r>
          </w:p>
        </w:tc>
        <w:tc>
          <w:tcPr>
            <w:tcW w:w="1503" w:type="dxa"/>
            <w:tcBorders>
              <w:top w:val="single" w:sz="4" w:space="0" w:color="auto"/>
              <w:bottom w:val="single" w:sz="4" w:space="0" w:color="auto"/>
            </w:tcBorders>
            <w:shd w:val="clear" w:color="auto" w:fill="BFBFBF" w:themeFill="background1" w:themeFillShade="BF"/>
            <w:vAlign w:val="bottom"/>
            <w:hideMark/>
          </w:tcPr>
          <w:p w14:paraId="15703C86" w14:textId="77777777" w:rsidR="00706660" w:rsidRPr="00932E8F" w:rsidRDefault="00706660">
            <w:pPr>
              <w:spacing w:after="0" w:line="240" w:lineRule="auto"/>
              <w:jc w:val="center"/>
              <w:rPr>
                <w:rFonts w:ascii="Calibri" w:eastAsia="Times New Roman" w:hAnsi="Calibri" w:cs="Calibri"/>
                <w:b/>
                <w:bCs/>
                <w:color w:val="0000FF"/>
              </w:rPr>
            </w:pPr>
            <w:r w:rsidRPr="00932E8F">
              <w:rPr>
                <w:rFonts w:ascii="Calibri" w:eastAsia="Times New Roman" w:hAnsi="Calibri" w:cs="Calibri"/>
                <w:b/>
                <w:bCs/>
                <w:color w:val="0000FF"/>
              </w:rPr>
              <w:t>Number of episodes</w:t>
            </w:r>
          </w:p>
        </w:tc>
        <w:tc>
          <w:tcPr>
            <w:tcW w:w="1695" w:type="dxa"/>
            <w:tcBorders>
              <w:top w:val="single" w:sz="4" w:space="0" w:color="auto"/>
              <w:bottom w:val="single" w:sz="4" w:space="0" w:color="auto"/>
            </w:tcBorders>
            <w:shd w:val="clear" w:color="auto" w:fill="BFBFBF" w:themeFill="background1" w:themeFillShade="BF"/>
            <w:vAlign w:val="bottom"/>
            <w:hideMark/>
          </w:tcPr>
          <w:p w14:paraId="0DCE9A4E" w14:textId="77777777" w:rsidR="00706660" w:rsidRPr="00932E8F" w:rsidRDefault="00706660">
            <w:pPr>
              <w:spacing w:after="0" w:line="240" w:lineRule="auto"/>
              <w:jc w:val="center"/>
              <w:rPr>
                <w:rFonts w:ascii="Calibri" w:eastAsia="Times New Roman" w:hAnsi="Calibri" w:cs="Calibri"/>
                <w:b/>
                <w:bCs/>
                <w:color w:val="0000FF"/>
              </w:rPr>
            </w:pPr>
            <w:r w:rsidRPr="00932E8F">
              <w:rPr>
                <w:rFonts w:ascii="Calibri" w:eastAsia="Times New Roman" w:hAnsi="Calibri" w:cs="Calibri"/>
                <w:b/>
                <w:bCs/>
                <w:color w:val="0000FF"/>
              </w:rPr>
              <w:t>Observed episode cost</w:t>
            </w:r>
          </w:p>
        </w:tc>
        <w:tc>
          <w:tcPr>
            <w:tcW w:w="1695" w:type="dxa"/>
            <w:tcBorders>
              <w:top w:val="single" w:sz="4" w:space="0" w:color="auto"/>
              <w:bottom w:val="single" w:sz="4" w:space="0" w:color="auto"/>
            </w:tcBorders>
            <w:shd w:val="clear" w:color="auto" w:fill="BFBFBF" w:themeFill="background1" w:themeFillShade="BF"/>
            <w:vAlign w:val="bottom"/>
            <w:hideMark/>
          </w:tcPr>
          <w:p w14:paraId="4A024999" w14:textId="77777777" w:rsidR="00706660" w:rsidRPr="00932E8F" w:rsidRDefault="00706660">
            <w:pPr>
              <w:spacing w:after="0" w:line="240" w:lineRule="auto"/>
              <w:jc w:val="center"/>
              <w:rPr>
                <w:rFonts w:ascii="Calibri" w:eastAsia="Times New Roman" w:hAnsi="Calibri" w:cs="Calibri"/>
                <w:b/>
                <w:bCs/>
                <w:color w:val="0000FF"/>
              </w:rPr>
            </w:pPr>
            <w:r w:rsidRPr="00932E8F">
              <w:rPr>
                <w:rFonts w:ascii="Calibri" w:eastAsia="Times New Roman" w:hAnsi="Calibri" w:cs="Calibri"/>
                <w:b/>
                <w:bCs/>
                <w:color w:val="0000FF"/>
              </w:rPr>
              <w:t>Predicted episode cost</w:t>
            </w:r>
          </w:p>
        </w:tc>
        <w:tc>
          <w:tcPr>
            <w:tcW w:w="1266" w:type="dxa"/>
            <w:tcBorders>
              <w:top w:val="single" w:sz="4" w:space="0" w:color="auto"/>
              <w:bottom w:val="single" w:sz="4" w:space="0" w:color="auto"/>
            </w:tcBorders>
            <w:shd w:val="clear" w:color="auto" w:fill="BFBFBF" w:themeFill="background1" w:themeFillShade="BF"/>
            <w:vAlign w:val="bottom"/>
            <w:hideMark/>
          </w:tcPr>
          <w:p w14:paraId="54CE5350" w14:textId="77777777" w:rsidR="00706660" w:rsidRPr="00932E8F" w:rsidRDefault="00706660">
            <w:pPr>
              <w:spacing w:after="0" w:line="240" w:lineRule="auto"/>
              <w:jc w:val="center"/>
              <w:rPr>
                <w:rFonts w:ascii="Calibri" w:eastAsia="Times New Roman" w:hAnsi="Calibri" w:cs="Calibri"/>
                <w:b/>
                <w:bCs/>
                <w:color w:val="0000FF"/>
              </w:rPr>
            </w:pPr>
            <w:r w:rsidRPr="00932E8F">
              <w:rPr>
                <w:rFonts w:ascii="Calibri" w:eastAsia="Times New Roman" w:hAnsi="Calibri" w:cs="Calibri"/>
                <w:b/>
                <w:bCs/>
                <w:color w:val="0000FF"/>
              </w:rPr>
              <w:t>Predicted minus observed cost</w:t>
            </w:r>
          </w:p>
        </w:tc>
        <w:tc>
          <w:tcPr>
            <w:tcW w:w="1258" w:type="dxa"/>
            <w:tcBorders>
              <w:top w:val="single" w:sz="4" w:space="0" w:color="auto"/>
              <w:bottom w:val="single" w:sz="4" w:space="0" w:color="auto"/>
            </w:tcBorders>
            <w:shd w:val="clear" w:color="auto" w:fill="BFBFBF" w:themeFill="background1" w:themeFillShade="BF"/>
            <w:vAlign w:val="bottom"/>
            <w:hideMark/>
          </w:tcPr>
          <w:p w14:paraId="0A5F1103" w14:textId="77777777" w:rsidR="00706660" w:rsidRPr="00932E8F" w:rsidRDefault="00706660">
            <w:pPr>
              <w:spacing w:after="0" w:line="240" w:lineRule="auto"/>
              <w:jc w:val="center"/>
              <w:rPr>
                <w:rFonts w:ascii="Calibri" w:eastAsia="Times New Roman" w:hAnsi="Calibri" w:cs="Calibri"/>
                <w:b/>
                <w:bCs/>
                <w:color w:val="0000FF"/>
              </w:rPr>
            </w:pPr>
            <w:r w:rsidRPr="00932E8F">
              <w:rPr>
                <w:rFonts w:ascii="Calibri" w:eastAsia="Times New Roman" w:hAnsi="Calibri" w:cs="Calibri"/>
                <w:b/>
                <w:bCs/>
                <w:color w:val="0000FF"/>
              </w:rPr>
              <w:t>Observed/predicted costs</w:t>
            </w:r>
          </w:p>
        </w:tc>
      </w:tr>
      <w:tr w:rsidR="003B7495" w:rsidRPr="00706660" w14:paraId="1CDB413A" w14:textId="77777777" w:rsidTr="005B2207">
        <w:trPr>
          <w:trHeight w:val="307"/>
        </w:trPr>
        <w:tc>
          <w:tcPr>
            <w:tcW w:w="1403" w:type="dxa"/>
            <w:tcBorders>
              <w:top w:val="single" w:sz="4" w:space="0" w:color="auto"/>
            </w:tcBorders>
            <w:shd w:val="clear" w:color="auto" w:fill="auto"/>
            <w:noWrap/>
            <w:vAlign w:val="bottom"/>
            <w:hideMark/>
          </w:tcPr>
          <w:p w14:paraId="6659EC5D" w14:textId="77777777" w:rsidR="003B7495" w:rsidRPr="00932E8F" w:rsidRDefault="003B7495" w:rsidP="003B7495">
            <w:pPr>
              <w:spacing w:after="0" w:line="240" w:lineRule="auto"/>
              <w:jc w:val="center"/>
              <w:rPr>
                <w:rFonts w:ascii="Calibri" w:eastAsia="Times New Roman" w:hAnsi="Calibri" w:cs="Calibri"/>
                <w:color w:val="0000FF"/>
              </w:rPr>
            </w:pPr>
            <w:r w:rsidRPr="00932E8F">
              <w:rPr>
                <w:rFonts w:ascii="Calibri" w:eastAsia="Times New Roman" w:hAnsi="Calibri" w:cs="Calibri"/>
                <w:color w:val="0000FF"/>
              </w:rPr>
              <w:t>1</w:t>
            </w:r>
          </w:p>
        </w:tc>
        <w:tc>
          <w:tcPr>
            <w:tcW w:w="1503" w:type="dxa"/>
            <w:tcBorders>
              <w:top w:val="single" w:sz="4" w:space="0" w:color="auto"/>
            </w:tcBorders>
            <w:shd w:val="clear" w:color="auto" w:fill="auto"/>
            <w:noWrap/>
            <w:vAlign w:val="center"/>
            <w:hideMark/>
          </w:tcPr>
          <w:p w14:paraId="22CD8CD2" w14:textId="401A96D1" w:rsidR="003B7495" w:rsidRPr="00932E8F" w:rsidRDefault="003B7495" w:rsidP="003B7495">
            <w:pPr>
              <w:spacing w:after="0" w:line="240" w:lineRule="auto"/>
              <w:jc w:val="center"/>
              <w:rPr>
                <w:rFonts w:ascii="Calibri" w:eastAsia="Times New Roman" w:hAnsi="Calibri" w:cs="Calibri"/>
                <w:color w:val="0000FF"/>
              </w:rPr>
            </w:pPr>
            <w:r>
              <w:rPr>
                <w:rFonts w:ascii="Calibri" w:hAnsi="Calibri" w:cs="Calibri"/>
                <w:color w:val="0000FF"/>
              </w:rPr>
              <w:t>61,800</w:t>
            </w:r>
          </w:p>
        </w:tc>
        <w:tc>
          <w:tcPr>
            <w:tcW w:w="1695" w:type="dxa"/>
            <w:tcBorders>
              <w:top w:val="single" w:sz="4" w:space="0" w:color="auto"/>
            </w:tcBorders>
            <w:shd w:val="clear" w:color="auto" w:fill="auto"/>
            <w:noWrap/>
            <w:vAlign w:val="center"/>
            <w:hideMark/>
          </w:tcPr>
          <w:p w14:paraId="42A01062" w14:textId="69DC22DD" w:rsidR="003B7495" w:rsidRPr="00932E8F" w:rsidRDefault="003B7495" w:rsidP="003B7495">
            <w:pPr>
              <w:spacing w:after="0" w:line="240" w:lineRule="auto"/>
              <w:jc w:val="center"/>
              <w:rPr>
                <w:rFonts w:ascii="Calibri" w:eastAsia="Times New Roman" w:hAnsi="Calibri" w:cs="Calibri"/>
                <w:color w:val="0000FF"/>
              </w:rPr>
            </w:pPr>
            <w:r>
              <w:rPr>
                <w:rFonts w:ascii="Calibri" w:hAnsi="Calibri" w:cs="Calibri"/>
                <w:color w:val="0000FF"/>
              </w:rPr>
              <w:t>22,702</w:t>
            </w:r>
          </w:p>
        </w:tc>
        <w:tc>
          <w:tcPr>
            <w:tcW w:w="1695" w:type="dxa"/>
            <w:tcBorders>
              <w:top w:val="single" w:sz="4" w:space="0" w:color="auto"/>
            </w:tcBorders>
            <w:shd w:val="clear" w:color="auto" w:fill="auto"/>
            <w:noWrap/>
            <w:vAlign w:val="center"/>
            <w:hideMark/>
          </w:tcPr>
          <w:p w14:paraId="11A14D01" w14:textId="4FA7BA3C" w:rsidR="003B7495" w:rsidRPr="00932E8F" w:rsidRDefault="003B7495" w:rsidP="003B7495">
            <w:pPr>
              <w:spacing w:after="0" w:line="240" w:lineRule="auto"/>
              <w:jc w:val="center"/>
              <w:rPr>
                <w:rFonts w:ascii="Calibri" w:eastAsia="Times New Roman" w:hAnsi="Calibri" w:cs="Calibri"/>
                <w:color w:val="0000FF"/>
              </w:rPr>
            </w:pPr>
            <w:r>
              <w:rPr>
                <w:rFonts w:ascii="Calibri" w:hAnsi="Calibri" w:cs="Calibri"/>
                <w:color w:val="0000FF"/>
              </w:rPr>
              <w:t>22,616</w:t>
            </w:r>
          </w:p>
        </w:tc>
        <w:tc>
          <w:tcPr>
            <w:tcW w:w="1266" w:type="dxa"/>
            <w:tcBorders>
              <w:top w:val="single" w:sz="4" w:space="0" w:color="auto"/>
            </w:tcBorders>
            <w:shd w:val="clear" w:color="auto" w:fill="auto"/>
            <w:noWrap/>
            <w:vAlign w:val="center"/>
            <w:hideMark/>
          </w:tcPr>
          <w:p w14:paraId="7413EB30" w14:textId="55CD7AB4" w:rsidR="003B7495" w:rsidRPr="00932E8F" w:rsidRDefault="003B7495" w:rsidP="003B7495">
            <w:pPr>
              <w:spacing w:after="0" w:line="240" w:lineRule="auto"/>
              <w:jc w:val="center"/>
              <w:rPr>
                <w:rFonts w:ascii="Calibri" w:eastAsia="Times New Roman" w:hAnsi="Calibri" w:cs="Calibri"/>
                <w:color w:val="0000FF"/>
              </w:rPr>
            </w:pPr>
            <w:r>
              <w:rPr>
                <w:rFonts w:ascii="Calibri" w:hAnsi="Calibri" w:cs="Calibri"/>
                <w:color w:val="0000FF"/>
              </w:rPr>
              <w:t>-85.61</w:t>
            </w:r>
          </w:p>
        </w:tc>
        <w:tc>
          <w:tcPr>
            <w:tcW w:w="1258" w:type="dxa"/>
            <w:tcBorders>
              <w:top w:val="single" w:sz="4" w:space="0" w:color="auto"/>
            </w:tcBorders>
            <w:shd w:val="clear" w:color="auto" w:fill="auto"/>
            <w:noWrap/>
            <w:vAlign w:val="center"/>
            <w:hideMark/>
          </w:tcPr>
          <w:p w14:paraId="3B3289BF" w14:textId="308D46DD" w:rsidR="003B7495" w:rsidRPr="00932E8F" w:rsidRDefault="003B7495" w:rsidP="003B7495">
            <w:pPr>
              <w:spacing w:after="0" w:line="240" w:lineRule="auto"/>
              <w:jc w:val="center"/>
              <w:rPr>
                <w:rFonts w:ascii="Calibri" w:eastAsia="Times New Roman" w:hAnsi="Calibri" w:cs="Calibri"/>
                <w:color w:val="0000FF"/>
              </w:rPr>
            </w:pPr>
            <w:r>
              <w:rPr>
                <w:rFonts w:ascii="Calibri" w:hAnsi="Calibri" w:cs="Calibri"/>
                <w:color w:val="0000FF"/>
              </w:rPr>
              <w:t>1.00</w:t>
            </w:r>
          </w:p>
        </w:tc>
      </w:tr>
      <w:tr w:rsidR="003B7495" w:rsidRPr="00706660" w14:paraId="0193332B" w14:textId="77777777" w:rsidTr="005B2207">
        <w:trPr>
          <w:trHeight w:val="307"/>
        </w:trPr>
        <w:tc>
          <w:tcPr>
            <w:tcW w:w="1403" w:type="dxa"/>
            <w:shd w:val="clear" w:color="auto" w:fill="auto"/>
            <w:noWrap/>
            <w:vAlign w:val="bottom"/>
            <w:hideMark/>
          </w:tcPr>
          <w:p w14:paraId="22620392" w14:textId="77777777" w:rsidR="003B7495" w:rsidRPr="00932E8F" w:rsidRDefault="003B7495" w:rsidP="003B7495">
            <w:pPr>
              <w:spacing w:after="0" w:line="240" w:lineRule="auto"/>
              <w:jc w:val="center"/>
              <w:rPr>
                <w:rFonts w:ascii="Calibri" w:eastAsia="Times New Roman" w:hAnsi="Calibri" w:cs="Calibri"/>
                <w:color w:val="0000FF"/>
              </w:rPr>
            </w:pPr>
            <w:r w:rsidRPr="00932E8F">
              <w:rPr>
                <w:rFonts w:ascii="Calibri" w:eastAsia="Times New Roman" w:hAnsi="Calibri" w:cs="Calibri"/>
                <w:color w:val="0000FF"/>
              </w:rPr>
              <w:t>2</w:t>
            </w:r>
          </w:p>
        </w:tc>
        <w:tc>
          <w:tcPr>
            <w:tcW w:w="1503" w:type="dxa"/>
            <w:shd w:val="clear" w:color="auto" w:fill="auto"/>
            <w:noWrap/>
            <w:vAlign w:val="center"/>
            <w:hideMark/>
          </w:tcPr>
          <w:p w14:paraId="252FC60B" w14:textId="3EC399B9" w:rsidR="003B7495" w:rsidRPr="00932E8F" w:rsidRDefault="003B7495" w:rsidP="003B7495">
            <w:pPr>
              <w:spacing w:after="0" w:line="240" w:lineRule="auto"/>
              <w:jc w:val="center"/>
              <w:rPr>
                <w:rFonts w:ascii="Calibri" w:eastAsia="Times New Roman" w:hAnsi="Calibri" w:cs="Calibri"/>
                <w:color w:val="0000FF"/>
              </w:rPr>
            </w:pPr>
            <w:r>
              <w:rPr>
                <w:rFonts w:ascii="Calibri" w:hAnsi="Calibri" w:cs="Calibri"/>
                <w:color w:val="0000FF"/>
              </w:rPr>
              <w:t>61,799</w:t>
            </w:r>
          </w:p>
        </w:tc>
        <w:tc>
          <w:tcPr>
            <w:tcW w:w="1695" w:type="dxa"/>
            <w:shd w:val="clear" w:color="auto" w:fill="auto"/>
            <w:noWrap/>
            <w:vAlign w:val="center"/>
            <w:hideMark/>
          </w:tcPr>
          <w:p w14:paraId="34CD4AD8" w14:textId="55A1C078" w:rsidR="003B7495" w:rsidRPr="00932E8F" w:rsidRDefault="003B7495" w:rsidP="003B7495">
            <w:pPr>
              <w:spacing w:after="0" w:line="240" w:lineRule="auto"/>
              <w:jc w:val="center"/>
              <w:rPr>
                <w:rFonts w:ascii="Calibri" w:eastAsia="Times New Roman" w:hAnsi="Calibri" w:cs="Calibri"/>
                <w:color w:val="0000FF"/>
              </w:rPr>
            </w:pPr>
            <w:r>
              <w:rPr>
                <w:rFonts w:ascii="Calibri" w:hAnsi="Calibri" w:cs="Calibri"/>
                <w:color w:val="0000FF"/>
              </w:rPr>
              <w:t>27,152</w:t>
            </w:r>
          </w:p>
        </w:tc>
        <w:tc>
          <w:tcPr>
            <w:tcW w:w="1695" w:type="dxa"/>
            <w:shd w:val="clear" w:color="auto" w:fill="auto"/>
            <w:noWrap/>
            <w:vAlign w:val="center"/>
            <w:hideMark/>
          </w:tcPr>
          <w:p w14:paraId="42BD18CF" w14:textId="6FD96B40" w:rsidR="003B7495" w:rsidRPr="00932E8F" w:rsidRDefault="003B7495" w:rsidP="003B7495">
            <w:pPr>
              <w:spacing w:after="0" w:line="240" w:lineRule="auto"/>
              <w:jc w:val="center"/>
              <w:rPr>
                <w:rFonts w:ascii="Calibri" w:eastAsia="Times New Roman" w:hAnsi="Calibri" w:cs="Calibri"/>
                <w:color w:val="0000FF"/>
              </w:rPr>
            </w:pPr>
            <w:r>
              <w:rPr>
                <w:rFonts w:ascii="Calibri" w:hAnsi="Calibri" w:cs="Calibri"/>
                <w:color w:val="0000FF"/>
              </w:rPr>
              <w:t>26,783</w:t>
            </w:r>
          </w:p>
        </w:tc>
        <w:tc>
          <w:tcPr>
            <w:tcW w:w="1266" w:type="dxa"/>
            <w:shd w:val="clear" w:color="auto" w:fill="auto"/>
            <w:noWrap/>
            <w:vAlign w:val="center"/>
            <w:hideMark/>
          </w:tcPr>
          <w:p w14:paraId="6B6D9CF5" w14:textId="74E1AF5F" w:rsidR="003B7495" w:rsidRPr="00932E8F" w:rsidRDefault="003B7495" w:rsidP="003B7495">
            <w:pPr>
              <w:spacing w:after="0" w:line="240" w:lineRule="auto"/>
              <w:jc w:val="center"/>
              <w:rPr>
                <w:rFonts w:ascii="Calibri" w:eastAsia="Times New Roman" w:hAnsi="Calibri" w:cs="Calibri"/>
                <w:color w:val="0000FF"/>
              </w:rPr>
            </w:pPr>
            <w:r>
              <w:rPr>
                <w:rFonts w:ascii="Calibri" w:hAnsi="Calibri" w:cs="Calibri"/>
                <w:color w:val="0000FF"/>
              </w:rPr>
              <w:t>-368.48</w:t>
            </w:r>
          </w:p>
        </w:tc>
        <w:tc>
          <w:tcPr>
            <w:tcW w:w="1258" w:type="dxa"/>
            <w:shd w:val="clear" w:color="auto" w:fill="auto"/>
            <w:noWrap/>
            <w:vAlign w:val="center"/>
            <w:hideMark/>
          </w:tcPr>
          <w:p w14:paraId="672B4216" w14:textId="6D9387A3" w:rsidR="003B7495" w:rsidRPr="00932E8F" w:rsidRDefault="003B7495" w:rsidP="003B7495">
            <w:pPr>
              <w:spacing w:after="0" w:line="240" w:lineRule="auto"/>
              <w:jc w:val="center"/>
              <w:rPr>
                <w:rFonts w:ascii="Calibri" w:eastAsia="Times New Roman" w:hAnsi="Calibri" w:cs="Calibri"/>
                <w:color w:val="0000FF"/>
              </w:rPr>
            </w:pPr>
            <w:r>
              <w:rPr>
                <w:rFonts w:ascii="Calibri" w:hAnsi="Calibri" w:cs="Calibri"/>
                <w:color w:val="0000FF"/>
              </w:rPr>
              <w:t>1.01</w:t>
            </w:r>
          </w:p>
        </w:tc>
      </w:tr>
      <w:tr w:rsidR="003B7495" w:rsidRPr="00706660" w14:paraId="46EBC614" w14:textId="77777777" w:rsidTr="005B2207">
        <w:trPr>
          <w:trHeight w:val="307"/>
        </w:trPr>
        <w:tc>
          <w:tcPr>
            <w:tcW w:w="1403" w:type="dxa"/>
            <w:shd w:val="clear" w:color="auto" w:fill="auto"/>
            <w:noWrap/>
            <w:vAlign w:val="bottom"/>
            <w:hideMark/>
          </w:tcPr>
          <w:p w14:paraId="071E9EB0" w14:textId="77777777" w:rsidR="003B7495" w:rsidRPr="00932E8F" w:rsidRDefault="003B7495" w:rsidP="003B7495">
            <w:pPr>
              <w:spacing w:after="0" w:line="240" w:lineRule="auto"/>
              <w:jc w:val="center"/>
              <w:rPr>
                <w:rFonts w:ascii="Calibri" w:eastAsia="Times New Roman" w:hAnsi="Calibri" w:cs="Calibri"/>
                <w:color w:val="0000FF"/>
              </w:rPr>
            </w:pPr>
            <w:r w:rsidRPr="00932E8F">
              <w:rPr>
                <w:rFonts w:ascii="Calibri" w:eastAsia="Times New Roman" w:hAnsi="Calibri" w:cs="Calibri"/>
                <w:color w:val="0000FF"/>
              </w:rPr>
              <w:t>3</w:t>
            </w:r>
          </w:p>
        </w:tc>
        <w:tc>
          <w:tcPr>
            <w:tcW w:w="1503" w:type="dxa"/>
            <w:shd w:val="clear" w:color="auto" w:fill="auto"/>
            <w:noWrap/>
            <w:vAlign w:val="center"/>
            <w:hideMark/>
          </w:tcPr>
          <w:p w14:paraId="3CBA83E8" w14:textId="6FD8470B" w:rsidR="003B7495" w:rsidRPr="00932E8F" w:rsidRDefault="003B7495" w:rsidP="003B7495">
            <w:pPr>
              <w:spacing w:after="0" w:line="240" w:lineRule="auto"/>
              <w:jc w:val="center"/>
              <w:rPr>
                <w:rFonts w:ascii="Calibri" w:eastAsia="Times New Roman" w:hAnsi="Calibri" w:cs="Calibri"/>
                <w:color w:val="0000FF"/>
              </w:rPr>
            </w:pPr>
            <w:r>
              <w:rPr>
                <w:rFonts w:ascii="Calibri" w:hAnsi="Calibri" w:cs="Calibri"/>
                <w:color w:val="0000FF"/>
              </w:rPr>
              <w:t>61,799</w:t>
            </w:r>
          </w:p>
        </w:tc>
        <w:tc>
          <w:tcPr>
            <w:tcW w:w="1695" w:type="dxa"/>
            <w:shd w:val="clear" w:color="auto" w:fill="auto"/>
            <w:noWrap/>
            <w:vAlign w:val="center"/>
            <w:hideMark/>
          </w:tcPr>
          <w:p w14:paraId="5A632293" w14:textId="0FE41EB2" w:rsidR="003B7495" w:rsidRPr="00932E8F" w:rsidRDefault="003B7495" w:rsidP="003B7495">
            <w:pPr>
              <w:spacing w:after="0" w:line="240" w:lineRule="auto"/>
              <w:jc w:val="center"/>
              <w:rPr>
                <w:rFonts w:ascii="Calibri" w:eastAsia="Times New Roman" w:hAnsi="Calibri" w:cs="Calibri"/>
                <w:color w:val="0000FF"/>
              </w:rPr>
            </w:pPr>
            <w:r>
              <w:rPr>
                <w:rFonts w:ascii="Calibri" w:hAnsi="Calibri" w:cs="Calibri"/>
                <w:color w:val="0000FF"/>
              </w:rPr>
              <w:t>28,757</w:t>
            </w:r>
          </w:p>
        </w:tc>
        <w:tc>
          <w:tcPr>
            <w:tcW w:w="1695" w:type="dxa"/>
            <w:shd w:val="clear" w:color="auto" w:fill="auto"/>
            <w:noWrap/>
            <w:vAlign w:val="center"/>
            <w:hideMark/>
          </w:tcPr>
          <w:p w14:paraId="283247E8" w14:textId="168E4881" w:rsidR="003B7495" w:rsidRPr="00932E8F" w:rsidRDefault="003B7495" w:rsidP="003B7495">
            <w:pPr>
              <w:spacing w:after="0" w:line="240" w:lineRule="auto"/>
              <w:jc w:val="center"/>
              <w:rPr>
                <w:rFonts w:ascii="Calibri" w:eastAsia="Times New Roman" w:hAnsi="Calibri" w:cs="Calibri"/>
                <w:color w:val="0000FF"/>
              </w:rPr>
            </w:pPr>
            <w:r>
              <w:rPr>
                <w:rFonts w:ascii="Calibri" w:hAnsi="Calibri" w:cs="Calibri"/>
                <w:color w:val="0000FF"/>
              </w:rPr>
              <w:t>28,652</w:t>
            </w:r>
          </w:p>
        </w:tc>
        <w:tc>
          <w:tcPr>
            <w:tcW w:w="1266" w:type="dxa"/>
            <w:shd w:val="clear" w:color="auto" w:fill="auto"/>
            <w:noWrap/>
            <w:vAlign w:val="center"/>
            <w:hideMark/>
          </w:tcPr>
          <w:p w14:paraId="2BFD5557" w14:textId="79A7A876" w:rsidR="003B7495" w:rsidRPr="00932E8F" w:rsidRDefault="003B7495" w:rsidP="003B7495">
            <w:pPr>
              <w:spacing w:after="0" w:line="240" w:lineRule="auto"/>
              <w:jc w:val="center"/>
              <w:rPr>
                <w:rFonts w:ascii="Calibri" w:eastAsia="Times New Roman" w:hAnsi="Calibri" w:cs="Calibri"/>
                <w:color w:val="0000FF"/>
              </w:rPr>
            </w:pPr>
            <w:r>
              <w:rPr>
                <w:rFonts w:ascii="Calibri" w:hAnsi="Calibri" w:cs="Calibri"/>
                <w:color w:val="0000FF"/>
              </w:rPr>
              <w:t>-104.68</w:t>
            </w:r>
          </w:p>
        </w:tc>
        <w:tc>
          <w:tcPr>
            <w:tcW w:w="1258" w:type="dxa"/>
            <w:shd w:val="clear" w:color="auto" w:fill="auto"/>
            <w:noWrap/>
            <w:vAlign w:val="center"/>
            <w:hideMark/>
          </w:tcPr>
          <w:p w14:paraId="30BFBE14" w14:textId="2FF69FEB" w:rsidR="003B7495" w:rsidRPr="00932E8F" w:rsidRDefault="003B7495" w:rsidP="003B7495">
            <w:pPr>
              <w:spacing w:after="0" w:line="240" w:lineRule="auto"/>
              <w:jc w:val="center"/>
              <w:rPr>
                <w:rFonts w:ascii="Calibri" w:eastAsia="Times New Roman" w:hAnsi="Calibri" w:cs="Calibri"/>
                <w:color w:val="0000FF"/>
              </w:rPr>
            </w:pPr>
            <w:r>
              <w:rPr>
                <w:rFonts w:ascii="Calibri" w:hAnsi="Calibri" w:cs="Calibri"/>
                <w:color w:val="0000FF"/>
              </w:rPr>
              <w:t>1.00</w:t>
            </w:r>
          </w:p>
        </w:tc>
      </w:tr>
      <w:tr w:rsidR="003B7495" w:rsidRPr="00706660" w14:paraId="672F334D" w14:textId="77777777" w:rsidTr="005B2207">
        <w:trPr>
          <w:trHeight w:val="307"/>
        </w:trPr>
        <w:tc>
          <w:tcPr>
            <w:tcW w:w="1403" w:type="dxa"/>
            <w:shd w:val="clear" w:color="auto" w:fill="auto"/>
            <w:noWrap/>
            <w:vAlign w:val="bottom"/>
            <w:hideMark/>
          </w:tcPr>
          <w:p w14:paraId="5E1ACBAC" w14:textId="77777777" w:rsidR="003B7495" w:rsidRPr="00932E8F" w:rsidRDefault="003B7495" w:rsidP="003B7495">
            <w:pPr>
              <w:spacing w:after="0" w:line="240" w:lineRule="auto"/>
              <w:jc w:val="center"/>
              <w:rPr>
                <w:rFonts w:ascii="Calibri" w:eastAsia="Times New Roman" w:hAnsi="Calibri" w:cs="Calibri"/>
                <w:color w:val="0000FF"/>
              </w:rPr>
            </w:pPr>
            <w:r w:rsidRPr="00932E8F">
              <w:rPr>
                <w:rFonts w:ascii="Calibri" w:eastAsia="Times New Roman" w:hAnsi="Calibri" w:cs="Calibri"/>
                <w:color w:val="0000FF"/>
              </w:rPr>
              <w:t>4</w:t>
            </w:r>
          </w:p>
        </w:tc>
        <w:tc>
          <w:tcPr>
            <w:tcW w:w="1503" w:type="dxa"/>
            <w:shd w:val="clear" w:color="auto" w:fill="auto"/>
            <w:noWrap/>
            <w:vAlign w:val="center"/>
            <w:hideMark/>
          </w:tcPr>
          <w:p w14:paraId="45048097" w14:textId="330A88FB" w:rsidR="003B7495" w:rsidRPr="00932E8F" w:rsidRDefault="003B7495" w:rsidP="003B7495">
            <w:pPr>
              <w:spacing w:after="0" w:line="240" w:lineRule="auto"/>
              <w:jc w:val="center"/>
              <w:rPr>
                <w:rFonts w:ascii="Calibri" w:eastAsia="Times New Roman" w:hAnsi="Calibri" w:cs="Calibri"/>
                <w:color w:val="0000FF"/>
              </w:rPr>
            </w:pPr>
            <w:r>
              <w:rPr>
                <w:rFonts w:ascii="Calibri" w:hAnsi="Calibri" w:cs="Calibri"/>
                <w:color w:val="0000FF"/>
              </w:rPr>
              <w:t>61,801</w:t>
            </w:r>
          </w:p>
        </w:tc>
        <w:tc>
          <w:tcPr>
            <w:tcW w:w="1695" w:type="dxa"/>
            <w:shd w:val="clear" w:color="auto" w:fill="auto"/>
            <w:noWrap/>
            <w:vAlign w:val="center"/>
            <w:hideMark/>
          </w:tcPr>
          <w:p w14:paraId="58C60B67" w14:textId="4A8BE86E" w:rsidR="003B7495" w:rsidRPr="00932E8F" w:rsidRDefault="003B7495" w:rsidP="003B7495">
            <w:pPr>
              <w:spacing w:after="0" w:line="240" w:lineRule="auto"/>
              <w:jc w:val="center"/>
              <w:rPr>
                <w:rFonts w:ascii="Calibri" w:eastAsia="Times New Roman" w:hAnsi="Calibri" w:cs="Calibri"/>
                <w:color w:val="0000FF"/>
              </w:rPr>
            </w:pPr>
            <w:r>
              <w:rPr>
                <w:rFonts w:ascii="Calibri" w:hAnsi="Calibri" w:cs="Calibri"/>
                <w:color w:val="0000FF"/>
              </w:rPr>
              <w:t>30,242</w:t>
            </w:r>
          </w:p>
        </w:tc>
        <w:tc>
          <w:tcPr>
            <w:tcW w:w="1695" w:type="dxa"/>
            <w:shd w:val="clear" w:color="auto" w:fill="auto"/>
            <w:noWrap/>
            <w:vAlign w:val="center"/>
            <w:hideMark/>
          </w:tcPr>
          <w:p w14:paraId="40B0537F" w14:textId="3B1C616D" w:rsidR="003B7495" w:rsidRPr="00932E8F" w:rsidRDefault="003B7495" w:rsidP="003B7495">
            <w:pPr>
              <w:spacing w:after="0" w:line="240" w:lineRule="auto"/>
              <w:jc w:val="center"/>
              <w:rPr>
                <w:rFonts w:ascii="Calibri" w:eastAsia="Times New Roman" w:hAnsi="Calibri" w:cs="Calibri"/>
                <w:color w:val="0000FF"/>
              </w:rPr>
            </w:pPr>
            <w:r>
              <w:rPr>
                <w:rFonts w:ascii="Calibri" w:hAnsi="Calibri" w:cs="Calibri"/>
                <w:color w:val="0000FF"/>
              </w:rPr>
              <w:t>30,131</w:t>
            </w:r>
          </w:p>
        </w:tc>
        <w:tc>
          <w:tcPr>
            <w:tcW w:w="1266" w:type="dxa"/>
            <w:shd w:val="clear" w:color="auto" w:fill="auto"/>
            <w:noWrap/>
            <w:vAlign w:val="center"/>
            <w:hideMark/>
          </w:tcPr>
          <w:p w14:paraId="47800A40" w14:textId="552C4981" w:rsidR="003B7495" w:rsidRPr="00932E8F" w:rsidRDefault="003B7495" w:rsidP="003B7495">
            <w:pPr>
              <w:spacing w:after="0" w:line="240" w:lineRule="auto"/>
              <w:jc w:val="center"/>
              <w:rPr>
                <w:rFonts w:ascii="Calibri" w:eastAsia="Times New Roman" w:hAnsi="Calibri" w:cs="Calibri"/>
                <w:color w:val="0000FF"/>
              </w:rPr>
            </w:pPr>
            <w:r>
              <w:rPr>
                <w:rFonts w:ascii="Calibri" w:hAnsi="Calibri" w:cs="Calibri"/>
                <w:color w:val="0000FF"/>
              </w:rPr>
              <w:t>-111.18</w:t>
            </w:r>
          </w:p>
        </w:tc>
        <w:tc>
          <w:tcPr>
            <w:tcW w:w="1258" w:type="dxa"/>
            <w:shd w:val="clear" w:color="auto" w:fill="auto"/>
            <w:noWrap/>
            <w:vAlign w:val="center"/>
            <w:hideMark/>
          </w:tcPr>
          <w:p w14:paraId="16160E4C" w14:textId="1F0CB62D" w:rsidR="003B7495" w:rsidRPr="00932E8F" w:rsidRDefault="003B7495" w:rsidP="003B7495">
            <w:pPr>
              <w:spacing w:after="0" w:line="240" w:lineRule="auto"/>
              <w:jc w:val="center"/>
              <w:rPr>
                <w:rFonts w:ascii="Calibri" w:eastAsia="Times New Roman" w:hAnsi="Calibri" w:cs="Calibri"/>
                <w:color w:val="0000FF"/>
              </w:rPr>
            </w:pPr>
            <w:r>
              <w:rPr>
                <w:rFonts w:ascii="Calibri" w:hAnsi="Calibri" w:cs="Calibri"/>
                <w:color w:val="0000FF"/>
              </w:rPr>
              <w:t>1.00</w:t>
            </w:r>
          </w:p>
        </w:tc>
      </w:tr>
      <w:tr w:rsidR="003B7495" w:rsidRPr="00706660" w14:paraId="7B9D25D5" w14:textId="77777777" w:rsidTr="005B2207">
        <w:trPr>
          <w:trHeight w:val="307"/>
        </w:trPr>
        <w:tc>
          <w:tcPr>
            <w:tcW w:w="1403" w:type="dxa"/>
            <w:shd w:val="clear" w:color="auto" w:fill="auto"/>
            <w:noWrap/>
            <w:vAlign w:val="bottom"/>
            <w:hideMark/>
          </w:tcPr>
          <w:p w14:paraId="18D00BEF" w14:textId="77777777" w:rsidR="003B7495" w:rsidRPr="00932E8F" w:rsidRDefault="003B7495" w:rsidP="003B7495">
            <w:pPr>
              <w:spacing w:after="0" w:line="240" w:lineRule="auto"/>
              <w:jc w:val="center"/>
              <w:rPr>
                <w:rFonts w:ascii="Calibri" w:eastAsia="Times New Roman" w:hAnsi="Calibri" w:cs="Calibri"/>
                <w:color w:val="0000FF"/>
              </w:rPr>
            </w:pPr>
            <w:r w:rsidRPr="00932E8F">
              <w:rPr>
                <w:rFonts w:ascii="Calibri" w:eastAsia="Times New Roman" w:hAnsi="Calibri" w:cs="Calibri"/>
                <w:color w:val="0000FF"/>
              </w:rPr>
              <w:t>5</w:t>
            </w:r>
          </w:p>
        </w:tc>
        <w:tc>
          <w:tcPr>
            <w:tcW w:w="1503" w:type="dxa"/>
            <w:shd w:val="clear" w:color="auto" w:fill="auto"/>
            <w:noWrap/>
            <w:vAlign w:val="center"/>
            <w:hideMark/>
          </w:tcPr>
          <w:p w14:paraId="00668614" w14:textId="304399EC" w:rsidR="003B7495" w:rsidRPr="00932E8F" w:rsidRDefault="003B7495" w:rsidP="003B7495">
            <w:pPr>
              <w:spacing w:after="0" w:line="240" w:lineRule="auto"/>
              <w:jc w:val="center"/>
              <w:rPr>
                <w:rFonts w:ascii="Calibri" w:eastAsia="Times New Roman" w:hAnsi="Calibri" w:cs="Calibri"/>
                <w:color w:val="0000FF"/>
              </w:rPr>
            </w:pPr>
            <w:r>
              <w:rPr>
                <w:rFonts w:ascii="Calibri" w:hAnsi="Calibri" w:cs="Calibri"/>
                <w:color w:val="0000FF"/>
              </w:rPr>
              <w:t>61,798</w:t>
            </w:r>
          </w:p>
        </w:tc>
        <w:tc>
          <w:tcPr>
            <w:tcW w:w="1695" w:type="dxa"/>
            <w:shd w:val="clear" w:color="auto" w:fill="auto"/>
            <w:noWrap/>
            <w:vAlign w:val="center"/>
            <w:hideMark/>
          </w:tcPr>
          <w:p w14:paraId="78324DDB" w14:textId="163547F5" w:rsidR="003B7495" w:rsidRPr="00932E8F" w:rsidRDefault="003B7495" w:rsidP="003B7495">
            <w:pPr>
              <w:spacing w:after="0" w:line="240" w:lineRule="auto"/>
              <w:jc w:val="center"/>
              <w:rPr>
                <w:rFonts w:ascii="Calibri" w:eastAsia="Times New Roman" w:hAnsi="Calibri" w:cs="Calibri"/>
                <w:color w:val="0000FF"/>
              </w:rPr>
            </w:pPr>
            <w:r>
              <w:rPr>
                <w:rFonts w:ascii="Calibri" w:hAnsi="Calibri" w:cs="Calibri"/>
                <w:color w:val="0000FF"/>
              </w:rPr>
              <w:t>31,553</w:t>
            </w:r>
          </w:p>
        </w:tc>
        <w:tc>
          <w:tcPr>
            <w:tcW w:w="1695" w:type="dxa"/>
            <w:shd w:val="clear" w:color="auto" w:fill="auto"/>
            <w:noWrap/>
            <w:vAlign w:val="center"/>
            <w:hideMark/>
          </w:tcPr>
          <w:p w14:paraId="3CE1CB4A" w14:textId="13EB54DF" w:rsidR="003B7495" w:rsidRPr="00932E8F" w:rsidRDefault="003B7495" w:rsidP="003B7495">
            <w:pPr>
              <w:spacing w:after="0" w:line="240" w:lineRule="auto"/>
              <w:jc w:val="center"/>
              <w:rPr>
                <w:rFonts w:ascii="Calibri" w:eastAsia="Times New Roman" w:hAnsi="Calibri" w:cs="Calibri"/>
                <w:color w:val="0000FF"/>
              </w:rPr>
            </w:pPr>
            <w:r>
              <w:rPr>
                <w:rFonts w:ascii="Calibri" w:hAnsi="Calibri" w:cs="Calibri"/>
                <w:color w:val="0000FF"/>
              </w:rPr>
              <w:t>31,490</w:t>
            </w:r>
          </w:p>
        </w:tc>
        <w:tc>
          <w:tcPr>
            <w:tcW w:w="1266" w:type="dxa"/>
            <w:shd w:val="clear" w:color="auto" w:fill="auto"/>
            <w:noWrap/>
            <w:vAlign w:val="center"/>
            <w:hideMark/>
          </w:tcPr>
          <w:p w14:paraId="3D4099FE" w14:textId="605124C1" w:rsidR="003B7495" w:rsidRPr="00932E8F" w:rsidRDefault="003B7495" w:rsidP="003B7495">
            <w:pPr>
              <w:spacing w:after="0" w:line="240" w:lineRule="auto"/>
              <w:jc w:val="center"/>
              <w:rPr>
                <w:rFonts w:ascii="Calibri" w:eastAsia="Times New Roman" w:hAnsi="Calibri" w:cs="Calibri"/>
                <w:color w:val="0000FF"/>
              </w:rPr>
            </w:pPr>
            <w:r>
              <w:rPr>
                <w:rFonts w:ascii="Calibri" w:hAnsi="Calibri" w:cs="Calibri"/>
                <w:color w:val="0000FF"/>
              </w:rPr>
              <w:t>-63.53</w:t>
            </w:r>
          </w:p>
        </w:tc>
        <w:tc>
          <w:tcPr>
            <w:tcW w:w="1258" w:type="dxa"/>
            <w:shd w:val="clear" w:color="auto" w:fill="auto"/>
            <w:noWrap/>
            <w:vAlign w:val="center"/>
            <w:hideMark/>
          </w:tcPr>
          <w:p w14:paraId="72608361" w14:textId="1035B3B2" w:rsidR="003B7495" w:rsidRPr="00932E8F" w:rsidRDefault="003B7495" w:rsidP="003B7495">
            <w:pPr>
              <w:spacing w:after="0" w:line="240" w:lineRule="auto"/>
              <w:jc w:val="center"/>
              <w:rPr>
                <w:rFonts w:ascii="Calibri" w:eastAsia="Times New Roman" w:hAnsi="Calibri" w:cs="Calibri"/>
                <w:color w:val="0000FF"/>
              </w:rPr>
            </w:pPr>
            <w:r>
              <w:rPr>
                <w:rFonts w:ascii="Calibri" w:hAnsi="Calibri" w:cs="Calibri"/>
                <w:color w:val="0000FF"/>
              </w:rPr>
              <w:t>1.00</w:t>
            </w:r>
          </w:p>
        </w:tc>
      </w:tr>
      <w:tr w:rsidR="003B7495" w:rsidRPr="00706660" w14:paraId="2C3A5B34" w14:textId="77777777" w:rsidTr="005B2207">
        <w:trPr>
          <w:trHeight w:val="307"/>
        </w:trPr>
        <w:tc>
          <w:tcPr>
            <w:tcW w:w="1403" w:type="dxa"/>
            <w:shd w:val="clear" w:color="auto" w:fill="auto"/>
            <w:noWrap/>
            <w:vAlign w:val="bottom"/>
            <w:hideMark/>
          </w:tcPr>
          <w:p w14:paraId="56C1577C" w14:textId="77777777" w:rsidR="003B7495" w:rsidRPr="00932E8F" w:rsidRDefault="003B7495" w:rsidP="003B7495">
            <w:pPr>
              <w:spacing w:after="0" w:line="240" w:lineRule="auto"/>
              <w:jc w:val="center"/>
              <w:rPr>
                <w:rFonts w:ascii="Calibri" w:eastAsia="Times New Roman" w:hAnsi="Calibri" w:cs="Calibri"/>
                <w:color w:val="0000FF"/>
              </w:rPr>
            </w:pPr>
            <w:r w:rsidRPr="00932E8F">
              <w:rPr>
                <w:rFonts w:ascii="Calibri" w:eastAsia="Times New Roman" w:hAnsi="Calibri" w:cs="Calibri"/>
                <w:color w:val="0000FF"/>
              </w:rPr>
              <w:t>6</w:t>
            </w:r>
          </w:p>
        </w:tc>
        <w:tc>
          <w:tcPr>
            <w:tcW w:w="1503" w:type="dxa"/>
            <w:shd w:val="clear" w:color="auto" w:fill="auto"/>
            <w:noWrap/>
            <w:vAlign w:val="center"/>
            <w:hideMark/>
          </w:tcPr>
          <w:p w14:paraId="52461AAB" w14:textId="49924445" w:rsidR="003B7495" w:rsidRPr="00932E8F" w:rsidRDefault="003B7495" w:rsidP="003B7495">
            <w:pPr>
              <w:spacing w:after="0" w:line="240" w:lineRule="auto"/>
              <w:jc w:val="center"/>
              <w:rPr>
                <w:rFonts w:ascii="Calibri" w:eastAsia="Times New Roman" w:hAnsi="Calibri" w:cs="Calibri"/>
                <w:color w:val="0000FF"/>
              </w:rPr>
            </w:pPr>
            <w:r>
              <w:rPr>
                <w:rFonts w:ascii="Calibri" w:hAnsi="Calibri" w:cs="Calibri"/>
                <w:color w:val="0000FF"/>
              </w:rPr>
              <w:t>61,799</w:t>
            </w:r>
          </w:p>
        </w:tc>
        <w:tc>
          <w:tcPr>
            <w:tcW w:w="1695" w:type="dxa"/>
            <w:shd w:val="clear" w:color="auto" w:fill="auto"/>
            <w:noWrap/>
            <w:vAlign w:val="center"/>
            <w:hideMark/>
          </w:tcPr>
          <w:p w14:paraId="6679FE2A" w14:textId="5E06FE20" w:rsidR="003B7495" w:rsidRPr="00932E8F" w:rsidRDefault="003B7495" w:rsidP="003B7495">
            <w:pPr>
              <w:spacing w:after="0" w:line="240" w:lineRule="auto"/>
              <w:jc w:val="center"/>
              <w:rPr>
                <w:rFonts w:ascii="Calibri" w:eastAsia="Times New Roman" w:hAnsi="Calibri" w:cs="Calibri"/>
                <w:color w:val="0000FF"/>
              </w:rPr>
            </w:pPr>
            <w:r>
              <w:rPr>
                <w:rFonts w:ascii="Calibri" w:hAnsi="Calibri" w:cs="Calibri"/>
                <w:color w:val="0000FF"/>
              </w:rPr>
              <w:t>32,851</w:t>
            </w:r>
          </w:p>
        </w:tc>
        <w:tc>
          <w:tcPr>
            <w:tcW w:w="1695" w:type="dxa"/>
            <w:shd w:val="clear" w:color="auto" w:fill="auto"/>
            <w:noWrap/>
            <w:vAlign w:val="center"/>
            <w:hideMark/>
          </w:tcPr>
          <w:p w14:paraId="71188E9C" w14:textId="12531481" w:rsidR="003B7495" w:rsidRPr="00932E8F" w:rsidRDefault="003B7495" w:rsidP="003B7495">
            <w:pPr>
              <w:spacing w:after="0" w:line="240" w:lineRule="auto"/>
              <w:jc w:val="center"/>
              <w:rPr>
                <w:rFonts w:ascii="Calibri" w:eastAsia="Times New Roman" w:hAnsi="Calibri" w:cs="Calibri"/>
                <w:color w:val="0000FF"/>
              </w:rPr>
            </w:pPr>
            <w:r>
              <w:rPr>
                <w:rFonts w:ascii="Calibri" w:hAnsi="Calibri" w:cs="Calibri"/>
                <w:color w:val="0000FF"/>
              </w:rPr>
              <w:t>32,961</w:t>
            </w:r>
          </w:p>
        </w:tc>
        <w:tc>
          <w:tcPr>
            <w:tcW w:w="1266" w:type="dxa"/>
            <w:shd w:val="clear" w:color="auto" w:fill="auto"/>
            <w:noWrap/>
            <w:vAlign w:val="center"/>
            <w:hideMark/>
          </w:tcPr>
          <w:p w14:paraId="5623F274" w14:textId="1CB1CACF" w:rsidR="003B7495" w:rsidRPr="00932E8F" w:rsidRDefault="003B7495" w:rsidP="003B7495">
            <w:pPr>
              <w:spacing w:after="0" w:line="240" w:lineRule="auto"/>
              <w:jc w:val="center"/>
              <w:rPr>
                <w:rFonts w:ascii="Calibri" w:eastAsia="Times New Roman" w:hAnsi="Calibri" w:cs="Calibri"/>
                <w:color w:val="0000FF"/>
              </w:rPr>
            </w:pPr>
            <w:r>
              <w:rPr>
                <w:rFonts w:ascii="Calibri" w:hAnsi="Calibri" w:cs="Calibri"/>
                <w:color w:val="0000FF"/>
              </w:rPr>
              <w:t>110.31</w:t>
            </w:r>
          </w:p>
        </w:tc>
        <w:tc>
          <w:tcPr>
            <w:tcW w:w="1258" w:type="dxa"/>
            <w:shd w:val="clear" w:color="auto" w:fill="auto"/>
            <w:noWrap/>
            <w:vAlign w:val="center"/>
            <w:hideMark/>
          </w:tcPr>
          <w:p w14:paraId="3C1928AD" w14:textId="79BB71DE" w:rsidR="003B7495" w:rsidRPr="00932E8F" w:rsidRDefault="003B7495" w:rsidP="003B7495">
            <w:pPr>
              <w:spacing w:after="0" w:line="240" w:lineRule="auto"/>
              <w:jc w:val="center"/>
              <w:rPr>
                <w:rFonts w:ascii="Calibri" w:eastAsia="Times New Roman" w:hAnsi="Calibri" w:cs="Calibri"/>
                <w:color w:val="0000FF"/>
              </w:rPr>
            </w:pPr>
            <w:r>
              <w:rPr>
                <w:rFonts w:ascii="Calibri" w:hAnsi="Calibri" w:cs="Calibri"/>
                <w:color w:val="0000FF"/>
              </w:rPr>
              <w:t>1.00</w:t>
            </w:r>
          </w:p>
        </w:tc>
      </w:tr>
      <w:tr w:rsidR="003B7495" w:rsidRPr="00706660" w14:paraId="7BAD384C" w14:textId="77777777" w:rsidTr="005B2207">
        <w:trPr>
          <w:trHeight w:val="307"/>
        </w:trPr>
        <w:tc>
          <w:tcPr>
            <w:tcW w:w="1403" w:type="dxa"/>
            <w:shd w:val="clear" w:color="auto" w:fill="auto"/>
            <w:noWrap/>
            <w:vAlign w:val="bottom"/>
            <w:hideMark/>
          </w:tcPr>
          <w:p w14:paraId="55C99203" w14:textId="77777777" w:rsidR="003B7495" w:rsidRPr="00932E8F" w:rsidRDefault="003B7495" w:rsidP="003B7495">
            <w:pPr>
              <w:spacing w:after="0" w:line="240" w:lineRule="auto"/>
              <w:jc w:val="center"/>
              <w:rPr>
                <w:rFonts w:ascii="Calibri" w:eastAsia="Times New Roman" w:hAnsi="Calibri" w:cs="Calibri"/>
                <w:color w:val="0000FF"/>
              </w:rPr>
            </w:pPr>
            <w:r w:rsidRPr="00932E8F">
              <w:rPr>
                <w:rFonts w:ascii="Calibri" w:eastAsia="Times New Roman" w:hAnsi="Calibri" w:cs="Calibri"/>
                <w:color w:val="0000FF"/>
              </w:rPr>
              <w:t>7</w:t>
            </w:r>
          </w:p>
        </w:tc>
        <w:tc>
          <w:tcPr>
            <w:tcW w:w="1503" w:type="dxa"/>
            <w:shd w:val="clear" w:color="auto" w:fill="auto"/>
            <w:noWrap/>
            <w:vAlign w:val="center"/>
            <w:hideMark/>
          </w:tcPr>
          <w:p w14:paraId="30F358CE" w14:textId="32CDF1A6" w:rsidR="003B7495" w:rsidRPr="00932E8F" w:rsidRDefault="003B7495" w:rsidP="003B7495">
            <w:pPr>
              <w:spacing w:after="0" w:line="240" w:lineRule="auto"/>
              <w:jc w:val="center"/>
              <w:rPr>
                <w:rFonts w:ascii="Calibri" w:eastAsia="Times New Roman" w:hAnsi="Calibri" w:cs="Calibri"/>
                <w:color w:val="0000FF"/>
              </w:rPr>
            </w:pPr>
            <w:r>
              <w:rPr>
                <w:rFonts w:ascii="Calibri" w:hAnsi="Calibri" w:cs="Calibri"/>
                <w:color w:val="0000FF"/>
              </w:rPr>
              <w:t>61,800</w:t>
            </w:r>
          </w:p>
        </w:tc>
        <w:tc>
          <w:tcPr>
            <w:tcW w:w="1695" w:type="dxa"/>
            <w:shd w:val="clear" w:color="auto" w:fill="auto"/>
            <w:noWrap/>
            <w:vAlign w:val="center"/>
            <w:hideMark/>
          </w:tcPr>
          <w:p w14:paraId="02A296E7" w14:textId="4E97CCE6" w:rsidR="003B7495" w:rsidRPr="00932E8F" w:rsidRDefault="003B7495" w:rsidP="003B7495">
            <w:pPr>
              <w:spacing w:after="0" w:line="240" w:lineRule="auto"/>
              <w:jc w:val="center"/>
              <w:rPr>
                <w:rFonts w:ascii="Calibri" w:eastAsia="Times New Roman" w:hAnsi="Calibri" w:cs="Calibri"/>
                <w:color w:val="0000FF"/>
              </w:rPr>
            </w:pPr>
            <w:r>
              <w:rPr>
                <w:rFonts w:ascii="Calibri" w:hAnsi="Calibri" w:cs="Calibri"/>
                <w:color w:val="0000FF"/>
              </w:rPr>
              <w:t>34,219</w:t>
            </w:r>
          </w:p>
        </w:tc>
        <w:tc>
          <w:tcPr>
            <w:tcW w:w="1695" w:type="dxa"/>
            <w:shd w:val="clear" w:color="auto" w:fill="auto"/>
            <w:noWrap/>
            <w:vAlign w:val="center"/>
            <w:hideMark/>
          </w:tcPr>
          <w:p w14:paraId="3283DB02" w14:textId="7BE6EFD1" w:rsidR="003B7495" w:rsidRPr="00932E8F" w:rsidRDefault="003B7495" w:rsidP="003B7495">
            <w:pPr>
              <w:spacing w:after="0" w:line="240" w:lineRule="auto"/>
              <w:jc w:val="center"/>
              <w:rPr>
                <w:rFonts w:ascii="Calibri" w:eastAsia="Times New Roman" w:hAnsi="Calibri" w:cs="Calibri"/>
                <w:color w:val="0000FF"/>
              </w:rPr>
            </w:pPr>
            <w:r>
              <w:rPr>
                <w:rFonts w:ascii="Calibri" w:hAnsi="Calibri" w:cs="Calibri"/>
                <w:color w:val="0000FF"/>
              </w:rPr>
              <w:t>34,629</w:t>
            </w:r>
          </w:p>
        </w:tc>
        <w:tc>
          <w:tcPr>
            <w:tcW w:w="1266" w:type="dxa"/>
            <w:shd w:val="clear" w:color="auto" w:fill="auto"/>
            <w:noWrap/>
            <w:vAlign w:val="center"/>
            <w:hideMark/>
          </w:tcPr>
          <w:p w14:paraId="0775B353" w14:textId="264752DF" w:rsidR="003B7495" w:rsidRPr="00932E8F" w:rsidRDefault="003B7495" w:rsidP="003B7495">
            <w:pPr>
              <w:spacing w:after="0" w:line="240" w:lineRule="auto"/>
              <w:jc w:val="center"/>
              <w:rPr>
                <w:rFonts w:ascii="Calibri" w:eastAsia="Times New Roman" w:hAnsi="Calibri" w:cs="Calibri"/>
                <w:color w:val="0000FF"/>
              </w:rPr>
            </w:pPr>
            <w:r>
              <w:rPr>
                <w:rFonts w:ascii="Calibri" w:hAnsi="Calibri" w:cs="Calibri"/>
                <w:color w:val="0000FF"/>
              </w:rPr>
              <w:t>410.17</w:t>
            </w:r>
          </w:p>
        </w:tc>
        <w:tc>
          <w:tcPr>
            <w:tcW w:w="1258" w:type="dxa"/>
            <w:shd w:val="clear" w:color="auto" w:fill="auto"/>
            <w:noWrap/>
            <w:vAlign w:val="center"/>
            <w:hideMark/>
          </w:tcPr>
          <w:p w14:paraId="496D283B" w14:textId="39832495" w:rsidR="003B7495" w:rsidRPr="00932E8F" w:rsidRDefault="003B7495" w:rsidP="003B7495">
            <w:pPr>
              <w:spacing w:after="0" w:line="240" w:lineRule="auto"/>
              <w:jc w:val="center"/>
              <w:rPr>
                <w:rFonts w:ascii="Calibri" w:eastAsia="Times New Roman" w:hAnsi="Calibri" w:cs="Calibri"/>
                <w:color w:val="0000FF"/>
              </w:rPr>
            </w:pPr>
            <w:r>
              <w:rPr>
                <w:rFonts w:ascii="Calibri" w:hAnsi="Calibri" w:cs="Calibri"/>
                <w:color w:val="0000FF"/>
              </w:rPr>
              <w:t>0.99</w:t>
            </w:r>
          </w:p>
        </w:tc>
      </w:tr>
      <w:tr w:rsidR="003B7495" w:rsidRPr="00706660" w14:paraId="456CF50E" w14:textId="77777777" w:rsidTr="005B2207">
        <w:trPr>
          <w:trHeight w:val="307"/>
        </w:trPr>
        <w:tc>
          <w:tcPr>
            <w:tcW w:w="1403" w:type="dxa"/>
            <w:shd w:val="clear" w:color="auto" w:fill="auto"/>
            <w:noWrap/>
            <w:vAlign w:val="bottom"/>
            <w:hideMark/>
          </w:tcPr>
          <w:p w14:paraId="3F55A5C8" w14:textId="77777777" w:rsidR="003B7495" w:rsidRPr="00932E8F" w:rsidRDefault="003B7495" w:rsidP="003B7495">
            <w:pPr>
              <w:spacing w:after="0" w:line="240" w:lineRule="auto"/>
              <w:jc w:val="center"/>
              <w:rPr>
                <w:rFonts w:ascii="Calibri" w:eastAsia="Times New Roman" w:hAnsi="Calibri" w:cs="Calibri"/>
                <w:color w:val="0000FF"/>
              </w:rPr>
            </w:pPr>
            <w:r w:rsidRPr="00932E8F">
              <w:rPr>
                <w:rFonts w:ascii="Calibri" w:eastAsia="Times New Roman" w:hAnsi="Calibri" w:cs="Calibri"/>
                <w:color w:val="0000FF"/>
              </w:rPr>
              <w:t>8</w:t>
            </w:r>
          </w:p>
        </w:tc>
        <w:tc>
          <w:tcPr>
            <w:tcW w:w="1503" w:type="dxa"/>
            <w:shd w:val="clear" w:color="auto" w:fill="auto"/>
            <w:noWrap/>
            <w:vAlign w:val="center"/>
            <w:hideMark/>
          </w:tcPr>
          <w:p w14:paraId="53C5D255" w14:textId="5750C11E" w:rsidR="003B7495" w:rsidRPr="00932E8F" w:rsidRDefault="003B7495" w:rsidP="003B7495">
            <w:pPr>
              <w:spacing w:after="0" w:line="240" w:lineRule="auto"/>
              <w:jc w:val="center"/>
              <w:rPr>
                <w:rFonts w:ascii="Calibri" w:eastAsia="Times New Roman" w:hAnsi="Calibri" w:cs="Calibri"/>
                <w:color w:val="0000FF"/>
              </w:rPr>
            </w:pPr>
            <w:r>
              <w:rPr>
                <w:rFonts w:ascii="Calibri" w:hAnsi="Calibri" w:cs="Calibri"/>
                <w:color w:val="0000FF"/>
              </w:rPr>
              <w:t>61,799</w:t>
            </w:r>
          </w:p>
        </w:tc>
        <w:tc>
          <w:tcPr>
            <w:tcW w:w="1695" w:type="dxa"/>
            <w:shd w:val="clear" w:color="auto" w:fill="auto"/>
            <w:noWrap/>
            <w:vAlign w:val="center"/>
            <w:hideMark/>
          </w:tcPr>
          <w:p w14:paraId="6722D733" w14:textId="2F50C67F" w:rsidR="003B7495" w:rsidRPr="00932E8F" w:rsidRDefault="003B7495" w:rsidP="003B7495">
            <w:pPr>
              <w:spacing w:after="0" w:line="240" w:lineRule="auto"/>
              <w:jc w:val="center"/>
              <w:rPr>
                <w:rFonts w:ascii="Calibri" w:eastAsia="Times New Roman" w:hAnsi="Calibri" w:cs="Calibri"/>
                <w:color w:val="0000FF"/>
              </w:rPr>
            </w:pPr>
            <w:r>
              <w:rPr>
                <w:rFonts w:ascii="Calibri" w:hAnsi="Calibri" w:cs="Calibri"/>
                <w:color w:val="0000FF"/>
              </w:rPr>
              <w:t>36,357</w:t>
            </w:r>
          </w:p>
        </w:tc>
        <w:tc>
          <w:tcPr>
            <w:tcW w:w="1695" w:type="dxa"/>
            <w:shd w:val="clear" w:color="auto" w:fill="auto"/>
            <w:noWrap/>
            <w:vAlign w:val="center"/>
            <w:hideMark/>
          </w:tcPr>
          <w:p w14:paraId="3EA6B4F1" w14:textId="33845E78" w:rsidR="003B7495" w:rsidRPr="00932E8F" w:rsidRDefault="003B7495" w:rsidP="003B7495">
            <w:pPr>
              <w:spacing w:after="0" w:line="240" w:lineRule="auto"/>
              <w:jc w:val="center"/>
              <w:rPr>
                <w:rFonts w:ascii="Calibri" w:eastAsia="Times New Roman" w:hAnsi="Calibri" w:cs="Calibri"/>
                <w:color w:val="0000FF"/>
              </w:rPr>
            </w:pPr>
            <w:r>
              <w:rPr>
                <w:rFonts w:ascii="Calibri" w:hAnsi="Calibri" w:cs="Calibri"/>
                <w:color w:val="0000FF"/>
              </w:rPr>
              <w:t>36,744</w:t>
            </w:r>
          </w:p>
        </w:tc>
        <w:tc>
          <w:tcPr>
            <w:tcW w:w="1266" w:type="dxa"/>
            <w:shd w:val="clear" w:color="auto" w:fill="auto"/>
            <w:noWrap/>
            <w:vAlign w:val="center"/>
            <w:hideMark/>
          </w:tcPr>
          <w:p w14:paraId="1C784D3B" w14:textId="60435663" w:rsidR="003B7495" w:rsidRPr="00932E8F" w:rsidRDefault="003B7495" w:rsidP="003B7495">
            <w:pPr>
              <w:spacing w:after="0" w:line="240" w:lineRule="auto"/>
              <w:jc w:val="center"/>
              <w:rPr>
                <w:rFonts w:ascii="Calibri" w:eastAsia="Times New Roman" w:hAnsi="Calibri" w:cs="Calibri"/>
                <w:color w:val="0000FF"/>
              </w:rPr>
            </w:pPr>
            <w:r>
              <w:rPr>
                <w:rFonts w:ascii="Calibri" w:hAnsi="Calibri" w:cs="Calibri"/>
                <w:color w:val="0000FF"/>
              </w:rPr>
              <w:t>386.35</w:t>
            </w:r>
          </w:p>
        </w:tc>
        <w:tc>
          <w:tcPr>
            <w:tcW w:w="1258" w:type="dxa"/>
            <w:shd w:val="clear" w:color="auto" w:fill="auto"/>
            <w:noWrap/>
            <w:vAlign w:val="center"/>
            <w:hideMark/>
          </w:tcPr>
          <w:p w14:paraId="4E379571" w14:textId="750A29E2" w:rsidR="003B7495" w:rsidRPr="00932E8F" w:rsidRDefault="003B7495" w:rsidP="003B7495">
            <w:pPr>
              <w:spacing w:after="0" w:line="240" w:lineRule="auto"/>
              <w:jc w:val="center"/>
              <w:rPr>
                <w:rFonts w:ascii="Calibri" w:eastAsia="Times New Roman" w:hAnsi="Calibri" w:cs="Calibri"/>
                <w:color w:val="0000FF"/>
              </w:rPr>
            </w:pPr>
            <w:r>
              <w:rPr>
                <w:rFonts w:ascii="Calibri" w:hAnsi="Calibri" w:cs="Calibri"/>
                <w:color w:val="0000FF"/>
              </w:rPr>
              <w:t>0.99</w:t>
            </w:r>
          </w:p>
        </w:tc>
      </w:tr>
      <w:tr w:rsidR="003B7495" w:rsidRPr="00706660" w14:paraId="3052542A" w14:textId="77777777" w:rsidTr="005B2207">
        <w:trPr>
          <w:trHeight w:val="307"/>
        </w:trPr>
        <w:tc>
          <w:tcPr>
            <w:tcW w:w="1403" w:type="dxa"/>
            <w:shd w:val="clear" w:color="auto" w:fill="auto"/>
            <w:noWrap/>
            <w:vAlign w:val="bottom"/>
            <w:hideMark/>
          </w:tcPr>
          <w:p w14:paraId="0001EE3C" w14:textId="77777777" w:rsidR="003B7495" w:rsidRPr="00932E8F" w:rsidRDefault="003B7495" w:rsidP="003B7495">
            <w:pPr>
              <w:spacing w:after="0" w:line="240" w:lineRule="auto"/>
              <w:jc w:val="center"/>
              <w:rPr>
                <w:rFonts w:ascii="Calibri" w:eastAsia="Times New Roman" w:hAnsi="Calibri" w:cs="Calibri"/>
                <w:color w:val="0000FF"/>
              </w:rPr>
            </w:pPr>
            <w:r w:rsidRPr="00932E8F">
              <w:rPr>
                <w:rFonts w:ascii="Calibri" w:eastAsia="Times New Roman" w:hAnsi="Calibri" w:cs="Calibri"/>
                <w:color w:val="0000FF"/>
              </w:rPr>
              <w:t>9</w:t>
            </w:r>
          </w:p>
        </w:tc>
        <w:tc>
          <w:tcPr>
            <w:tcW w:w="1503" w:type="dxa"/>
            <w:shd w:val="clear" w:color="auto" w:fill="auto"/>
            <w:noWrap/>
            <w:vAlign w:val="center"/>
            <w:hideMark/>
          </w:tcPr>
          <w:p w14:paraId="651D2699" w14:textId="1445DE5C" w:rsidR="003B7495" w:rsidRPr="00932E8F" w:rsidRDefault="003B7495" w:rsidP="003B7495">
            <w:pPr>
              <w:spacing w:after="0" w:line="240" w:lineRule="auto"/>
              <w:jc w:val="center"/>
              <w:rPr>
                <w:rFonts w:ascii="Calibri" w:eastAsia="Times New Roman" w:hAnsi="Calibri" w:cs="Calibri"/>
                <w:color w:val="0000FF"/>
              </w:rPr>
            </w:pPr>
            <w:r>
              <w:rPr>
                <w:rFonts w:ascii="Calibri" w:hAnsi="Calibri" w:cs="Calibri"/>
                <w:color w:val="0000FF"/>
              </w:rPr>
              <w:t>61,799</w:t>
            </w:r>
          </w:p>
        </w:tc>
        <w:tc>
          <w:tcPr>
            <w:tcW w:w="1695" w:type="dxa"/>
            <w:shd w:val="clear" w:color="auto" w:fill="auto"/>
            <w:noWrap/>
            <w:vAlign w:val="center"/>
            <w:hideMark/>
          </w:tcPr>
          <w:p w14:paraId="2A5E9B45" w14:textId="02DB1009" w:rsidR="003B7495" w:rsidRPr="00932E8F" w:rsidRDefault="003B7495" w:rsidP="003B7495">
            <w:pPr>
              <w:spacing w:after="0" w:line="240" w:lineRule="auto"/>
              <w:jc w:val="center"/>
              <w:rPr>
                <w:rFonts w:ascii="Calibri" w:eastAsia="Times New Roman" w:hAnsi="Calibri" w:cs="Calibri"/>
                <w:color w:val="0000FF"/>
              </w:rPr>
            </w:pPr>
            <w:r>
              <w:rPr>
                <w:rFonts w:ascii="Calibri" w:hAnsi="Calibri" w:cs="Calibri"/>
                <w:color w:val="0000FF"/>
              </w:rPr>
              <w:t>39,667</w:t>
            </w:r>
          </w:p>
        </w:tc>
        <w:tc>
          <w:tcPr>
            <w:tcW w:w="1695" w:type="dxa"/>
            <w:shd w:val="clear" w:color="auto" w:fill="auto"/>
            <w:noWrap/>
            <w:vAlign w:val="center"/>
            <w:hideMark/>
          </w:tcPr>
          <w:p w14:paraId="0A7765AF" w14:textId="6BB09605" w:rsidR="003B7495" w:rsidRPr="00932E8F" w:rsidRDefault="003B7495" w:rsidP="003B7495">
            <w:pPr>
              <w:spacing w:after="0" w:line="240" w:lineRule="auto"/>
              <w:jc w:val="center"/>
              <w:rPr>
                <w:rFonts w:ascii="Calibri" w:eastAsia="Times New Roman" w:hAnsi="Calibri" w:cs="Calibri"/>
                <w:color w:val="0000FF"/>
              </w:rPr>
            </w:pPr>
            <w:r>
              <w:rPr>
                <w:rFonts w:ascii="Calibri" w:hAnsi="Calibri" w:cs="Calibri"/>
                <w:color w:val="0000FF"/>
              </w:rPr>
              <w:t>39,860</w:t>
            </w:r>
          </w:p>
        </w:tc>
        <w:tc>
          <w:tcPr>
            <w:tcW w:w="1266" w:type="dxa"/>
            <w:shd w:val="clear" w:color="auto" w:fill="auto"/>
            <w:noWrap/>
            <w:vAlign w:val="center"/>
            <w:hideMark/>
          </w:tcPr>
          <w:p w14:paraId="2184A638" w14:textId="4C07C491" w:rsidR="003B7495" w:rsidRPr="00932E8F" w:rsidRDefault="003B7495" w:rsidP="003B7495">
            <w:pPr>
              <w:spacing w:after="0" w:line="240" w:lineRule="auto"/>
              <w:jc w:val="center"/>
              <w:rPr>
                <w:rFonts w:ascii="Calibri" w:eastAsia="Times New Roman" w:hAnsi="Calibri" w:cs="Calibri"/>
                <w:color w:val="0000FF"/>
              </w:rPr>
            </w:pPr>
            <w:r>
              <w:rPr>
                <w:rFonts w:ascii="Calibri" w:hAnsi="Calibri" w:cs="Calibri"/>
                <w:color w:val="0000FF"/>
              </w:rPr>
              <w:t>193.02</w:t>
            </w:r>
          </w:p>
        </w:tc>
        <w:tc>
          <w:tcPr>
            <w:tcW w:w="1258" w:type="dxa"/>
            <w:shd w:val="clear" w:color="auto" w:fill="auto"/>
            <w:noWrap/>
            <w:vAlign w:val="center"/>
            <w:hideMark/>
          </w:tcPr>
          <w:p w14:paraId="78E97C4B" w14:textId="45A59CE5" w:rsidR="003B7495" w:rsidRPr="00932E8F" w:rsidRDefault="003B7495" w:rsidP="003B7495">
            <w:pPr>
              <w:spacing w:after="0" w:line="240" w:lineRule="auto"/>
              <w:jc w:val="center"/>
              <w:rPr>
                <w:rFonts w:ascii="Calibri" w:eastAsia="Times New Roman" w:hAnsi="Calibri" w:cs="Calibri"/>
                <w:color w:val="0000FF"/>
              </w:rPr>
            </w:pPr>
            <w:r>
              <w:rPr>
                <w:rFonts w:ascii="Calibri" w:hAnsi="Calibri" w:cs="Calibri"/>
                <w:color w:val="0000FF"/>
              </w:rPr>
              <w:t>1.00</w:t>
            </w:r>
          </w:p>
        </w:tc>
      </w:tr>
      <w:tr w:rsidR="003B7495" w:rsidRPr="00706660" w14:paraId="3DC5C927" w14:textId="77777777" w:rsidTr="005B2207">
        <w:trPr>
          <w:trHeight w:val="307"/>
        </w:trPr>
        <w:tc>
          <w:tcPr>
            <w:tcW w:w="1403" w:type="dxa"/>
            <w:shd w:val="clear" w:color="auto" w:fill="auto"/>
            <w:noWrap/>
            <w:vAlign w:val="bottom"/>
            <w:hideMark/>
          </w:tcPr>
          <w:p w14:paraId="6173A01B" w14:textId="77777777" w:rsidR="003B7495" w:rsidRPr="00932E8F" w:rsidRDefault="003B7495" w:rsidP="003B7495">
            <w:pPr>
              <w:spacing w:after="0" w:line="240" w:lineRule="auto"/>
              <w:jc w:val="center"/>
              <w:rPr>
                <w:rFonts w:ascii="Calibri" w:eastAsia="Times New Roman" w:hAnsi="Calibri" w:cs="Calibri"/>
                <w:color w:val="0000FF"/>
              </w:rPr>
            </w:pPr>
            <w:r w:rsidRPr="00932E8F">
              <w:rPr>
                <w:rFonts w:ascii="Calibri" w:eastAsia="Times New Roman" w:hAnsi="Calibri" w:cs="Calibri"/>
                <w:color w:val="0000FF"/>
              </w:rPr>
              <w:t>10</w:t>
            </w:r>
          </w:p>
        </w:tc>
        <w:tc>
          <w:tcPr>
            <w:tcW w:w="1503" w:type="dxa"/>
            <w:shd w:val="clear" w:color="auto" w:fill="auto"/>
            <w:noWrap/>
            <w:vAlign w:val="center"/>
            <w:hideMark/>
          </w:tcPr>
          <w:p w14:paraId="2BD20546" w14:textId="6D413265" w:rsidR="003B7495" w:rsidRPr="00932E8F" w:rsidRDefault="003B7495" w:rsidP="003B7495">
            <w:pPr>
              <w:spacing w:after="0" w:line="240" w:lineRule="auto"/>
              <w:jc w:val="center"/>
              <w:rPr>
                <w:rFonts w:ascii="Calibri" w:eastAsia="Times New Roman" w:hAnsi="Calibri" w:cs="Calibri"/>
                <w:color w:val="0000FF"/>
              </w:rPr>
            </w:pPr>
            <w:r>
              <w:rPr>
                <w:rFonts w:ascii="Calibri" w:hAnsi="Calibri" w:cs="Calibri"/>
                <w:color w:val="0000FF"/>
              </w:rPr>
              <w:t>61,799</w:t>
            </w:r>
          </w:p>
        </w:tc>
        <w:tc>
          <w:tcPr>
            <w:tcW w:w="1695" w:type="dxa"/>
            <w:shd w:val="clear" w:color="auto" w:fill="auto"/>
            <w:noWrap/>
            <w:vAlign w:val="center"/>
            <w:hideMark/>
          </w:tcPr>
          <w:p w14:paraId="332123A0" w14:textId="54ED7438" w:rsidR="003B7495" w:rsidRPr="00932E8F" w:rsidRDefault="003B7495" w:rsidP="003B7495">
            <w:pPr>
              <w:spacing w:after="0" w:line="240" w:lineRule="auto"/>
              <w:jc w:val="center"/>
              <w:rPr>
                <w:rFonts w:ascii="Calibri" w:eastAsia="Times New Roman" w:hAnsi="Calibri" w:cs="Calibri"/>
                <w:color w:val="0000FF"/>
              </w:rPr>
            </w:pPr>
            <w:r>
              <w:rPr>
                <w:rFonts w:ascii="Calibri" w:hAnsi="Calibri" w:cs="Calibri"/>
                <w:color w:val="0000FF"/>
              </w:rPr>
              <w:t>48,355</w:t>
            </w:r>
          </w:p>
        </w:tc>
        <w:tc>
          <w:tcPr>
            <w:tcW w:w="1695" w:type="dxa"/>
            <w:shd w:val="clear" w:color="auto" w:fill="auto"/>
            <w:noWrap/>
            <w:vAlign w:val="center"/>
            <w:hideMark/>
          </w:tcPr>
          <w:p w14:paraId="196078C2" w14:textId="248BDA4C" w:rsidR="003B7495" w:rsidRPr="00932E8F" w:rsidRDefault="003B7495" w:rsidP="003B7495">
            <w:pPr>
              <w:spacing w:after="0" w:line="240" w:lineRule="auto"/>
              <w:jc w:val="center"/>
              <w:rPr>
                <w:rFonts w:ascii="Calibri" w:eastAsia="Times New Roman" w:hAnsi="Calibri" w:cs="Calibri"/>
                <w:color w:val="0000FF"/>
              </w:rPr>
            </w:pPr>
            <w:r>
              <w:rPr>
                <w:rFonts w:ascii="Calibri" w:hAnsi="Calibri" w:cs="Calibri"/>
                <w:color w:val="0000FF"/>
              </w:rPr>
              <w:t>47,989</w:t>
            </w:r>
          </w:p>
        </w:tc>
        <w:tc>
          <w:tcPr>
            <w:tcW w:w="1266" w:type="dxa"/>
            <w:shd w:val="clear" w:color="auto" w:fill="auto"/>
            <w:noWrap/>
            <w:vAlign w:val="center"/>
            <w:hideMark/>
          </w:tcPr>
          <w:p w14:paraId="250576D5" w14:textId="194E7540" w:rsidR="003B7495" w:rsidRPr="00932E8F" w:rsidRDefault="003B7495" w:rsidP="003B7495">
            <w:pPr>
              <w:spacing w:after="0" w:line="240" w:lineRule="auto"/>
              <w:jc w:val="center"/>
              <w:rPr>
                <w:rFonts w:ascii="Calibri" w:eastAsia="Times New Roman" w:hAnsi="Calibri" w:cs="Calibri"/>
                <w:color w:val="0000FF"/>
              </w:rPr>
            </w:pPr>
            <w:r>
              <w:rPr>
                <w:rFonts w:ascii="Calibri" w:hAnsi="Calibri" w:cs="Calibri"/>
                <w:color w:val="0000FF"/>
              </w:rPr>
              <w:t>-366.21</w:t>
            </w:r>
          </w:p>
        </w:tc>
        <w:tc>
          <w:tcPr>
            <w:tcW w:w="1258" w:type="dxa"/>
            <w:shd w:val="clear" w:color="auto" w:fill="auto"/>
            <w:noWrap/>
            <w:vAlign w:val="center"/>
            <w:hideMark/>
          </w:tcPr>
          <w:p w14:paraId="5DAC8060" w14:textId="580D576B" w:rsidR="003B7495" w:rsidRPr="00932E8F" w:rsidRDefault="003B7495" w:rsidP="003B7495">
            <w:pPr>
              <w:spacing w:after="0" w:line="240" w:lineRule="auto"/>
              <w:jc w:val="center"/>
              <w:rPr>
                <w:rFonts w:ascii="Calibri" w:eastAsia="Times New Roman" w:hAnsi="Calibri" w:cs="Calibri"/>
                <w:color w:val="0000FF"/>
              </w:rPr>
            </w:pPr>
            <w:r>
              <w:rPr>
                <w:rFonts w:ascii="Calibri" w:hAnsi="Calibri" w:cs="Calibri"/>
                <w:color w:val="0000FF"/>
              </w:rPr>
              <w:t>1.01</w:t>
            </w:r>
          </w:p>
        </w:tc>
      </w:tr>
    </w:tbl>
    <w:p w14:paraId="0CABCFFE" w14:textId="2459501C" w:rsidR="00001D73" w:rsidRDefault="00667423" w:rsidP="00932E8F">
      <w:r w:rsidRPr="004A5072">
        <w:rPr>
          <w:rStyle w:val="Style1"/>
          <w:sz w:val="18"/>
        </w:rPr>
        <w:t xml:space="preserve">Analysis of Medicare Claims File </w:t>
      </w:r>
      <w:r w:rsidRPr="00A369FD">
        <w:rPr>
          <w:rStyle w:val="Style1"/>
          <w:sz w:val="18"/>
        </w:rPr>
        <w:t xml:space="preserve">for </w:t>
      </w:r>
      <w:r w:rsidR="00C32EC0" w:rsidRPr="00A369FD">
        <w:rPr>
          <w:rStyle w:val="Style1"/>
          <w:sz w:val="18"/>
        </w:rPr>
        <w:t>IRF</w:t>
      </w:r>
      <w:r w:rsidRPr="00A369FD">
        <w:rPr>
          <w:rStyle w:val="Style1"/>
          <w:sz w:val="18"/>
        </w:rPr>
        <w:t xml:space="preserve"> </w:t>
      </w:r>
      <w:r w:rsidR="00C30AF2" w:rsidRPr="008C7D29">
        <w:rPr>
          <w:rStyle w:val="Style1"/>
          <w:sz w:val="18"/>
        </w:rPr>
        <w:t>F</w:t>
      </w:r>
      <w:r w:rsidRPr="00A369FD">
        <w:rPr>
          <w:rStyle w:val="Style1"/>
          <w:sz w:val="18"/>
        </w:rPr>
        <w:t>Y 2016</w:t>
      </w:r>
      <w:r w:rsidR="008E3298" w:rsidRPr="00A369FD">
        <w:rPr>
          <w:rStyle w:val="Style1"/>
          <w:sz w:val="18"/>
        </w:rPr>
        <w:t>-</w:t>
      </w:r>
      <w:r w:rsidRPr="00A369FD">
        <w:rPr>
          <w:rStyle w:val="Style1"/>
          <w:sz w:val="18"/>
        </w:rPr>
        <w:t>2017.</w:t>
      </w:r>
    </w:p>
    <w:p w14:paraId="0CABCFFF" w14:textId="1FC4E715" w:rsidR="00743E46" w:rsidRDefault="009C7513" w:rsidP="00893355">
      <w:pPr>
        <w:pStyle w:val="Heading3"/>
      </w:pPr>
      <w:r>
        <w:t>2b3</w:t>
      </w:r>
      <w:r w:rsidR="00743E46">
        <w:t>.8</w:t>
      </w:r>
      <w:r w:rsidR="00001D73">
        <w:t xml:space="preserve">. </w:t>
      </w:r>
      <w:r w:rsidR="00743E46">
        <w:t xml:space="preserve">Statistical </w:t>
      </w:r>
      <w:r w:rsidR="00092566" w:rsidRPr="00A25024">
        <w:t>Risk Model Calibration – Risk decile plots or calibration curves:</w:t>
      </w:r>
      <w:r w:rsidR="00092566" w:rsidRPr="00A25024">
        <w:br/>
      </w:r>
    </w:p>
    <w:p w14:paraId="57957BB9" w14:textId="67227742" w:rsidR="00F769E7" w:rsidRPr="00F274D0" w:rsidRDefault="00F769E7" w:rsidP="00265939">
      <w:pPr>
        <w:ind w:firstLine="720"/>
        <w:rPr>
          <w:color w:val="0000FF"/>
        </w:rPr>
      </w:pPr>
      <w:r w:rsidRPr="00F274D0">
        <w:rPr>
          <w:color w:val="0000FF"/>
        </w:rPr>
        <w:t xml:space="preserve">The results of our analysis comparing the observed and predicted </w:t>
      </w:r>
      <w:r w:rsidR="001B07DB">
        <w:rPr>
          <w:color w:val="0000FF"/>
        </w:rPr>
        <w:t>spending</w:t>
      </w:r>
      <w:r w:rsidRPr="00F274D0">
        <w:rPr>
          <w:color w:val="0000FF"/>
        </w:rPr>
        <w:t xml:space="preserve"> by deciles of </w:t>
      </w:r>
      <w:r w:rsidR="001B07DB">
        <w:rPr>
          <w:color w:val="0000FF"/>
        </w:rPr>
        <w:t>spending</w:t>
      </w:r>
      <w:r w:rsidRPr="00F274D0">
        <w:rPr>
          <w:color w:val="0000FF"/>
        </w:rPr>
        <w:t xml:space="preserve"> risk are displayed in </w:t>
      </w:r>
      <w:r w:rsidRPr="00F274D0">
        <w:rPr>
          <w:b/>
          <w:color w:val="0000FF"/>
        </w:rPr>
        <w:t>section 2b3.7</w:t>
      </w:r>
      <w:r>
        <w:rPr>
          <w:color w:val="0000FF"/>
        </w:rPr>
        <w:t xml:space="preserve"> above</w:t>
      </w:r>
      <w:r w:rsidRPr="00F274D0">
        <w:rPr>
          <w:color w:val="0000FF"/>
        </w:rPr>
        <w:t>.</w:t>
      </w:r>
    </w:p>
    <w:p w14:paraId="0CABD000" w14:textId="0329BD51" w:rsidR="00092566" w:rsidRDefault="009C7513" w:rsidP="00893355">
      <w:pPr>
        <w:pStyle w:val="Heading3"/>
      </w:pPr>
      <w:bookmarkStart w:id="32" w:name="question2b49"/>
      <w:bookmarkEnd w:id="32"/>
      <w:r>
        <w:t>2b3</w:t>
      </w:r>
      <w:r w:rsidR="00743E46">
        <w:t>.9</w:t>
      </w:r>
      <w:r w:rsidR="00001D73">
        <w:t xml:space="preserve">. Results of </w:t>
      </w:r>
      <w:r w:rsidR="00092566" w:rsidRPr="00A25024">
        <w:t xml:space="preserve">Risk Stratification Analysis:  </w:t>
      </w:r>
    </w:p>
    <w:p w14:paraId="0CABD001" w14:textId="0C467D00" w:rsidR="00092566" w:rsidRPr="00A25024" w:rsidRDefault="00F769E7" w:rsidP="00932E8F">
      <w:pPr>
        <w:rPr>
          <w:rFonts w:cstheme="minorHAnsi"/>
          <w:bCs/>
        </w:rPr>
      </w:pPr>
      <w:r w:rsidRPr="00932E8F">
        <w:rPr>
          <w:color w:val="0000FF"/>
        </w:rPr>
        <w:t>Not applicable</w:t>
      </w:r>
    </w:p>
    <w:p w14:paraId="4F1C9AAC" w14:textId="77777777" w:rsidR="00941A96" w:rsidRDefault="009C7513" w:rsidP="00893355">
      <w:pPr>
        <w:pStyle w:val="Heading3"/>
      </w:pPr>
      <w:r>
        <w:t>2b3</w:t>
      </w:r>
      <w:r w:rsidR="00743E46">
        <w:t>.10</w:t>
      </w:r>
      <w:r w:rsidR="00001D73">
        <w:t xml:space="preserve">. </w:t>
      </w:r>
      <w:r w:rsidR="00092566" w:rsidRPr="00A25024">
        <w:t xml:space="preserve">What is your interpretation of the results in terms of demonstrating adequacy of controlling for differences in patient characteristics (case mix)? </w:t>
      </w:r>
    </w:p>
    <w:p w14:paraId="0CABD002" w14:textId="0472B1A1" w:rsidR="00092566" w:rsidRDefault="00092566" w:rsidP="00092566">
      <w:pPr>
        <w:autoSpaceDE w:val="0"/>
        <w:autoSpaceDN w:val="0"/>
        <w:adjustRightInd w:val="0"/>
        <w:spacing w:after="0" w:line="240" w:lineRule="auto"/>
        <w:rPr>
          <w:rFonts w:cstheme="minorHAnsi"/>
          <w:bCs/>
        </w:rPr>
      </w:pPr>
      <w:r w:rsidRPr="00A25024">
        <w:rPr>
          <w:rFonts w:cstheme="minorHAnsi"/>
          <w:bCs/>
        </w:rPr>
        <w:t>(i</w:t>
      </w:r>
      <w:r w:rsidRPr="00A25024">
        <w:rPr>
          <w:rFonts w:cstheme="minorHAnsi"/>
          <w:bCs/>
          <w:i/>
        </w:rPr>
        <w:t>.e., what do the results mean and what are the norms for the test conducted</w:t>
      </w:r>
      <w:r w:rsidRPr="00A25024">
        <w:rPr>
          <w:rFonts w:cstheme="minorHAnsi"/>
          <w:bCs/>
        </w:rPr>
        <w:t>)</w:t>
      </w:r>
      <w:r w:rsidRPr="00A25024">
        <w:rPr>
          <w:rFonts w:cstheme="minorHAnsi"/>
          <w:bCs/>
        </w:rPr>
        <w:br/>
      </w:r>
    </w:p>
    <w:p w14:paraId="6CACC1A4" w14:textId="422EB28A" w:rsidR="00BE7F61" w:rsidRDefault="00345DB3" w:rsidP="00D03C89">
      <w:pPr>
        <w:autoSpaceDE w:val="0"/>
        <w:autoSpaceDN w:val="0"/>
        <w:spacing w:after="0" w:line="240" w:lineRule="auto"/>
        <w:ind w:firstLine="720"/>
      </w:pPr>
      <w:r w:rsidRPr="00CE2F9A">
        <w:rPr>
          <w:rFonts w:eastAsia="Calibri" w:cstheme="minorHAnsi"/>
          <w:color w:val="0000FF"/>
        </w:rPr>
        <w:t xml:space="preserve">The model discrimination and calibration results demonstrate </w:t>
      </w:r>
      <w:r w:rsidR="0029689D">
        <w:rPr>
          <w:rFonts w:eastAsia="Calibri" w:cstheme="minorHAnsi"/>
          <w:color w:val="0000FF"/>
        </w:rPr>
        <w:t xml:space="preserve">good </w:t>
      </w:r>
      <w:r w:rsidR="0029689D" w:rsidRPr="00CE2F9A">
        <w:rPr>
          <w:rFonts w:eastAsia="Calibri" w:cstheme="minorHAnsi"/>
          <w:color w:val="0000FF"/>
        </w:rPr>
        <w:t xml:space="preserve">predictive ability across the full range of </w:t>
      </w:r>
      <w:r w:rsidR="0029689D">
        <w:rPr>
          <w:rFonts w:eastAsia="Calibri" w:cstheme="minorHAnsi"/>
          <w:color w:val="0000FF"/>
        </w:rPr>
        <w:t>episodes</w:t>
      </w:r>
      <w:r w:rsidR="0029689D" w:rsidRPr="00CE2F9A">
        <w:rPr>
          <w:rFonts w:eastAsia="Calibri" w:cstheme="minorHAnsi"/>
          <w:color w:val="0000FF"/>
        </w:rPr>
        <w:t xml:space="preserve">, from low to high </w:t>
      </w:r>
      <w:r w:rsidR="0029689D">
        <w:rPr>
          <w:rFonts w:eastAsia="Calibri" w:cstheme="minorHAnsi"/>
          <w:color w:val="0000FF"/>
        </w:rPr>
        <w:t>spending risk</w:t>
      </w:r>
      <w:r w:rsidR="0029689D" w:rsidRPr="00CE2F9A">
        <w:rPr>
          <w:rFonts w:eastAsia="Calibri" w:cstheme="minorHAnsi"/>
          <w:color w:val="0000FF"/>
        </w:rPr>
        <w:t xml:space="preserve">. There was no evidence of </w:t>
      </w:r>
      <w:r w:rsidR="0029689D">
        <w:rPr>
          <w:rFonts w:eastAsia="Calibri" w:cstheme="minorHAnsi"/>
          <w:color w:val="0000FF"/>
        </w:rPr>
        <w:t>excessive</w:t>
      </w:r>
      <w:r w:rsidR="0029689D" w:rsidRPr="00CE2F9A">
        <w:rPr>
          <w:rFonts w:eastAsia="Calibri" w:cstheme="minorHAnsi"/>
          <w:color w:val="0000FF"/>
        </w:rPr>
        <w:t xml:space="preserve"> under- or over-estimation at the extremes of </w:t>
      </w:r>
      <w:r w:rsidR="0029689D">
        <w:rPr>
          <w:rFonts w:eastAsia="Calibri" w:cstheme="minorHAnsi"/>
          <w:color w:val="0000FF"/>
        </w:rPr>
        <w:t>episode</w:t>
      </w:r>
      <w:r w:rsidR="0029689D" w:rsidRPr="00CE2F9A">
        <w:rPr>
          <w:rFonts w:eastAsia="Calibri" w:cstheme="minorHAnsi"/>
          <w:color w:val="0000FF"/>
        </w:rPr>
        <w:t xml:space="preserve"> risk.</w:t>
      </w:r>
      <w:r w:rsidR="0029689D">
        <w:rPr>
          <w:rFonts w:eastAsia="Calibri" w:cstheme="minorHAnsi"/>
          <w:color w:val="0000FF"/>
        </w:rPr>
        <w:t xml:space="preserve"> </w:t>
      </w:r>
      <w:r w:rsidR="0063124A">
        <w:rPr>
          <w:color w:val="0000FF"/>
        </w:rPr>
        <w:t xml:space="preserve">The overall adjusted R-squared </w:t>
      </w:r>
      <w:r w:rsidR="0063124A" w:rsidRPr="00D10415">
        <w:rPr>
          <w:color w:val="0000FF"/>
        </w:rPr>
        <w:t>is 0.</w:t>
      </w:r>
      <w:r w:rsidR="008B0DCF">
        <w:rPr>
          <w:color w:val="0000FF"/>
        </w:rPr>
        <w:t>1595</w:t>
      </w:r>
      <w:r w:rsidR="0063124A" w:rsidRPr="00D10415">
        <w:rPr>
          <w:color w:val="0000FF"/>
        </w:rPr>
        <w:t xml:space="preserve">. </w:t>
      </w:r>
      <w:r w:rsidR="008B4FE7" w:rsidRPr="00D10415">
        <w:rPr>
          <w:rFonts w:eastAsia="Calibri" w:cstheme="minorHAnsi"/>
          <w:color w:val="0000FF"/>
        </w:rPr>
        <w:t>The</w:t>
      </w:r>
      <w:r w:rsidR="008B4FE7">
        <w:rPr>
          <w:rFonts w:eastAsia="Calibri" w:cstheme="minorHAnsi"/>
          <w:color w:val="0000FF"/>
        </w:rPr>
        <w:t xml:space="preserve"> model controls for over 100 comorbidities (including comorbid interactions), case</w:t>
      </w:r>
      <w:r w:rsidR="00F96946">
        <w:rPr>
          <w:rFonts w:eastAsia="Calibri" w:cstheme="minorHAnsi"/>
          <w:color w:val="0000FF"/>
        </w:rPr>
        <w:t>-</w:t>
      </w:r>
      <w:r w:rsidR="008B4FE7">
        <w:rPr>
          <w:rFonts w:eastAsia="Calibri" w:cstheme="minorHAnsi"/>
          <w:color w:val="0000FF"/>
        </w:rPr>
        <w:t xml:space="preserve">mix categories, </w:t>
      </w:r>
      <w:r w:rsidR="0063124A">
        <w:rPr>
          <w:rFonts w:eastAsia="Calibri" w:cstheme="minorHAnsi"/>
          <w:color w:val="0000FF"/>
        </w:rPr>
        <w:t xml:space="preserve">and </w:t>
      </w:r>
      <w:r w:rsidR="009668D1">
        <w:rPr>
          <w:rFonts w:eastAsia="Calibri" w:cstheme="minorHAnsi"/>
          <w:color w:val="0000FF"/>
        </w:rPr>
        <w:t>patient risk factors</w:t>
      </w:r>
      <w:r w:rsidR="00D31F28">
        <w:rPr>
          <w:rFonts w:eastAsia="Calibri" w:cstheme="minorHAnsi"/>
          <w:color w:val="0000FF"/>
        </w:rPr>
        <w:t xml:space="preserve">. </w:t>
      </w:r>
      <w:r w:rsidR="009668D1" w:rsidRPr="0048707A">
        <w:rPr>
          <w:rFonts w:cstheme="minorHAnsi"/>
          <w:iCs/>
          <w:color w:val="0000FF"/>
          <w:szCs w:val="18"/>
          <w:lang w:val="en"/>
        </w:rPr>
        <w:t xml:space="preserve">Extensive clinical review was performed by clinicians with experience providing care in </w:t>
      </w:r>
      <w:r w:rsidR="00D31F28">
        <w:rPr>
          <w:rFonts w:cstheme="minorHAnsi"/>
          <w:iCs/>
          <w:color w:val="0000FF"/>
          <w:szCs w:val="18"/>
          <w:lang w:val="en"/>
        </w:rPr>
        <w:t>IRF</w:t>
      </w:r>
      <w:r w:rsidR="009668D1" w:rsidRPr="0048707A">
        <w:rPr>
          <w:rFonts w:cstheme="minorHAnsi"/>
          <w:iCs/>
          <w:color w:val="0000FF"/>
          <w:szCs w:val="18"/>
          <w:lang w:val="en"/>
        </w:rPr>
        <w:t xml:space="preserve"> settings</w:t>
      </w:r>
      <w:r w:rsidR="009668D1">
        <w:rPr>
          <w:rFonts w:cstheme="minorHAnsi"/>
          <w:iCs/>
          <w:color w:val="0000FF"/>
          <w:szCs w:val="18"/>
          <w:lang w:val="en"/>
        </w:rPr>
        <w:t>,</w:t>
      </w:r>
      <w:r w:rsidR="009668D1" w:rsidRPr="0048707A">
        <w:rPr>
          <w:rFonts w:cstheme="minorHAnsi"/>
          <w:iCs/>
          <w:color w:val="0000FF"/>
          <w:szCs w:val="18"/>
          <w:lang w:val="en"/>
        </w:rPr>
        <w:t xml:space="preserve"> in collaboration with Medical Officers at CMS</w:t>
      </w:r>
      <w:r w:rsidR="00293EAA">
        <w:rPr>
          <w:rFonts w:cstheme="minorHAnsi"/>
          <w:iCs/>
          <w:color w:val="0000FF"/>
          <w:szCs w:val="18"/>
          <w:lang w:val="en"/>
        </w:rPr>
        <w:t>, to identify and review relevant risk factors</w:t>
      </w:r>
      <w:r w:rsidR="009668D1" w:rsidRPr="0048707A">
        <w:rPr>
          <w:rFonts w:cstheme="minorHAnsi"/>
          <w:iCs/>
          <w:color w:val="0000FF"/>
          <w:szCs w:val="18"/>
          <w:lang w:val="en"/>
        </w:rPr>
        <w:t>.</w:t>
      </w:r>
      <w:r w:rsidR="009668D1">
        <w:rPr>
          <w:rFonts w:cstheme="minorHAnsi"/>
          <w:iCs/>
          <w:color w:val="0000FF"/>
          <w:szCs w:val="18"/>
          <w:lang w:val="en"/>
        </w:rPr>
        <w:t xml:space="preserve"> Furthermore, </w:t>
      </w:r>
      <w:r w:rsidR="00C84128">
        <w:rPr>
          <w:rFonts w:cstheme="minorHAnsi"/>
          <w:iCs/>
          <w:color w:val="0000FF"/>
          <w:szCs w:val="18"/>
          <w:lang w:val="en"/>
        </w:rPr>
        <w:t>certain</w:t>
      </w:r>
      <w:r w:rsidR="009668D1">
        <w:rPr>
          <w:rFonts w:cstheme="minorHAnsi"/>
          <w:iCs/>
          <w:color w:val="0000FF"/>
          <w:szCs w:val="18"/>
          <w:lang w:val="en"/>
        </w:rPr>
        <w:t xml:space="preserve"> features of the model improve its policy and practical usability while potentially reducing its fit statistics</w:t>
      </w:r>
      <w:r w:rsidR="00F71DD3">
        <w:rPr>
          <w:rFonts w:cstheme="minorHAnsi"/>
          <w:iCs/>
          <w:color w:val="0000FF"/>
          <w:szCs w:val="18"/>
          <w:lang w:val="en"/>
        </w:rPr>
        <w:t xml:space="preserve"> (adjusted R-squared)</w:t>
      </w:r>
      <w:r w:rsidR="009668D1">
        <w:rPr>
          <w:rFonts w:cstheme="minorHAnsi"/>
          <w:iCs/>
          <w:color w:val="0000FF"/>
          <w:szCs w:val="18"/>
          <w:lang w:val="en"/>
        </w:rPr>
        <w:t xml:space="preserve">. </w:t>
      </w:r>
      <w:r w:rsidR="00E85E81">
        <w:rPr>
          <w:rFonts w:cstheme="minorHAnsi"/>
          <w:iCs/>
          <w:color w:val="0000FF"/>
          <w:szCs w:val="18"/>
          <w:lang w:val="en"/>
        </w:rPr>
        <w:t>Most importantly</w:t>
      </w:r>
      <w:r w:rsidR="009668D1">
        <w:rPr>
          <w:rFonts w:cstheme="minorHAnsi"/>
          <w:iCs/>
          <w:color w:val="0000FF"/>
          <w:szCs w:val="18"/>
          <w:lang w:val="en"/>
        </w:rPr>
        <w:t>, unrelated services</w:t>
      </w:r>
      <w:r w:rsidR="009B3966">
        <w:rPr>
          <w:rFonts w:cstheme="minorHAnsi"/>
          <w:iCs/>
          <w:color w:val="0000FF"/>
          <w:szCs w:val="18"/>
          <w:lang w:val="en"/>
        </w:rPr>
        <w:t>, such as planned hospital admissions and routine management of certain preexisting chronic conditions</w:t>
      </w:r>
      <w:r w:rsidR="009668D1">
        <w:rPr>
          <w:rFonts w:cstheme="minorHAnsi"/>
          <w:iCs/>
          <w:color w:val="0000FF"/>
          <w:szCs w:val="18"/>
          <w:lang w:val="en"/>
        </w:rPr>
        <w:t xml:space="preserve"> (see </w:t>
      </w:r>
      <w:r w:rsidR="009668D1">
        <w:rPr>
          <w:rFonts w:cstheme="minorHAnsi"/>
          <w:b/>
          <w:iCs/>
          <w:color w:val="0000FF"/>
          <w:szCs w:val="18"/>
          <w:lang w:val="en"/>
        </w:rPr>
        <w:t xml:space="preserve">section </w:t>
      </w:r>
      <w:r w:rsidR="00220C50">
        <w:rPr>
          <w:rFonts w:cstheme="minorHAnsi"/>
          <w:b/>
          <w:iCs/>
          <w:color w:val="0000FF"/>
          <w:szCs w:val="18"/>
          <w:lang w:val="en"/>
        </w:rPr>
        <w:t>S.9.1</w:t>
      </w:r>
      <w:r w:rsidR="00220C50" w:rsidRPr="00495623">
        <w:rPr>
          <w:rFonts w:cstheme="minorHAnsi"/>
          <w:b/>
          <w:iCs/>
          <w:color w:val="0000FF"/>
          <w:szCs w:val="18"/>
          <w:lang w:val="en"/>
        </w:rPr>
        <w:t xml:space="preserve"> of the Intent to Submit form</w:t>
      </w:r>
      <w:r w:rsidR="00220C50">
        <w:rPr>
          <w:rFonts w:cstheme="minorHAnsi"/>
          <w:iCs/>
          <w:color w:val="0000FF"/>
          <w:szCs w:val="18"/>
          <w:lang w:val="en"/>
        </w:rPr>
        <w:t>)</w:t>
      </w:r>
      <w:r w:rsidR="009B3966">
        <w:rPr>
          <w:rFonts w:cstheme="minorHAnsi"/>
          <w:iCs/>
          <w:color w:val="0000FF"/>
          <w:szCs w:val="18"/>
          <w:lang w:val="en"/>
        </w:rPr>
        <w:t xml:space="preserve">, were purposefully and carefully excluded to improve the ability to interpret and compare MSPB-PAC </w:t>
      </w:r>
      <w:r w:rsidR="00D31F28">
        <w:rPr>
          <w:rFonts w:cstheme="minorHAnsi"/>
          <w:iCs/>
          <w:color w:val="0000FF"/>
          <w:szCs w:val="18"/>
          <w:lang w:val="en"/>
        </w:rPr>
        <w:t>IRF</w:t>
      </w:r>
      <w:r w:rsidR="009B3966">
        <w:rPr>
          <w:rFonts w:cstheme="minorHAnsi"/>
          <w:iCs/>
          <w:color w:val="0000FF"/>
          <w:szCs w:val="18"/>
          <w:lang w:val="en"/>
        </w:rPr>
        <w:t xml:space="preserve"> scores across providers. </w:t>
      </w:r>
      <w:r w:rsidR="00BE7F61" w:rsidRPr="00495623">
        <w:rPr>
          <w:color w:val="0000FF"/>
          <w:lang w:val="en"/>
        </w:rPr>
        <w:t xml:space="preserve">The R-squared cannot be evaluated alone and must be considered in combination with the costs excluded from the measure to ensure clinical validity. </w:t>
      </w:r>
      <w:r w:rsidR="00C97CD6" w:rsidRPr="00495623">
        <w:rPr>
          <w:color w:val="0000FF"/>
          <w:lang w:val="en"/>
        </w:rPr>
        <w:t>Since unrelated services may be well predicted by patient risk factors, excluding them can reduce the explained portion of the cost variance and the model's adjusted R-squared</w:t>
      </w:r>
      <w:r w:rsidR="00C97CD6" w:rsidRPr="00C97CD6">
        <w:rPr>
          <w:color w:val="0000FF"/>
          <w:lang w:val="en"/>
        </w:rPr>
        <w:t xml:space="preserve">. </w:t>
      </w:r>
      <w:r w:rsidR="00BE7F61">
        <w:rPr>
          <w:color w:val="0000FF"/>
          <w:lang w:val="en"/>
        </w:rPr>
        <w:t xml:space="preserve">For example, </w:t>
      </w:r>
      <w:r w:rsidR="00D03C89">
        <w:rPr>
          <w:color w:val="0000FF"/>
          <w:lang w:val="en"/>
        </w:rPr>
        <w:t xml:space="preserve">MSPB-PAC </w:t>
      </w:r>
      <w:r w:rsidR="00D31F28">
        <w:rPr>
          <w:color w:val="0000FF"/>
          <w:lang w:val="en"/>
        </w:rPr>
        <w:t>IRF</w:t>
      </w:r>
      <w:r w:rsidR="00BE7F61">
        <w:rPr>
          <w:color w:val="0000FF"/>
          <w:lang w:val="en"/>
        </w:rPr>
        <w:t xml:space="preserve"> excluded services such as routine dialysis for end-stage renal disease (ESRD)</w:t>
      </w:r>
      <w:r w:rsidR="00D03C89">
        <w:rPr>
          <w:color w:val="0000FF"/>
          <w:lang w:val="en"/>
        </w:rPr>
        <w:t>,</w:t>
      </w:r>
      <w:r w:rsidR="00BE7F61">
        <w:rPr>
          <w:color w:val="0000FF"/>
          <w:lang w:val="en"/>
        </w:rPr>
        <w:t xml:space="preserve"> as they were not felt to be prescribed by or within the scope of the </w:t>
      </w:r>
      <w:r w:rsidR="008E1673">
        <w:rPr>
          <w:color w:val="0000FF"/>
          <w:lang w:val="en"/>
        </w:rPr>
        <w:t>IRF</w:t>
      </w:r>
      <w:r w:rsidR="00BE7F61">
        <w:rPr>
          <w:color w:val="0000FF"/>
          <w:lang w:val="en"/>
        </w:rPr>
        <w:t xml:space="preserve"> provider</w:t>
      </w:r>
      <w:r w:rsidR="00A63BA5">
        <w:rPr>
          <w:color w:val="0000FF"/>
          <w:lang w:val="en"/>
        </w:rPr>
        <w:t>s</w:t>
      </w:r>
      <w:r w:rsidR="00BE7F61">
        <w:rPr>
          <w:color w:val="0000FF"/>
          <w:lang w:val="en"/>
        </w:rPr>
        <w:t xml:space="preserve">. </w:t>
      </w:r>
      <w:r w:rsidR="00A63BA5">
        <w:rPr>
          <w:color w:val="0000FF"/>
          <w:lang w:val="en"/>
        </w:rPr>
        <w:t>I</w:t>
      </w:r>
      <w:r w:rsidR="00BE7F61">
        <w:rPr>
          <w:color w:val="0000FF"/>
          <w:lang w:val="en"/>
        </w:rPr>
        <w:t xml:space="preserve">f these services had been included in the </w:t>
      </w:r>
      <w:r w:rsidR="008E1673">
        <w:rPr>
          <w:color w:val="0000FF"/>
          <w:lang w:val="en"/>
        </w:rPr>
        <w:t>IRF</w:t>
      </w:r>
      <w:r w:rsidR="00BE7F61">
        <w:rPr>
          <w:color w:val="0000FF"/>
          <w:lang w:val="en"/>
        </w:rPr>
        <w:t xml:space="preserve"> measure, doing so would have increased the R-squared because the ESRD </w:t>
      </w:r>
      <w:r w:rsidR="00A63BA5">
        <w:rPr>
          <w:color w:val="0000FF"/>
          <w:lang w:val="en"/>
        </w:rPr>
        <w:t>indicator variable</w:t>
      </w:r>
      <w:r w:rsidR="00BE7F61">
        <w:rPr>
          <w:color w:val="0000FF"/>
          <w:lang w:val="en"/>
        </w:rPr>
        <w:t xml:space="preserve"> in the risk adjustment model would explain much of the variation due to dialysis. </w:t>
      </w:r>
      <w:r w:rsidR="00E67DC9">
        <w:rPr>
          <w:color w:val="0000FF"/>
          <w:lang w:val="en"/>
        </w:rPr>
        <w:t>This</w:t>
      </w:r>
      <w:r w:rsidR="00A63BA5">
        <w:rPr>
          <w:color w:val="0000FF"/>
          <w:lang w:val="en"/>
        </w:rPr>
        <w:t>, however,</w:t>
      </w:r>
      <w:r w:rsidR="00BE7F61">
        <w:rPr>
          <w:color w:val="0000FF"/>
          <w:lang w:val="en"/>
        </w:rPr>
        <w:t xml:space="preserve"> would </w:t>
      </w:r>
      <w:r w:rsidR="00A63BA5">
        <w:rPr>
          <w:color w:val="0000FF"/>
          <w:lang w:val="en"/>
        </w:rPr>
        <w:t xml:space="preserve">have </w:t>
      </w:r>
      <w:r w:rsidR="00BE7F61">
        <w:rPr>
          <w:color w:val="0000FF"/>
          <w:lang w:val="en"/>
        </w:rPr>
        <w:t>create</w:t>
      </w:r>
      <w:r w:rsidR="00A63BA5">
        <w:rPr>
          <w:color w:val="0000FF"/>
          <w:lang w:val="en"/>
        </w:rPr>
        <w:t>d</w:t>
      </w:r>
      <w:r w:rsidR="00BE7F61">
        <w:rPr>
          <w:color w:val="0000FF"/>
          <w:lang w:val="en"/>
        </w:rPr>
        <w:t xml:space="preserve"> an inferior measure</w:t>
      </w:r>
      <w:r w:rsidR="00A63BA5">
        <w:rPr>
          <w:color w:val="0000FF"/>
          <w:lang w:val="en"/>
        </w:rPr>
        <w:t>,</w:t>
      </w:r>
      <w:r w:rsidR="00BE7F61">
        <w:rPr>
          <w:color w:val="0000FF"/>
          <w:lang w:val="en"/>
        </w:rPr>
        <w:t xml:space="preserve"> </w:t>
      </w:r>
      <w:r w:rsidR="00A63BA5">
        <w:rPr>
          <w:color w:val="0000FF"/>
          <w:lang w:val="en"/>
        </w:rPr>
        <w:t>as</w:t>
      </w:r>
      <w:r w:rsidR="00BE7F61">
        <w:rPr>
          <w:color w:val="0000FF"/>
          <w:lang w:val="en"/>
        </w:rPr>
        <w:t xml:space="preserve"> it</w:t>
      </w:r>
      <w:r w:rsidR="00A63BA5">
        <w:rPr>
          <w:color w:val="0000FF"/>
          <w:lang w:val="en"/>
        </w:rPr>
        <w:t xml:space="preserve"> would</w:t>
      </w:r>
      <w:r w:rsidR="00BE7F61">
        <w:rPr>
          <w:color w:val="0000FF"/>
          <w:lang w:val="en"/>
        </w:rPr>
        <w:t xml:space="preserve"> lack clinical validity. </w:t>
      </w:r>
    </w:p>
    <w:p w14:paraId="24DC6E8A" w14:textId="238DD68B" w:rsidR="007E44B9" w:rsidRDefault="007E44B9" w:rsidP="00265939">
      <w:pPr>
        <w:spacing w:after="0" w:line="240" w:lineRule="auto"/>
        <w:ind w:firstLine="720"/>
        <w:rPr>
          <w:rFonts w:eastAsia="Calibri" w:cstheme="minorHAnsi"/>
          <w:color w:val="0000FF"/>
        </w:rPr>
      </w:pPr>
    </w:p>
    <w:p w14:paraId="1EBCA12E" w14:textId="14842F94" w:rsidR="00345DB3" w:rsidRPr="00CE2F9A" w:rsidRDefault="00345DB3" w:rsidP="00265939">
      <w:pPr>
        <w:spacing w:after="0" w:line="240" w:lineRule="auto"/>
        <w:ind w:firstLine="720"/>
        <w:rPr>
          <w:color w:val="0000FF"/>
        </w:rPr>
      </w:pPr>
      <w:r w:rsidRPr="00CE2F9A">
        <w:rPr>
          <w:rFonts w:cstheme="minorHAnsi"/>
          <w:bCs/>
          <w:iCs/>
          <w:color w:val="0000FF"/>
        </w:rPr>
        <w:t>The distribution of facility-level observed and risk-</w:t>
      </w:r>
      <w:r>
        <w:rPr>
          <w:rFonts w:cstheme="minorHAnsi"/>
          <w:bCs/>
          <w:iCs/>
          <w:color w:val="0000FF"/>
        </w:rPr>
        <w:t>adjusted</w:t>
      </w:r>
      <w:r w:rsidRPr="00CE2F9A">
        <w:rPr>
          <w:rFonts w:cstheme="minorHAnsi"/>
          <w:bCs/>
          <w:iCs/>
          <w:color w:val="0000FF"/>
        </w:rPr>
        <w:t xml:space="preserve"> </w:t>
      </w:r>
      <w:r>
        <w:rPr>
          <w:rFonts w:cstheme="minorHAnsi"/>
          <w:bCs/>
          <w:iCs/>
          <w:color w:val="0000FF"/>
        </w:rPr>
        <w:t>spending</w:t>
      </w:r>
      <w:r w:rsidRPr="00CE2F9A">
        <w:rPr>
          <w:rFonts w:cstheme="minorHAnsi"/>
          <w:bCs/>
          <w:iCs/>
          <w:color w:val="0000FF"/>
        </w:rPr>
        <w:t xml:space="preserve"> is shown in </w:t>
      </w:r>
      <w:r w:rsidRPr="00B04209">
        <w:rPr>
          <w:rFonts w:cstheme="minorHAnsi"/>
          <w:b/>
          <w:bCs/>
          <w:iCs/>
          <w:color w:val="0000FF"/>
        </w:rPr>
        <w:fldChar w:fldCharType="begin"/>
      </w:r>
      <w:r w:rsidRPr="00B04209">
        <w:rPr>
          <w:rFonts w:cstheme="minorHAnsi"/>
          <w:b/>
          <w:bCs/>
          <w:iCs/>
          <w:color w:val="0000FF"/>
        </w:rPr>
        <w:instrText xml:space="preserve"> REF _Ref23497934 \h  \* MERGEFORMAT </w:instrText>
      </w:r>
      <w:r w:rsidRPr="00B04209">
        <w:rPr>
          <w:rFonts w:cstheme="minorHAnsi"/>
          <w:b/>
          <w:bCs/>
          <w:iCs/>
          <w:color w:val="0000FF"/>
        </w:rPr>
      </w:r>
      <w:r w:rsidRPr="00B04209">
        <w:rPr>
          <w:rFonts w:cstheme="minorHAnsi"/>
          <w:b/>
          <w:bCs/>
          <w:iCs/>
          <w:color w:val="0000FF"/>
        </w:rPr>
        <w:fldChar w:fldCharType="separate"/>
      </w:r>
      <w:r w:rsidR="00B6644A" w:rsidRPr="00495623">
        <w:rPr>
          <w:b/>
          <w:color w:val="0000FF"/>
        </w:rPr>
        <w:t>Table 12</w:t>
      </w:r>
      <w:r w:rsidRPr="00B04209">
        <w:rPr>
          <w:rFonts w:cstheme="minorHAnsi"/>
          <w:b/>
          <w:bCs/>
          <w:iCs/>
          <w:color w:val="0000FF"/>
        </w:rPr>
        <w:fldChar w:fldCharType="end"/>
      </w:r>
      <w:r w:rsidRPr="00CE2F9A">
        <w:rPr>
          <w:rFonts w:cstheme="minorHAnsi"/>
          <w:bCs/>
          <w:iCs/>
          <w:color w:val="0000FF"/>
        </w:rPr>
        <w:t xml:space="preserve"> and </w:t>
      </w:r>
      <w:r w:rsidRPr="00B04209">
        <w:rPr>
          <w:rFonts w:cstheme="minorHAnsi"/>
          <w:b/>
          <w:bCs/>
          <w:iCs/>
          <w:color w:val="0000FF"/>
        </w:rPr>
        <w:fldChar w:fldCharType="begin"/>
      </w:r>
      <w:r w:rsidRPr="00B04209">
        <w:rPr>
          <w:rFonts w:cstheme="minorHAnsi"/>
          <w:b/>
          <w:bCs/>
          <w:iCs/>
          <w:color w:val="0000FF"/>
        </w:rPr>
        <w:instrText xml:space="preserve"> REF _Ref23497962 \h  \* MERGEFORMAT </w:instrText>
      </w:r>
      <w:r w:rsidRPr="00B04209">
        <w:rPr>
          <w:rFonts w:cstheme="minorHAnsi"/>
          <w:b/>
          <w:bCs/>
          <w:iCs/>
          <w:color w:val="0000FF"/>
        </w:rPr>
      </w:r>
      <w:r w:rsidRPr="00B04209">
        <w:rPr>
          <w:rFonts w:cstheme="minorHAnsi"/>
          <w:b/>
          <w:bCs/>
          <w:iCs/>
          <w:color w:val="0000FF"/>
        </w:rPr>
        <w:fldChar w:fldCharType="separate"/>
      </w:r>
      <w:r w:rsidR="00B6644A" w:rsidRPr="00495623">
        <w:rPr>
          <w:b/>
          <w:color w:val="0000FF"/>
        </w:rPr>
        <w:t xml:space="preserve">Figure </w:t>
      </w:r>
      <w:r w:rsidR="00B6644A" w:rsidRPr="00495623">
        <w:rPr>
          <w:b/>
          <w:noProof/>
          <w:color w:val="0000FF"/>
        </w:rPr>
        <w:t>2</w:t>
      </w:r>
      <w:r w:rsidRPr="00B04209">
        <w:rPr>
          <w:rFonts w:cstheme="minorHAnsi"/>
          <w:b/>
          <w:bCs/>
          <w:iCs/>
          <w:color w:val="0000FF"/>
        </w:rPr>
        <w:fldChar w:fldCharType="end"/>
      </w:r>
      <w:r w:rsidRPr="00CE2F9A">
        <w:rPr>
          <w:rFonts w:cstheme="minorHAnsi"/>
          <w:b/>
          <w:bCs/>
          <w:iCs/>
          <w:color w:val="0000FF"/>
        </w:rPr>
        <w:t>.</w:t>
      </w:r>
      <w:r w:rsidRPr="00CE2F9A">
        <w:rPr>
          <w:rFonts w:cstheme="minorHAnsi"/>
          <w:color w:val="0000FF"/>
        </w:rPr>
        <w:t xml:space="preserve"> </w:t>
      </w:r>
      <w:r w:rsidRPr="00CE2F9A">
        <w:rPr>
          <w:color w:val="0000FF"/>
        </w:rPr>
        <w:t xml:space="preserve">By taking into account beneficiary characteristics that are outside the provider’s control, the model compresses the distribution of </w:t>
      </w:r>
      <w:r>
        <w:rPr>
          <w:color w:val="0000FF"/>
        </w:rPr>
        <w:t>provider-level spending</w:t>
      </w:r>
      <w:r w:rsidRPr="00CE2F9A">
        <w:rPr>
          <w:color w:val="0000FF"/>
        </w:rPr>
        <w:t xml:space="preserve"> and decreases their variability.</w:t>
      </w:r>
      <w:r w:rsidR="0029689D">
        <w:rPr>
          <w:color w:val="0000FF"/>
        </w:rPr>
        <w:t xml:space="preserve"> The degree of compression demonstrates that there exists a significant amount of variation in </w:t>
      </w:r>
      <w:r w:rsidR="00D31F28">
        <w:rPr>
          <w:color w:val="0000FF"/>
        </w:rPr>
        <w:t>IRF</w:t>
      </w:r>
      <w:r w:rsidR="006C55F4">
        <w:rPr>
          <w:color w:val="0000FF"/>
        </w:rPr>
        <w:t xml:space="preserve"> spending that is not explained by the observed beneficiary risk factors.</w:t>
      </w:r>
    </w:p>
    <w:p w14:paraId="4580309C" w14:textId="77777777" w:rsidR="00345DB3" w:rsidRPr="00CE2F9A" w:rsidRDefault="00345DB3" w:rsidP="00345DB3">
      <w:pPr>
        <w:spacing w:after="0" w:line="240" w:lineRule="auto"/>
        <w:rPr>
          <w:color w:val="0000FF"/>
        </w:rPr>
      </w:pPr>
    </w:p>
    <w:p w14:paraId="61D5B4C6" w14:textId="18FCD924" w:rsidR="00345DB3" w:rsidRDefault="00345DB3" w:rsidP="00932E8F">
      <w:pPr>
        <w:pStyle w:val="Caption"/>
        <w:spacing w:after="0"/>
      </w:pPr>
      <w:bookmarkStart w:id="33" w:name="_Ref23497934"/>
      <w:r w:rsidRPr="00CE2F9A">
        <w:t xml:space="preserve">Table </w:t>
      </w:r>
      <w:r w:rsidR="009561FA">
        <w:rPr>
          <w:noProof/>
        </w:rPr>
        <w:fldChar w:fldCharType="begin"/>
      </w:r>
      <w:r w:rsidR="009561FA">
        <w:rPr>
          <w:noProof/>
        </w:rPr>
        <w:instrText xml:space="preserve"> SEQ Table \* ARABIC </w:instrText>
      </w:r>
      <w:r w:rsidR="009561FA">
        <w:rPr>
          <w:noProof/>
        </w:rPr>
        <w:fldChar w:fldCharType="separate"/>
      </w:r>
      <w:r w:rsidR="00B6644A">
        <w:rPr>
          <w:noProof/>
        </w:rPr>
        <w:t>12</w:t>
      </w:r>
      <w:r w:rsidR="009561FA">
        <w:rPr>
          <w:noProof/>
        </w:rPr>
        <w:fldChar w:fldCharType="end"/>
      </w:r>
      <w:bookmarkEnd w:id="33"/>
      <w:r w:rsidRPr="00CE2F9A">
        <w:t xml:space="preserve">. </w:t>
      </w:r>
      <w:r w:rsidRPr="00B76F32">
        <w:t xml:space="preserve">Distribution of </w:t>
      </w:r>
      <w:r>
        <w:t>Provider-L</w:t>
      </w:r>
      <w:r w:rsidRPr="00B76F32">
        <w:t xml:space="preserve">evel </w:t>
      </w:r>
      <w:r>
        <w:t>O</w:t>
      </w:r>
      <w:r w:rsidRPr="00B76F32">
        <w:t xml:space="preserve">bserved and </w:t>
      </w:r>
      <w:r>
        <w:t>R</w:t>
      </w:r>
      <w:r w:rsidRPr="00B76F32">
        <w:t>isk-</w:t>
      </w:r>
      <w:r>
        <w:t>Adjusted</w:t>
      </w:r>
      <w:r w:rsidRPr="00B76F32">
        <w:t xml:space="preserve"> </w:t>
      </w:r>
      <w:r>
        <w:t>E</w:t>
      </w:r>
      <w:r w:rsidRPr="00B76F32">
        <w:t xml:space="preserve">pisode </w:t>
      </w:r>
      <w:r>
        <w:t>S</w:t>
      </w:r>
      <w:r w:rsidRPr="00B76F32">
        <w:t>pending</w:t>
      </w:r>
    </w:p>
    <w:tbl>
      <w:tblPr>
        <w:tblW w:w="5060" w:type="pct"/>
        <w:tblLayout w:type="fixed"/>
        <w:tblLook w:val="04A0" w:firstRow="1" w:lastRow="0" w:firstColumn="1" w:lastColumn="0" w:noHBand="0" w:noVBand="1"/>
      </w:tblPr>
      <w:tblGrid>
        <w:gridCol w:w="1127"/>
        <w:gridCol w:w="849"/>
        <w:gridCol w:w="1103"/>
        <w:gridCol w:w="974"/>
        <w:gridCol w:w="1078"/>
        <w:gridCol w:w="1038"/>
        <w:gridCol w:w="1103"/>
        <w:gridCol w:w="1103"/>
        <w:gridCol w:w="1097"/>
      </w:tblGrid>
      <w:tr w:rsidR="00781554" w:rsidRPr="00345DB3" w14:paraId="3115CF98" w14:textId="77777777" w:rsidTr="005B2207">
        <w:tc>
          <w:tcPr>
            <w:tcW w:w="595" w:type="pct"/>
            <w:tcBorders>
              <w:top w:val="single" w:sz="4" w:space="0" w:color="auto"/>
              <w:left w:val="nil"/>
              <w:bottom w:val="single" w:sz="4" w:space="0" w:color="auto"/>
              <w:right w:val="nil"/>
            </w:tcBorders>
            <w:shd w:val="clear" w:color="000000" w:fill="BFBFBF"/>
            <w:noWrap/>
            <w:vAlign w:val="bottom"/>
            <w:hideMark/>
          </w:tcPr>
          <w:p w14:paraId="1AC01F46" w14:textId="77777777" w:rsidR="00345DB3" w:rsidRPr="00345DB3" w:rsidRDefault="00345DB3" w:rsidP="00345DB3">
            <w:pPr>
              <w:spacing w:after="0" w:line="240" w:lineRule="auto"/>
              <w:jc w:val="center"/>
              <w:rPr>
                <w:rFonts w:ascii="Calibri" w:eastAsia="Times New Roman" w:hAnsi="Calibri" w:cs="Calibri"/>
                <w:b/>
                <w:bCs/>
                <w:color w:val="000000"/>
              </w:rPr>
            </w:pPr>
            <w:r w:rsidRPr="00345DB3">
              <w:rPr>
                <w:rFonts w:ascii="Calibri" w:eastAsia="Times New Roman" w:hAnsi="Calibri" w:cs="Calibri"/>
                <w:b/>
                <w:bCs/>
                <w:color w:val="000000"/>
              </w:rPr>
              <w:t>Group</w:t>
            </w:r>
          </w:p>
        </w:tc>
        <w:tc>
          <w:tcPr>
            <w:tcW w:w="448" w:type="pct"/>
            <w:tcBorders>
              <w:top w:val="single" w:sz="4" w:space="0" w:color="auto"/>
              <w:left w:val="nil"/>
              <w:bottom w:val="single" w:sz="4" w:space="0" w:color="auto"/>
              <w:right w:val="nil"/>
            </w:tcBorders>
            <w:shd w:val="clear" w:color="000000" w:fill="BFBFBF"/>
            <w:noWrap/>
            <w:vAlign w:val="bottom"/>
            <w:hideMark/>
          </w:tcPr>
          <w:p w14:paraId="577C6EA9" w14:textId="317745CD" w:rsidR="00345DB3" w:rsidRPr="00345DB3" w:rsidRDefault="00041A1A" w:rsidP="00345DB3">
            <w:pPr>
              <w:spacing w:after="0" w:line="240" w:lineRule="auto"/>
              <w:jc w:val="center"/>
              <w:rPr>
                <w:rFonts w:ascii="Calibri" w:eastAsia="Times New Roman" w:hAnsi="Calibri" w:cs="Calibri"/>
                <w:b/>
                <w:bCs/>
                <w:color w:val="000000"/>
              </w:rPr>
            </w:pPr>
            <w:r>
              <w:rPr>
                <w:rFonts w:ascii="Calibri" w:eastAsia="Times New Roman" w:hAnsi="Calibri" w:cs="Calibri"/>
                <w:b/>
                <w:bCs/>
                <w:color w:val="000000"/>
              </w:rPr>
              <w:t>K</w:t>
            </w:r>
          </w:p>
        </w:tc>
        <w:tc>
          <w:tcPr>
            <w:tcW w:w="582" w:type="pct"/>
            <w:tcBorders>
              <w:top w:val="single" w:sz="4" w:space="0" w:color="auto"/>
              <w:left w:val="nil"/>
              <w:bottom w:val="single" w:sz="4" w:space="0" w:color="auto"/>
              <w:right w:val="nil"/>
            </w:tcBorders>
            <w:shd w:val="clear" w:color="000000" w:fill="BFBFBF"/>
            <w:noWrap/>
            <w:vAlign w:val="bottom"/>
            <w:hideMark/>
          </w:tcPr>
          <w:p w14:paraId="5BAE2601" w14:textId="77777777" w:rsidR="00345DB3" w:rsidRPr="00345DB3" w:rsidRDefault="00345DB3" w:rsidP="00345DB3">
            <w:pPr>
              <w:spacing w:after="0" w:line="240" w:lineRule="auto"/>
              <w:jc w:val="center"/>
              <w:rPr>
                <w:rFonts w:ascii="Calibri" w:eastAsia="Times New Roman" w:hAnsi="Calibri" w:cs="Calibri"/>
                <w:b/>
                <w:bCs/>
                <w:color w:val="000000"/>
              </w:rPr>
            </w:pPr>
            <w:r w:rsidRPr="00345DB3">
              <w:rPr>
                <w:rFonts w:ascii="Calibri" w:eastAsia="Times New Roman" w:hAnsi="Calibri" w:cs="Calibri"/>
                <w:b/>
                <w:bCs/>
                <w:color w:val="000000"/>
              </w:rPr>
              <w:t>Mean</w:t>
            </w:r>
          </w:p>
        </w:tc>
        <w:tc>
          <w:tcPr>
            <w:tcW w:w="514" w:type="pct"/>
            <w:tcBorders>
              <w:top w:val="single" w:sz="4" w:space="0" w:color="auto"/>
              <w:left w:val="nil"/>
              <w:bottom w:val="single" w:sz="4" w:space="0" w:color="auto"/>
              <w:right w:val="nil"/>
            </w:tcBorders>
            <w:shd w:val="clear" w:color="000000" w:fill="BFBFBF"/>
            <w:noWrap/>
            <w:vAlign w:val="bottom"/>
            <w:hideMark/>
          </w:tcPr>
          <w:p w14:paraId="42F4E1AF" w14:textId="77777777" w:rsidR="00345DB3" w:rsidRPr="00345DB3" w:rsidRDefault="00345DB3" w:rsidP="00345DB3">
            <w:pPr>
              <w:spacing w:after="0" w:line="240" w:lineRule="auto"/>
              <w:jc w:val="center"/>
              <w:rPr>
                <w:rFonts w:ascii="Calibri" w:eastAsia="Times New Roman" w:hAnsi="Calibri" w:cs="Calibri"/>
                <w:b/>
                <w:bCs/>
                <w:color w:val="000000"/>
              </w:rPr>
            </w:pPr>
            <w:r w:rsidRPr="00345DB3">
              <w:rPr>
                <w:rFonts w:ascii="Calibri" w:eastAsia="Times New Roman" w:hAnsi="Calibri" w:cs="Calibri"/>
                <w:b/>
                <w:bCs/>
                <w:color w:val="000000"/>
              </w:rPr>
              <w:t>SD</w:t>
            </w:r>
          </w:p>
        </w:tc>
        <w:tc>
          <w:tcPr>
            <w:tcW w:w="569" w:type="pct"/>
            <w:tcBorders>
              <w:top w:val="single" w:sz="4" w:space="0" w:color="auto"/>
              <w:left w:val="nil"/>
              <w:bottom w:val="single" w:sz="4" w:space="0" w:color="auto"/>
              <w:right w:val="nil"/>
            </w:tcBorders>
            <w:shd w:val="clear" w:color="000000" w:fill="BFBFBF"/>
            <w:noWrap/>
            <w:vAlign w:val="bottom"/>
            <w:hideMark/>
          </w:tcPr>
          <w:p w14:paraId="4782D0F0" w14:textId="77777777" w:rsidR="00345DB3" w:rsidRPr="00345DB3" w:rsidRDefault="00345DB3" w:rsidP="00345DB3">
            <w:pPr>
              <w:spacing w:after="0" w:line="240" w:lineRule="auto"/>
              <w:jc w:val="center"/>
              <w:rPr>
                <w:rFonts w:ascii="Calibri" w:eastAsia="Times New Roman" w:hAnsi="Calibri" w:cs="Calibri"/>
                <w:b/>
                <w:bCs/>
                <w:color w:val="000000"/>
              </w:rPr>
            </w:pPr>
            <w:r w:rsidRPr="00345DB3">
              <w:rPr>
                <w:rFonts w:ascii="Calibri" w:eastAsia="Times New Roman" w:hAnsi="Calibri" w:cs="Calibri"/>
                <w:b/>
                <w:bCs/>
                <w:color w:val="000000"/>
              </w:rPr>
              <w:t>10th Pct</w:t>
            </w:r>
          </w:p>
        </w:tc>
        <w:tc>
          <w:tcPr>
            <w:tcW w:w="548" w:type="pct"/>
            <w:tcBorders>
              <w:top w:val="single" w:sz="4" w:space="0" w:color="auto"/>
              <w:left w:val="nil"/>
              <w:bottom w:val="single" w:sz="4" w:space="0" w:color="auto"/>
              <w:right w:val="nil"/>
            </w:tcBorders>
            <w:shd w:val="clear" w:color="000000" w:fill="BFBFBF"/>
            <w:noWrap/>
            <w:vAlign w:val="bottom"/>
            <w:hideMark/>
          </w:tcPr>
          <w:p w14:paraId="00966347" w14:textId="77777777" w:rsidR="00345DB3" w:rsidRPr="00345DB3" w:rsidRDefault="00345DB3" w:rsidP="00345DB3">
            <w:pPr>
              <w:spacing w:after="0" w:line="240" w:lineRule="auto"/>
              <w:jc w:val="center"/>
              <w:rPr>
                <w:rFonts w:ascii="Calibri" w:eastAsia="Times New Roman" w:hAnsi="Calibri" w:cs="Calibri"/>
                <w:b/>
                <w:bCs/>
                <w:color w:val="000000"/>
              </w:rPr>
            </w:pPr>
            <w:r w:rsidRPr="00345DB3">
              <w:rPr>
                <w:rFonts w:ascii="Calibri" w:eastAsia="Times New Roman" w:hAnsi="Calibri" w:cs="Calibri"/>
                <w:b/>
                <w:bCs/>
                <w:color w:val="000000"/>
              </w:rPr>
              <w:t>25th Pct</w:t>
            </w:r>
          </w:p>
        </w:tc>
        <w:tc>
          <w:tcPr>
            <w:tcW w:w="582" w:type="pct"/>
            <w:tcBorders>
              <w:top w:val="single" w:sz="4" w:space="0" w:color="auto"/>
              <w:left w:val="nil"/>
              <w:bottom w:val="single" w:sz="4" w:space="0" w:color="auto"/>
              <w:right w:val="nil"/>
            </w:tcBorders>
            <w:shd w:val="clear" w:color="000000" w:fill="BFBFBF"/>
            <w:noWrap/>
            <w:vAlign w:val="bottom"/>
            <w:hideMark/>
          </w:tcPr>
          <w:p w14:paraId="246B5756" w14:textId="77777777" w:rsidR="00345DB3" w:rsidRPr="00345DB3" w:rsidRDefault="00345DB3" w:rsidP="00345DB3">
            <w:pPr>
              <w:spacing w:after="0" w:line="240" w:lineRule="auto"/>
              <w:jc w:val="center"/>
              <w:rPr>
                <w:rFonts w:ascii="Calibri" w:eastAsia="Times New Roman" w:hAnsi="Calibri" w:cs="Calibri"/>
                <w:b/>
                <w:bCs/>
                <w:color w:val="000000"/>
              </w:rPr>
            </w:pPr>
            <w:r w:rsidRPr="00345DB3">
              <w:rPr>
                <w:rFonts w:ascii="Calibri" w:eastAsia="Times New Roman" w:hAnsi="Calibri" w:cs="Calibri"/>
                <w:b/>
                <w:bCs/>
                <w:color w:val="000000"/>
              </w:rPr>
              <w:t>50th Pct</w:t>
            </w:r>
          </w:p>
        </w:tc>
        <w:tc>
          <w:tcPr>
            <w:tcW w:w="582" w:type="pct"/>
            <w:tcBorders>
              <w:top w:val="single" w:sz="4" w:space="0" w:color="auto"/>
              <w:left w:val="nil"/>
              <w:bottom w:val="single" w:sz="4" w:space="0" w:color="auto"/>
              <w:right w:val="nil"/>
            </w:tcBorders>
            <w:shd w:val="clear" w:color="000000" w:fill="BFBFBF"/>
            <w:noWrap/>
            <w:vAlign w:val="bottom"/>
            <w:hideMark/>
          </w:tcPr>
          <w:p w14:paraId="45024F17" w14:textId="77777777" w:rsidR="00345DB3" w:rsidRPr="00345DB3" w:rsidRDefault="00345DB3" w:rsidP="00345DB3">
            <w:pPr>
              <w:spacing w:after="0" w:line="240" w:lineRule="auto"/>
              <w:jc w:val="center"/>
              <w:rPr>
                <w:rFonts w:ascii="Calibri" w:eastAsia="Times New Roman" w:hAnsi="Calibri" w:cs="Calibri"/>
                <w:b/>
                <w:bCs/>
                <w:color w:val="000000"/>
              </w:rPr>
            </w:pPr>
            <w:r w:rsidRPr="00345DB3">
              <w:rPr>
                <w:rFonts w:ascii="Calibri" w:eastAsia="Times New Roman" w:hAnsi="Calibri" w:cs="Calibri"/>
                <w:b/>
                <w:bCs/>
                <w:color w:val="000000"/>
              </w:rPr>
              <w:t>75th Pct</w:t>
            </w:r>
          </w:p>
        </w:tc>
        <w:tc>
          <w:tcPr>
            <w:tcW w:w="579" w:type="pct"/>
            <w:tcBorders>
              <w:top w:val="single" w:sz="4" w:space="0" w:color="auto"/>
              <w:left w:val="nil"/>
              <w:bottom w:val="single" w:sz="4" w:space="0" w:color="auto"/>
              <w:right w:val="nil"/>
            </w:tcBorders>
            <w:shd w:val="clear" w:color="000000" w:fill="BFBFBF"/>
            <w:noWrap/>
            <w:vAlign w:val="bottom"/>
            <w:hideMark/>
          </w:tcPr>
          <w:p w14:paraId="04A10A53" w14:textId="77777777" w:rsidR="00345DB3" w:rsidRPr="00345DB3" w:rsidRDefault="00345DB3" w:rsidP="00345DB3">
            <w:pPr>
              <w:spacing w:after="0" w:line="240" w:lineRule="auto"/>
              <w:jc w:val="center"/>
              <w:rPr>
                <w:rFonts w:ascii="Calibri" w:eastAsia="Times New Roman" w:hAnsi="Calibri" w:cs="Calibri"/>
                <w:b/>
                <w:bCs/>
                <w:color w:val="000000"/>
              </w:rPr>
            </w:pPr>
            <w:r w:rsidRPr="00345DB3">
              <w:rPr>
                <w:rFonts w:ascii="Calibri" w:eastAsia="Times New Roman" w:hAnsi="Calibri" w:cs="Calibri"/>
                <w:b/>
                <w:bCs/>
                <w:color w:val="000000"/>
              </w:rPr>
              <w:t>90th Pct</w:t>
            </w:r>
          </w:p>
        </w:tc>
      </w:tr>
      <w:tr w:rsidR="00781554" w:rsidRPr="00345DB3" w14:paraId="756E6AB0" w14:textId="77777777" w:rsidTr="005B2207">
        <w:tc>
          <w:tcPr>
            <w:tcW w:w="595" w:type="pct"/>
            <w:tcBorders>
              <w:top w:val="nil"/>
              <w:left w:val="nil"/>
              <w:bottom w:val="nil"/>
              <w:right w:val="nil"/>
            </w:tcBorders>
            <w:shd w:val="clear" w:color="auto" w:fill="auto"/>
            <w:noWrap/>
            <w:vAlign w:val="bottom"/>
            <w:hideMark/>
          </w:tcPr>
          <w:p w14:paraId="2CC9D1F6" w14:textId="77777777" w:rsidR="00345DB3" w:rsidRPr="00345DB3" w:rsidRDefault="00345DB3" w:rsidP="00345DB3">
            <w:pPr>
              <w:spacing w:after="0" w:line="240" w:lineRule="auto"/>
              <w:rPr>
                <w:rFonts w:ascii="Calibri" w:eastAsia="Times New Roman" w:hAnsi="Calibri" w:cs="Calibri"/>
                <w:color w:val="000000"/>
              </w:rPr>
            </w:pPr>
            <w:r w:rsidRPr="00345DB3">
              <w:rPr>
                <w:rFonts w:ascii="Calibri" w:eastAsia="Times New Roman" w:hAnsi="Calibri" w:cs="Calibri"/>
                <w:color w:val="000000"/>
              </w:rPr>
              <w:t>Observed</w:t>
            </w:r>
          </w:p>
        </w:tc>
        <w:tc>
          <w:tcPr>
            <w:tcW w:w="448" w:type="pct"/>
            <w:tcBorders>
              <w:top w:val="nil"/>
              <w:left w:val="nil"/>
              <w:bottom w:val="nil"/>
              <w:right w:val="nil"/>
            </w:tcBorders>
            <w:shd w:val="clear" w:color="auto" w:fill="auto"/>
            <w:noWrap/>
            <w:vAlign w:val="bottom"/>
            <w:hideMark/>
          </w:tcPr>
          <w:p w14:paraId="558898BE" w14:textId="767DB6F9" w:rsidR="00345DB3" w:rsidRPr="00345DB3" w:rsidRDefault="00345DB3" w:rsidP="005B2207">
            <w:pPr>
              <w:spacing w:after="0" w:line="240" w:lineRule="auto"/>
              <w:jc w:val="center"/>
              <w:rPr>
                <w:rFonts w:ascii="Calibri" w:eastAsia="Times New Roman" w:hAnsi="Calibri" w:cs="Calibri"/>
                <w:color w:val="000000"/>
              </w:rPr>
            </w:pPr>
            <w:r w:rsidRPr="00345DB3">
              <w:rPr>
                <w:rFonts w:ascii="Calibri" w:eastAsia="Times New Roman" w:hAnsi="Calibri" w:cs="Calibri"/>
                <w:color w:val="000000"/>
              </w:rPr>
              <w:t>1</w:t>
            </w:r>
            <w:r w:rsidR="00ED4D04">
              <w:rPr>
                <w:rFonts w:ascii="Calibri" w:eastAsia="Times New Roman" w:hAnsi="Calibri" w:cs="Calibri"/>
                <w:color w:val="000000"/>
              </w:rPr>
              <w:t>,161</w:t>
            </w:r>
          </w:p>
        </w:tc>
        <w:tc>
          <w:tcPr>
            <w:tcW w:w="582" w:type="pct"/>
            <w:tcBorders>
              <w:top w:val="nil"/>
              <w:left w:val="nil"/>
              <w:bottom w:val="nil"/>
              <w:right w:val="nil"/>
            </w:tcBorders>
            <w:shd w:val="clear" w:color="auto" w:fill="auto"/>
            <w:noWrap/>
            <w:vAlign w:val="bottom"/>
            <w:hideMark/>
          </w:tcPr>
          <w:p w14:paraId="74588AB6" w14:textId="4FE15E2D" w:rsidR="00345DB3" w:rsidRPr="00345DB3" w:rsidRDefault="00140FEC" w:rsidP="005B2207">
            <w:pPr>
              <w:spacing w:after="0" w:line="240" w:lineRule="auto"/>
              <w:jc w:val="center"/>
              <w:rPr>
                <w:rFonts w:ascii="Calibri" w:eastAsia="Times New Roman" w:hAnsi="Calibri" w:cs="Calibri"/>
                <w:color w:val="000000"/>
              </w:rPr>
            </w:pPr>
            <w:r>
              <w:rPr>
                <w:rFonts w:ascii="Calibri" w:eastAsia="Times New Roman" w:hAnsi="Calibri" w:cs="Calibri"/>
                <w:color w:val="000000"/>
              </w:rPr>
              <w:t>33,185.0</w:t>
            </w:r>
          </w:p>
        </w:tc>
        <w:tc>
          <w:tcPr>
            <w:tcW w:w="514" w:type="pct"/>
            <w:tcBorders>
              <w:top w:val="nil"/>
              <w:left w:val="nil"/>
              <w:bottom w:val="nil"/>
              <w:right w:val="nil"/>
            </w:tcBorders>
            <w:shd w:val="clear" w:color="auto" w:fill="auto"/>
            <w:noWrap/>
            <w:vAlign w:val="bottom"/>
            <w:hideMark/>
          </w:tcPr>
          <w:p w14:paraId="03CE5238" w14:textId="13E6B799" w:rsidR="00345DB3" w:rsidRPr="00345DB3" w:rsidRDefault="00140FEC" w:rsidP="005B2207">
            <w:pPr>
              <w:spacing w:after="0" w:line="240" w:lineRule="auto"/>
              <w:jc w:val="center"/>
              <w:rPr>
                <w:rFonts w:ascii="Calibri" w:eastAsia="Times New Roman" w:hAnsi="Calibri" w:cs="Calibri"/>
                <w:color w:val="000000"/>
              </w:rPr>
            </w:pPr>
            <w:r>
              <w:rPr>
                <w:rFonts w:ascii="Calibri" w:eastAsia="Times New Roman" w:hAnsi="Calibri" w:cs="Calibri"/>
                <w:color w:val="000000"/>
              </w:rPr>
              <w:t>3,454.9</w:t>
            </w:r>
          </w:p>
        </w:tc>
        <w:tc>
          <w:tcPr>
            <w:tcW w:w="569" w:type="pct"/>
            <w:tcBorders>
              <w:top w:val="nil"/>
              <w:left w:val="nil"/>
              <w:bottom w:val="nil"/>
              <w:right w:val="nil"/>
            </w:tcBorders>
            <w:shd w:val="clear" w:color="auto" w:fill="auto"/>
            <w:noWrap/>
            <w:vAlign w:val="bottom"/>
            <w:hideMark/>
          </w:tcPr>
          <w:p w14:paraId="1D34E99D" w14:textId="151E147E" w:rsidR="00345DB3" w:rsidRPr="00345DB3" w:rsidRDefault="00140FEC" w:rsidP="005B2207">
            <w:pPr>
              <w:spacing w:after="0" w:line="240" w:lineRule="auto"/>
              <w:jc w:val="center"/>
              <w:rPr>
                <w:rFonts w:ascii="Calibri" w:eastAsia="Times New Roman" w:hAnsi="Calibri" w:cs="Calibri"/>
                <w:color w:val="000000"/>
              </w:rPr>
            </w:pPr>
            <w:r>
              <w:rPr>
                <w:rFonts w:ascii="Calibri" w:eastAsia="Times New Roman" w:hAnsi="Calibri" w:cs="Calibri"/>
                <w:color w:val="000000"/>
              </w:rPr>
              <w:t>29,256.2</w:t>
            </w:r>
          </w:p>
        </w:tc>
        <w:tc>
          <w:tcPr>
            <w:tcW w:w="548" w:type="pct"/>
            <w:tcBorders>
              <w:top w:val="nil"/>
              <w:left w:val="nil"/>
              <w:bottom w:val="nil"/>
              <w:right w:val="nil"/>
            </w:tcBorders>
            <w:shd w:val="clear" w:color="auto" w:fill="auto"/>
            <w:noWrap/>
            <w:vAlign w:val="bottom"/>
            <w:hideMark/>
          </w:tcPr>
          <w:p w14:paraId="11F2F984" w14:textId="3E04EA2F" w:rsidR="00345DB3" w:rsidRPr="00345DB3" w:rsidRDefault="004B78CC" w:rsidP="005B2207">
            <w:pPr>
              <w:spacing w:after="0" w:line="240" w:lineRule="auto"/>
              <w:jc w:val="center"/>
              <w:rPr>
                <w:rFonts w:ascii="Calibri" w:eastAsia="Times New Roman" w:hAnsi="Calibri" w:cs="Calibri"/>
                <w:color w:val="000000"/>
              </w:rPr>
            </w:pPr>
            <w:r>
              <w:rPr>
                <w:rFonts w:ascii="Calibri" w:eastAsia="Times New Roman" w:hAnsi="Calibri" w:cs="Calibri"/>
                <w:color w:val="000000"/>
              </w:rPr>
              <w:t>31,022.0</w:t>
            </w:r>
          </w:p>
        </w:tc>
        <w:tc>
          <w:tcPr>
            <w:tcW w:w="582" w:type="pct"/>
            <w:tcBorders>
              <w:top w:val="nil"/>
              <w:left w:val="nil"/>
              <w:bottom w:val="nil"/>
              <w:right w:val="nil"/>
            </w:tcBorders>
            <w:shd w:val="clear" w:color="auto" w:fill="auto"/>
            <w:noWrap/>
            <w:vAlign w:val="bottom"/>
            <w:hideMark/>
          </w:tcPr>
          <w:p w14:paraId="315AE963" w14:textId="5D98E0B1" w:rsidR="00345DB3" w:rsidRPr="00345DB3" w:rsidRDefault="004B78CC" w:rsidP="005B2207">
            <w:pPr>
              <w:spacing w:after="0" w:line="240" w:lineRule="auto"/>
              <w:jc w:val="center"/>
              <w:rPr>
                <w:rFonts w:ascii="Calibri" w:eastAsia="Times New Roman" w:hAnsi="Calibri" w:cs="Calibri"/>
                <w:color w:val="000000"/>
              </w:rPr>
            </w:pPr>
            <w:r>
              <w:rPr>
                <w:rFonts w:ascii="Calibri" w:eastAsia="Times New Roman" w:hAnsi="Calibri" w:cs="Calibri"/>
                <w:color w:val="000000"/>
              </w:rPr>
              <w:t>32,936.3</w:t>
            </w:r>
          </w:p>
        </w:tc>
        <w:tc>
          <w:tcPr>
            <w:tcW w:w="582" w:type="pct"/>
            <w:tcBorders>
              <w:top w:val="nil"/>
              <w:left w:val="nil"/>
              <w:bottom w:val="nil"/>
              <w:right w:val="nil"/>
            </w:tcBorders>
            <w:shd w:val="clear" w:color="auto" w:fill="auto"/>
            <w:noWrap/>
            <w:vAlign w:val="bottom"/>
            <w:hideMark/>
          </w:tcPr>
          <w:p w14:paraId="07B849CB" w14:textId="4CF0DB6A" w:rsidR="00345DB3" w:rsidRPr="00345DB3" w:rsidRDefault="00140FEC" w:rsidP="005B2207">
            <w:pPr>
              <w:spacing w:after="0" w:line="240" w:lineRule="auto"/>
              <w:jc w:val="center"/>
              <w:rPr>
                <w:rFonts w:ascii="Calibri" w:eastAsia="Times New Roman" w:hAnsi="Calibri" w:cs="Calibri"/>
                <w:color w:val="000000"/>
              </w:rPr>
            </w:pPr>
            <w:r>
              <w:rPr>
                <w:rFonts w:ascii="Calibri" w:eastAsia="Times New Roman" w:hAnsi="Calibri" w:cs="Calibri"/>
                <w:color w:val="000000"/>
              </w:rPr>
              <w:t>34,931.</w:t>
            </w:r>
            <w:r w:rsidR="004B78CC">
              <w:rPr>
                <w:rFonts w:ascii="Calibri" w:eastAsia="Times New Roman" w:hAnsi="Calibri" w:cs="Calibri"/>
                <w:color w:val="000000"/>
              </w:rPr>
              <w:t>9</w:t>
            </w:r>
          </w:p>
        </w:tc>
        <w:tc>
          <w:tcPr>
            <w:tcW w:w="579" w:type="pct"/>
            <w:tcBorders>
              <w:top w:val="nil"/>
              <w:left w:val="nil"/>
              <w:bottom w:val="nil"/>
              <w:right w:val="nil"/>
            </w:tcBorders>
            <w:shd w:val="clear" w:color="auto" w:fill="auto"/>
            <w:noWrap/>
            <w:vAlign w:val="bottom"/>
            <w:hideMark/>
          </w:tcPr>
          <w:p w14:paraId="43F3A785" w14:textId="4F1E47AD" w:rsidR="00345DB3" w:rsidRPr="00345DB3" w:rsidRDefault="00140FEC" w:rsidP="005B2207">
            <w:pPr>
              <w:spacing w:after="0" w:line="240" w:lineRule="auto"/>
              <w:jc w:val="center"/>
              <w:rPr>
                <w:rFonts w:ascii="Calibri" w:eastAsia="Times New Roman" w:hAnsi="Calibri" w:cs="Calibri"/>
                <w:color w:val="000000"/>
              </w:rPr>
            </w:pPr>
            <w:r>
              <w:rPr>
                <w:rFonts w:ascii="Calibri" w:eastAsia="Times New Roman" w:hAnsi="Calibri" w:cs="Calibri"/>
                <w:color w:val="000000"/>
              </w:rPr>
              <w:t>37,389.5</w:t>
            </w:r>
          </w:p>
        </w:tc>
      </w:tr>
      <w:tr w:rsidR="00781554" w:rsidRPr="00345DB3" w14:paraId="20B21A59" w14:textId="77777777" w:rsidTr="005B2207">
        <w:tc>
          <w:tcPr>
            <w:tcW w:w="595" w:type="pct"/>
            <w:tcBorders>
              <w:top w:val="nil"/>
              <w:left w:val="nil"/>
              <w:bottom w:val="single" w:sz="4" w:space="0" w:color="auto"/>
              <w:right w:val="nil"/>
            </w:tcBorders>
            <w:shd w:val="clear" w:color="auto" w:fill="auto"/>
            <w:noWrap/>
            <w:vAlign w:val="bottom"/>
            <w:hideMark/>
          </w:tcPr>
          <w:p w14:paraId="27FFC5D2" w14:textId="77777777" w:rsidR="00345DB3" w:rsidRPr="00345DB3" w:rsidRDefault="00345DB3" w:rsidP="00345DB3">
            <w:pPr>
              <w:spacing w:after="0" w:line="240" w:lineRule="auto"/>
              <w:rPr>
                <w:rFonts w:ascii="Calibri" w:eastAsia="Times New Roman" w:hAnsi="Calibri" w:cs="Calibri"/>
                <w:color w:val="000000"/>
              </w:rPr>
            </w:pPr>
            <w:r w:rsidRPr="00345DB3">
              <w:rPr>
                <w:rFonts w:ascii="Calibri" w:eastAsia="Times New Roman" w:hAnsi="Calibri" w:cs="Calibri"/>
                <w:color w:val="000000"/>
              </w:rPr>
              <w:t>Predicted</w:t>
            </w:r>
          </w:p>
        </w:tc>
        <w:tc>
          <w:tcPr>
            <w:tcW w:w="448" w:type="pct"/>
            <w:tcBorders>
              <w:top w:val="nil"/>
              <w:left w:val="nil"/>
              <w:bottom w:val="single" w:sz="4" w:space="0" w:color="auto"/>
              <w:right w:val="nil"/>
            </w:tcBorders>
            <w:shd w:val="clear" w:color="auto" w:fill="auto"/>
            <w:noWrap/>
            <w:vAlign w:val="bottom"/>
            <w:hideMark/>
          </w:tcPr>
          <w:p w14:paraId="1A54C1B6" w14:textId="3161E267" w:rsidR="00345DB3" w:rsidRPr="00345DB3" w:rsidRDefault="00ED4D04" w:rsidP="005B2207">
            <w:pPr>
              <w:spacing w:after="0" w:line="240" w:lineRule="auto"/>
              <w:jc w:val="center"/>
              <w:rPr>
                <w:rFonts w:ascii="Calibri" w:eastAsia="Times New Roman" w:hAnsi="Calibri" w:cs="Calibri"/>
                <w:color w:val="000000"/>
              </w:rPr>
            </w:pPr>
            <w:r>
              <w:rPr>
                <w:rFonts w:ascii="Calibri" w:eastAsia="Times New Roman" w:hAnsi="Calibri" w:cs="Calibri"/>
                <w:color w:val="000000"/>
              </w:rPr>
              <w:t>1,161</w:t>
            </w:r>
          </w:p>
        </w:tc>
        <w:tc>
          <w:tcPr>
            <w:tcW w:w="582" w:type="pct"/>
            <w:tcBorders>
              <w:top w:val="nil"/>
              <w:left w:val="nil"/>
              <w:bottom w:val="single" w:sz="4" w:space="0" w:color="auto"/>
              <w:right w:val="nil"/>
            </w:tcBorders>
            <w:shd w:val="clear" w:color="auto" w:fill="auto"/>
            <w:noWrap/>
            <w:vAlign w:val="bottom"/>
            <w:hideMark/>
          </w:tcPr>
          <w:p w14:paraId="40983457" w14:textId="13376848" w:rsidR="00345DB3" w:rsidRPr="00345DB3" w:rsidRDefault="004B78CC" w:rsidP="005B2207">
            <w:pPr>
              <w:spacing w:after="0" w:line="240" w:lineRule="auto"/>
              <w:jc w:val="center"/>
              <w:rPr>
                <w:rFonts w:ascii="Calibri" w:eastAsia="Times New Roman" w:hAnsi="Calibri" w:cs="Calibri"/>
                <w:color w:val="000000"/>
              </w:rPr>
            </w:pPr>
            <w:r>
              <w:rPr>
                <w:rFonts w:ascii="Calibri" w:eastAsia="Times New Roman" w:hAnsi="Calibri" w:cs="Calibri"/>
                <w:color w:val="000000"/>
              </w:rPr>
              <w:t>33,562.4</w:t>
            </w:r>
          </w:p>
        </w:tc>
        <w:tc>
          <w:tcPr>
            <w:tcW w:w="514" w:type="pct"/>
            <w:tcBorders>
              <w:top w:val="nil"/>
              <w:left w:val="nil"/>
              <w:bottom w:val="single" w:sz="4" w:space="0" w:color="auto"/>
              <w:right w:val="nil"/>
            </w:tcBorders>
            <w:shd w:val="clear" w:color="auto" w:fill="auto"/>
            <w:noWrap/>
            <w:vAlign w:val="bottom"/>
            <w:hideMark/>
          </w:tcPr>
          <w:p w14:paraId="2A1CC38D" w14:textId="4FA843FC" w:rsidR="00345DB3" w:rsidRPr="00345DB3" w:rsidRDefault="00140FEC" w:rsidP="005B2207">
            <w:pPr>
              <w:spacing w:after="0" w:line="240" w:lineRule="auto"/>
              <w:jc w:val="center"/>
              <w:rPr>
                <w:rFonts w:ascii="Calibri" w:eastAsia="Times New Roman" w:hAnsi="Calibri" w:cs="Calibri"/>
                <w:color w:val="000000"/>
              </w:rPr>
            </w:pPr>
            <w:r>
              <w:rPr>
                <w:rFonts w:ascii="Calibri" w:eastAsia="Times New Roman" w:hAnsi="Calibri" w:cs="Calibri"/>
                <w:color w:val="000000"/>
              </w:rPr>
              <w:t>1,</w:t>
            </w:r>
            <w:r w:rsidR="004B78CC">
              <w:rPr>
                <w:rFonts w:ascii="Calibri" w:eastAsia="Times New Roman" w:hAnsi="Calibri" w:cs="Calibri"/>
                <w:color w:val="000000"/>
              </w:rPr>
              <w:t>959.6</w:t>
            </w:r>
          </w:p>
        </w:tc>
        <w:tc>
          <w:tcPr>
            <w:tcW w:w="569" w:type="pct"/>
            <w:tcBorders>
              <w:top w:val="nil"/>
              <w:left w:val="nil"/>
              <w:bottom w:val="single" w:sz="4" w:space="0" w:color="auto"/>
              <w:right w:val="nil"/>
            </w:tcBorders>
            <w:shd w:val="clear" w:color="auto" w:fill="auto"/>
            <w:noWrap/>
            <w:vAlign w:val="bottom"/>
            <w:hideMark/>
          </w:tcPr>
          <w:p w14:paraId="2C86B8D0" w14:textId="0544EC5F" w:rsidR="00345DB3" w:rsidRPr="00345DB3" w:rsidRDefault="004B78CC" w:rsidP="005B2207">
            <w:pPr>
              <w:spacing w:after="0" w:line="240" w:lineRule="auto"/>
              <w:jc w:val="center"/>
              <w:rPr>
                <w:rFonts w:ascii="Calibri" w:eastAsia="Times New Roman" w:hAnsi="Calibri" w:cs="Calibri"/>
                <w:color w:val="000000"/>
              </w:rPr>
            </w:pPr>
            <w:r>
              <w:rPr>
                <w:rFonts w:ascii="Calibri" w:eastAsia="Times New Roman" w:hAnsi="Calibri" w:cs="Calibri"/>
                <w:color w:val="000000"/>
              </w:rPr>
              <w:t>31,305.5</w:t>
            </w:r>
          </w:p>
        </w:tc>
        <w:tc>
          <w:tcPr>
            <w:tcW w:w="548" w:type="pct"/>
            <w:tcBorders>
              <w:top w:val="nil"/>
              <w:left w:val="nil"/>
              <w:bottom w:val="single" w:sz="4" w:space="0" w:color="auto"/>
              <w:right w:val="nil"/>
            </w:tcBorders>
            <w:shd w:val="clear" w:color="auto" w:fill="auto"/>
            <w:noWrap/>
            <w:vAlign w:val="bottom"/>
            <w:hideMark/>
          </w:tcPr>
          <w:p w14:paraId="476CCD11" w14:textId="402CB97A" w:rsidR="00345DB3" w:rsidRPr="00345DB3" w:rsidRDefault="004B78CC" w:rsidP="005B2207">
            <w:pPr>
              <w:spacing w:after="0" w:line="240" w:lineRule="auto"/>
              <w:jc w:val="center"/>
              <w:rPr>
                <w:rFonts w:ascii="Calibri" w:eastAsia="Times New Roman" w:hAnsi="Calibri" w:cs="Calibri"/>
                <w:color w:val="000000"/>
              </w:rPr>
            </w:pPr>
            <w:r>
              <w:rPr>
                <w:rFonts w:ascii="Calibri" w:eastAsia="Times New Roman" w:hAnsi="Calibri" w:cs="Calibri"/>
                <w:color w:val="000000"/>
              </w:rPr>
              <w:t>32,253.9</w:t>
            </w:r>
          </w:p>
        </w:tc>
        <w:tc>
          <w:tcPr>
            <w:tcW w:w="582" w:type="pct"/>
            <w:tcBorders>
              <w:top w:val="nil"/>
              <w:left w:val="nil"/>
              <w:bottom w:val="single" w:sz="4" w:space="0" w:color="auto"/>
              <w:right w:val="nil"/>
            </w:tcBorders>
            <w:shd w:val="clear" w:color="auto" w:fill="auto"/>
            <w:noWrap/>
            <w:vAlign w:val="bottom"/>
            <w:hideMark/>
          </w:tcPr>
          <w:p w14:paraId="3403E649" w14:textId="0ED4434F" w:rsidR="00345DB3" w:rsidRPr="00345DB3" w:rsidRDefault="004B78CC" w:rsidP="005B2207">
            <w:pPr>
              <w:spacing w:after="0" w:line="240" w:lineRule="auto"/>
              <w:jc w:val="center"/>
              <w:rPr>
                <w:rFonts w:ascii="Calibri" w:eastAsia="Times New Roman" w:hAnsi="Calibri" w:cs="Calibri"/>
                <w:color w:val="000000"/>
              </w:rPr>
            </w:pPr>
            <w:r>
              <w:rPr>
                <w:rFonts w:ascii="Calibri" w:eastAsia="Times New Roman" w:hAnsi="Calibri" w:cs="Calibri"/>
                <w:color w:val="000000"/>
              </w:rPr>
              <w:t>33,345.3</w:t>
            </w:r>
          </w:p>
        </w:tc>
        <w:tc>
          <w:tcPr>
            <w:tcW w:w="582" w:type="pct"/>
            <w:tcBorders>
              <w:top w:val="nil"/>
              <w:left w:val="nil"/>
              <w:bottom w:val="single" w:sz="4" w:space="0" w:color="auto"/>
              <w:right w:val="nil"/>
            </w:tcBorders>
            <w:shd w:val="clear" w:color="auto" w:fill="auto"/>
            <w:noWrap/>
            <w:vAlign w:val="bottom"/>
            <w:hideMark/>
          </w:tcPr>
          <w:p w14:paraId="14A64195" w14:textId="0026D3D8" w:rsidR="00345DB3" w:rsidRPr="00345DB3" w:rsidRDefault="00140FEC" w:rsidP="005B2207">
            <w:pPr>
              <w:spacing w:after="0" w:line="240" w:lineRule="auto"/>
              <w:jc w:val="center"/>
              <w:rPr>
                <w:rFonts w:ascii="Calibri" w:eastAsia="Times New Roman" w:hAnsi="Calibri" w:cs="Calibri"/>
                <w:color w:val="000000"/>
              </w:rPr>
            </w:pPr>
            <w:r>
              <w:rPr>
                <w:rFonts w:ascii="Calibri" w:eastAsia="Times New Roman" w:hAnsi="Calibri" w:cs="Calibri"/>
                <w:color w:val="000000"/>
              </w:rPr>
              <w:t>34,687.</w:t>
            </w:r>
            <w:r w:rsidR="004B78CC">
              <w:rPr>
                <w:rFonts w:ascii="Calibri" w:eastAsia="Times New Roman" w:hAnsi="Calibri" w:cs="Calibri"/>
                <w:color w:val="000000"/>
              </w:rPr>
              <w:t>3</w:t>
            </w:r>
          </w:p>
        </w:tc>
        <w:tc>
          <w:tcPr>
            <w:tcW w:w="579" w:type="pct"/>
            <w:tcBorders>
              <w:top w:val="nil"/>
              <w:left w:val="nil"/>
              <w:bottom w:val="single" w:sz="4" w:space="0" w:color="auto"/>
              <w:right w:val="nil"/>
            </w:tcBorders>
            <w:shd w:val="clear" w:color="auto" w:fill="auto"/>
            <w:noWrap/>
            <w:vAlign w:val="bottom"/>
            <w:hideMark/>
          </w:tcPr>
          <w:p w14:paraId="492EBA69" w14:textId="6C99A409" w:rsidR="00345DB3" w:rsidRPr="00345DB3" w:rsidRDefault="00140FEC" w:rsidP="005B2207">
            <w:pPr>
              <w:spacing w:after="0" w:line="240" w:lineRule="auto"/>
              <w:jc w:val="center"/>
              <w:rPr>
                <w:rFonts w:ascii="Calibri" w:eastAsia="Times New Roman" w:hAnsi="Calibri" w:cs="Calibri"/>
                <w:color w:val="000000"/>
              </w:rPr>
            </w:pPr>
            <w:r>
              <w:rPr>
                <w:rFonts w:ascii="Calibri" w:eastAsia="Times New Roman" w:hAnsi="Calibri" w:cs="Calibri"/>
                <w:color w:val="000000"/>
              </w:rPr>
              <w:t>36,272.</w:t>
            </w:r>
            <w:r w:rsidR="004B78CC">
              <w:rPr>
                <w:rFonts w:ascii="Calibri" w:eastAsia="Times New Roman" w:hAnsi="Calibri" w:cs="Calibri"/>
                <w:color w:val="000000"/>
              </w:rPr>
              <w:t>9</w:t>
            </w:r>
          </w:p>
        </w:tc>
      </w:tr>
    </w:tbl>
    <w:p w14:paraId="42226D57" w14:textId="1FE213DA" w:rsidR="00345DB3" w:rsidRDefault="00345DB3" w:rsidP="00345DB3">
      <w:r w:rsidRPr="004A5072">
        <w:rPr>
          <w:rStyle w:val="Style1"/>
          <w:sz w:val="18"/>
        </w:rPr>
        <w:t xml:space="preserve">Analysis of Medicare Claims File for </w:t>
      </w:r>
      <w:r w:rsidR="00140FEC" w:rsidRPr="00A369FD">
        <w:rPr>
          <w:rStyle w:val="Style1"/>
          <w:sz w:val="18"/>
        </w:rPr>
        <w:t>IRF</w:t>
      </w:r>
      <w:r w:rsidRPr="00A369FD">
        <w:rPr>
          <w:rStyle w:val="Style1"/>
          <w:sz w:val="18"/>
        </w:rPr>
        <w:t xml:space="preserve"> </w:t>
      </w:r>
      <w:r w:rsidR="00A369FD" w:rsidRPr="008C7D29">
        <w:rPr>
          <w:rStyle w:val="Style1"/>
          <w:sz w:val="18"/>
        </w:rPr>
        <w:t>F</w:t>
      </w:r>
      <w:r w:rsidR="008E3298" w:rsidRPr="00A369FD">
        <w:rPr>
          <w:rStyle w:val="Style1"/>
          <w:sz w:val="18"/>
        </w:rPr>
        <w:t>Y 2016-2017</w:t>
      </w:r>
      <w:r w:rsidRPr="00A369FD">
        <w:rPr>
          <w:rStyle w:val="Style1"/>
          <w:sz w:val="18"/>
        </w:rPr>
        <w:t>.</w:t>
      </w:r>
    </w:p>
    <w:p w14:paraId="61EAB2BA" w14:textId="77777777" w:rsidR="00345DB3" w:rsidRPr="00A82FB4" w:rsidRDefault="00345DB3" w:rsidP="00932E8F"/>
    <w:p w14:paraId="5E85038B" w14:textId="4007C46D" w:rsidR="00345DB3" w:rsidRDefault="00345DB3" w:rsidP="00932E8F">
      <w:pPr>
        <w:pStyle w:val="Caption"/>
        <w:spacing w:after="0"/>
      </w:pPr>
      <w:bookmarkStart w:id="34" w:name="_Ref23497962"/>
      <w:r w:rsidRPr="00EF74B5">
        <w:t xml:space="preserve">Figure </w:t>
      </w:r>
      <w:r w:rsidR="009561FA" w:rsidRPr="007278B0">
        <w:rPr>
          <w:noProof/>
        </w:rPr>
        <w:fldChar w:fldCharType="begin"/>
      </w:r>
      <w:r w:rsidR="009561FA" w:rsidRPr="00EF74B5">
        <w:rPr>
          <w:noProof/>
        </w:rPr>
        <w:instrText xml:space="preserve"> SEQ Figure \* ARABIC </w:instrText>
      </w:r>
      <w:r w:rsidR="009561FA" w:rsidRPr="007278B0">
        <w:rPr>
          <w:noProof/>
        </w:rPr>
        <w:fldChar w:fldCharType="separate"/>
      </w:r>
      <w:r w:rsidR="00B6644A" w:rsidRPr="00EF74B5">
        <w:rPr>
          <w:noProof/>
        </w:rPr>
        <w:t>2</w:t>
      </w:r>
      <w:r w:rsidR="009561FA" w:rsidRPr="007278B0">
        <w:rPr>
          <w:noProof/>
        </w:rPr>
        <w:fldChar w:fldCharType="end"/>
      </w:r>
      <w:bookmarkEnd w:id="34"/>
      <w:r w:rsidRPr="00EF74B5">
        <w:t>. Distribution of Provider-Level Observed and Risk-Adjusted Episode Spending</w:t>
      </w:r>
    </w:p>
    <w:p w14:paraId="5D24A610" w14:textId="3F2046CC" w:rsidR="00345DB3" w:rsidRDefault="00EF74B5" w:rsidP="00932E8F">
      <w:pPr>
        <w:spacing w:after="0"/>
        <w:rPr>
          <w:rStyle w:val="Style1"/>
          <w:rFonts w:eastAsia="SimSun" w:cstheme="minorHAnsi"/>
          <w:b/>
          <w:bCs/>
          <w:sz w:val="18"/>
          <w:szCs w:val="18"/>
        </w:rPr>
      </w:pPr>
      <w:r>
        <w:rPr>
          <w:noProof/>
        </w:rPr>
        <w:drawing>
          <wp:inline distT="0" distB="0" distL="0" distR="0" wp14:anchorId="3BF6FD50" wp14:editId="04BA9856">
            <wp:extent cx="4579951" cy="3434963"/>
            <wp:effectExtent l="0" t="0" r="0" b="0"/>
            <wp:docPr id="5" name="Picture 2" descr="Histogram chart showing distribution of provider-level mean observed and predicted episode spending. Accompanied by underlying data in the preceding table (Tabl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4594563" cy="3445922"/>
                    </a:xfrm>
                    <a:prstGeom prst="rect">
                      <a:avLst/>
                    </a:prstGeom>
                  </pic:spPr>
                </pic:pic>
              </a:graphicData>
            </a:graphic>
          </wp:inline>
        </w:drawing>
      </w:r>
    </w:p>
    <w:p w14:paraId="0D642716" w14:textId="26B693A5" w:rsidR="00345DB3" w:rsidRDefault="00345DB3" w:rsidP="00932E8F">
      <w:pPr>
        <w:spacing w:after="0"/>
      </w:pPr>
      <w:r w:rsidRPr="004A5072">
        <w:rPr>
          <w:rStyle w:val="Style1"/>
          <w:sz w:val="18"/>
        </w:rPr>
        <w:t xml:space="preserve">Analysis of Medicare Claims File </w:t>
      </w:r>
      <w:r w:rsidRPr="00A369FD">
        <w:rPr>
          <w:rStyle w:val="Style1"/>
          <w:sz w:val="18"/>
        </w:rPr>
        <w:t xml:space="preserve">for </w:t>
      </w:r>
      <w:r w:rsidR="009F4B34" w:rsidRPr="00A369FD">
        <w:rPr>
          <w:rStyle w:val="Style1"/>
          <w:sz w:val="18"/>
        </w:rPr>
        <w:t>IRF</w:t>
      </w:r>
      <w:r w:rsidRPr="00A369FD">
        <w:rPr>
          <w:rStyle w:val="Style1"/>
          <w:sz w:val="18"/>
        </w:rPr>
        <w:t xml:space="preserve"> </w:t>
      </w:r>
      <w:r w:rsidR="00A369FD" w:rsidRPr="008C7D29">
        <w:rPr>
          <w:rStyle w:val="Style1"/>
          <w:sz w:val="18"/>
        </w:rPr>
        <w:t>F</w:t>
      </w:r>
      <w:r w:rsidR="008E3298" w:rsidRPr="00A369FD">
        <w:rPr>
          <w:rStyle w:val="Style1"/>
          <w:sz w:val="18"/>
        </w:rPr>
        <w:t>Y 2016-2017</w:t>
      </w:r>
      <w:r w:rsidRPr="00A369FD">
        <w:rPr>
          <w:rStyle w:val="Style1"/>
          <w:sz w:val="18"/>
        </w:rPr>
        <w:t>.</w:t>
      </w:r>
    </w:p>
    <w:p w14:paraId="3F152CF4" w14:textId="77777777" w:rsidR="007F48CE" w:rsidRPr="00A25024" w:rsidRDefault="007F48CE" w:rsidP="00092566">
      <w:pPr>
        <w:autoSpaceDE w:val="0"/>
        <w:autoSpaceDN w:val="0"/>
        <w:adjustRightInd w:val="0"/>
        <w:spacing w:after="0" w:line="240" w:lineRule="auto"/>
        <w:rPr>
          <w:rFonts w:cstheme="minorHAnsi"/>
          <w:bCs/>
        </w:rPr>
      </w:pPr>
    </w:p>
    <w:p w14:paraId="0CABD003" w14:textId="77777777" w:rsidR="00092566" w:rsidRPr="00A25024" w:rsidRDefault="00092566" w:rsidP="00092566">
      <w:pPr>
        <w:spacing w:after="0" w:line="240" w:lineRule="auto"/>
        <w:rPr>
          <w:rFonts w:cstheme="minorHAnsi"/>
        </w:rPr>
      </w:pPr>
    </w:p>
    <w:p w14:paraId="4F8D76AA" w14:textId="77777777" w:rsidR="00941A96" w:rsidRDefault="009C7513" w:rsidP="009B1A15">
      <w:pPr>
        <w:spacing w:after="0" w:line="240" w:lineRule="auto"/>
        <w:rPr>
          <w:rFonts w:cstheme="minorHAnsi"/>
          <w:b/>
        </w:rPr>
      </w:pPr>
      <w:r w:rsidRPr="008C7D29">
        <w:rPr>
          <w:rFonts w:cstheme="minorHAnsi"/>
          <w:b/>
        </w:rPr>
        <w:t>2b3</w:t>
      </w:r>
      <w:r w:rsidR="009B1A15" w:rsidRPr="008C7D29">
        <w:rPr>
          <w:rFonts w:cstheme="minorHAnsi"/>
          <w:b/>
        </w:rPr>
        <w:t>.11.</w:t>
      </w:r>
      <w:r w:rsidR="009B1A15" w:rsidRPr="008C7D29">
        <w:rPr>
          <w:rFonts w:cstheme="minorHAnsi"/>
        </w:rPr>
        <w:t xml:space="preserve"> </w:t>
      </w:r>
      <w:r w:rsidR="00092566" w:rsidRPr="008C7D29">
        <w:rPr>
          <w:rFonts w:cstheme="minorHAnsi"/>
          <w:b/>
        </w:rPr>
        <w:t>Optional</w:t>
      </w:r>
      <w:r w:rsidR="009B1A15" w:rsidRPr="008C7D29">
        <w:rPr>
          <w:rFonts w:cstheme="minorHAnsi"/>
          <w:b/>
        </w:rPr>
        <w:t xml:space="preserve"> Additional Testing</w:t>
      </w:r>
      <w:r w:rsidR="004756E1" w:rsidRPr="008C7D29">
        <w:rPr>
          <w:rFonts w:cstheme="minorHAnsi"/>
          <w:b/>
        </w:rPr>
        <w:t xml:space="preserve"> for Risk Adjustment</w:t>
      </w:r>
      <w:r w:rsidR="00092566" w:rsidRPr="00A25024">
        <w:rPr>
          <w:rFonts w:cstheme="minorHAnsi"/>
          <w:b/>
        </w:rPr>
        <w:t xml:space="preserve"> </w:t>
      </w:r>
    </w:p>
    <w:p w14:paraId="0CABD004" w14:textId="0B9ADFEE" w:rsidR="00021170" w:rsidRPr="009B1A15" w:rsidRDefault="00092566" w:rsidP="009B1A15">
      <w:pPr>
        <w:spacing w:after="0" w:line="240" w:lineRule="auto"/>
        <w:rPr>
          <w:rFonts w:cstheme="minorHAnsi"/>
        </w:rPr>
      </w:pPr>
      <w:r w:rsidRPr="00A25024">
        <w:rPr>
          <w:rFonts w:cstheme="minorHAnsi"/>
        </w:rPr>
        <w:t>(</w:t>
      </w:r>
      <w:r w:rsidRPr="00A25024">
        <w:rPr>
          <w:rFonts w:cstheme="minorHAnsi"/>
          <w:i/>
          <w:u w:val="single"/>
        </w:rPr>
        <w:t>not required</w:t>
      </w:r>
      <w:r w:rsidRPr="00A25024">
        <w:rPr>
          <w:rFonts w:cstheme="minorHAnsi"/>
          <w:i/>
        </w:rPr>
        <w:t>, but would provide additional support of adequacy</w:t>
      </w:r>
      <w:r>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0CABD005" w14:textId="77777777" w:rsidR="003755CB" w:rsidRDefault="003755CB"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CF1289">
      <w:pPr>
        <w:pStyle w:val="Heading1"/>
      </w:pPr>
      <w:bookmarkStart w:id="35" w:name="section2b5"/>
      <w:bookmarkEnd w:id="35"/>
      <w:r>
        <w:t>2b4</w:t>
      </w:r>
      <w:r w:rsidR="00D61410" w:rsidRPr="00A25024">
        <w:t>. IDENTIFICATION OF STATISTICALLY SIGNIFICANT &amp; MEANINGFUL DIFFERENCES IN PERFORMANCE</w:t>
      </w:r>
    </w:p>
    <w:p w14:paraId="1E0D4E7E" w14:textId="77777777" w:rsidR="00941A96" w:rsidRDefault="009C7513" w:rsidP="00893355">
      <w:pPr>
        <w:pStyle w:val="Heading3"/>
      </w:pPr>
      <w:r>
        <w:t>2b4</w:t>
      </w:r>
      <w:r w:rsidR="00D61410">
        <w:t>.1. Describe the method for</w:t>
      </w:r>
      <w:r w:rsidR="00D61410" w:rsidRPr="00A25024">
        <w:t xml:space="preserve"> det</w:t>
      </w:r>
      <w:r w:rsidR="00D61410">
        <w:t>ermining</w:t>
      </w:r>
      <w:r w:rsidR="00D61410" w:rsidRPr="00A25024">
        <w:t xml:space="preserve"> if statistically significant and clinically/practically meaningful differences in performance measure scores among the measured entities </w:t>
      </w:r>
      <w:r w:rsidR="00D61410">
        <w:t>can</w:t>
      </w:r>
      <w:r w:rsidR="00D61410" w:rsidRPr="00A25024">
        <w:t xml:space="preserve"> be identified</w:t>
      </w:r>
    </w:p>
    <w:p w14:paraId="0CABD008" w14:textId="20567DCF" w:rsidR="00D61410" w:rsidRDefault="00D61410" w:rsidP="00D61410">
      <w:pPr>
        <w:autoSpaceDE w:val="0"/>
        <w:autoSpaceDN w:val="0"/>
        <w:adjustRightInd w:val="0"/>
        <w:spacing w:after="0" w:line="240" w:lineRule="auto"/>
        <w:rPr>
          <w:rFonts w:cstheme="minorHAnsi"/>
          <w:bCs/>
        </w:rPr>
      </w:pP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Pr="00A25024">
        <w:rPr>
          <w:rFonts w:cstheme="minorHAnsi"/>
          <w:bCs/>
        </w:rPr>
        <w:br/>
        <w:t xml:space="preserve"> </w:t>
      </w:r>
    </w:p>
    <w:p w14:paraId="312522E0" w14:textId="454AF550" w:rsidR="002B0D69" w:rsidRDefault="002B0D69" w:rsidP="00153D1E">
      <w:pPr>
        <w:autoSpaceDE w:val="0"/>
        <w:autoSpaceDN w:val="0"/>
        <w:adjustRightInd w:val="0"/>
        <w:spacing w:after="0" w:line="240" w:lineRule="auto"/>
        <w:ind w:firstLine="720"/>
        <w:rPr>
          <w:rFonts w:cstheme="minorHAnsi"/>
          <w:bCs/>
          <w:color w:val="0000FF"/>
        </w:rPr>
      </w:pPr>
      <w:r w:rsidRPr="00932E8F">
        <w:rPr>
          <w:rFonts w:cstheme="minorHAnsi"/>
          <w:bCs/>
          <w:color w:val="0000FF"/>
        </w:rPr>
        <w:t xml:space="preserve">We </w:t>
      </w:r>
      <w:r>
        <w:rPr>
          <w:rFonts w:cstheme="minorHAnsi"/>
          <w:bCs/>
          <w:color w:val="0000FF"/>
        </w:rPr>
        <w:t xml:space="preserve">used the following two methods to identify statistically significant and meaningful differences in MSPB-PAC </w:t>
      </w:r>
      <w:r w:rsidR="00D31F28">
        <w:rPr>
          <w:rFonts w:cstheme="minorHAnsi"/>
          <w:bCs/>
          <w:color w:val="0000FF"/>
        </w:rPr>
        <w:t>IRF</w:t>
      </w:r>
      <w:r>
        <w:rPr>
          <w:rFonts w:cstheme="minorHAnsi"/>
          <w:bCs/>
          <w:color w:val="0000FF"/>
        </w:rPr>
        <w:t xml:space="preserve"> measure scores:</w:t>
      </w:r>
    </w:p>
    <w:p w14:paraId="6D6E4D57" w14:textId="77777777" w:rsidR="00153D1E" w:rsidRDefault="00153D1E" w:rsidP="00153D1E">
      <w:pPr>
        <w:autoSpaceDE w:val="0"/>
        <w:autoSpaceDN w:val="0"/>
        <w:adjustRightInd w:val="0"/>
        <w:spacing w:after="0" w:line="240" w:lineRule="auto"/>
        <w:ind w:firstLine="720"/>
        <w:rPr>
          <w:rFonts w:cstheme="minorHAnsi"/>
          <w:bCs/>
          <w:color w:val="0000FF"/>
        </w:rPr>
      </w:pPr>
    </w:p>
    <w:p w14:paraId="660618D3" w14:textId="67B1C5C4" w:rsidR="002B0D69" w:rsidRDefault="002B0D69" w:rsidP="00932E8F">
      <w:pPr>
        <w:pStyle w:val="ListParagraph"/>
        <w:numPr>
          <w:ilvl w:val="0"/>
          <w:numId w:val="39"/>
        </w:numPr>
        <w:autoSpaceDE w:val="0"/>
        <w:autoSpaceDN w:val="0"/>
        <w:adjustRightInd w:val="0"/>
        <w:spacing w:after="0" w:line="240" w:lineRule="auto"/>
        <w:rPr>
          <w:rFonts w:cstheme="minorHAnsi"/>
          <w:bCs/>
          <w:color w:val="0000FF"/>
        </w:rPr>
      </w:pPr>
      <w:r>
        <w:rPr>
          <w:rFonts w:cstheme="minorHAnsi"/>
          <w:bCs/>
          <w:color w:val="0000FF"/>
        </w:rPr>
        <w:t>We ana</w:t>
      </w:r>
      <w:r w:rsidR="00DF107D">
        <w:rPr>
          <w:rFonts w:cstheme="minorHAnsi"/>
          <w:bCs/>
          <w:color w:val="0000FF"/>
        </w:rPr>
        <w:t xml:space="preserve">lyzed the distribution of measure scores across all </w:t>
      </w:r>
      <w:r w:rsidR="00D31F28">
        <w:rPr>
          <w:rFonts w:cstheme="minorHAnsi"/>
          <w:bCs/>
          <w:color w:val="0000FF"/>
        </w:rPr>
        <w:t>IRF</w:t>
      </w:r>
      <w:r w:rsidR="00DF107D">
        <w:rPr>
          <w:rFonts w:cstheme="minorHAnsi"/>
          <w:bCs/>
          <w:color w:val="0000FF"/>
        </w:rPr>
        <w:t xml:space="preserve">s that meet the public reporting criteria. Specifically, we looked at the standard deviation of the scores and </w:t>
      </w:r>
      <w:r w:rsidR="00494DD8">
        <w:rPr>
          <w:rFonts w:cstheme="minorHAnsi"/>
          <w:bCs/>
          <w:color w:val="0000FF"/>
        </w:rPr>
        <w:t>multiple points of their distribution</w:t>
      </w:r>
      <w:r w:rsidR="00DF107D">
        <w:rPr>
          <w:rFonts w:cstheme="minorHAnsi"/>
          <w:bCs/>
          <w:color w:val="0000FF"/>
        </w:rPr>
        <w:t xml:space="preserve">: min, </w:t>
      </w:r>
      <w:r w:rsidR="00494DD8">
        <w:rPr>
          <w:rFonts w:cstheme="minorHAnsi"/>
          <w:bCs/>
          <w:color w:val="0000FF"/>
        </w:rPr>
        <w:t xml:space="preserve">max, and </w:t>
      </w:r>
      <w:r w:rsidR="00DF107D">
        <w:rPr>
          <w:rFonts w:cstheme="minorHAnsi"/>
          <w:bCs/>
          <w:color w:val="0000FF"/>
        </w:rPr>
        <w:t>10</w:t>
      </w:r>
      <w:r w:rsidR="00DF107D" w:rsidRPr="00932E8F">
        <w:rPr>
          <w:rFonts w:cstheme="minorHAnsi"/>
          <w:bCs/>
          <w:color w:val="0000FF"/>
          <w:vertAlign w:val="superscript"/>
        </w:rPr>
        <w:t>th</w:t>
      </w:r>
      <w:r w:rsidR="00494DD8">
        <w:rPr>
          <w:rFonts w:cstheme="minorHAnsi"/>
          <w:bCs/>
          <w:color w:val="0000FF"/>
        </w:rPr>
        <w:t>, 25</w:t>
      </w:r>
      <w:r w:rsidR="00494DD8" w:rsidRPr="00932E8F">
        <w:rPr>
          <w:rFonts w:cstheme="minorHAnsi"/>
          <w:bCs/>
          <w:color w:val="0000FF"/>
          <w:vertAlign w:val="superscript"/>
        </w:rPr>
        <w:t>th</w:t>
      </w:r>
      <w:r w:rsidR="00494DD8">
        <w:rPr>
          <w:rFonts w:cstheme="minorHAnsi"/>
          <w:bCs/>
          <w:color w:val="0000FF"/>
        </w:rPr>
        <w:t>, 75</w:t>
      </w:r>
      <w:r w:rsidR="00494DD8" w:rsidRPr="00932E8F">
        <w:rPr>
          <w:rFonts w:cstheme="minorHAnsi"/>
          <w:bCs/>
          <w:color w:val="0000FF"/>
          <w:vertAlign w:val="superscript"/>
        </w:rPr>
        <w:t>th</w:t>
      </w:r>
      <w:r w:rsidR="00494DD8">
        <w:rPr>
          <w:rFonts w:cstheme="minorHAnsi"/>
          <w:bCs/>
          <w:color w:val="0000FF"/>
        </w:rPr>
        <w:t>, and 90</w:t>
      </w:r>
      <w:r w:rsidR="00494DD8" w:rsidRPr="00932E8F">
        <w:rPr>
          <w:rFonts w:cstheme="minorHAnsi"/>
          <w:bCs/>
          <w:color w:val="0000FF"/>
          <w:vertAlign w:val="superscript"/>
        </w:rPr>
        <w:t>th</w:t>
      </w:r>
      <w:r w:rsidR="00494DD8">
        <w:rPr>
          <w:rFonts w:cstheme="minorHAnsi"/>
          <w:bCs/>
          <w:color w:val="0000FF"/>
        </w:rPr>
        <w:t xml:space="preserve"> </w:t>
      </w:r>
      <w:r w:rsidR="00DF107D">
        <w:rPr>
          <w:rFonts w:cstheme="minorHAnsi"/>
          <w:bCs/>
          <w:color w:val="0000FF"/>
        </w:rPr>
        <w:t>percentile</w:t>
      </w:r>
      <w:r w:rsidR="00494DD8">
        <w:rPr>
          <w:rFonts w:cstheme="minorHAnsi"/>
          <w:bCs/>
          <w:color w:val="0000FF"/>
        </w:rPr>
        <w:t>s</w:t>
      </w:r>
      <w:r w:rsidR="008B012C">
        <w:rPr>
          <w:rFonts w:cstheme="minorHAnsi"/>
          <w:bCs/>
          <w:color w:val="0000FF"/>
        </w:rPr>
        <w:t>.</w:t>
      </w:r>
    </w:p>
    <w:p w14:paraId="6FDA8510" w14:textId="793F9F34" w:rsidR="008B012C" w:rsidRPr="00932E8F" w:rsidRDefault="00DC3C90" w:rsidP="00932E8F">
      <w:pPr>
        <w:pStyle w:val="ListParagraph"/>
        <w:numPr>
          <w:ilvl w:val="0"/>
          <w:numId w:val="39"/>
        </w:numPr>
        <w:autoSpaceDE w:val="0"/>
        <w:autoSpaceDN w:val="0"/>
        <w:adjustRightInd w:val="0"/>
        <w:spacing w:after="0" w:line="240" w:lineRule="auto"/>
        <w:rPr>
          <w:rFonts w:cstheme="minorHAnsi"/>
          <w:bCs/>
          <w:color w:val="0000FF"/>
        </w:rPr>
      </w:pPr>
      <w:r>
        <w:rPr>
          <w:rFonts w:cstheme="minorHAnsi"/>
          <w:bCs/>
          <w:color w:val="0000FF"/>
        </w:rPr>
        <w:t>W</w:t>
      </w:r>
      <w:r w:rsidR="00DE2B2F" w:rsidRPr="00DE2B2F">
        <w:rPr>
          <w:rFonts w:cstheme="minorHAnsi"/>
          <w:bCs/>
          <w:color w:val="0000FF"/>
        </w:rPr>
        <w:t>e used bootstrapping procedures to derive a confidence interval to determine if a</w:t>
      </w:r>
      <w:r>
        <w:rPr>
          <w:rFonts w:cstheme="minorHAnsi"/>
          <w:bCs/>
          <w:color w:val="0000FF"/>
        </w:rPr>
        <w:t>n</w:t>
      </w:r>
      <w:r w:rsidR="00DE2B2F" w:rsidRPr="00DE2B2F">
        <w:rPr>
          <w:rFonts w:cstheme="minorHAnsi"/>
          <w:bCs/>
          <w:color w:val="0000FF"/>
        </w:rPr>
        <w:t xml:space="preserve"> </w:t>
      </w:r>
      <w:r w:rsidR="00D31F28">
        <w:rPr>
          <w:rFonts w:cstheme="minorHAnsi"/>
          <w:bCs/>
          <w:color w:val="0000FF"/>
        </w:rPr>
        <w:t>IRF</w:t>
      </w:r>
      <w:r>
        <w:rPr>
          <w:rFonts w:cstheme="minorHAnsi"/>
          <w:bCs/>
          <w:color w:val="0000FF"/>
        </w:rPr>
        <w:t>’s</w:t>
      </w:r>
      <w:r w:rsidR="009D7E07">
        <w:rPr>
          <w:rFonts w:cstheme="minorHAnsi"/>
          <w:bCs/>
          <w:color w:val="0000FF"/>
        </w:rPr>
        <w:t xml:space="preserve"> score </w:t>
      </w:r>
      <w:r w:rsidR="00705E21">
        <w:rPr>
          <w:rFonts w:cstheme="minorHAnsi"/>
          <w:bCs/>
          <w:color w:val="0000FF"/>
        </w:rPr>
        <w:t>i</w:t>
      </w:r>
      <w:r w:rsidR="00560F38">
        <w:rPr>
          <w:rFonts w:cstheme="minorHAnsi"/>
          <w:bCs/>
          <w:color w:val="0000FF"/>
        </w:rPr>
        <w:t>s</w:t>
      </w:r>
      <w:r>
        <w:rPr>
          <w:rFonts w:cstheme="minorHAnsi"/>
          <w:bCs/>
          <w:color w:val="0000FF"/>
        </w:rPr>
        <w:t xml:space="preserve"> </w:t>
      </w:r>
      <w:r w:rsidR="0055403A">
        <w:rPr>
          <w:rFonts w:cstheme="minorHAnsi"/>
          <w:bCs/>
          <w:color w:val="0000FF"/>
        </w:rPr>
        <w:t xml:space="preserve">significantly </w:t>
      </w:r>
      <w:r w:rsidR="009D7E07">
        <w:rPr>
          <w:rFonts w:cstheme="minorHAnsi"/>
          <w:bCs/>
          <w:color w:val="0000FF"/>
        </w:rPr>
        <w:t>lower</w:t>
      </w:r>
      <w:r w:rsidR="00DE2B2F" w:rsidRPr="00DE2B2F">
        <w:rPr>
          <w:rFonts w:cstheme="minorHAnsi"/>
          <w:bCs/>
          <w:color w:val="0000FF"/>
        </w:rPr>
        <w:t xml:space="preserve"> than, </w:t>
      </w:r>
      <w:r w:rsidR="0055403A">
        <w:rPr>
          <w:rFonts w:cstheme="minorHAnsi"/>
          <w:bCs/>
          <w:color w:val="0000FF"/>
        </w:rPr>
        <w:t xml:space="preserve">significantly </w:t>
      </w:r>
      <w:r w:rsidR="009D7E07">
        <w:rPr>
          <w:rFonts w:cstheme="minorHAnsi"/>
          <w:bCs/>
          <w:color w:val="0000FF"/>
        </w:rPr>
        <w:t xml:space="preserve">higher </w:t>
      </w:r>
      <w:r w:rsidR="00DE2B2F" w:rsidRPr="00DE2B2F">
        <w:rPr>
          <w:rFonts w:cstheme="minorHAnsi"/>
          <w:bCs/>
          <w:color w:val="0000FF"/>
        </w:rPr>
        <w:t xml:space="preserve">than, or no different than </w:t>
      </w:r>
      <w:r>
        <w:rPr>
          <w:rFonts w:cstheme="minorHAnsi"/>
          <w:bCs/>
          <w:color w:val="0000FF"/>
        </w:rPr>
        <w:t>the national average</w:t>
      </w:r>
      <w:r w:rsidR="00DE2B2F" w:rsidRPr="00DE2B2F">
        <w:rPr>
          <w:rFonts w:cstheme="minorHAnsi"/>
          <w:bCs/>
          <w:color w:val="0000FF"/>
        </w:rPr>
        <w:t xml:space="preserve">. </w:t>
      </w:r>
      <w:r w:rsidR="009D7E07" w:rsidRPr="009D7E07">
        <w:rPr>
          <w:rFonts w:cstheme="minorHAnsi"/>
          <w:bCs/>
          <w:color w:val="0000FF"/>
        </w:rPr>
        <w:t xml:space="preserve">We bootstrapped samples of </w:t>
      </w:r>
      <w:r w:rsidR="00D31F28">
        <w:rPr>
          <w:rFonts w:cstheme="minorHAnsi"/>
          <w:bCs/>
          <w:color w:val="0000FF"/>
        </w:rPr>
        <w:t>IRF</w:t>
      </w:r>
      <w:r w:rsidR="009D7E07" w:rsidRPr="009D7E07">
        <w:rPr>
          <w:rFonts w:cstheme="minorHAnsi"/>
          <w:bCs/>
          <w:color w:val="0000FF"/>
        </w:rPr>
        <w:t xml:space="preserve">s, with replacement, with 100 replications, and re-estimated the </w:t>
      </w:r>
      <w:r w:rsidR="004C3950">
        <w:rPr>
          <w:rFonts w:cstheme="minorHAnsi"/>
          <w:bCs/>
          <w:color w:val="0000FF"/>
        </w:rPr>
        <w:t>facility</w:t>
      </w:r>
      <w:r w:rsidR="009D7E07" w:rsidRPr="009D7E07">
        <w:rPr>
          <w:rFonts w:cstheme="minorHAnsi"/>
          <w:bCs/>
          <w:color w:val="0000FF"/>
        </w:rPr>
        <w:t xml:space="preserve"> average episode ratio (observed spending over expect spending) within each replication. The calculation of the expected episode spending within each bootstrap includes the addition of normally distributed noise proportional to the standard error of the </w:t>
      </w:r>
      <w:r w:rsidR="004C3950">
        <w:rPr>
          <w:rFonts w:cstheme="minorHAnsi"/>
          <w:bCs/>
          <w:color w:val="0000FF"/>
        </w:rPr>
        <w:t>facility</w:t>
      </w:r>
      <w:r w:rsidR="009D7E07" w:rsidRPr="009D7E07">
        <w:rPr>
          <w:rFonts w:cstheme="minorHAnsi"/>
          <w:bCs/>
          <w:color w:val="0000FF"/>
        </w:rPr>
        <w:t xml:space="preserve">-specific average episode spending. We use the 2.5 and 97.5 percentile of the average episode ratio from the bootstrapped distribution of each </w:t>
      </w:r>
      <w:r w:rsidR="004C3950">
        <w:rPr>
          <w:rFonts w:cstheme="minorHAnsi"/>
          <w:bCs/>
          <w:color w:val="0000FF"/>
        </w:rPr>
        <w:t>facility</w:t>
      </w:r>
      <w:r w:rsidR="009D7E07" w:rsidRPr="009D7E07">
        <w:rPr>
          <w:rFonts w:cstheme="minorHAnsi"/>
          <w:bCs/>
          <w:color w:val="0000FF"/>
        </w:rPr>
        <w:t xml:space="preserve"> to calculate the full width of the 95 percent confidence interval</w:t>
      </w:r>
      <w:r w:rsidR="00345071">
        <w:rPr>
          <w:rFonts w:cstheme="minorHAnsi"/>
          <w:bCs/>
          <w:color w:val="0000FF"/>
        </w:rPr>
        <w:t xml:space="preserve"> (CI).</w:t>
      </w:r>
      <w:r w:rsidR="00DE2B2F" w:rsidRPr="00DE2B2F">
        <w:rPr>
          <w:rFonts w:cstheme="minorHAnsi"/>
          <w:bCs/>
          <w:color w:val="0000FF"/>
        </w:rPr>
        <w:t xml:space="preserve"> We </w:t>
      </w:r>
      <w:r w:rsidR="00250A9B">
        <w:rPr>
          <w:rFonts w:cstheme="minorHAnsi"/>
          <w:bCs/>
          <w:color w:val="0000FF"/>
        </w:rPr>
        <w:t xml:space="preserve">then </w:t>
      </w:r>
      <w:r w:rsidR="00DE2B2F" w:rsidRPr="00DE2B2F">
        <w:rPr>
          <w:rFonts w:cstheme="minorHAnsi"/>
          <w:bCs/>
          <w:color w:val="0000FF"/>
        </w:rPr>
        <w:t xml:space="preserve">compared each </w:t>
      </w:r>
      <w:r w:rsidR="004C3950">
        <w:rPr>
          <w:rFonts w:cstheme="minorHAnsi"/>
          <w:bCs/>
          <w:color w:val="0000FF"/>
        </w:rPr>
        <w:t>facility</w:t>
      </w:r>
      <w:r w:rsidR="00DE2B2F" w:rsidRPr="00DE2B2F">
        <w:rPr>
          <w:rFonts w:cstheme="minorHAnsi"/>
          <w:bCs/>
          <w:color w:val="0000FF"/>
        </w:rPr>
        <w:t xml:space="preserve">’s 95% CI to the national </w:t>
      </w:r>
      <w:r w:rsidR="00250A9B">
        <w:rPr>
          <w:rFonts w:cstheme="minorHAnsi"/>
          <w:bCs/>
          <w:color w:val="0000FF"/>
        </w:rPr>
        <w:t>episode-level average</w:t>
      </w:r>
      <w:r w:rsidR="00DE2B2F" w:rsidRPr="00DE2B2F">
        <w:rPr>
          <w:rFonts w:cstheme="minorHAnsi"/>
          <w:bCs/>
          <w:color w:val="0000FF"/>
        </w:rPr>
        <w:t xml:space="preserve"> </w:t>
      </w:r>
      <w:r w:rsidR="00250A9B">
        <w:rPr>
          <w:rFonts w:cstheme="minorHAnsi"/>
          <w:bCs/>
          <w:color w:val="0000FF"/>
        </w:rPr>
        <w:t xml:space="preserve">ratio </w:t>
      </w:r>
      <w:r w:rsidR="00DE2B2F" w:rsidRPr="00DE2B2F">
        <w:rPr>
          <w:rFonts w:cstheme="minorHAnsi"/>
          <w:bCs/>
          <w:color w:val="0000FF"/>
        </w:rPr>
        <w:t xml:space="preserve">to determine if the provider’s performance was significantly different from the national </w:t>
      </w:r>
      <w:r w:rsidR="00250A9B">
        <w:rPr>
          <w:rFonts w:cstheme="minorHAnsi"/>
          <w:bCs/>
          <w:color w:val="0000FF"/>
        </w:rPr>
        <w:t>mean</w:t>
      </w:r>
      <w:r w:rsidR="00DE2B2F" w:rsidRPr="00DE2B2F">
        <w:rPr>
          <w:rFonts w:cstheme="minorHAnsi"/>
          <w:bCs/>
          <w:color w:val="0000FF"/>
        </w:rPr>
        <w:t xml:space="preserve">. </w:t>
      </w:r>
      <w:r w:rsidR="00D31F28">
        <w:rPr>
          <w:rFonts w:cstheme="minorHAnsi"/>
          <w:bCs/>
          <w:color w:val="0000FF"/>
        </w:rPr>
        <w:t>IRF</w:t>
      </w:r>
      <w:r w:rsidR="00DE2B2F" w:rsidRPr="00DE2B2F">
        <w:rPr>
          <w:rFonts w:cstheme="minorHAnsi"/>
          <w:bCs/>
          <w:color w:val="0000FF"/>
        </w:rPr>
        <w:t xml:space="preserve">s whose 95% CI was entirely below the national </w:t>
      </w:r>
      <w:r w:rsidR="00250A9B">
        <w:rPr>
          <w:rFonts w:cstheme="minorHAnsi"/>
          <w:bCs/>
          <w:color w:val="0000FF"/>
        </w:rPr>
        <w:t>average</w:t>
      </w:r>
      <w:r w:rsidR="00DE2B2F" w:rsidRPr="00DE2B2F">
        <w:rPr>
          <w:rFonts w:cstheme="minorHAnsi"/>
          <w:bCs/>
          <w:color w:val="0000FF"/>
        </w:rPr>
        <w:t xml:space="preserve"> were considered to be significantly </w:t>
      </w:r>
      <w:r w:rsidR="00250A9B">
        <w:rPr>
          <w:rFonts w:cstheme="minorHAnsi"/>
          <w:bCs/>
          <w:color w:val="0000FF"/>
        </w:rPr>
        <w:t>lower</w:t>
      </w:r>
      <w:r w:rsidR="00DE2B2F" w:rsidRPr="00DE2B2F">
        <w:rPr>
          <w:rFonts w:cstheme="minorHAnsi"/>
          <w:bCs/>
          <w:color w:val="0000FF"/>
        </w:rPr>
        <w:t xml:space="preserve"> than the national </w:t>
      </w:r>
      <w:r w:rsidR="00250A9B">
        <w:rPr>
          <w:rFonts w:cstheme="minorHAnsi"/>
          <w:bCs/>
          <w:color w:val="0000FF"/>
        </w:rPr>
        <w:t>aver</w:t>
      </w:r>
      <w:r w:rsidR="00345071">
        <w:rPr>
          <w:rFonts w:cstheme="minorHAnsi"/>
          <w:bCs/>
          <w:color w:val="0000FF"/>
        </w:rPr>
        <w:t>a</w:t>
      </w:r>
      <w:r w:rsidR="00250A9B">
        <w:rPr>
          <w:rFonts w:cstheme="minorHAnsi"/>
          <w:bCs/>
          <w:color w:val="0000FF"/>
        </w:rPr>
        <w:t>ge</w:t>
      </w:r>
      <w:r w:rsidR="00DE2B2F" w:rsidRPr="00DE2B2F">
        <w:rPr>
          <w:rFonts w:cstheme="minorHAnsi"/>
          <w:bCs/>
          <w:color w:val="0000FF"/>
        </w:rPr>
        <w:t xml:space="preserve">; </w:t>
      </w:r>
      <w:r w:rsidR="00D31F28">
        <w:rPr>
          <w:rFonts w:cstheme="minorHAnsi"/>
          <w:bCs/>
          <w:color w:val="0000FF"/>
        </w:rPr>
        <w:t>IRF</w:t>
      </w:r>
      <w:r w:rsidR="00DE2B2F" w:rsidRPr="00DE2B2F">
        <w:rPr>
          <w:rFonts w:cstheme="minorHAnsi"/>
          <w:bCs/>
          <w:color w:val="0000FF"/>
        </w:rPr>
        <w:t xml:space="preserve">s whose CI was entirely above the national </w:t>
      </w:r>
      <w:r w:rsidR="00345071">
        <w:rPr>
          <w:rFonts w:cstheme="minorHAnsi"/>
          <w:bCs/>
          <w:color w:val="0000FF"/>
        </w:rPr>
        <w:t>average</w:t>
      </w:r>
      <w:r w:rsidR="00DE2B2F" w:rsidRPr="00DE2B2F">
        <w:rPr>
          <w:rFonts w:cstheme="minorHAnsi"/>
          <w:bCs/>
          <w:color w:val="0000FF"/>
        </w:rPr>
        <w:t xml:space="preserve"> were significantly </w:t>
      </w:r>
      <w:r w:rsidR="00345071">
        <w:rPr>
          <w:rFonts w:cstheme="minorHAnsi"/>
          <w:bCs/>
          <w:color w:val="0000FF"/>
        </w:rPr>
        <w:t>higher</w:t>
      </w:r>
      <w:r w:rsidR="00DE2B2F" w:rsidRPr="00DE2B2F">
        <w:rPr>
          <w:rFonts w:cstheme="minorHAnsi"/>
          <w:bCs/>
          <w:color w:val="0000FF"/>
        </w:rPr>
        <w:t xml:space="preserve"> than the national </w:t>
      </w:r>
      <w:r w:rsidR="00345071">
        <w:rPr>
          <w:rFonts w:cstheme="minorHAnsi"/>
          <w:bCs/>
          <w:color w:val="0000FF"/>
        </w:rPr>
        <w:t>average</w:t>
      </w:r>
      <w:r w:rsidR="00DE2B2F" w:rsidRPr="00DE2B2F">
        <w:rPr>
          <w:rFonts w:cstheme="minorHAnsi"/>
          <w:bCs/>
          <w:color w:val="0000FF"/>
        </w:rPr>
        <w:t xml:space="preserve">; and </w:t>
      </w:r>
      <w:r w:rsidR="00D31F28">
        <w:rPr>
          <w:rFonts w:cstheme="minorHAnsi"/>
          <w:bCs/>
          <w:color w:val="0000FF"/>
        </w:rPr>
        <w:t>IRF</w:t>
      </w:r>
      <w:r w:rsidR="00DE2B2F" w:rsidRPr="00DE2B2F">
        <w:rPr>
          <w:rFonts w:cstheme="minorHAnsi"/>
          <w:bCs/>
          <w:color w:val="0000FF"/>
        </w:rPr>
        <w:t xml:space="preserve">s whose CI overlapped the national </w:t>
      </w:r>
      <w:r w:rsidR="00345071">
        <w:rPr>
          <w:rFonts w:cstheme="minorHAnsi"/>
          <w:bCs/>
          <w:color w:val="0000FF"/>
        </w:rPr>
        <w:t>average</w:t>
      </w:r>
      <w:r w:rsidR="00DE2B2F" w:rsidRPr="00DE2B2F">
        <w:rPr>
          <w:rFonts w:cstheme="minorHAnsi"/>
          <w:bCs/>
          <w:color w:val="0000FF"/>
        </w:rPr>
        <w:t xml:space="preserve"> were no different than the national </w:t>
      </w:r>
      <w:r w:rsidR="00345071">
        <w:rPr>
          <w:rFonts w:cstheme="minorHAnsi"/>
          <w:bCs/>
          <w:color w:val="0000FF"/>
        </w:rPr>
        <w:t>average</w:t>
      </w:r>
      <w:r w:rsidR="00DE2B2F" w:rsidRPr="00DE2B2F">
        <w:rPr>
          <w:rFonts w:cstheme="minorHAnsi"/>
          <w:bCs/>
          <w:color w:val="0000FF"/>
        </w:rPr>
        <w:t>.</w:t>
      </w:r>
    </w:p>
    <w:p w14:paraId="0CABD009" w14:textId="77777777" w:rsidR="00D61410" w:rsidRPr="00A25024" w:rsidRDefault="00D61410" w:rsidP="00D61410">
      <w:pPr>
        <w:autoSpaceDE w:val="0"/>
        <w:autoSpaceDN w:val="0"/>
        <w:adjustRightInd w:val="0"/>
        <w:spacing w:after="0" w:line="240" w:lineRule="auto"/>
        <w:rPr>
          <w:rFonts w:cstheme="minorHAnsi"/>
          <w:bCs/>
        </w:rPr>
      </w:pPr>
    </w:p>
    <w:p w14:paraId="76D8A11B" w14:textId="77777777" w:rsidR="00941A96" w:rsidRDefault="009C7513" w:rsidP="00893355">
      <w:pPr>
        <w:pStyle w:val="Heading3"/>
      </w:pPr>
      <w:r>
        <w:t>2b4</w:t>
      </w:r>
      <w:r w:rsidR="00D61410">
        <w:t xml:space="preserve">.2. </w:t>
      </w:r>
      <w:r w:rsidR="00D61410" w:rsidRPr="00A25024">
        <w:t xml:space="preserve">What were the statistical results from testing the ability to identify </w:t>
      </w:r>
      <w:r w:rsidR="001E69DC">
        <w:t xml:space="preserve">statistically significant and/or clinically/practically meaningful </w:t>
      </w:r>
      <w:r w:rsidR="00D61410" w:rsidRPr="00A25024">
        <w:t>differences in performance measure scores across measured entities?</w:t>
      </w:r>
    </w:p>
    <w:p w14:paraId="0CABD00A" w14:textId="184C9D4E" w:rsidR="00D61410" w:rsidRDefault="00D61410" w:rsidP="00D61410">
      <w:pPr>
        <w:autoSpaceDE w:val="0"/>
        <w:autoSpaceDN w:val="0"/>
        <w:adjustRightInd w:val="0"/>
        <w:spacing w:after="0" w:line="240" w:lineRule="auto"/>
        <w:rPr>
          <w:rFonts w:cstheme="minorHAnsi"/>
          <w:bCs/>
        </w:rPr>
      </w:pP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p>
    <w:p w14:paraId="4E3B88D6" w14:textId="6BF61E1C" w:rsidR="006E285F" w:rsidRPr="008C7D29" w:rsidRDefault="00CB0795" w:rsidP="00265939">
      <w:pPr>
        <w:autoSpaceDE w:val="0"/>
        <w:autoSpaceDN w:val="0"/>
        <w:adjustRightInd w:val="0"/>
        <w:spacing w:after="0" w:line="240" w:lineRule="auto"/>
        <w:ind w:firstLine="720"/>
        <w:rPr>
          <w:rFonts w:cstheme="minorHAnsi"/>
          <w:bCs/>
          <w:color w:val="0000FF"/>
        </w:rPr>
      </w:pPr>
      <w:r w:rsidRPr="00A369FD">
        <w:rPr>
          <w:rFonts w:cstheme="minorHAnsi"/>
          <w:bCs/>
          <w:color w:val="0000FF"/>
        </w:rPr>
        <w:t xml:space="preserve">As can be seen in </w:t>
      </w:r>
      <w:r w:rsidRPr="00D10415">
        <w:rPr>
          <w:rFonts w:cstheme="minorHAnsi"/>
          <w:b/>
          <w:bCs/>
          <w:color w:val="0000FF"/>
        </w:rPr>
        <w:fldChar w:fldCharType="begin"/>
      </w:r>
      <w:r w:rsidRPr="00A369FD">
        <w:rPr>
          <w:rFonts w:cstheme="minorHAnsi"/>
          <w:b/>
          <w:bCs/>
          <w:color w:val="0000FF"/>
        </w:rPr>
        <w:instrText xml:space="preserve"> REF _Ref23932239 \h  \* MERGEFORMAT </w:instrText>
      </w:r>
      <w:r w:rsidRPr="00D10415">
        <w:rPr>
          <w:rFonts w:cstheme="minorHAnsi"/>
          <w:b/>
          <w:bCs/>
          <w:color w:val="0000FF"/>
        </w:rPr>
      </w:r>
      <w:r w:rsidRPr="00D10415">
        <w:rPr>
          <w:rFonts w:cstheme="minorHAnsi"/>
          <w:b/>
          <w:bCs/>
          <w:color w:val="0000FF"/>
        </w:rPr>
        <w:fldChar w:fldCharType="separate"/>
      </w:r>
      <w:r w:rsidR="00B6644A" w:rsidRPr="00A369FD">
        <w:rPr>
          <w:b/>
          <w:color w:val="0000FF"/>
        </w:rPr>
        <w:t xml:space="preserve">Table </w:t>
      </w:r>
      <w:r w:rsidR="00B6644A" w:rsidRPr="00A369FD">
        <w:rPr>
          <w:b/>
          <w:noProof/>
          <w:color w:val="0000FF"/>
        </w:rPr>
        <w:t>13</w:t>
      </w:r>
      <w:r w:rsidRPr="00D10415">
        <w:rPr>
          <w:rFonts w:cstheme="minorHAnsi"/>
          <w:b/>
          <w:bCs/>
          <w:color w:val="0000FF"/>
        </w:rPr>
        <w:fldChar w:fldCharType="end"/>
      </w:r>
      <w:r w:rsidRPr="00A369FD">
        <w:rPr>
          <w:rFonts w:cstheme="minorHAnsi"/>
          <w:b/>
          <w:bCs/>
          <w:color w:val="0000FF"/>
        </w:rPr>
        <w:t xml:space="preserve"> </w:t>
      </w:r>
      <w:r w:rsidRPr="00A369FD">
        <w:rPr>
          <w:rFonts w:cstheme="minorHAnsi"/>
          <w:bCs/>
          <w:color w:val="0000FF"/>
        </w:rPr>
        <w:t xml:space="preserve">and </w:t>
      </w:r>
      <w:r w:rsidRPr="00D10415">
        <w:rPr>
          <w:rFonts w:cstheme="minorHAnsi"/>
          <w:b/>
          <w:bCs/>
          <w:color w:val="0000FF"/>
        </w:rPr>
        <w:fldChar w:fldCharType="begin"/>
      </w:r>
      <w:r w:rsidRPr="00A369FD">
        <w:rPr>
          <w:rFonts w:cstheme="minorHAnsi"/>
          <w:b/>
          <w:bCs/>
          <w:color w:val="0000FF"/>
        </w:rPr>
        <w:instrText xml:space="preserve"> REF _Ref23932264 \h  \* MERGEFORMAT </w:instrText>
      </w:r>
      <w:r w:rsidRPr="00D10415">
        <w:rPr>
          <w:rFonts w:cstheme="minorHAnsi"/>
          <w:b/>
          <w:bCs/>
          <w:color w:val="0000FF"/>
        </w:rPr>
      </w:r>
      <w:r w:rsidRPr="00D10415">
        <w:rPr>
          <w:rFonts w:cstheme="minorHAnsi"/>
          <w:b/>
          <w:bCs/>
          <w:color w:val="0000FF"/>
        </w:rPr>
        <w:fldChar w:fldCharType="separate"/>
      </w:r>
      <w:r w:rsidR="00B6644A" w:rsidRPr="00A369FD">
        <w:rPr>
          <w:b/>
          <w:color w:val="0000FF"/>
        </w:rPr>
        <w:t xml:space="preserve">Figure </w:t>
      </w:r>
      <w:r w:rsidR="00B6644A" w:rsidRPr="00A369FD">
        <w:rPr>
          <w:b/>
          <w:noProof/>
          <w:color w:val="0000FF"/>
        </w:rPr>
        <w:t>3</w:t>
      </w:r>
      <w:r w:rsidRPr="00D10415">
        <w:rPr>
          <w:rFonts w:cstheme="minorHAnsi"/>
          <w:b/>
          <w:bCs/>
          <w:color w:val="0000FF"/>
        </w:rPr>
        <w:fldChar w:fldCharType="end"/>
      </w:r>
      <w:r w:rsidRPr="00A369FD">
        <w:rPr>
          <w:rFonts w:cstheme="minorHAnsi"/>
          <w:bCs/>
          <w:color w:val="0000FF"/>
        </w:rPr>
        <w:t xml:space="preserve">, MSPB-PAC </w:t>
      </w:r>
      <w:r w:rsidR="00A369FD" w:rsidRPr="008C7D29">
        <w:rPr>
          <w:rFonts w:cstheme="minorHAnsi"/>
          <w:bCs/>
          <w:color w:val="0000FF"/>
        </w:rPr>
        <w:t>IRF</w:t>
      </w:r>
      <w:r w:rsidRPr="00A369FD">
        <w:rPr>
          <w:rFonts w:cstheme="minorHAnsi"/>
          <w:bCs/>
          <w:color w:val="0000FF"/>
        </w:rPr>
        <w:t xml:space="preserve"> scores are distributed fairly symmetrically and have a good deal of variability.</w:t>
      </w:r>
      <w:r w:rsidR="00B67360" w:rsidRPr="00A369FD">
        <w:rPr>
          <w:rFonts w:cstheme="minorHAnsi"/>
          <w:bCs/>
          <w:color w:val="0000FF"/>
        </w:rPr>
        <w:t xml:space="preserve"> The standard deviation is 0.</w:t>
      </w:r>
      <w:r w:rsidR="00A369FD" w:rsidRPr="008C7D29">
        <w:rPr>
          <w:rFonts w:cstheme="minorHAnsi"/>
          <w:bCs/>
          <w:color w:val="0000FF"/>
        </w:rPr>
        <w:t>08</w:t>
      </w:r>
      <w:r w:rsidR="00B67360" w:rsidRPr="00A369FD">
        <w:rPr>
          <w:rFonts w:cstheme="minorHAnsi"/>
          <w:bCs/>
          <w:color w:val="0000FF"/>
        </w:rPr>
        <w:t xml:space="preserve">, and the max/min, 90/10, and 75/25 ratios are </w:t>
      </w:r>
      <w:r w:rsidR="00D31F28" w:rsidRPr="00D31F28">
        <w:rPr>
          <w:rFonts w:cstheme="minorHAnsi"/>
          <w:bCs/>
          <w:color w:val="0000FF"/>
        </w:rPr>
        <w:t>1.9</w:t>
      </w:r>
      <w:r w:rsidR="002719C6">
        <w:rPr>
          <w:rFonts w:cstheme="minorHAnsi"/>
          <w:bCs/>
          <w:color w:val="0000FF"/>
        </w:rPr>
        <w:t>8</w:t>
      </w:r>
      <w:r w:rsidR="00D31F28" w:rsidRPr="00D31F28">
        <w:rPr>
          <w:rFonts w:cstheme="minorHAnsi"/>
          <w:bCs/>
          <w:color w:val="0000FF"/>
        </w:rPr>
        <w:t>, 1.21,</w:t>
      </w:r>
      <w:r w:rsidR="00D31F28">
        <w:rPr>
          <w:rFonts w:cstheme="minorHAnsi"/>
          <w:bCs/>
          <w:color w:val="0000FF"/>
        </w:rPr>
        <w:t xml:space="preserve"> and</w:t>
      </w:r>
      <w:r w:rsidR="00D31F28" w:rsidRPr="00D31F28">
        <w:rPr>
          <w:rFonts w:cstheme="minorHAnsi"/>
          <w:bCs/>
          <w:color w:val="0000FF"/>
        </w:rPr>
        <w:t xml:space="preserve"> 1.1</w:t>
      </w:r>
      <w:r w:rsidR="00C70B83">
        <w:rPr>
          <w:rFonts w:cstheme="minorHAnsi"/>
          <w:bCs/>
          <w:color w:val="0000FF"/>
        </w:rPr>
        <w:t>0</w:t>
      </w:r>
      <w:r w:rsidR="00B67360" w:rsidRPr="00A369FD">
        <w:rPr>
          <w:rFonts w:cstheme="minorHAnsi"/>
          <w:bCs/>
          <w:color w:val="0000FF"/>
        </w:rPr>
        <w:t>, respectively.</w:t>
      </w:r>
    </w:p>
    <w:p w14:paraId="5295B30F" w14:textId="7E94095E" w:rsidR="00B67360" w:rsidRPr="008C7D29" w:rsidRDefault="00B67360" w:rsidP="00D61410">
      <w:pPr>
        <w:autoSpaceDE w:val="0"/>
        <w:autoSpaceDN w:val="0"/>
        <w:adjustRightInd w:val="0"/>
        <w:spacing w:after="0" w:line="240" w:lineRule="auto"/>
        <w:rPr>
          <w:rFonts w:cstheme="minorHAnsi"/>
          <w:bCs/>
          <w:color w:val="0000FF"/>
        </w:rPr>
      </w:pPr>
    </w:p>
    <w:p w14:paraId="10385104" w14:textId="77543C65" w:rsidR="00C8572F" w:rsidRPr="001C1DBA" w:rsidRDefault="00C8572F" w:rsidP="00265939">
      <w:pPr>
        <w:autoSpaceDE w:val="0"/>
        <w:autoSpaceDN w:val="0"/>
        <w:adjustRightInd w:val="0"/>
        <w:spacing w:after="0" w:line="240" w:lineRule="auto"/>
        <w:ind w:firstLine="720"/>
        <w:rPr>
          <w:rFonts w:cstheme="minorHAnsi"/>
          <w:bCs/>
          <w:color w:val="0000FF"/>
        </w:rPr>
      </w:pPr>
      <w:r w:rsidRPr="00A369FD">
        <w:rPr>
          <w:rFonts w:cstheme="minorHAnsi"/>
          <w:bCs/>
          <w:color w:val="0000FF"/>
        </w:rPr>
        <w:t xml:space="preserve">Due to the high level of reliability of the MSPB-PAC </w:t>
      </w:r>
      <w:r w:rsidR="00A369FD" w:rsidRPr="008C7D29">
        <w:rPr>
          <w:rFonts w:cstheme="minorHAnsi"/>
          <w:bCs/>
          <w:color w:val="0000FF"/>
        </w:rPr>
        <w:t>IRF</w:t>
      </w:r>
      <w:r w:rsidRPr="00A369FD">
        <w:rPr>
          <w:rFonts w:cstheme="minorHAnsi"/>
          <w:bCs/>
          <w:color w:val="0000FF"/>
        </w:rPr>
        <w:t xml:space="preserve"> scores, demonstrated in </w:t>
      </w:r>
      <w:r w:rsidRPr="00A369FD">
        <w:rPr>
          <w:rFonts w:cstheme="minorHAnsi"/>
          <w:b/>
          <w:bCs/>
          <w:color w:val="0000FF"/>
        </w:rPr>
        <w:t>section 2a2</w:t>
      </w:r>
      <w:r w:rsidRPr="00A369FD">
        <w:rPr>
          <w:rFonts w:cstheme="minorHAnsi"/>
          <w:bCs/>
          <w:color w:val="0000FF"/>
        </w:rPr>
        <w:t>, small differences in scores can be interpreted as meaningful.</w:t>
      </w:r>
      <w:r w:rsidR="0075476E" w:rsidRPr="00A369FD">
        <w:rPr>
          <w:rFonts w:cstheme="minorHAnsi"/>
          <w:bCs/>
          <w:color w:val="0000FF"/>
        </w:rPr>
        <w:t xml:space="preserve"> This </w:t>
      </w:r>
      <w:r w:rsidR="00054185" w:rsidRPr="00A369FD">
        <w:rPr>
          <w:rFonts w:cstheme="minorHAnsi"/>
          <w:bCs/>
          <w:color w:val="0000FF"/>
        </w:rPr>
        <w:t xml:space="preserve">is confirmed by our analysis of statistical significance: </w:t>
      </w:r>
      <w:r w:rsidR="00A369FD" w:rsidRPr="008C7D29">
        <w:rPr>
          <w:rFonts w:cstheme="minorHAnsi"/>
          <w:bCs/>
          <w:color w:val="0000FF"/>
        </w:rPr>
        <w:t>46</w:t>
      </w:r>
      <w:r w:rsidR="00054185" w:rsidRPr="00A369FD">
        <w:rPr>
          <w:rFonts w:cstheme="minorHAnsi"/>
          <w:bCs/>
          <w:color w:val="0000FF"/>
        </w:rPr>
        <w:t xml:space="preserve">% of </w:t>
      </w:r>
      <w:r w:rsidR="00A369FD" w:rsidRPr="008C7D29">
        <w:rPr>
          <w:rFonts w:cstheme="minorHAnsi"/>
          <w:bCs/>
          <w:color w:val="0000FF"/>
        </w:rPr>
        <w:t>IRF</w:t>
      </w:r>
      <w:r w:rsidR="00054185" w:rsidRPr="00A369FD">
        <w:rPr>
          <w:rFonts w:cstheme="minorHAnsi"/>
          <w:bCs/>
          <w:color w:val="0000FF"/>
        </w:rPr>
        <w:t xml:space="preserve">s had scores that were statistically significantly higher than the national </w:t>
      </w:r>
      <w:r w:rsidR="008D0765" w:rsidRPr="00A369FD">
        <w:rPr>
          <w:rFonts w:cstheme="minorHAnsi"/>
          <w:bCs/>
          <w:color w:val="0000FF"/>
        </w:rPr>
        <w:t xml:space="preserve">mean, while </w:t>
      </w:r>
      <w:r w:rsidR="00A369FD" w:rsidRPr="008C7D29">
        <w:rPr>
          <w:rFonts w:cstheme="minorHAnsi"/>
          <w:bCs/>
          <w:color w:val="0000FF"/>
        </w:rPr>
        <w:t>30</w:t>
      </w:r>
      <w:r w:rsidR="008D0765" w:rsidRPr="00A369FD">
        <w:rPr>
          <w:rFonts w:cstheme="minorHAnsi"/>
          <w:bCs/>
          <w:color w:val="0000FF"/>
        </w:rPr>
        <w:t xml:space="preserve">% of </w:t>
      </w:r>
      <w:r w:rsidR="00A369FD" w:rsidRPr="008C7D29">
        <w:rPr>
          <w:rFonts w:cstheme="minorHAnsi"/>
          <w:bCs/>
          <w:color w:val="0000FF"/>
        </w:rPr>
        <w:t>IRF</w:t>
      </w:r>
      <w:r w:rsidR="008D0765" w:rsidRPr="00A369FD">
        <w:rPr>
          <w:rFonts w:cstheme="minorHAnsi"/>
          <w:bCs/>
          <w:color w:val="0000FF"/>
        </w:rPr>
        <w:t>s had scores that were statistically significantly lower (</w:t>
      </w:r>
      <w:r w:rsidR="008D0765" w:rsidRPr="00D10415">
        <w:rPr>
          <w:rFonts w:cstheme="minorHAnsi"/>
          <w:b/>
          <w:bCs/>
          <w:color w:val="0000FF"/>
        </w:rPr>
        <w:fldChar w:fldCharType="begin"/>
      </w:r>
      <w:r w:rsidR="008D0765" w:rsidRPr="00A369FD">
        <w:rPr>
          <w:rFonts w:cstheme="minorHAnsi"/>
          <w:b/>
          <w:bCs/>
          <w:color w:val="0000FF"/>
        </w:rPr>
        <w:instrText xml:space="preserve"> REF _Ref23933279 \h  \* MERGEFORMAT </w:instrText>
      </w:r>
      <w:r w:rsidR="008D0765" w:rsidRPr="00D10415">
        <w:rPr>
          <w:rFonts w:cstheme="minorHAnsi"/>
          <w:b/>
          <w:bCs/>
          <w:color w:val="0000FF"/>
        </w:rPr>
      </w:r>
      <w:r w:rsidR="008D0765" w:rsidRPr="00D10415">
        <w:rPr>
          <w:rFonts w:cstheme="minorHAnsi"/>
          <w:b/>
          <w:bCs/>
          <w:color w:val="0000FF"/>
        </w:rPr>
        <w:fldChar w:fldCharType="separate"/>
      </w:r>
      <w:r w:rsidR="00B6644A" w:rsidRPr="00A369FD">
        <w:rPr>
          <w:b/>
          <w:color w:val="0000FF"/>
        </w:rPr>
        <w:t xml:space="preserve">Table </w:t>
      </w:r>
      <w:r w:rsidR="00B6644A" w:rsidRPr="00A369FD">
        <w:rPr>
          <w:b/>
          <w:noProof/>
          <w:color w:val="0000FF"/>
        </w:rPr>
        <w:t>14</w:t>
      </w:r>
      <w:r w:rsidR="008D0765" w:rsidRPr="00D10415">
        <w:rPr>
          <w:rFonts w:cstheme="minorHAnsi"/>
          <w:b/>
          <w:bCs/>
          <w:color w:val="0000FF"/>
        </w:rPr>
        <w:fldChar w:fldCharType="end"/>
      </w:r>
      <w:r w:rsidR="008D0765" w:rsidRPr="00A369FD">
        <w:rPr>
          <w:rFonts w:cstheme="minorHAnsi"/>
          <w:bCs/>
          <w:color w:val="0000FF"/>
        </w:rPr>
        <w:t>).</w:t>
      </w:r>
    </w:p>
    <w:p w14:paraId="7FB10B72" w14:textId="77777777" w:rsidR="00C8572F" w:rsidRPr="00932E8F" w:rsidRDefault="00C8572F" w:rsidP="00D61410">
      <w:pPr>
        <w:autoSpaceDE w:val="0"/>
        <w:autoSpaceDN w:val="0"/>
        <w:adjustRightInd w:val="0"/>
        <w:spacing w:after="0" w:line="240" w:lineRule="auto"/>
        <w:rPr>
          <w:rFonts w:cstheme="minorHAnsi"/>
          <w:bCs/>
          <w:color w:val="0000FF"/>
        </w:rPr>
      </w:pPr>
    </w:p>
    <w:p w14:paraId="505408A7" w14:textId="759DE633" w:rsidR="00545116" w:rsidRDefault="00545116" w:rsidP="00545116">
      <w:pPr>
        <w:pStyle w:val="Caption"/>
        <w:spacing w:after="0"/>
      </w:pPr>
      <w:bookmarkStart w:id="36" w:name="_Ref23932239"/>
      <w:r w:rsidRPr="00CE2F9A">
        <w:t xml:space="preserve">Table </w:t>
      </w:r>
      <w:r w:rsidR="009561FA">
        <w:rPr>
          <w:noProof/>
        </w:rPr>
        <w:fldChar w:fldCharType="begin"/>
      </w:r>
      <w:r w:rsidR="009561FA">
        <w:rPr>
          <w:noProof/>
        </w:rPr>
        <w:instrText xml:space="preserve"> SEQ Table \* ARABIC </w:instrText>
      </w:r>
      <w:r w:rsidR="009561FA">
        <w:rPr>
          <w:noProof/>
        </w:rPr>
        <w:fldChar w:fldCharType="separate"/>
      </w:r>
      <w:r w:rsidR="00B6644A">
        <w:rPr>
          <w:noProof/>
        </w:rPr>
        <w:t>13</w:t>
      </w:r>
      <w:r w:rsidR="009561FA">
        <w:rPr>
          <w:noProof/>
        </w:rPr>
        <w:fldChar w:fldCharType="end"/>
      </w:r>
      <w:bookmarkEnd w:id="36"/>
      <w:r w:rsidRPr="00CE2F9A">
        <w:t xml:space="preserve">. </w:t>
      </w:r>
      <w:r w:rsidRPr="00B76F32">
        <w:t xml:space="preserve">Distribution of </w:t>
      </w:r>
      <w:r>
        <w:t xml:space="preserve">MSPB-PAC </w:t>
      </w:r>
      <w:r w:rsidR="00A369FD">
        <w:t>IRF</w:t>
      </w:r>
      <w:r>
        <w:t xml:space="preserve"> Scores</w:t>
      </w:r>
    </w:p>
    <w:tbl>
      <w:tblPr>
        <w:tblW w:w="9545" w:type="dxa"/>
        <w:tblLook w:val="04A0" w:firstRow="1" w:lastRow="0" w:firstColumn="1" w:lastColumn="0" w:noHBand="0" w:noVBand="1"/>
      </w:tblPr>
      <w:tblGrid>
        <w:gridCol w:w="1283"/>
        <w:gridCol w:w="972"/>
        <w:gridCol w:w="1458"/>
        <w:gridCol w:w="972"/>
        <w:gridCol w:w="972"/>
        <w:gridCol w:w="972"/>
        <w:gridCol w:w="972"/>
        <w:gridCol w:w="972"/>
        <w:gridCol w:w="972"/>
      </w:tblGrid>
      <w:tr w:rsidR="00545116" w:rsidRPr="00545116" w14:paraId="558A5D8D" w14:textId="77777777" w:rsidTr="005B2207">
        <w:trPr>
          <w:trHeight w:val="659"/>
        </w:trPr>
        <w:tc>
          <w:tcPr>
            <w:tcW w:w="1283" w:type="dxa"/>
            <w:tcBorders>
              <w:top w:val="single" w:sz="8" w:space="0" w:color="auto"/>
              <w:left w:val="nil"/>
              <w:bottom w:val="single" w:sz="4" w:space="0" w:color="auto"/>
              <w:right w:val="nil"/>
            </w:tcBorders>
            <w:shd w:val="clear" w:color="auto" w:fill="BFBFBF" w:themeFill="background1" w:themeFillShade="BF"/>
            <w:vAlign w:val="center"/>
            <w:hideMark/>
          </w:tcPr>
          <w:p w14:paraId="2E0DE536" w14:textId="77777777" w:rsidR="00545116" w:rsidRPr="00545116" w:rsidRDefault="00545116" w:rsidP="00545116">
            <w:pPr>
              <w:spacing w:after="0" w:line="240" w:lineRule="auto"/>
              <w:jc w:val="center"/>
              <w:rPr>
                <w:rFonts w:ascii="Calibri" w:eastAsia="Times New Roman" w:hAnsi="Calibri" w:cs="Calibri"/>
                <w:b/>
                <w:bCs/>
                <w:color w:val="000000"/>
              </w:rPr>
            </w:pPr>
            <w:r w:rsidRPr="00545116">
              <w:rPr>
                <w:rFonts w:ascii="Calibri" w:eastAsia="Times New Roman" w:hAnsi="Calibri" w:cs="Calibri"/>
                <w:b/>
                <w:bCs/>
                <w:color w:val="000000"/>
              </w:rPr>
              <w:t>K</w:t>
            </w:r>
          </w:p>
        </w:tc>
        <w:tc>
          <w:tcPr>
            <w:tcW w:w="972" w:type="dxa"/>
            <w:tcBorders>
              <w:top w:val="single" w:sz="8" w:space="0" w:color="auto"/>
              <w:left w:val="nil"/>
              <w:bottom w:val="single" w:sz="4" w:space="0" w:color="auto"/>
              <w:right w:val="nil"/>
            </w:tcBorders>
            <w:shd w:val="clear" w:color="auto" w:fill="BFBFBF" w:themeFill="background1" w:themeFillShade="BF"/>
            <w:vAlign w:val="center"/>
            <w:hideMark/>
          </w:tcPr>
          <w:p w14:paraId="661F08AE" w14:textId="77777777" w:rsidR="00545116" w:rsidRPr="00545116" w:rsidRDefault="00545116" w:rsidP="00545116">
            <w:pPr>
              <w:spacing w:after="0" w:line="240" w:lineRule="auto"/>
              <w:jc w:val="center"/>
              <w:rPr>
                <w:rFonts w:ascii="Calibri" w:eastAsia="Times New Roman" w:hAnsi="Calibri" w:cs="Calibri"/>
                <w:b/>
                <w:bCs/>
                <w:color w:val="000000"/>
              </w:rPr>
            </w:pPr>
            <w:r w:rsidRPr="00545116">
              <w:rPr>
                <w:rFonts w:ascii="Calibri" w:eastAsia="Times New Roman" w:hAnsi="Calibri" w:cs="Calibri"/>
                <w:b/>
                <w:bCs/>
                <w:color w:val="000000"/>
              </w:rPr>
              <w:t>Mean</w:t>
            </w:r>
          </w:p>
        </w:tc>
        <w:tc>
          <w:tcPr>
            <w:tcW w:w="1458" w:type="dxa"/>
            <w:tcBorders>
              <w:top w:val="single" w:sz="8" w:space="0" w:color="auto"/>
              <w:left w:val="nil"/>
              <w:bottom w:val="single" w:sz="4" w:space="0" w:color="auto"/>
              <w:right w:val="nil"/>
            </w:tcBorders>
            <w:shd w:val="clear" w:color="auto" w:fill="BFBFBF" w:themeFill="background1" w:themeFillShade="BF"/>
            <w:vAlign w:val="center"/>
            <w:hideMark/>
          </w:tcPr>
          <w:p w14:paraId="4F9CE0AA" w14:textId="77777777" w:rsidR="00545116" w:rsidRPr="00545116" w:rsidRDefault="00545116" w:rsidP="00545116">
            <w:pPr>
              <w:spacing w:after="0" w:line="240" w:lineRule="auto"/>
              <w:jc w:val="center"/>
              <w:rPr>
                <w:rFonts w:ascii="Calibri" w:eastAsia="Times New Roman" w:hAnsi="Calibri" w:cs="Calibri"/>
                <w:b/>
                <w:bCs/>
                <w:color w:val="000000"/>
              </w:rPr>
            </w:pPr>
            <w:r w:rsidRPr="00545116">
              <w:rPr>
                <w:rFonts w:ascii="Calibri" w:eastAsia="Times New Roman" w:hAnsi="Calibri" w:cs="Calibri"/>
                <w:b/>
                <w:bCs/>
                <w:color w:val="000000"/>
              </w:rPr>
              <w:t>Standard Deviation</w:t>
            </w:r>
          </w:p>
        </w:tc>
        <w:tc>
          <w:tcPr>
            <w:tcW w:w="972" w:type="dxa"/>
            <w:tcBorders>
              <w:top w:val="single" w:sz="8" w:space="0" w:color="auto"/>
              <w:left w:val="nil"/>
              <w:bottom w:val="single" w:sz="4" w:space="0" w:color="auto"/>
              <w:right w:val="nil"/>
            </w:tcBorders>
            <w:shd w:val="clear" w:color="auto" w:fill="BFBFBF" w:themeFill="background1" w:themeFillShade="BF"/>
            <w:vAlign w:val="center"/>
            <w:hideMark/>
          </w:tcPr>
          <w:p w14:paraId="5063B159" w14:textId="77777777" w:rsidR="00545116" w:rsidRPr="00545116" w:rsidRDefault="00545116" w:rsidP="00545116">
            <w:pPr>
              <w:spacing w:after="0" w:line="240" w:lineRule="auto"/>
              <w:jc w:val="center"/>
              <w:rPr>
                <w:rFonts w:ascii="Calibri" w:eastAsia="Times New Roman" w:hAnsi="Calibri" w:cs="Calibri"/>
                <w:b/>
                <w:bCs/>
                <w:color w:val="000000"/>
              </w:rPr>
            </w:pPr>
            <w:r w:rsidRPr="00545116">
              <w:rPr>
                <w:rFonts w:ascii="Calibri" w:eastAsia="Times New Roman" w:hAnsi="Calibri" w:cs="Calibri"/>
                <w:b/>
                <w:bCs/>
                <w:color w:val="000000"/>
              </w:rPr>
              <w:t>Min</w:t>
            </w:r>
          </w:p>
        </w:tc>
        <w:tc>
          <w:tcPr>
            <w:tcW w:w="972" w:type="dxa"/>
            <w:tcBorders>
              <w:top w:val="single" w:sz="8" w:space="0" w:color="auto"/>
              <w:left w:val="nil"/>
              <w:bottom w:val="single" w:sz="4" w:space="0" w:color="auto"/>
              <w:right w:val="nil"/>
            </w:tcBorders>
            <w:shd w:val="clear" w:color="auto" w:fill="BFBFBF" w:themeFill="background1" w:themeFillShade="BF"/>
            <w:vAlign w:val="center"/>
            <w:hideMark/>
          </w:tcPr>
          <w:p w14:paraId="1B978A23" w14:textId="77777777" w:rsidR="00545116" w:rsidRPr="00545116" w:rsidRDefault="00545116" w:rsidP="00545116">
            <w:pPr>
              <w:spacing w:after="0" w:line="240" w:lineRule="auto"/>
              <w:jc w:val="center"/>
              <w:rPr>
                <w:rFonts w:ascii="Calibri" w:eastAsia="Times New Roman" w:hAnsi="Calibri" w:cs="Calibri"/>
                <w:b/>
                <w:bCs/>
                <w:color w:val="000000"/>
              </w:rPr>
            </w:pPr>
            <w:r w:rsidRPr="00545116">
              <w:rPr>
                <w:rFonts w:ascii="Calibri" w:eastAsia="Times New Roman" w:hAnsi="Calibri" w:cs="Calibri"/>
                <w:b/>
                <w:bCs/>
                <w:color w:val="000000"/>
              </w:rPr>
              <w:t>10th Pct</w:t>
            </w:r>
          </w:p>
        </w:tc>
        <w:tc>
          <w:tcPr>
            <w:tcW w:w="972" w:type="dxa"/>
            <w:tcBorders>
              <w:top w:val="single" w:sz="8" w:space="0" w:color="auto"/>
              <w:left w:val="nil"/>
              <w:bottom w:val="single" w:sz="4" w:space="0" w:color="auto"/>
              <w:right w:val="nil"/>
            </w:tcBorders>
            <w:shd w:val="clear" w:color="auto" w:fill="BFBFBF" w:themeFill="background1" w:themeFillShade="BF"/>
            <w:vAlign w:val="center"/>
            <w:hideMark/>
          </w:tcPr>
          <w:p w14:paraId="1F9B1C49" w14:textId="77777777" w:rsidR="00545116" w:rsidRPr="00545116" w:rsidRDefault="00545116" w:rsidP="00545116">
            <w:pPr>
              <w:spacing w:after="0" w:line="240" w:lineRule="auto"/>
              <w:jc w:val="center"/>
              <w:rPr>
                <w:rFonts w:ascii="Calibri" w:eastAsia="Times New Roman" w:hAnsi="Calibri" w:cs="Calibri"/>
                <w:b/>
                <w:bCs/>
                <w:color w:val="000000"/>
              </w:rPr>
            </w:pPr>
            <w:r w:rsidRPr="00545116">
              <w:rPr>
                <w:rFonts w:ascii="Calibri" w:eastAsia="Times New Roman" w:hAnsi="Calibri" w:cs="Calibri"/>
                <w:b/>
                <w:bCs/>
                <w:color w:val="000000"/>
              </w:rPr>
              <w:t>25th Pct</w:t>
            </w:r>
          </w:p>
        </w:tc>
        <w:tc>
          <w:tcPr>
            <w:tcW w:w="972" w:type="dxa"/>
            <w:tcBorders>
              <w:top w:val="single" w:sz="8" w:space="0" w:color="auto"/>
              <w:left w:val="nil"/>
              <w:bottom w:val="single" w:sz="4" w:space="0" w:color="auto"/>
              <w:right w:val="nil"/>
            </w:tcBorders>
            <w:shd w:val="clear" w:color="auto" w:fill="BFBFBF" w:themeFill="background1" w:themeFillShade="BF"/>
            <w:vAlign w:val="center"/>
            <w:hideMark/>
          </w:tcPr>
          <w:p w14:paraId="1C98DF82" w14:textId="77777777" w:rsidR="00545116" w:rsidRPr="00545116" w:rsidRDefault="00545116" w:rsidP="00545116">
            <w:pPr>
              <w:spacing w:after="0" w:line="240" w:lineRule="auto"/>
              <w:jc w:val="center"/>
              <w:rPr>
                <w:rFonts w:ascii="Calibri" w:eastAsia="Times New Roman" w:hAnsi="Calibri" w:cs="Calibri"/>
                <w:b/>
                <w:bCs/>
                <w:color w:val="000000"/>
              </w:rPr>
            </w:pPr>
            <w:r w:rsidRPr="00545116">
              <w:rPr>
                <w:rFonts w:ascii="Calibri" w:eastAsia="Times New Roman" w:hAnsi="Calibri" w:cs="Calibri"/>
                <w:b/>
                <w:bCs/>
                <w:color w:val="000000"/>
              </w:rPr>
              <w:t>75th Pct</w:t>
            </w:r>
          </w:p>
        </w:tc>
        <w:tc>
          <w:tcPr>
            <w:tcW w:w="972" w:type="dxa"/>
            <w:tcBorders>
              <w:top w:val="single" w:sz="8" w:space="0" w:color="auto"/>
              <w:left w:val="nil"/>
              <w:bottom w:val="single" w:sz="4" w:space="0" w:color="auto"/>
              <w:right w:val="nil"/>
            </w:tcBorders>
            <w:shd w:val="clear" w:color="auto" w:fill="BFBFBF" w:themeFill="background1" w:themeFillShade="BF"/>
            <w:vAlign w:val="center"/>
            <w:hideMark/>
          </w:tcPr>
          <w:p w14:paraId="2FC3408A" w14:textId="77777777" w:rsidR="00545116" w:rsidRPr="00545116" w:rsidRDefault="00545116" w:rsidP="00545116">
            <w:pPr>
              <w:spacing w:after="0" w:line="240" w:lineRule="auto"/>
              <w:jc w:val="center"/>
              <w:rPr>
                <w:rFonts w:ascii="Calibri" w:eastAsia="Times New Roman" w:hAnsi="Calibri" w:cs="Calibri"/>
                <w:b/>
                <w:bCs/>
                <w:color w:val="000000"/>
              </w:rPr>
            </w:pPr>
            <w:r w:rsidRPr="00545116">
              <w:rPr>
                <w:rFonts w:ascii="Calibri" w:eastAsia="Times New Roman" w:hAnsi="Calibri" w:cs="Calibri"/>
                <w:b/>
                <w:bCs/>
                <w:color w:val="000000"/>
              </w:rPr>
              <w:t>90th Pct</w:t>
            </w:r>
          </w:p>
        </w:tc>
        <w:tc>
          <w:tcPr>
            <w:tcW w:w="972" w:type="dxa"/>
            <w:tcBorders>
              <w:top w:val="single" w:sz="8" w:space="0" w:color="auto"/>
              <w:left w:val="nil"/>
              <w:bottom w:val="single" w:sz="4" w:space="0" w:color="auto"/>
              <w:right w:val="nil"/>
            </w:tcBorders>
            <w:shd w:val="clear" w:color="auto" w:fill="BFBFBF" w:themeFill="background1" w:themeFillShade="BF"/>
            <w:vAlign w:val="center"/>
            <w:hideMark/>
          </w:tcPr>
          <w:p w14:paraId="708FBE74" w14:textId="77777777" w:rsidR="00545116" w:rsidRPr="00545116" w:rsidRDefault="00545116" w:rsidP="00545116">
            <w:pPr>
              <w:spacing w:after="0" w:line="240" w:lineRule="auto"/>
              <w:jc w:val="center"/>
              <w:rPr>
                <w:rFonts w:ascii="Calibri" w:eastAsia="Times New Roman" w:hAnsi="Calibri" w:cs="Calibri"/>
                <w:b/>
                <w:bCs/>
                <w:color w:val="000000"/>
              </w:rPr>
            </w:pPr>
            <w:r w:rsidRPr="00545116">
              <w:rPr>
                <w:rFonts w:ascii="Calibri" w:eastAsia="Times New Roman" w:hAnsi="Calibri" w:cs="Calibri"/>
                <w:b/>
                <w:bCs/>
                <w:color w:val="000000"/>
              </w:rPr>
              <w:t>Max</w:t>
            </w:r>
          </w:p>
        </w:tc>
      </w:tr>
      <w:tr w:rsidR="00545116" w:rsidRPr="00545116" w14:paraId="46AD5A85" w14:textId="77777777" w:rsidTr="005B2207">
        <w:trPr>
          <w:trHeight w:val="346"/>
        </w:trPr>
        <w:tc>
          <w:tcPr>
            <w:tcW w:w="1283" w:type="dxa"/>
            <w:tcBorders>
              <w:top w:val="nil"/>
              <w:left w:val="nil"/>
              <w:bottom w:val="single" w:sz="8" w:space="0" w:color="auto"/>
              <w:right w:val="nil"/>
            </w:tcBorders>
            <w:shd w:val="clear" w:color="auto" w:fill="auto"/>
            <w:noWrap/>
            <w:vAlign w:val="bottom"/>
            <w:hideMark/>
          </w:tcPr>
          <w:p w14:paraId="3833DC57" w14:textId="1759C051" w:rsidR="00545116" w:rsidRPr="00545116" w:rsidRDefault="00545116">
            <w:pPr>
              <w:spacing w:after="0" w:line="240" w:lineRule="auto"/>
              <w:jc w:val="center"/>
              <w:rPr>
                <w:rFonts w:ascii="Calibri" w:eastAsia="Times New Roman" w:hAnsi="Calibri" w:cs="Calibri"/>
                <w:color w:val="000000"/>
              </w:rPr>
            </w:pPr>
            <w:r w:rsidRPr="00545116">
              <w:rPr>
                <w:rFonts w:ascii="Calibri" w:eastAsia="Times New Roman" w:hAnsi="Calibri" w:cs="Calibri"/>
                <w:color w:val="000000"/>
              </w:rPr>
              <w:t>1</w:t>
            </w:r>
            <w:r w:rsidR="00A369FD">
              <w:rPr>
                <w:rFonts w:ascii="Calibri" w:eastAsia="Times New Roman" w:hAnsi="Calibri" w:cs="Calibri"/>
                <w:color w:val="000000"/>
              </w:rPr>
              <w:t>,147</w:t>
            </w:r>
          </w:p>
        </w:tc>
        <w:tc>
          <w:tcPr>
            <w:tcW w:w="972" w:type="dxa"/>
            <w:tcBorders>
              <w:top w:val="nil"/>
              <w:left w:val="nil"/>
              <w:bottom w:val="single" w:sz="8" w:space="0" w:color="auto"/>
              <w:right w:val="nil"/>
            </w:tcBorders>
            <w:shd w:val="clear" w:color="auto" w:fill="auto"/>
            <w:noWrap/>
            <w:vAlign w:val="bottom"/>
            <w:hideMark/>
          </w:tcPr>
          <w:p w14:paraId="3898C195" w14:textId="69339DF1" w:rsidR="00545116" w:rsidRPr="00545116" w:rsidRDefault="00A369FD">
            <w:pPr>
              <w:spacing w:after="0" w:line="240" w:lineRule="auto"/>
              <w:jc w:val="center"/>
              <w:rPr>
                <w:rFonts w:ascii="Calibri" w:eastAsia="Times New Roman" w:hAnsi="Calibri" w:cs="Calibri"/>
                <w:color w:val="000000"/>
              </w:rPr>
            </w:pPr>
            <w:r>
              <w:rPr>
                <w:rFonts w:ascii="Calibri" w:eastAsia="Times New Roman" w:hAnsi="Calibri" w:cs="Calibri"/>
                <w:color w:val="000000"/>
              </w:rPr>
              <w:t>1.00</w:t>
            </w:r>
          </w:p>
        </w:tc>
        <w:tc>
          <w:tcPr>
            <w:tcW w:w="1458" w:type="dxa"/>
            <w:tcBorders>
              <w:top w:val="nil"/>
              <w:left w:val="nil"/>
              <w:bottom w:val="single" w:sz="8" w:space="0" w:color="auto"/>
              <w:right w:val="nil"/>
            </w:tcBorders>
            <w:shd w:val="clear" w:color="auto" w:fill="auto"/>
            <w:noWrap/>
            <w:vAlign w:val="bottom"/>
            <w:hideMark/>
          </w:tcPr>
          <w:p w14:paraId="57475203" w14:textId="7C3F216E" w:rsidR="00545116" w:rsidRPr="00545116" w:rsidRDefault="00545116" w:rsidP="00545116">
            <w:pPr>
              <w:spacing w:after="0" w:line="240" w:lineRule="auto"/>
              <w:jc w:val="center"/>
              <w:rPr>
                <w:rFonts w:ascii="Calibri" w:eastAsia="Times New Roman" w:hAnsi="Calibri" w:cs="Calibri"/>
                <w:color w:val="000000"/>
              </w:rPr>
            </w:pPr>
            <w:r w:rsidRPr="00545116">
              <w:rPr>
                <w:rFonts w:ascii="Calibri" w:eastAsia="Times New Roman" w:hAnsi="Calibri" w:cs="Calibri"/>
                <w:color w:val="000000"/>
              </w:rPr>
              <w:t>0.</w:t>
            </w:r>
            <w:r w:rsidR="00A369FD">
              <w:rPr>
                <w:rFonts w:ascii="Calibri" w:eastAsia="Times New Roman" w:hAnsi="Calibri" w:cs="Calibri"/>
                <w:color w:val="000000"/>
              </w:rPr>
              <w:t>08</w:t>
            </w:r>
          </w:p>
        </w:tc>
        <w:tc>
          <w:tcPr>
            <w:tcW w:w="972" w:type="dxa"/>
            <w:tcBorders>
              <w:top w:val="nil"/>
              <w:left w:val="nil"/>
              <w:bottom w:val="single" w:sz="8" w:space="0" w:color="auto"/>
              <w:right w:val="nil"/>
            </w:tcBorders>
            <w:shd w:val="clear" w:color="auto" w:fill="auto"/>
            <w:noWrap/>
            <w:vAlign w:val="bottom"/>
            <w:hideMark/>
          </w:tcPr>
          <w:p w14:paraId="6622119B" w14:textId="1CF274F8" w:rsidR="00545116" w:rsidRPr="00545116" w:rsidRDefault="00545116">
            <w:pPr>
              <w:spacing w:after="0" w:line="240" w:lineRule="auto"/>
              <w:jc w:val="center"/>
              <w:rPr>
                <w:rFonts w:ascii="Calibri" w:eastAsia="Times New Roman" w:hAnsi="Calibri" w:cs="Calibri"/>
                <w:color w:val="000000"/>
              </w:rPr>
            </w:pPr>
            <w:r w:rsidRPr="00545116">
              <w:rPr>
                <w:rFonts w:ascii="Calibri" w:eastAsia="Times New Roman" w:hAnsi="Calibri" w:cs="Calibri"/>
                <w:color w:val="000000"/>
              </w:rPr>
              <w:t>0.</w:t>
            </w:r>
            <w:r w:rsidR="00A369FD">
              <w:rPr>
                <w:rFonts w:ascii="Calibri" w:eastAsia="Times New Roman" w:hAnsi="Calibri" w:cs="Calibri"/>
                <w:color w:val="000000"/>
              </w:rPr>
              <w:t>74</w:t>
            </w:r>
          </w:p>
        </w:tc>
        <w:tc>
          <w:tcPr>
            <w:tcW w:w="972" w:type="dxa"/>
            <w:tcBorders>
              <w:top w:val="nil"/>
              <w:left w:val="nil"/>
              <w:bottom w:val="single" w:sz="8" w:space="0" w:color="auto"/>
              <w:right w:val="nil"/>
            </w:tcBorders>
            <w:shd w:val="clear" w:color="auto" w:fill="auto"/>
            <w:noWrap/>
            <w:vAlign w:val="bottom"/>
            <w:hideMark/>
          </w:tcPr>
          <w:p w14:paraId="440A6351" w14:textId="1C7E1940" w:rsidR="00545116" w:rsidRPr="00545116" w:rsidRDefault="00545116" w:rsidP="00545116">
            <w:pPr>
              <w:spacing w:after="0" w:line="240" w:lineRule="auto"/>
              <w:jc w:val="center"/>
              <w:rPr>
                <w:rFonts w:ascii="Calibri" w:eastAsia="Times New Roman" w:hAnsi="Calibri" w:cs="Calibri"/>
                <w:color w:val="000000"/>
              </w:rPr>
            </w:pPr>
            <w:r w:rsidRPr="00545116">
              <w:rPr>
                <w:rFonts w:ascii="Calibri" w:eastAsia="Times New Roman" w:hAnsi="Calibri" w:cs="Calibri"/>
                <w:color w:val="000000"/>
              </w:rPr>
              <w:t>0.</w:t>
            </w:r>
            <w:r w:rsidR="00A369FD">
              <w:rPr>
                <w:rFonts w:ascii="Calibri" w:eastAsia="Times New Roman" w:hAnsi="Calibri" w:cs="Calibri"/>
                <w:color w:val="000000"/>
              </w:rPr>
              <w:t>91</w:t>
            </w:r>
          </w:p>
        </w:tc>
        <w:tc>
          <w:tcPr>
            <w:tcW w:w="972" w:type="dxa"/>
            <w:tcBorders>
              <w:top w:val="nil"/>
              <w:left w:val="nil"/>
              <w:bottom w:val="single" w:sz="8" w:space="0" w:color="auto"/>
              <w:right w:val="nil"/>
            </w:tcBorders>
            <w:shd w:val="clear" w:color="auto" w:fill="auto"/>
            <w:noWrap/>
            <w:vAlign w:val="bottom"/>
            <w:hideMark/>
          </w:tcPr>
          <w:p w14:paraId="5D90E581" w14:textId="2C9B66D8" w:rsidR="00545116" w:rsidRPr="00545116" w:rsidRDefault="00545116" w:rsidP="00545116">
            <w:pPr>
              <w:spacing w:after="0" w:line="240" w:lineRule="auto"/>
              <w:jc w:val="center"/>
              <w:rPr>
                <w:rFonts w:ascii="Calibri" w:eastAsia="Times New Roman" w:hAnsi="Calibri" w:cs="Calibri"/>
                <w:color w:val="000000"/>
              </w:rPr>
            </w:pPr>
            <w:r w:rsidRPr="00545116">
              <w:rPr>
                <w:rFonts w:ascii="Calibri" w:eastAsia="Times New Roman" w:hAnsi="Calibri" w:cs="Calibri"/>
                <w:color w:val="000000"/>
              </w:rPr>
              <w:t>0.</w:t>
            </w:r>
            <w:r w:rsidR="00A369FD">
              <w:rPr>
                <w:rFonts w:ascii="Calibri" w:eastAsia="Times New Roman" w:hAnsi="Calibri" w:cs="Calibri"/>
                <w:color w:val="000000"/>
              </w:rPr>
              <w:t>95</w:t>
            </w:r>
          </w:p>
        </w:tc>
        <w:tc>
          <w:tcPr>
            <w:tcW w:w="972" w:type="dxa"/>
            <w:tcBorders>
              <w:top w:val="nil"/>
              <w:left w:val="nil"/>
              <w:bottom w:val="single" w:sz="8" w:space="0" w:color="auto"/>
              <w:right w:val="nil"/>
            </w:tcBorders>
            <w:shd w:val="clear" w:color="auto" w:fill="auto"/>
            <w:noWrap/>
            <w:vAlign w:val="bottom"/>
            <w:hideMark/>
          </w:tcPr>
          <w:p w14:paraId="1AC15FDB" w14:textId="77777777" w:rsidR="00545116" w:rsidRPr="00545116" w:rsidRDefault="00545116" w:rsidP="00545116">
            <w:pPr>
              <w:spacing w:after="0" w:line="240" w:lineRule="auto"/>
              <w:jc w:val="center"/>
              <w:rPr>
                <w:rFonts w:ascii="Calibri" w:eastAsia="Times New Roman" w:hAnsi="Calibri" w:cs="Calibri"/>
                <w:color w:val="000000"/>
              </w:rPr>
            </w:pPr>
            <w:r w:rsidRPr="00545116">
              <w:rPr>
                <w:rFonts w:ascii="Calibri" w:eastAsia="Times New Roman" w:hAnsi="Calibri" w:cs="Calibri"/>
                <w:color w:val="000000"/>
              </w:rPr>
              <w:t>1.05</w:t>
            </w:r>
          </w:p>
        </w:tc>
        <w:tc>
          <w:tcPr>
            <w:tcW w:w="972" w:type="dxa"/>
            <w:tcBorders>
              <w:top w:val="nil"/>
              <w:left w:val="nil"/>
              <w:bottom w:val="single" w:sz="8" w:space="0" w:color="auto"/>
              <w:right w:val="nil"/>
            </w:tcBorders>
            <w:shd w:val="clear" w:color="auto" w:fill="auto"/>
            <w:noWrap/>
            <w:vAlign w:val="bottom"/>
            <w:hideMark/>
          </w:tcPr>
          <w:p w14:paraId="07870DCF" w14:textId="60C547F4" w:rsidR="00545116" w:rsidRPr="00545116" w:rsidRDefault="00545116" w:rsidP="00545116">
            <w:pPr>
              <w:spacing w:after="0" w:line="240" w:lineRule="auto"/>
              <w:jc w:val="center"/>
              <w:rPr>
                <w:rFonts w:ascii="Calibri" w:eastAsia="Times New Roman" w:hAnsi="Calibri" w:cs="Calibri"/>
                <w:color w:val="000000"/>
              </w:rPr>
            </w:pPr>
            <w:r w:rsidRPr="00545116">
              <w:rPr>
                <w:rFonts w:ascii="Calibri" w:eastAsia="Times New Roman" w:hAnsi="Calibri" w:cs="Calibri"/>
                <w:color w:val="000000"/>
              </w:rPr>
              <w:t>1.1</w:t>
            </w:r>
            <w:r w:rsidR="00A369FD">
              <w:rPr>
                <w:rFonts w:ascii="Calibri" w:eastAsia="Times New Roman" w:hAnsi="Calibri" w:cs="Calibri"/>
                <w:color w:val="000000"/>
              </w:rPr>
              <w:t>0</w:t>
            </w:r>
          </w:p>
        </w:tc>
        <w:tc>
          <w:tcPr>
            <w:tcW w:w="972" w:type="dxa"/>
            <w:tcBorders>
              <w:top w:val="nil"/>
              <w:left w:val="nil"/>
              <w:bottom w:val="single" w:sz="8" w:space="0" w:color="auto"/>
              <w:right w:val="nil"/>
            </w:tcBorders>
            <w:shd w:val="clear" w:color="auto" w:fill="auto"/>
            <w:noWrap/>
            <w:vAlign w:val="bottom"/>
            <w:hideMark/>
          </w:tcPr>
          <w:p w14:paraId="632968FB" w14:textId="0B665388" w:rsidR="00545116" w:rsidRPr="00545116" w:rsidRDefault="00A369FD" w:rsidP="00545116">
            <w:pPr>
              <w:spacing w:after="0" w:line="240" w:lineRule="auto"/>
              <w:jc w:val="center"/>
              <w:rPr>
                <w:rFonts w:ascii="Calibri" w:eastAsia="Times New Roman" w:hAnsi="Calibri" w:cs="Calibri"/>
                <w:color w:val="000000"/>
              </w:rPr>
            </w:pPr>
            <w:r>
              <w:rPr>
                <w:rFonts w:ascii="Calibri" w:eastAsia="Times New Roman" w:hAnsi="Calibri" w:cs="Calibri"/>
                <w:color w:val="000000"/>
              </w:rPr>
              <w:t>1.47</w:t>
            </w:r>
          </w:p>
        </w:tc>
      </w:tr>
    </w:tbl>
    <w:p w14:paraId="3C1BAE1D" w14:textId="48A1379B" w:rsidR="00545116" w:rsidRDefault="00545116" w:rsidP="00545116">
      <w:r w:rsidRPr="004A5072">
        <w:rPr>
          <w:rStyle w:val="Style1"/>
          <w:sz w:val="18"/>
        </w:rPr>
        <w:t xml:space="preserve">Analysis of Medicare Claims File for </w:t>
      </w:r>
      <w:r w:rsidR="00A369FD">
        <w:rPr>
          <w:rStyle w:val="Style1"/>
          <w:sz w:val="18"/>
        </w:rPr>
        <w:t>IRF F</w:t>
      </w:r>
      <w:r w:rsidR="008E3298">
        <w:rPr>
          <w:rStyle w:val="Style1"/>
          <w:sz w:val="18"/>
        </w:rPr>
        <w:t>Y 2016-2017</w:t>
      </w:r>
      <w:r w:rsidRPr="004A5072">
        <w:rPr>
          <w:rStyle w:val="Style1"/>
          <w:sz w:val="18"/>
        </w:rPr>
        <w:t>.</w:t>
      </w:r>
    </w:p>
    <w:p w14:paraId="0CF36079" w14:textId="77777777" w:rsidR="00545116" w:rsidRPr="00A82FB4" w:rsidRDefault="00545116" w:rsidP="00545116"/>
    <w:p w14:paraId="6FC8BA27" w14:textId="6BDF0076" w:rsidR="00545116" w:rsidRDefault="00545116" w:rsidP="00545116">
      <w:pPr>
        <w:pStyle w:val="Caption"/>
        <w:spacing w:after="0"/>
      </w:pPr>
      <w:bookmarkStart w:id="37" w:name="_Ref23932264"/>
      <w:r>
        <w:t xml:space="preserve">Figure </w:t>
      </w:r>
      <w:r w:rsidR="009561FA">
        <w:rPr>
          <w:noProof/>
        </w:rPr>
        <w:fldChar w:fldCharType="begin"/>
      </w:r>
      <w:r w:rsidR="009561FA">
        <w:rPr>
          <w:noProof/>
        </w:rPr>
        <w:instrText xml:space="preserve"> SEQ Figure \* ARABIC </w:instrText>
      </w:r>
      <w:r w:rsidR="009561FA">
        <w:rPr>
          <w:noProof/>
        </w:rPr>
        <w:fldChar w:fldCharType="separate"/>
      </w:r>
      <w:r w:rsidR="00B6644A">
        <w:rPr>
          <w:noProof/>
        </w:rPr>
        <w:t>3</w:t>
      </w:r>
      <w:r w:rsidR="009561FA">
        <w:rPr>
          <w:noProof/>
        </w:rPr>
        <w:fldChar w:fldCharType="end"/>
      </w:r>
      <w:bookmarkEnd w:id="37"/>
      <w:r>
        <w:t xml:space="preserve">. </w:t>
      </w:r>
      <w:r w:rsidRPr="00B76F32">
        <w:t xml:space="preserve">Distribution of </w:t>
      </w:r>
      <w:r>
        <w:t xml:space="preserve">MSPB-PAC </w:t>
      </w:r>
      <w:r w:rsidR="00A369FD">
        <w:t>IRF</w:t>
      </w:r>
      <w:r>
        <w:t xml:space="preserve"> Scores</w:t>
      </w:r>
    </w:p>
    <w:p w14:paraId="099325AC" w14:textId="3746D313" w:rsidR="00FB63A3" w:rsidRPr="00FB63A3" w:rsidRDefault="00FB63A3" w:rsidP="005B2207">
      <w:r>
        <w:rPr>
          <w:noProof/>
        </w:rPr>
        <w:drawing>
          <wp:inline distT="0" distB="0" distL="0" distR="0" wp14:anchorId="6D12855C" wp14:editId="5BDBBBC4">
            <wp:extent cx="4371340" cy="3286125"/>
            <wp:effectExtent l="0" t="0" r="0" b="9525"/>
            <wp:docPr id="6" name="Picture 6" descr="Histogram chart showing distribution of MSPB scores. Accompanied by underlying data in the preceding table (Tabl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71340" cy="3286125"/>
                    </a:xfrm>
                    <a:prstGeom prst="rect">
                      <a:avLst/>
                    </a:prstGeom>
                    <a:noFill/>
                  </pic:spPr>
                </pic:pic>
              </a:graphicData>
            </a:graphic>
          </wp:inline>
        </w:drawing>
      </w:r>
      <w:bookmarkStart w:id="38" w:name="_GoBack"/>
      <w:bookmarkEnd w:id="38"/>
    </w:p>
    <w:p w14:paraId="74830336" w14:textId="5ED641E7" w:rsidR="00545116" w:rsidRDefault="00545116" w:rsidP="00545116">
      <w:pPr>
        <w:spacing w:after="0"/>
      </w:pPr>
      <w:r w:rsidRPr="004A5072">
        <w:rPr>
          <w:rStyle w:val="Style1"/>
          <w:sz w:val="18"/>
        </w:rPr>
        <w:t xml:space="preserve">Analysis of Medicare Claims File for </w:t>
      </w:r>
      <w:r w:rsidR="00A369FD">
        <w:rPr>
          <w:rStyle w:val="Style1"/>
          <w:sz w:val="18"/>
        </w:rPr>
        <w:t>IRF F</w:t>
      </w:r>
      <w:r w:rsidR="008E3298">
        <w:rPr>
          <w:rStyle w:val="Style1"/>
          <w:sz w:val="18"/>
        </w:rPr>
        <w:t>Y 2016-2017</w:t>
      </w:r>
      <w:r w:rsidRPr="004A5072">
        <w:rPr>
          <w:rStyle w:val="Style1"/>
          <w:sz w:val="18"/>
        </w:rPr>
        <w:t>.</w:t>
      </w:r>
    </w:p>
    <w:p w14:paraId="44D2ED5E" w14:textId="6CEEC0D1" w:rsidR="00545116" w:rsidRDefault="00545116" w:rsidP="00D61410">
      <w:pPr>
        <w:autoSpaceDE w:val="0"/>
        <w:autoSpaceDN w:val="0"/>
        <w:adjustRightInd w:val="0"/>
        <w:spacing w:after="0" w:line="240" w:lineRule="auto"/>
        <w:rPr>
          <w:rFonts w:cstheme="minorHAnsi"/>
          <w:bCs/>
          <w:color w:val="0000FF"/>
        </w:rPr>
      </w:pPr>
    </w:p>
    <w:p w14:paraId="3ED27664" w14:textId="5CAB2756" w:rsidR="0075476E" w:rsidRDefault="0075476E" w:rsidP="0075476E">
      <w:pPr>
        <w:pStyle w:val="Caption"/>
        <w:spacing w:after="0"/>
      </w:pPr>
      <w:bookmarkStart w:id="39" w:name="_Ref23933279"/>
      <w:r w:rsidRPr="00CE2F9A">
        <w:t xml:space="preserve">Table </w:t>
      </w:r>
      <w:r w:rsidR="009561FA">
        <w:rPr>
          <w:noProof/>
        </w:rPr>
        <w:fldChar w:fldCharType="begin"/>
      </w:r>
      <w:r w:rsidR="009561FA">
        <w:rPr>
          <w:noProof/>
        </w:rPr>
        <w:instrText xml:space="preserve"> SEQ Table \* ARABIC </w:instrText>
      </w:r>
      <w:r w:rsidR="009561FA">
        <w:rPr>
          <w:noProof/>
        </w:rPr>
        <w:fldChar w:fldCharType="separate"/>
      </w:r>
      <w:r w:rsidR="00B6644A">
        <w:rPr>
          <w:noProof/>
        </w:rPr>
        <w:t>14</w:t>
      </w:r>
      <w:r w:rsidR="009561FA">
        <w:rPr>
          <w:noProof/>
        </w:rPr>
        <w:fldChar w:fldCharType="end"/>
      </w:r>
      <w:bookmarkEnd w:id="39"/>
      <w:r w:rsidRPr="00CE2F9A">
        <w:t xml:space="preserve">. </w:t>
      </w:r>
      <w:r w:rsidR="005159DC" w:rsidRPr="005159DC">
        <w:t xml:space="preserve">Proportion of </w:t>
      </w:r>
      <w:r w:rsidR="00A369FD">
        <w:t>IRF</w:t>
      </w:r>
      <w:r w:rsidR="005159DC" w:rsidRPr="005159DC">
        <w:t xml:space="preserve">s with Scores </w:t>
      </w:r>
      <w:r w:rsidR="005159DC">
        <w:t>Statistically S</w:t>
      </w:r>
      <w:r w:rsidR="005159DC" w:rsidRPr="005159DC">
        <w:t xml:space="preserve">ignificantly </w:t>
      </w:r>
      <w:r w:rsidR="005159DC">
        <w:t>D</w:t>
      </w:r>
      <w:r w:rsidR="005159DC" w:rsidRPr="005159DC">
        <w:t xml:space="preserve">ifferent </w:t>
      </w:r>
      <w:r w:rsidR="005159DC">
        <w:t>F</w:t>
      </w:r>
      <w:r w:rsidR="005159DC" w:rsidRPr="005159DC">
        <w:t xml:space="preserve">rom the </w:t>
      </w:r>
      <w:r w:rsidR="005159DC">
        <w:t>N</w:t>
      </w:r>
      <w:r w:rsidR="005159DC" w:rsidRPr="005159DC">
        <w:t xml:space="preserve">ational </w:t>
      </w:r>
      <w:r w:rsidR="005159DC">
        <w:t>A</w:t>
      </w:r>
      <w:r w:rsidR="005159DC" w:rsidRPr="005159DC">
        <w:t>verage</w:t>
      </w:r>
    </w:p>
    <w:tbl>
      <w:tblPr>
        <w:tblW w:w="7320" w:type="dxa"/>
        <w:tblLook w:val="04A0" w:firstRow="1" w:lastRow="0" w:firstColumn="1" w:lastColumn="0" w:noHBand="0" w:noVBand="1"/>
      </w:tblPr>
      <w:tblGrid>
        <w:gridCol w:w="1040"/>
        <w:gridCol w:w="983"/>
        <w:gridCol w:w="1097"/>
        <w:gridCol w:w="985"/>
        <w:gridCol w:w="1135"/>
        <w:gridCol w:w="983"/>
        <w:gridCol w:w="1097"/>
      </w:tblGrid>
      <w:tr w:rsidR="005159DC" w:rsidRPr="005159DC" w14:paraId="79E0A4A5" w14:textId="77777777" w:rsidTr="00EA3F5E">
        <w:trPr>
          <w:trHeight w:val="988"/>
        </w:trPr>
        <w:tc>
          <w:tcPr>
            <w:tcW w:w="1040" w:type="dxa"/>
            <w:tcBorders>
              <w:top w:val="single" w:sz="8" w:space="0" w:color="auto"/>
              <w:left w:val="nil"/>
              <w:bottom w:val="nil"/>
              <w:right w:val="nil"/>
            </w:tcBorders>
            <w:shd w:val="clear" w:color="auto" w:fill="BFBFBF" w:themeFill="background1" w:themeFillShade="BF"/>
            <w:vAlign w:val="center"/>
            <w:hideMark/>
          </w:tcPr>
          <w:p w14:paraId="01E1BF48" w14:textId="2D110814" w:rsidR="005159DC" w:rsidRPr="005159DC" w:rsidRDefault="00A369FD" w:rsidP="005159DC">
            <w:pPr>
              <w:spacing w:after="0" w:line="240" w:lineRule="auto"/>
              <w:jc w:val="center"/>
              <w:rPr>
                <w:rFonts w:ascii="Calibri" w:eastAsia="Times New Roman" w:hAnsi="Calibri" w:cs="Calibri"/>
                <w:b/>
                <w:bCs/>
                <w:color w:val="000000"/>
              </w:rPr>
            </w:pPr>
            <w:r>
              <w:rPr>
                <w:rFonts w:ascii="Calibri" w:eastAsia="Times New Roman" w:hAnsi="Calibri" w:cs="Calibri"/>
                <w:b/>
                <w:bCs/>
                <w:color w:val="000000"/>
              </w:rPr>
              <w:t>IRF</w:t>
            </w:r>
            <w:r w:rsidR="005159DC" w:rsidRPr="005159DC">
              <w:rPr>
                <w:rFonts w:ascii="Calibri" w:eastAsia="Times New Roman" w:hAnsi="Calibri" w:cs="Calibri"/>
                <w:b/>
                <w:bCs/>
                <w:color w:val="000000"/>
              </w:rPr>
              <w:t xml:space="preserve"> Total</w:t>
            </w:r>
          </w:p>
        </w:tc>
        <w:tc>
          <w:tcPr>
            <w:tcW w:w="2080" w:type="dxa"/>
            <w:gridSpan w:val="2"/>
            <w:tcBorders>
              <w:top w:val="single" w:sz="8" w:space="0" w:color="auto"/>
              <w:left w:val="nil"/>
              <w:bottom w:val="nil"/>
              <w:right w:val="nil"/>
            </w:tcBorders>
            <w:shd w:val="clear" w:color="auto" w:fill="BFBFBF" w:themeFill="background1" w:themeFillShade="BF"/>
            <w:vAlign w:val="center"/>
            <w:hideMark/>
          </w:tcPr>
          <w:p w14:paraId="4C73E5A7" w14:textId="77777777" w:rsidR="005159DC" w:rsidRPr="005159DC" w:rsidRDefault="005159DC" w:rsidP="005159DC">
            <w:pPr>
              <w:spacing w:after="0" w:line="240" w:lineRule="auto"/>
              <w:jc w:val="center"/>
              <w:rPr>
                <w:rFonts w:ascii="Calibri" w:eastAsia="Times New Roman" w:hAnsi="Calibri" w:cs="Calibri"/>
                <w:b/>
                <w:bCs/>
                <w:color w:val="000000"/>
              </w:rPr>
            </w:pPr>
            <w:r w:rsidRPr="005159DC">
              <w:rPr>
                <w:rFonts w:ascii="Calibri" w:eastAsia="Times New Roman" w:hAnsi="Calibri" w:cs="Calibri"/>
                <w:b/>
                <w:bCs/>
                <w:color w:val="000000"/>
              </w:rPr>
              <w:t>Statistically significantly lower than national mean</w:t>
            </w:r>
          </w:p>
        </w:tc>
        <w:tc>
          <w:tcPr>
            <w:tcW w:w="2120" w:type="dxa"/>
            <w:gridSpan w:val="2"/>
            <w:tcBorders>
              <w:top w:val="single" w:sz="8" w:space="0" w:color="auto"/>
              <w:left w:val="nil"/>
              <w:bottom w:val="nil"/>
              <w:right w:val="nil"/>
            </w:tcBorders>
            <w:shd w:val="clear" w:color="auto" w:fill="BFBFBF" w:themeFill="background1" w:themeFillShade="BF"/>
            <w:vAlign w:val="center"/>
            <w:hideMark/>
          </w:tcPr>
          <w:p w14:paraId="153E0FDD" w14:textId="77777777" w:rsidR="005159DC" w:rsidRPr="005159DC" w:rsidRDefault="005159DC" w:rsidP="005159DC">
            <w:pPr>
              <w:spacing w:after="0" w:line="240" w:lineRule="auto"/>
              <w:jc w:val="center"/>
              <w:rPr>
                <w:rFonts w:ascii="Calibri" w:eastAsia="Times New Roman" w:hAnsi="Calibri" w:cs="Calibri"/>
                <w:b/>
                <w:bCs/>
                <w:color w:val="000000"/>
              </w:rPr>
            </w:pPr>
            <w:r w:rsidRPr="005159DC">
              <w:rPr>
                <w:rFonts w:ascii="Calibri" w:eastAsia="Times New Roman" w:hAnsi="Calibri" w:cs="Calibri"/>
                <w:b/>
                <w:bCs/>
                <w:color w:val="000000"/>
              </w:rPr>
              <w:t>Not statistically significantly different from national mean</w:t>
            </w:r>
          </w:p>
        </w:tc>
        <w:tc>
          <w:tcPr>
            <w:tcW w:w="2080" w:type="dxa"/>
            <w:gridSpan w:val="2"/>
            <w:tcBorders>
              <w:top w:val="single" w:sz="8" w:space="0" w:color="auto"/>
              <w:left w:val="nil"/>
              <w:bottom w:val="nil"/>
              <w:right w:val="nil"/>
            </w:tcBorders>
            <w:shd w:val="clear" w:color="auto" w:fill="BFBFBF" w:themeFill="background1" w:themeFillShade="BF"/>
            <w:vAlign w:val="center"/>
            <w:hideMark/>
          </w:tcPr>
          <w:p w14:paraId="08F353C0" w14:textId="51C12F19" w:rsidR="005159DC" w:rsidRPr="005159DC" w:rsidRDefault="005159DC" w:rsidP="005159DC">
            <w:pPr>
              <w:spacing w:after="0" w:line="240" w:lineRule="auto"/>
              <w:jc w:val="center"/>
              <w:rPr>
                <w:rFonts w:ascii="Calibri" w:eastAsia="Times New Roman" w:hAnsi="Calibri" w:cs="Calibri"/>
                <w:b/>
                <w:bCs/>
                <w:color w:val="000000"/>
              </w:rPr>
            </w:pPr>
            <w:r w:rsidRPr="005159DC">
              <w:rPr>
                <w:rFonts w:ascii="Calibri" w:eastAsia="Times New Roman" w:hAnsi="Calibri" w:cs="Calibri"/>
                <w:b/>
                <w:bCs/>
                <w:color w:val="000000"/>
              </w:rPr>
              <w:t>Statistically signi</w:t>
            </w:r>
            <w:r>
              <w:rPr>
                <w:rFonts w:ascii="Calibri" w:eastAsia="Times New Roman" w:hAnsi="Calibri" w:cs="Calibri"/>
                <w:b/>
                <w:bCs/>
                <w:color w:val="000000"/>
              </w:rPr>
              <w:t>fi</w:t>
            </w:r>
            <w:r w:rsidRPr="005159DC">
              <w:rPr>
                <w:rFonts w:ascii="Calibri" w:eastAsia="Times New Roman" w:hAnsi="Calibri" w:cs="Calibri"/>
                <w:b/>
                <w:bCs/>
                <w:color w:val="000000"/>
              </w:rPr>
              <w:t>cantly higher than national mean</w:t>
            </w:r>
          </w:p>
        </w:tc>
      </w:tr>
      <w:tr w:rsidR="005159DC" w:rsidRPr="005159DC" w14:paraId="6E2B0F12" w14:textId="77777777" w:rsidTr="00932E8F">
        <w:trPr>
          <w:trHeight w:val="300"/>
        </w:trPr>
        <w:tc>
          <w:tcPr>
            <w:tcW w:w="1040" w:type="dxa"/>
            <w:tcBorders>
              <w:top w:val="single" w:sz="4" w:space="0" w:color="auto"/>
              <w:left w:val="nil"/>
              <w:bottom w:val="single" w:sz="4" w:space="0" w:color="auto"/>
              <w:right w:val="nil"/>
            </w:tcBorders>
            <w:shd w:val="clear" w:color="auto" w:fill="BFBFBF" w:themeFill="background1" w:themeFillShade="BF"/>
            <w:noWrap/>
            <w:vAlign w:val="bottom"/>
            <w:hideMark/>
          </w:tcPr>
          <w:p w14:paraId="3A193B1D" w14:textId="77777777" w:rsidR="005159DC" w:rsidRPr="005159DC" w:rsidRDefault="005159DC" w:rsidP="001C1DBA">
            <w:pPr>
              <w:spacing w:after="0" w:line="240" w:lineRule="auto"/>
              <w:jc w:val="center"/>
              <w:rPr>
                <w:rFonts w:ascii="Calibri" w:eastAsia="Times New Roman" w:hAnsi="Calibri" w:cs="Calibri"/>
                <w:color w:val="000000"/>
              </w:rPr>
            </w:pPr>
            <w:r w:rsidRPr="005159DC">
              <w:rPr>
                <w:rFonts w:ascii="Calibri" w:eastAsia="Times New Roman" w:hAnsi="Calibri" w:cs="Calibri"/>
                <w:color w:val="000000"/>
              </w:rPr>
              <w:t>K</w:t>
            </w:r>
          </w:p>
        </w:tc>
        <w:tc>
          <w:tcPr>
            <w:tcW w:w="983" w:type="dxa"/>
            <w:tcBorders>
              <w:top w:val="single" w:sz="4" w:space="0" w:color="auto"/>
              <w:left w:val="nil"/>
              <w:bottom w:val="single" w:sz="4" w:space="0" w:color="auto"/>
              <w:right w:val="nil"/>
            </w:tcBorders>
            <w:shd w:val="clear" w:color="auto" w:fill="BFBFBF" w:themeFill="background1" w:themeFillShade="BF"/>
            <w:noWrap/>
            <w:vAlign w:val="bottom"/>
            <w:hideMark/>
          </w:tcPr>
          <w:p w14:paraId="74FD9409" w14:textId="77777777" w:rsidR="005159DC" w:rsidRPr="005159DC" w:rsidRDefault="005159DC">
            <w:pPr>
              <w:spacing w:after="0" w:line="240" w:lineRule="auto"/>
              <w:jc w:val="center"/>
              <w:rPr>
                <w:rFonts w:ascii="Calibri" w:eastAsia="Times New Roman" w:hAnsi="Calibri" w:cs="Calibri"/>
                <w:color w:val="000000"/>
              </w:rPr>
            </w:pPr>
            <w:r w:rsidRPr="005159DC">
              <w:rPr>
                <w:rFonts w:ascii="Calibri" w:eastAsia="Times New Roman" w:hAnsi="Calibri" w:cs="Calibri"/>
                <w:color w:val="000000"/>
              </w:rPr>
              <w:t>K</w:t>
            </w:r>
          </w:p>
        </w:tc>
        <w:tc>
          <w:tcPr>
            <w:tcW w:w="1097" w:type="dxa"/>
            <w:tcBorders>
              <w:top w:val="single" w:sz="4" w:space="0" w:color="auto"/>
              <w:left w:val="nil"/>
              <w:bottom w:val="single" w:sz="4" w:space="0" w:color="auto"/>
              <w:right w:val="nil"/>
            </w:tcBorders>
            <w:shd w:val="clear" w:color="auto" w:fill="BFBFBF" w:themeFill="background1" w:themeFillShade="BF"/>
            <w:noWrap/>
            <w:vAlign w:val="bottom"/>
            <w:hideMark/>
          </w:tcPr>
          <w:p w14:paraId="3F250891" w14:textId="77777777" w:rsidR="005159DC" w:rsidRPr="005159DC" w:rsidRDefault="005159DC">
            <w:pPr>
              <w:spacing w:after="0" w:line="240" w:lineRule="auto"/>
              <w:jc w:val="center"/>
              <w:rPr>
                <w:rFonts w:ascii="Calibri" w:eastAsia="Times New Roman" w:hAnsi="Calibri" w:cs="Calibri"/>
                <w:color w:val="000000"/>
              </w:rPr>
            </w:pPr>
            <w:r w:rsidRPr="005159DC">
              <w:rPr>
                <w:rFonts w:ascii="Calibri" w:eastAsia="Times New Roman" w:hAnsi="Calibri" w:cs="Calibri"/>
                <w:color w:val="000000"/>
              </w:rPr>
              <w:t>%</w:t>
            </w:r>
          </w:p>
        </w:tc>
        <w:tc>
          <w:tcPr>
            <w:tcW w:w="985" w:type="dxa"/>
            <w:tcBorders>
              <w:top w:val="single" w:sz="4" w:space="0" w:color="auto"/>
              <w:left w:val="nil"/>
              <w:bottom w:val="single" w:sz="4" w:space="0" w:color="auto"/>
              <w:right w:val="nil"/>
            </w:tcBorders>
            <w:shd w:val="clear" w:color="auto" w:fill="BFBFBF" w:themeFill="background1" w:themeFillShade="BF"/>
            <w:noWrap/>
            <w:vAlign w:val="bottom"/>
            <w:hideMark/>
          </w:tcPr>
          <w:p w14:paraId="0AC680B7" w14:textId="77777777" w:rsidR="005159DC" w:rsidRPr="005159DC" w:rsidRDefault="005159DC">
            <w:pPr>
              <w:spacing w:after="0" w:line="240" w:lineRule="auto"/>
              <w:jc w:val="center"/>
              <w:rPr>
                <w:rFonts w:ascii="Calibri" w:eastAsia="Times New Roman" w:hAnsi="Calibri" w:cs="Calibri"/>
                <w:color w:val="000000"/>
              </w:rPr>
            </w:pPr>
            <w:r w:rsidRPr="005159DC">
              <w:rPr>
                <w:rFonts w:ascii="Calibri" w:eastAsia="Times New Roman" w:hAnsi="Calibri" w:cs="Calibri"/>
                <w:color w:val="000000"/>
              </w:rPr>
              <w:t>K</w:t>
            </w:r>
          </w:p>
        </w:tc>
        <w:tc>
          <w:tcPr>
            <w:tcW w:w="1135" w:type="dxa"/>
            <w:tcBorders>
              <w:top w:val="single" w:sz="4" w:space="0" w:color="auto"/>
              <w:left w:val="nil"/>
              <w:bottom w:val="single" w:sz="4" w:space="0" w:color="auto"/>
              <w:right w:val="nil"/>
            </w:tcBorders>
            <w:shd w:val="clear" w:color="auto" w:fill="BFBFBF" w:themeFill="background1" w:themeFillShade="BF"/>
            <w:noWrap/>
            <w:vAlign w:val="bottom"/>
            <w:hideMark/>
          </w:tcPr>
          <w:p w14:paraId="7C449E61" w14:textId="77777777" w:rsidR="005159DC" w:rsidRPr="005159DC" w:rsidRDefault="005159DC">
            <w:pPr>
              <w:spacing w:after="0" w:line="240" w:lineRule="auto"/>
              <w:jc w:val="center"/>
              <w:rPr>
                <w:rFonts w:ascii="Calibri" w:eastAsia="Times New Roman" w:hAnsi="Calibri" w:cs="Calibri"/>
                <w:color w:val="000000"/>
              </w:rPr>
            </w:pPr>
            <w:r w:rsidRPr="005159DC">
              <w:rPr>
                <w:rFonts w:ascii="Calibri" w:eastAsia="Times New Roman" w:hAnsi="Calibri" w:cs="Calibri"/>
                <w:color w:val="000000"/>
              </w:rPr>
              <w:t>%</w:t>
            </w:r>
          </w:p>
        </w:tc>
        <w:tc>
          <w:tcPr>
            <w:tcW w:w="983" w:type="dxa"/>
            <w:tcBorders>
              <w:top w:val="single" w:sz="4" w:space="0" w:color="auto"/>
              <w:left w:val="nil"/>
              <w:bottom w:val="single" w:sz="4" w:space="0" w:color="auto"/>
              <w:right w:val="nil"/>
            </w:tcBorders>
            <w:shd w:val="clear" w:color="auto" w:fill="BFBFBF" w:themeFill="background1" w:themeFillShade="BF"/>
            <w:noWrap/>
            <w:vAlign w:val="bottom"/>
            <w:hideMark/>
          </w:tcPr>
          <w:p w14:paraId="6F7CEE64" w14:textId="77777777" w:rsidR="005159DC" w:rsidRPr="005159DC" w:rsidRDefault="005159DC">
            <w:pPr>
              <w:spacing w:after="0" w:line="240" w:lineRule="auto"/>
              <w:jc w:val="center"/>
              <w:rPr>
                <w:rFonts w:ascii="Calibri" w:eastAsia="Times New Roman" w:hAnsi="Calibri" w:cs="Calibri"/>
                <w:color w:val="000000"/>
              </w:rPr>
            </w:pPr>
            <w:r w:rsidRPr="005159DC">
              <w:rPr>
                <w:rFonts w:ascii="Calibri" w:eastAsia="Times New Roman" w:hAnsi="Calibri" w:cs="Calibri"/>
                <w:color w:val="000000"/>
              </w:rPr>
              <w:t>K</w:t>
            </w:r>
          </w:p>
        </w:tc>
        <w:tc>
          <w:tcPr>
            <w:tcW w:w="1097" w:type="dxa"/>
            <w:tcBorders>
              <w:top w:val="single" w:sz="4" w:space="0" w:color="auto"/>
              <w:left w:val="nil"/>
              <w:bottom w:val="single" w:sz="4" w:space="0" w:color="auto"/>
              <w:right w:val="nil"/>
            </w:tcBorders>
            <w:shd w:val="clear" w:color="auto" w:fill="BFBFBF" w:themeFill="background1" w:themeFillShade="BF"/>
            <w:noWrap/>
            <w:vAlign w:val="bottom"/>
            <w:hideMark/>
          </w:tcPr>
          <w:p w14:paraId="26D2559C" w14:textId="77777777" w:rsidR="005159DC" w:rsidRPr="005159DC" w:rsidRDefault="005159DC">
            <w:pPr>
              <w:spacing w:after="0" w:line="240" w:lineRule="auto"/>
              <w:jc w:val="center"/>
              <w:rPr>
                <w:rFonts w:ascii="Calibri" w:eastAsia="Times New Roman" w:hAnsi="Calibri" w:cs="Calibri"/>
                <w:color w:val="000000"/>
              </w:rPr>
            </w:pPr>
            <w:r w:rsidRPr="005159DC">
              <w:rPr>
                <w:rFonts w:ascii="Calibri" w:eastAsia="Times New Roman" w:hAnsi="Calibri" w:cs="Calibri"/>
                <w:color w:val="000000"/>
              </w:rPr>
              <w:t>%</w:t>
            </w:r>
          </w:p>
        </w:tc>
      </w:tr>
      <w:tr w:rsidR="00B135A1" w:rsidRPr="005159DC" w14:paraId="37AB975F" w14:textId="77777777" w:rsidTr="005159DC">
        <w:trPr>
          <w:trHeight w:val="315"/>
        </w:trPr>
        <w:tc>
          <w:tcPr>
            <w:tcW w:w="1040" w:type="dxa"/>
            <w:tcBorders>
              <w:top w:val="nil"/>
              <w:left w:val="nil"/>
              <w:bottom w:val="single" w:sz="8" w:space="0" w:color="auto"/>
              <w:right w:val="nil"/>
            </w:tcBorders>
            <w:shd w:val="clear" w:color="auto" w:fill="auto"/>
            <w:noWrap/>
            <w:vAlign w:val="bottom"/>
            <w:hideMark/>
          </w:tcPr>
          <w:p w14:paraId="04EE17BC" w14:textId="016FA815" w:rsidR="00B135A1" w:rsidRPr="005159DC" w:rsidRDefault="00A369FD" w:rsidP="00932E8F">
            <w:pPr>
              <w:spacing w:after="0" w:line="240" w:lineRule="auto"/>
              <w:jc w:val="center"/>
              <w:rPr>
                <w:rFonts w:ascii="Calibri" w:eastAsia="Times New Roman" w:hAnsi="Calibri" w:cs="Calibri"/>
                <w:color w:val="000000"/>
              </w:rPr>
            </w:pPr>
            <w:r>
              <w:rPr>
                <w:rFonts w:ascii="Calibri" w:hAnsi="Calibri" w:cs="Calibri"/>
                <w:color w:val="000000"/>
              </w:rPr>
              <w:t>1,147</w:t>
            </w:r>
          </w:p>
        </w:tc>
        <w:tc>
          <w:tcPr>
            <w:tcW w:w="983" w:type="dxa"/>
            <w:tcBorders>
              <w:top w:val="nil"/>
              <w:left w:val="nil"/>
              <w:bottom w:val="single" w:sz="8" w:space="0" w:color="auto"/>
              <w:right w:val="nil"/>
            </w:tcBorders>
            <w:shd w:val="clear" w:color="auto" w:fill="auto"/>
            <w:noWrap/>
            <w:vAlign w:val="bottom"/>
            <w:hideMark/>
          </w:tcPr>
          <w:p w14:paraId="3D1133E1" w14:textId="338FE5AD" w:rsidR="00B135A1" w:rsidRPr="005159DC" w:rsidRDefault="00B135A1">
            <w:pPr>
              <w:spacing w:after="0" w:line="240" w:lineRule="auto"/>
              <w:jc w:val="center"/>
              <w:rPr>
                <w:rFonts w:ascii="Calibri" w:eastAsia="Times New Roman" w:hAnsi="Calibri" w:cs="Calibri"/>
                <w:color w:val="000000"/>
              </w:rPr>
            </w:pPr>
            <w:r>
              <w:rPr>
                <w:rFonts w:ascii="Calibri" w:hAnsi="Calibri" w:cs="Calibri"/>
                <w:color w:val="000000"/>
              </w:rPr>
              <w:t>3</w:t>
            </w:r>
            <w:r w:rsidR="00A369FD">
              <w:rPr>
                <w:rFonts w:ascii="Calibri" w:hAnsi="Calibri" w:cs="Calibri"/>
                <w:color w:val="000000"/>
              </w:rPr>
              <w:t>4</w:t>
            </w:r>
            <w:r w:rsidR="008B0DCF">
              <w:rPr>
                <w:rFonts w:ascii="Calibri" w:hAnsi="Calibri" w:cs="Calibri"/>
                <w:color w:val="000000"/>
              </w:rPr>
              <w:t>1</w:t>
            </w:r>
          </w:p>
        </w:tc>
        <w:tc>
          <w:tcPr>
            <w:tcW w:w="1097" w:type="dxa"/>
            <w:tcBorders>
              <w:top w:val="nil"/>
              <w:left w:val="nil"/>
              <w:bottom w:val="single" w:sz="8" w:space="0" w:color="auto"/>
              <w:right w:val="nil"/>
            </w:tcBorders>
            <w:shd w:val="clear" w:color="auto" w:fill="auto"/>
            <w:noWrap/>
            <w:vAlign w:val="bottom"/>
            <w:hideMark/>
          </w:tcPr>
          <w:p w14:paraId="58001B80" w14:textId="326AF298" w:rsidR="00B135A1" w:rsidRPr="005159DC" w:rsidRDefault="008B0DCF">
            <w:pPr>
              <w:spacing w:after="0" w:line="240" w:lineRule="auto"/>
              <w:jc w:val="center"/>
              <w:rPr>
                <w:rFonts w:ascii="Calibri" w:eastAsia="Times New Roman" w:hAnsi="Calibri" w:cs="Calibri"/>
                <w:color w:val="000000"/>
              </w:rPr>
            </w:pPr>
            <w:r>
              <w:rPr>
                <w:rFonts w:ascii="Calibri" w:hAnsi="Calibri" w:cs="Calibri"/>
                <w:color w:val="000000"/>
              </w:rPr>
              <w:t>29.7</w:t>
            </w:r>
          </w:p>
        </w:tc>
        <w:tc>
          <w:tcPr>
            <w:tcW w:w="985" w:type="dxa"/>
            <w:tcBorders>
              <w:top w:val="nil"/>
              <w:left w:val="nil"/>
              <w:bottom w:val="single" w:sz="8" w:space="0" w:color="auto"/>
              <w:right w:val="nil"/>
            </w:tcBorders>
            <w:shd w:val="clear" w:color="auto" w:fill="auto"/>
            <w:noWrap/>
            <w:vAlign w:val="bottom"/>
            <w:hideMark/>
          </w:tcPr>
          <w:p w14:paraId="172BD266" w14:textId="4BE980E8" w:rsidR="00B135A1" w:rsidRPr="005159DC" w:rsidRDefault="00B135A1">
            <w:pPr>
              <w:spacing w:after="0" w:line="240" w:lineRule="auto"/>
              <w:jc w:val="center"/>
              <w:rPr>
                <w:rFonts w:ascii="Calibri" w:eastAsia="Times New Roman" w:hAnsi="Calibri" w:cs="Calibri"/>
                <w:color w:val="000000"/>
              </w:rPr>
            </w:pPr>
            <w:r>
              <w:rPr>
                <w:rFonts w:ascii="Calibri" w:hAnsi="Calibri" w:cs="Calibri"/>
                <w:color w:val="000000"/>
              </w:rPr>
              <w:t>2</w:t>
            </w:r>
            <w:r w:rsidR="008B0DCF">
              <w:rPr>
                <w:rFonts w:ascii="Calibri" w:hAnsi="Calibri" w:cs="Calibri"/>
                <w:color w:val="000000"/>
              </w:rPr>
              <w:t>80</w:t>
            </w:r>
          </w:p>
        </w:tc>
        <w:tc>
          <w:tcPr>
            <w:tcW w:w="1135" w:type="dxa"/>
            <w:tcBorders>
              <w:top w:val="nil"/>
              <w:left w:val="nil"/>
              <w:bottom w:val="single" w:sz="8" w:space="0" w:color="auto"/>
              <w:right w:val="nil"/>
            </w:tcBorders>
            <w:shd w:val="clear" w:color="auto" w:fill="auto"/>
            <w:noWrap/>
            <w:vAlign w:val="bottom"/>
            <w:hideMark/>
          </w:tcPr>
          <w:p w14:paraId="07333ED1" w14:textId="580311A5" w:rsidR="00B135A1" w:rsidRPr="005159DC" w:rsidRDefault="00B135A1">
            <w:pPr>
              <w:spacing w:after="0" w:line="240" w:lineRule="auto"/>
              <w:jc w:val="center"/>
              <w:rPr>
                <w:rFonts w:ascii="Calibri" w:eastAsia="Times New Roman" w:hAnsi="Calibri" w:cs="Calibri"/>
                <w:color w:val="000000"/>
              </w:rPr>
            </w:pPr>
            <w:r>
              <w:rPr>
                <w:rFonts w:ascii="Calibri" w:hAnsi="Calibri" w:cs="Calibri"/>
                <w:color w:val="000000"/>
              </w:rPr>
              <w:t>2</w:t>
            </w:r>
            <w:r w:rsidR="008B0DCF">
              <w:rPr>
                <w:rFonts w:ascii="Calibri" w:hAnsi="Calibri" w:cs="Calibri"/>
                <w:color w:val="000000"/>
              </w:rPr>
              <w:t>4.4</w:t>
            </w:r>
          </w:p>
        </w:tc>
        <w:tc>
          <w:tcPr>
            <w:tcW w:w="983" w:type="dxa"/>
            <w:tcBorders>
              <w:top w:val="nil"/>
              <w:left w:val="nil"/>
              <w:bottom w:val="single" w:sz="8" w:space="0" w:color="auto"/>
              <w:right w:val="nil"/>
            </w:tcBorders>
            <w:shd w:val="clear" w:color="auto" w:fill="auto"/>
            <w:noWrap/>
            <w:vAlign w:val="bottom"/>
            <w:hideMark/>
          </w:tcPr>
          <w:p w14:paraId="53FD8E66" w14:textId="08C8C282" w:rsidR="00B135A1" w:rsidRPr="005159DC" w:rsidRDefault="00A369FD">
            <w:pPr>
              <w:spacing w:after="0" w:line="240" w:lineRule="auto"/>
              <w:jc w:val="center"/>
              <w:rPr>
                <w:rFonts w:ascii="Calibri" w:eastAsia="Times New Roman" w:hAnsi="Calibri" w:cs="Calibri"/>
                <w:color w:val="000000"/>
              </w:rPr>
            </w:pPr>
            <w:r>
              <w:rPr>
                <w:rFonts w:ascii="Calibri" w:hAnsi="Calibri" w:cs="Calibri"/>
                <w:color w:val="000000"/>
              </w:rPr>
              <w:t>526</w:t>
            </w:r>
          </w:p>
        </w:tc>
        <w:tc>
          <w:tcPr>
            <w:tcW w:w="1097" w:type="dxa"/>
            <w:tcBorders>
              <w:top w:val="nil"/>
              <w:left w:val="nil"/>
              <w:bottom w:val="single" w:sz="8" w:space="0" w:color="auto"/>
              <w:right w:val="nil"/>
            </w:tcBorders>
            <w:shd w:val="clear" w:color="auto" w:fill="auto"/>
            <w:noWrap/>
            <w:vAlign w:val="bottom"/>
            <w:hideMark/>
          </w:tcPr>
          <w:p w14:paraId="414CBAEB" w14:textId="18DAA75B" w:rsidR="00B135A1" w:rsidRPr="005159DC" w:rsidRDefault="00B135A1">
            <w:pPr>
              <w:spacing w:after="0" w:line="240" w:lineRule="auto"/>
              <w:jc w:val="center"/>
              <w:rPr>
                <w:rFonts w:ascii="Calibri" w:eastAsia="Times New Roman" w:hAnsi="Calibri" w:cs="Calibri"/>
                <w:color w:val="000000"/>
              </w:rPr>
            </w:pPr>
            <w:r>
              <w:rPr>
                <w:rFonts w:ascii="Calibri" w:hAnsi="Calibri" w:cs="Calibri"/>
                <w:color w:val="000000"/>
              </w:rPr>
              <w:t>4</w:t>
            </w:r>
            <w:r w:rsidR="00A369FD">
              <w:rPr>
                <w:rFonts w:ascii="Calibri" w:hAnsi="Calibri" w:cs="Calibri"/>
                <w:color w:val="000000"/>
              </w:rPr>
              <w:t>5.9</w:t>
            </w:r>
          </w:p>
        </w:tc>
      </w:tr>
    </w:tbl>
    <w:p w14:paraId="3F1006FC" w14:textId="6968742B" w:rsidR="00054185" w:rsidRDefault="00054185" w:rsidP="00054185">
      <w:pPr>
        <w:spacing w:after="0"/>
      </w:pPr>
      <w:r w:rsidRPr="004A5072">
        <w:rPr>
          <w:rStyle w:val="Style1"/>
          <w:sz w:val="18"/>
        </w:rPr>
        <w:t xml:space="preserve">Analysis of Medicare Claims File for </w:t>
      </w:r>
      <w:r w:rsidR="00A369FD">
        <w:rPr>
          <w:rStyle w:val="Style1"/>
          <w:sz w:val="18"/>
        </w:rPr>
        <w:t>IRF FY</w:t>
      </w:r>
      <w:r w:rsidR="008E3298">
        <w:rPr>
          <w:rStyle w:val="Style1"/>
          <w:sz w:val="18"/>
        </w:rPr>
        <w:t xml:space="preserve"> 2016-2017</w:t>
      </w:r>
      <w:r w:rsidRPr="004A5072">
        <w:rPr>
          <w:rStyle w:val="Style1"/>
          <w:sz w:val="18"/>
        </w:rPr>
        <w:t>.</w:t>
      </w:r>
    </w:p>
    <w:p w14:paraId="0CABD00B" w14:textId="77777777" w:rsidR="00D61410" w:rsidRPr="00927027" w:rsidRDefault="00D61410" w:rsidP="00D61410">
      <w:pPr>
        <w:autoSpaceDE w:val="0"/>
        <w:autoSpaceDN w:val="0"/>
        <w:adjustRightInd w:val="0"/>
        <w:spacing w:after="0" w:line="240" w:lineRule="auto"/>
        <w:rPr>
          <w:rFonts w:cstheme="minorHAnsi"/>
          <w:bCs/>
        </w:rPr>
      </w:pPr>
    </w:p>
    <w:p w14:paraId="04053415" w14:textId="77777777" w:rsidR="00941A96" w:rsidRDefault="009C7513" w:rsidP="00893355">
      <w:pPr>
        <w:pStyle w:val="Heading3"/>
      </w:pPr>
      <w:r>
        <w:t>2b4</w:t>
      </w:r>
      <w:r w:rsidR="00D61410">
        <w:t xml:space="preserve">.3. </w:t>
      </w:r>
      <w:r w:rsidR="00D61410" w:rsidRPr="00A25024">
        <w:t>What is your interpretation of the results in terms of demonstrating the ability to identify statistically significant and</w:t>
      </w:r>
      <w:r w:rsidR="005038D5">
        <w:t>/or</w:t>
      </w:r>
      <w:r w:rsidR="00D61410" w:rsidRPr="00A25024">
        <w:t xml:space="preserve"> clinically/practically meaningful differences in performance across measured entities?</w:t>
      </w:r>
    </w:p>
    <w:p w14:paraId="0CABD00C" w14:textId="6A0694A8" w:rsidR="00D61410" w:rsidRDefault="00D61410" w:rsidP="00D61410">
      <w:pPr>
        <w:autoSpaceDE w:val="0"/>
        <w:autoSpaceDN w:val="0"/>
        <w:adjustRightInd w:val="0"/>
        <w:spacing w:after="0" w:line="240" w:lineRule="auto"/>
        <w:rPr>
          <w:rFonts w:cstheme="minorHAnsi"/>
          <w:bCs/>
          <w:color w:val="0000FF"/>
        </w:rPr>
      </w:pP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p>
    <w:p w14:paraId="1981ED31" w14:textId="21318EBA" w:rsidR="001C1DBA" w:rsidRPr="00932E8F" w:rsidRDefault="001C1DBA" w:rsidP="00153D1E">
      <w:pPr>
        <w:autoSpaceDE w:val="0"/>
        <w:autoSpaceDN w:val="0"/>
        <w:adjustRightInd w:val="0"/>
        <w:spacing w:after="0" w:line="240" w:lineRule="auto"/>
        <w:ind w:firstLine="720"/>
        <w:rPr>
          <w:rFonts w:cstheme="minorHAnsi"/>
          <w:bCs/>
          <w:color w:val="0000FF"/>
        </w:rPr>
      </w:pPr>
      <w:r>
        <w:rPr>
          <w:rFonts w:cstheme="minorHAnsi"/>
          <w:bCs/>
          <w:color w:val="0000FF"/>
        </w:rPr>
        <w:t xml:space="preserve">The MSPB-PAC </w:t>
      </w:r>
      <w:r w:rsidR="00A369FD">
        <w:rPr>
          <w:rFonts w:cstheme="minorHAnsi"/>
          <w:bCs/>
          <w:color w:val="0000FF"/>
        </w:rPr>
        <w:t>IRF</w:t>
      </w:r>
      <w:r>
        <w:rPr>
          <w:rFonts w:cstheme="minorHAnsi"/>
          <w:bCs/>
          <w:color w:val="0000FF"/>
        </w:rPr>
        <w:t xml:space="preserve"> measure is able to identify statistically significant and meaningful differences in performance across </w:t>
      </w:r>
      <w:r w:rsidR="00A369FD">
        <w:rPr>
          <w:rFonts w:cstheme="minorHAnsi"/>
          <w:bCs/>
          <w:color w:val="0000FF"/>
        </w:rPr>
        <w:t>IRF</w:t>
      </w:r>
      <w:r>
        <w:rPr>
          <w:rFonts w:cstheme="minorHAnsi"/>
          <w:bCs/>
          <w:color w:val="0000FF"/>
        </w:rPr>
        <w:t xml:space="preserve">s due to its </w:t>
      </w:r>
      <w:r w:rsidR="00605EC5">
        <w:rPr>
          <w:rFonts w:cstheme="minorHAnsi"/>
          <w:bCs/>
          <w:color w:val="0000FF"/>
        </w:rPr>
        <w:t xml:space="preserve">good reliability and variability. Measure scores range from </w:t>
      </w:r>
      <w:r w:rsidR="00D31F28">
        <w:rPr>
          <w:rFonts w:cstheme="minorHAnsi"/>
          <w:bCs/>
          <w:color w:val="0000FF"/>
        </w:rPr>
        <w:t>0</w:t>
      </w:r>
      <w:r w:rsidR="00D31F28" w:rsidRPr="00D10415">
        <w:rPr>
          <w:rFonts w:cstheme="minorHAnsi"/>
          <w:bCs/>
          <w:color w:val="0000FF"/>
        </w:rPr>
        <w:t>.74</w:t>
      </w:r>
      <w:r w:rsidR="00605EC5" w:rsidRPr="00D10415">
        <w:rPr>
          <w:rFonts w:cstheme="minorHAnsi"/>
          <w:bCs/>
          <w:color w:val="0000FF"/>
        </w:rPr>
        <w:t xml:space="preserve"> to </w:t>
      </w:r>
      <w:r w:rsidR="00D31F28" w:rsidRPr="008C7D29">
        <w:rPr>
          <w:rFonts w:cstheme="minorHAnsi"/>
          <w:bCs/>
          <w:color w:val="0000FF"/>
        </w:rPr>
        <w:t>1.47</w:t>
      </w:r>
      <w:r w:rsidR="00605EC5" w:rsidRPr="00D10415">
        <w:rPr>
          <w:rFonts w:cstheme="minorHAnsi"/>
          <w:bCs/>
          <w:color w:val="0000FF"/>
        </w:rPr>
        <w:t xml:space="preserve">, indicating that the model can predict both low and high </w:t>
      </w:r>
      <w:r w:rsidR="007E6B45" w:rsidRPr="00D10415">
        <w:rPr>
          <w:rFonts w:cstheme="minorHAnsi"/>
          <w:bCs/>
          <w:color w:val="0000FF"/>
        </w:rPr>
        <w:t>spending</w:t>
      </w:r>
      <w:r w:rsidR="00475A5F" w:rsidRPr="00D10415">
        <w:rPr>
          <w:rFonts w:cstheme="minorHAnsi"/>
          <w:bCs/>
          <w:color w:val="0000FF"/>
        </w:rPr>
        <w:t xml:space="preserve"> and that there are me</w:t>
      </w:r>
      <w:r w:rsidR="00475A5F">
        <w:rPr>
          <w:rFonts w:cstheme="minorHAnsi"/>
          <w:bCs/>
          <w:color w:val="0000FF"/>
        </w:rPr>
        <w:t>anin</w:t>
      </w:r>
      <w:r w:rsidR="00560F38">
        <w:rPr>
          <w:rFonts w:cstheme="minorHAnsi"/>
          <w:bCs/>
          <w:color w:val="0000FF"/>
        </w:rPr>
        <w:t>gful</w:t>
      </w:r>
      <w:r w:rsidR="00475A5F">
        <w:rPr>
          <w:rFonts w:cstheme="minorHAnsi"/>
          <w:bCs/>
          <w:color w:val="0000FF"/>
        </w:rPr>
        <w:t xml:space="preserve"> differences in </w:t>
      </w:r>
      <w:r w:rsidR="004C3950">
        <w:rPr>
          <w:rFonts w:cstheme="minorHAnsi"/>
          <w:bCs/>
          <w:color w:val="0000FF"/>
        </w:rPr>
        <w:t>facility</w:t>
      </w:r>
      <w:r w:rsidR="00475A5F">
        <w:rPr>
          <w:rFonts w:cstheme="minorHAnsi"/>
          <w:bCs/>
          <w:color w:val="0000FF"/>
        </w:rPr>
        <w:t>-level spending</w:t>
      </w:r>
      <w:r w:rsidR="007E6B45">
        <w:rPr>
          <w:rFonts w:cstheme="minorHAnsi"/>
          <w:bCs/>
          <w:color w:val="0000FF"/>
        </w:rPr>
        <w:t xml:space="preserve">. </w:t>
      </w:r>
      <w:r w:rsidR="00B135A1">
        <w:rPr>
          <w:rFonts w:cstheme="minorHAnsi"/>
          <w:bCs/>
          <w:color w:val="0000FF"/>
        </w:rPr>
        <w:t xml:space="preserve">Seventy </w:t>
      </w:r>
      <w:r w:rsidR="00B24CBB">
        <w:rPr>
          <w:rFonts w:cstheme="minorHAnsi"/>
          <w:bCs/>
          <w:color w:val="0000FF"/>
        </w:rPr>
        <w:t>six</w:t>
      </w:r>
      <w:r w:rsidR="007E6B45">
        <w:rPr>
          <w:rFonts w:cstheme="minorHAnsi"/>
          <w:bCs/>
          <w:color w:val="0000FF"/>
        </w:rPr>
        <w:t xml:space="preserve"> percent of </w:t>
      </w:r>
      <w:r w:rsidR="00B24CBB">
        <w:rPr>
          <w:rFonts w:cstheme="minorHAnsi"/>
          <w:bCs/>
          <w:color w:val="0000FF"/>
        </w:rPr>
        <w:t>IRF</w:t>
      </w:r>
      <w:r w:rsidR="007E6B45">
        <w:rPr>
          <w:rFonts w:cstheme="minorHAnsi"/>
          <w:bCs/>
          <w:color w:val="0000FF"/>
        </w:rPr>
        <w:t xml:space="preserve">s have scores that are statistically significantly different from the national average, supporting the conclusion that </w:t>
      </w:r>
      <w:r w:rsidR="00475A5F">
        <w:rPr>
          <w:rFonts w:cstheme="minorHAnsi"/>
          <w:bCs/>
          <w:color w:val="0000FF"/>
        </w:rPr>
        <w:t xml:space="preserve">even small difference between </w:t>
      </w:r>
      <w:r w:rsidR="004C3950">
        <w:rPr>
          <w:rFonts w:cstheme="minorHAnsi"/>
          <w:bCs/>
          <w:color w:val="0000FF"/>
        </w:rPr>
        <w:t>facility</w:t>
      </w:r>
      <w:r w:rsidR="00475A5F">
        <w:rPr>
          <w:rFonts w:cstheme="minorHAnsi"/>
          <w:bCs/>
          <w:color w:val="0000FF"/>
        </w:rPr>
        <w:t xml:space="preserve"> scores can be treated as meaningful</w:t>
      </w:r>
      <w:r w:rsidR="007E6B45">
        <w:rPr>
          <w:rFonts w:cstheme="minorHAnsi"/>
          <w:bCs/>
          <w:color w:val="0000FF"/>
        </w:rPr>
        <w:t>.</w:t>
      </w: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CF1289">
      <w:pPr>
        <w:pStyle w:val="Heading1"/>
      </w:pPr>
      <w:r w:rsidRPr="00A25024">
        <w:t>2</w:t>
      </w:r>
      <w:r w:rsidR="00EA5F47" w:rsidRPr="00A25024">
        <w:t>b</w:t>
      </w:r>
      <w:r w:rsidR="009C7513">
        <w:t>5</w:t>
      </w:r>
      <w:r w:rsidRPr="00A25024">
        <w:t xml:space="preserve">. COMPARABILITY OF PERFORMANCE SCORES </w:t>
      </w:r>
      <w:r w:rsidR="004C498F">
        <w:t>WHEN</w:t>
      </w:r>
      <w:r w:rsidR="002B2116" w:rsidRPr="00A25024">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29C35389" w14:textId="77777777" w:rsidR="00941A96" w:rsidRDefault="009C7513" w:rsidP="00893355">
      <w:pPr>
        <w:pStyle w:val="Heading3"/>
      </w:pPr>
      <w:r>
        <w:t>2b5</w:t>
      </w:r>
      <w:r w:rsidR="00E1508F">
        <w:t xml:space="preserve">.1. </w:t>
      </w:r>
      <w:r w:rsidR="008871A9">
        <w:t xml:space="preserve">Describe the method of </w:t>
      </w:r>
      <w:r w:rsidR="000F06B5" w:rsidRPr="00A25024">
        <w:t>testing conducted</w:t>
      </w:r>
      <w:r w:rsidR="008871A9">
        <w:t xml:space="preserve"> to </w:t>
      </w:r>
      <w:r w:rsidR="00F1412B">
        <w:t>compare</w:t>
      </w:r>
      <w:r w:rsidR="004B6CEE" w:rsidRPr="00A25024">
        <w:t xml:space="preserve"> performance scores </w:t>
      </w:r>
      <w:r w:rsidR="00A35F8F" w:rsidRPr="00A25024">
        <w:t xml:space="preserve">for the same entities </w:t>
      </w:r>
      <w:r w:rsidR="00287649" w:rsidRPr="00A25024">
        <w:t xml:space="preserve">across the different </w:t>
      </w:r>
      <w:r w:rsidR="00864CA8">
        <w:t>data</w:t>
      </w:r>
      <w:r w:rsidR="0028114D">
        <w:t xml:space="preserve"> </w:t>
      </w:r>
      <w:r w:rsidR="00864CA8">
        <w:t>sources/</w:t>
      </w:r>
      <w:r w:rsidR="00287649" w:rsidRPr="00A25024">
        <w:t>specifications</w:t>
      </w:r>
      <w:r w:rsidR="000F06B5" w:rsidRPr="00A25024">
        <w:t xml:space="preserve"> </w:t>
      </w:r>
    </w:p>
    <w:p w14:paraId="0CABD013" w14:textId="6213B994" w:rsidR="000F06B5" w:rsidRPr="009D3882" w:rsidRDefault="000F06B5" w:rsidP="00DB3627">
      <w:pPr>
        <w:autoSpaceDE w:val="0"/>
        <w:autoSpaceDN w:val="0"/>
        <w:adjustRightInd w:val="0"/>
        <w:spacing w:after="0" w:line="240" w:lineRule="auto"/>
        <w:rPr>
          <w:rFonts w:cstheme="minorHAnsi"/>
          <w:bCs/>
          <w:sz w:val="14"/>
        </w:rPr>
      </w:pPr>
      <w:r w:rsidRPr="00A25024">
        <w:rPr>
          <w:rFonts w:cstheme="minorHAnsi"/>
          <w:bCs/>
        </w:rPr>
        <w:t>(</w:t>
      </w:r>
      <w:r w:rsidR="008871A9" w:rsidRPr="00A25024">
        <w:rPr>
          <w:rFonts w:cstheme="minorHAnsi"/>
          <w:bCs/>
          <w:i/>
        </w:rPr>
        <w:t>describe the steps―do not just name a method</w:t>
      </w:r>
      <w:r w:rsidR="006C3A4F">
        <w:rPr>
          <w:rFonts w:cstheme="minorHAnsi"/>
          <w:bCs/>
          <w:i/>
        </w:rPr>
        <w:t>; what statistical analysis was used</w:t>
      </w:r>
      <w:r w:rsidRPr="00A25024">
        <w:rPr>
          <w:rFonts w:cstheme="minorHAnsi"/>
          <w:bCs/>
        </w:rPr>
        <w:t>)</w:t>
      </w:r>
      <w:r w:rsidRPr="00A25024">
        <w:rPr>
          <w:rFonts w:cstheme="minorHAnsi"/>
          <w:bCs/>
        </w:rPr>
        <w:br/>
        <w:t xml:space="preserve"> </w:t>
      </w:r>
    </w:p>
    <w:p w14:paraId="0CABD014" w14:textId="0807E3C0" w:rsidR="000F06B5" w:rsidRDefault="003D4787" w:rsidP="00DB3627">
      <w:pPr>
        <w:pStyle w:val="ListParagraph"/>
        <w:autoSpaceDE w:val="0"/>
        <w:autoSpaceDN w:val="0"/>
        <w:adjustRightInd w:val="0"/>
        <w:spacing w:after="0" w:line="240" w:lineRule="auto"/>
        <w:ind w:left="0"/>
        <w:rPr>
          <w:rFonts w:cstheme="minorHAnsi"/>
          <w:bCs/>
          <w:color w:val="0000FF"/>
        </w:rPr>
      </w:pPr>
      <w:r>
        <w:rPr>
          <w:rFonts w:cstheme="minorHAnsi"/>
          <w:bCs/>
          <w:color w:val="0000FF"/>
        </w:rPr>
        <w:t>Not applicable</w:t>
      </w:r>
    </w:p>
    <w:p w14:paraId="31B8FA44" w14:textId="77777777" w:rsidR="003D4787" w:rsidRPr="00932E8F" w:rsidRDefault="003D4787" w:rsidP="00DB3627">
      <w:pPr>
        <w:pStyle w:val="ListParagraph"/>
        <w:autoSpaceDE w:val="0"/>
        <w:autoSpaceDN w:val="0"/>
        <w:adjustRightInd w:val="0"/>
        <w:spacing w:after="0" w:line="240" w:lineRule="auto"/>
        <w:ind w:left="0"/>
        <w:rPr>
          <w:rFonts w:cstheme="minorHAnsi"/>
          <w:bCs/>
          <w:color w:val="0000FF"/>
        </w:rPr>
      </w:pPr>
    </w:p>
    <w:p w14:paraId="4EA22BFD" w14:textId="77777777" w:rsidR="00941A96" w:rsidRDefault="009C7513" w:rsidP="00893355">
      <w:pPr>
        <w:pStyle w:val="Heading3"/>
      </w:pPr>
      <w:r>
        <w:t>2b5</w:t>
      </w:r>
      <w:r w:rsidR="00E1508F">
        <w:t xml:space="preserve">.2. </w:t>
      </w:r>
      <w:r w:rsidR="000F06B5" w:rsidRPr="00A25024">
        <w:t xml:space="preserve">What were the statistical results </w:t>
      </w:r>
      <w:r w:rsidR="00A35F8F" w:rsidRPr="00A25024">
        <w:t>from testing</w:t>
      </w:r>
      <w:r w:rsidR="000F06B5" w:rsidRPr="00A25024">
        <w:t xml:space="preserve"> comparability of performance scores for the same entities when using different </w:t>
      </w:r>
      <w:r w:rsidR="00864CA8">
        <w:t>data sources/</w:t>
      </w:r>
      <w:r w:rsidR="000F06B5" w:rsidRPr="00A25024">
        <w:t xml:space="preserve">specifications? </w:t>
      </w:r>
    </w:p>
    <w:p w14:paraId="0CABD015" w14:textId="6F502CA8" w:rsidR="00A35F8F" w:rsidRDefault="00287649" w:rsidP="00E1508F">
      <w:pPr>
        <w:autoSpaceDE w:val="0"/>
        <w:autoSpaceDN w:val="0"/>
        <w:adjustRightInd w:val="0"/>
        <w:spacing w:after="0" w:line="240" w:lineRule="auto"/>
        <w:rPr>
          <w:rFonts w:cstheme="minorHAnsi"/>
          <w:bCs/>
        </w:rPr>
      </w:pPr>
      <w:r w:rsidRPr="00A25024">
        <w:rPr>
          <w:rFonts w:cstheme="minorHAnsi"/>
          <w:bCs/>
        </w:rPr>
        <w:t>(</w:t>
      </w:r>
      <w:r w:rsidRPr="00A25024">
        <w:rPr>
          <w:rFonts w:cstheme="minorHAnsi"/>
          <w:bCs/>
          <w:i/>
        </w:rPr>
        <w:t>e.g., correlation</w:t>
      </w:r>
      <w:r w:rsidR="006C3A4F">
        <w:rPr>
          <w:rFonts w:cstheme="minorHAnsi"/>
          <w:bCs/>
          <w:i/>
        </w:rPr>
        <w:t>, rank order</w:t>
      </w:r>
      <w:r w:rsidRPr="00A25024">
        <w:rPr>
          <w:rFonts w:cstheme="minorHAnsi"/>
          <w:bCs/>
        </w:rPr>
        <w:t>)</w:t>
      </w:r>
      <w:r w:rsidR="000F06B5" w:rsidRPr="00A25024">
        <w:rPr>
          <w:rFonts w:cstheme="minorHAnsi"/>
          <w:bCs/>
        </w:rPr>
        <w:br/>
      </w:r>
    </w:p>
    <w:p w14:paraId="09823C17" w14:textId="77777777" w:rsidR="003D4787" w:rsidRPr="00CB3ECB" w:rsidRDefault="003D4787" w:rsidP="003D4787">
      <w:pPr>
        <w:pStyle w:val="ListParagraph"/>
        <w:autoSpaceDE w:val="0"/>
        <w:autoSpaceDN w:val="0"/>
        <w:adjustRightInd w:val="0"/>
        <w:spacing w:after="0" w:line="240" w:lineRule="auto"/>
        <w:ind w:left="0"/>
        <w:rPr>
          <w:rFonts w:cstheme="minorHAnsi"/>
          <w:bCs/>
          <w:color w:val="0000FF"/>
        </w:rPr>
      </w:pPr>
      <w:r>
        <w:rPr>
          <w:rFonts w:cstheme="minorHAnsi"/>
          <w:bCs/>
          <w:color w:val="0000FF"/>
        </w:rPr>
        <w:t>Not applicable</w:t>
      </w:r>
    </w:p>
    <w:p w14:paraId="0CABD016" w14:textId="77777777" w:rsidR="00E1508F" w:rsidRPr="00E1508F" w:rsidRDefault="00E1508F" w:rsidP="00E1508F">
      <w:pPr>
        <w:autoSpaceDE w:val="0"/>
        <w:autoSpaceDN w:val="0"/>
        <w:adjustRightInd w:val="0"/>
        <w:spacing w:after="0" w:line="240" w:lineRule="auto"/>
        <w:rPr>
          <w:rFonts w:cstheme="minorHAnsi"/>
          <w:bCs/>
        </w:rPr>
      </w:pPr>
    </w:p>
    <w:p w14:paraId="0F4E764A" w14:textId="77777777" w:rsidR="00941A96" w:rsidRDefault="009C7513" w:rsidP="00893355">
      <w:pPr>
        <w:pStyle w:val="Heading3"/>
      </w:pPr>
      <w:r>
        <w:t>2b5</w:t>
      </w:r>
      <w:r w:rsidR="00E1508F">
        <w:t xml:space="preserve">.3. </w:t>
      </w:r>
      <w:r w:rsidR="002B0C3A" w:rsidRPr="00A25024">
        <w:t xml:space="preserve">What is your interpretation of the results </w:t>
      </w:r>
      <w:r w:rsidR="00A35F8F" w:rsidRPr="00A25024">
        <w:t xml:space="preserve">in terms of </w:t>
      </w:r>
      <w:r w:rsidR="00F1412B">
        <w:t>the differences in</w:t>
      </w:r>
      <w:r w:rsidR="002B0C3A" w:rsidRPr="00A25024">
        <w:t xml:space="preserve"> performance measure scores </w:t>
      </w:r>
      <w:r w:rsidR="00287649" w:rsidRPr="00A25024">
        <w:t xml:space="preserve">for the same entities across the different </w:t>
      </w:r>
      <w:r w:rsidR="00864CA8">
        <w:t>data sources/</w:t>
      </w:r>
      <w:r w:rsidR="00287649" w:rsidRPr="00A25024">
        <w:t>specifications</w:t>
      </w:r>
      <w:r w:rsidR="002B0C3A" w:rsidRPr="00A25024">
        <w:t>?</w:t>
      </w:r>
      <w:r w:rsidR="00A35F8F" w:rsidRPr="00A25024">
        <w:t xml:space="preserve"> </w:t>
      </w:r>
    </w:p>
    <w:p w14:paraId="0CABD017" w14:textId="50906EFF" w:rsidR="0079180E" w:rsidRDefault="002B0C3A" w:rsidP="00DB3627">
      <w:pPr>
        <w:autoSpaceDE w:val="0"/>
        <w:autoSpaceDN w:val="0"/>
        <w:adjustRightInd w:val="0"/>
        <w:spacing w:after="0" w:line="240" w:lineRule="auto"/>
        <w:rPr>
          <w:rFonts w:cstheme="minorHAnsi"/>
          <w:bCs/>
        </w:rPr>
      </w:pPr>
      <w:r w:rsidRPr="00A25024">
        <w:rPr>
          <w:rFonts w:cstheme="minorHAnsi"/>
          <w:bCs/>
        </w:rPr>
        <w:t>(i</w:t>
      </w:r>
      <w:r w:rsidRPr="00A25024">
        <w:rPr>
          <w:rFonts w:cstheme="minorHAnsi"/>
          <w:bCs/>
          <w:i/>
        </w:rPr>
        <w:t>.e., what do the results mean and what are the norms for the test conducted</w:t>
      </w:r>
      <w:r w:rsidRPr="00A25024">
        <w:rPr>
          <w:rFonts w:cstheme="minorHAnsi"/>
          <w:bCs/>
        </w:rPr>
        <w:t>)</w:t>
      </w:r>
      <w:r w:rsidR="00A35F8F" w:rsidRPr="00DB3627">
        <w:rPr>
          <w:rFonts w:cstheme="minorHAnsi"/>
          <w:bCs/>
        </w:rPr>
        <w:br/>
      </w:r>
    </w:p>
    <w:p w14:paraId="6FC97501" w14:textId="77777777" w:rsidR="003D4787" w:rsidRPr="00CB3ECB" w:rsidRDefault="003D4787" w:rsidP="003D4787">
      <w:pPr>
        <w:pStyle w:val="ListParagraph"/>
        <w:autoSpaceDE w:val="0"/>
        <w:autoSpaceDN w:val="0"/>
        <w:adjustRightInd w:val="0"/>
        <w:spacing w:after="0" w:line="240" w:lineRule="auto"/>
        <w:ind w:left="0"/>
        <w:rPr>
          <w:rFonts w:cstheme="minorHAnsi"/>
          <w:bCs/>
          <w:color w:val="0000FF"/>
        </w:rPr>
      </w:pPr>
      <w:r>
        <w:rPr>
          <w:rFonts w:cstheme="minorHAnsi"/>
          <w:bCs/>
          <w:color w:val="0000FF"/>
        </w:rPr>
        <w:t>Not applicable</w:t>
      </w: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CF1289">
      <w:pPr>
        <w:pStyle w:val="Heading1"/>
      </w:pPr>
      <w:r w:rsidRPr="00A25024">
        <w:t>2b</w:t>
      </w:r>
      <w:r w:rsidR="009C7513">
        <w:t>6</w:t>
      </w:r>
      <w:r w:rsidRPr="00A25024">
        <w:t xml:space="preserve">. </w:t>
      </w:r>
      <w:r>
        <w:t>MISSING DATA ANALYSIS</w:t>
      </w:r>
      <w:r w:rsidR="008B604D">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52D1A8C1" w14:textId="77777777" w:rsidR="00941A96" w:rsidRDefault="009C7513" w:rsidP="00893355">
      <w:pPr>
        <w:pStyle w:val="Heading3"/>
      </w:pPr>
      <w:r>
        <w:t>2b6</w:t>
      </w:r>
      <w:r w:rsidR="008F7E67">
        <w:t xml:space="preserve">.1. Describe the method of </w:t>
      </w:r>
      <w:r w:rsidR="008F7E67" w:rsidRPr="00A25024">
        <w:t>testing conducted</w:t>
      </w:r>
      <w:r w:rsidR="008F7E67">
        <w:t xml:space="preserve"> to</w:t>
      </w:r>
      <w:r w:rsidR="008F7E67" w:rsidRPr="008B604D">
        <w:t xml:space="preserve"> </w:t>
      </w:r>
      <w:r w:rsidR="00771B2A" w:rsidRPr="008B604D">
        <w:t>identify the extent and distribution of missing data (or nonresponse) and demonstrate that performance results are not biased</w:t>
      </w:r>
      <w:r w:rsidR="00771B2A" w:rsidRPr="006A028C">
        <w:t xml:space="preserve"> </w:t>
      </w:r>
    </w:p>
    <w:p w14:paraId="0CABD01B" w14:textId="097E716A" w:rsidR="008F7E67" w:rsidRPr="00A25024" w:rsidRDefault="00771B2A" w:rsidP="008F7E67">
      <w:pPr>
        <w:autoSpaceDE w:val="0"/>
        <w:autoSpaceDN w:val="0"/>
        <w:adjustRightInd w:val="0"/>
        <w:spacing w:after="0" w:line="240" w:lineRule="auto"/>
        <w:rPr>
          <w:rFonts w:cstheme="minorHAnsi"/>
          <w:bCs/>
        </w:rPr>
      </w:pPr>
      <w:r w:rsidRPr="006A028C">
        <w:rPr>
          <w:rFonts w:ascii="Calibri" w:eastAsia="Calibri" w:hAnsi="Calibri" w:cs="Calibri"/>
        </w:rPr>
        <w:t>due to systematic missing data (or differences between responders and nonresponders) and how the specified handling of missing data minimizes bias</w:t>
      </w:r>
      <w:r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t xml:space="preserve"> </w:t>
      </w:r>
    </w:p>
    <w:p w14:paraId="725A18CD" w14:textId="7A553401" w:rsidR="00BD6B23" w:rsidRPr="00B747AF" w:rsidRDefault="00BD6B23" w:rsidP="00265939">
      <w:pPr>
        <w:ind w:firstLine="720"/>
        <w:rPr>
          <w:color w:val="0000FF"/>
        </w:rPr>
      </w:pPr>
      <w:r w:rsidRPr="00B747AF">
        <w:rPr>
          <w:rFonts w:cstheme="minorHAnsi"/>
          <w:bCs/>
          <w:color w:val="0000FF"/>
        </w:rPr>
        <w:t xml:space="preserve">This measure is calculated using Medicare FFS claims data; because submission and completion of claims is tied to provider reimbursement, missing data are rare. Our measure excludes </w:t>
      </w:r>
      <w:r>
        <w:rPr>
          <w:rFonts w:cstheme="minorHAnsi"/>
          <w:bCs/>
          <w:color w:val="0000FF"/>
        </w:rPr>
        <w:t>episodes</w:t>
      </w:r>
      <w:r w:rsidRPr="00B747AF">
        <w:rPr>
          <w:rFonts w:cstheme="minorHAnsi"/>
          <w:bCs/>
          <w:color w:val="0000FF"/>
        </w:rPr>
        <w:t xml:space="preserve"> that are missing key measure specification data, under the exclusion criterion of claims with data that are problematic</w:t>
      </w:r>
      <w:r w:rsidRPr="00D10415">
        <w:rPr>
          <w:rFonts w:cstheme="minorHAnsi"/>
          <w:bCs/>
          <w:color w:val="0000FF"/>
        </w:rPr>
        <w:t>. 0.</w:t>
      </w:r>
      <w:r w:rsidR="00D10415" w:rsidRPr="008C7D29">
        <w:rPr>
          <w:rFonts w:cstheme="minorHAnsi"/>
          <w:bCs/>
          <w:color w:val="0000FF"/>
        </w:rPr>
        <w:t>002</w:t>
      </w:r>
      <w:r w:rsidRPr="00D10415">
        <w:rPr>
          <w:rFonts w:cstheme="minorHAnsi"/>
          <w:bCs/>
          <w:color w:val="0000FF"/>
        </w:rPr>
        <w:t>% of</w:t>
      </w:r>
      <w:r w:rsidRPr="00B747AF">
        <w:rPr>
          <w:rFonts w:cstheme="minorHAnsi"/>
          <w:bCs/>
          <w:color w:val="0000FF"/>
        </w:rPr>
        <w:t xml:space="preserve"> </w:t>
      </w:r>
      <w:r>
        <w:rPr>
          <w:rFonts w:cstheme="minorHAnsi"/>
          <w:bCs/>
          <w:color w:val="0000FF"/>
        </w:rPr>
        <w:t>episodes</w:t>
      </w:r>
      <w:r w:rsidRPr="00B747AF">
        <w:rPr>
          <w:rFonts w:cstheme="minorHAnsi"/>
          <w:bCs/>
          <w:color w:val="0000FF"/>
        </w:rPr>
        <w:t xml:space="preserve"> were excluded from our measure due to problematic claims data (</w:t>
      </w:r>
      <w:r w:rsidRPr="00B747AF">
        <w:rPr>
          <w:rStyle w:val="Style1"/>
          <w:rFonts w:eastAsia="Trebuchet MS" w:cstheme="minorHAnsi"/>
        </w:rPr>
        <w:t>e.g., anomalous records for stays that overlap wholly or in part, or are otherwise erroneous or contradictory)</w:t>
      </w:r>
      <w:r w:rsidRPr="00B747AF">
        <w:rPr>
          <w:rFonts w:cstheme="minorHAnsi"/>
          <w:bCs/>
          <w:color w:val="0000FF"/>
        </w:rPr>
        <w:t>. Thus, missing data are rare and do not have an impact on the measure. Consequently, we do not perform any formal missing data analyses.</w:t>
      </w: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0943058E" w14:textId="77777777" w:rsidR="00941A96" w:rsidRDefault="009C7513" w:rsidP="00893355">
      <w:pPr>
        <w:pStyle w:val="Heading3"/>
      </w:pPr>
      <w:r>
        <w:t>2b6</w:t>
      </w:r>
      <w:r w:rsidR="008F7E67">
        <w:t xml:space="preserve">.2. </w:t>
      </w:r>
      <w:r w:rsidR="00145D4F" w:rsidRPr="00FC5DE1">
        <w:t>What is the overall frequency of missing data</w:t>
      </w:r>
      <w:r w:rsidR="005560E7">
        <w:t>,</w:t>
      </w:r>
      <w:r w:rsidR="00145D4F" w:rsidRPr="00FC5DE1">
        <w:t xml:space="preserve"> the distribution of missing data across providers</w:t>
      </w:r>
      <w:r w:rsidR="005560E7">
        <w:t>,</w:t>
      </w:r>
      <w:r w:rsidR="00145D4F" w:rsidRPr="00A25024">
        <w:t xml:space="preserve"> </w:t>
      </w:r>
      <w:r w:rsidR="00145D4F">
        <w:t>and the</w:t>
      </w:r>
      <w:r w:rsidR="008F7E67" w:rsidRPr="00A25024">
        <w:t xml:space="preserve"> results from testing </w:t>
      </w:r>
      <w:r w:rsidR="00771B2A">
        <w:t>related to missing data</w:t>
      </w:r>
      <w:r w:rsidR="008F7E67" w:rsidRPr="00A25024">
        <w:t xml:space="preserve">? </w:t>
      </w:r>
    </w:p>
    <w:p w14:paraId="0CABD01D" w14:textId="0308F245" w:rsidR="008F7E67" w:rsidRDefault="008F7E67" w:rsidP="008F7E67">
      <w:pPr>
        <w:autoSpaceDE w:val="0"/>
        <w:autoSpaceDN w:val="0"/>
        <w:adjustRightInd w:val="0"/>
        <w:spacing w:after="0" w:line="240" w:lineRule="auto"/>
        <w:rPr>
          <w:rFonts w:cstheme="minorHAnsi"/>
          <w:bCs/>
        </w:rPr>
      </w:pPr>
      <w:r w:rsidRPr="00A25024">
        <w:rPr>
          <w:rFonts w:cstheme="minorHAnsi"/>
          <w:bCs/>
        </w:rPr>
        <w:t>(</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r w:rsidRPr="00A25024">
        <w:rPr>
          <w:rFonts w:cstheme="minorHAnsi"/>
          <w:bCs/>
        </w:rPr>
        <w:br/>
      </w:r>
    </w:p>
    <w:p w14:paraId="4E65914A" w14:textId="4270784D" w:rsidR="00BD6B23" w:rsidRPr="00B747AF" w:rsidRDefault="007660CC" w:rsidP="00265939">
      <w:pPr>
        <w:ind w:firstLine="720"/>
        <w:rPr>
          <w:color w:val="0000FF"/>
        </w:rPr>
      </w:pPr>
      <w:r>
        <w:rPr>
          <w:rFonts w:cstheme="minorHAnsi"/>
          <w:bCs/>
          <w:color w:val="0000FF"/>
        </w:rPr>
        <w:t xml:space="preserve">As described in </w:t>
      </w:r>
      <w:r>
        <w:rPr>
          <w:rFonts w:cstheme="minorHAnsi"/>
          <w:b/>
          <w:bCs/>
          <w:color w:val="0000FF"/>
        </w:rPr>
        <w:t xml:space="preserve">section 2b6.1 </w:t>
      </w:r>
      <w:r>
        <w:rPr>
          <w:rFonts w:cstheme="minorHAnsi"/>
          <w:bCs/>
          <w:color w:val="0000FF"/>
        </w:rPr>
        <w:t xml:space="preserve">above, </w:t>
      </w:r>
      <w:r w:rsidR="00BD6B23" w:rsidRPr="00B747AF">
        <w:rPr>
          <w:rFonts w:cstheme="minorHAnsi"/>
          <w:bCs/>
          <w:color w:val="0000FF"/>
        </w:rPr>
        <w:t>missing data are rare and do not have an impact on the measure. Consequently, we do not perform any formal missing data analyses.</w:t>
      </w:r>
    </w:p>
    <w:p w14:paraId="0CABD01E" w14:textId="77777777" w:rsidR="008F7E67" w:rsidRPr="00E1508F" w:rsidRDefault="008F7E67" w:rsidP="008F7E67">
      <w:pPr>
        <w:autoSpaceDE w:val="0"/>
        <w:autoSpaceDN w:val="0"/>
        <w:adjustRightInd w:val="0"/>
        <w:spacing w:after="0" w:line="240" w:lineRule="auto"/>
        <w:rPr>
          <w:rFonts w:cstheme="minorHAnsi"/>
          <w:bCs/>
        </w:rPr>
      </w:pPr>
    </w:p>
    <w:p w14:paraId="2B15EE06" w14:textId="77777777" w:rsidR="00941A96" w:rsidRDefault="009C7513" w:rsidP="00893355">
      <w:pPr>
        <w:pStyle w:val="Heading3"/>
        <w:rPr>
          <w:rFonts w:ascii="Calibri" w:eastAsia="Calibri" w:hAnsi="Calibri" w:cs="Calibri"/>
        </w:rPr>
      </w:pPr>
      <w:r>
        <w:t>2b6</w:t>
      </w:r>
      <w:r w:rsidR="008F7E67">
        <w:t xml:space="preserve">.3. </w:t>
      </w:r>
      <w:r w:rsidR="008F7E67" w:rsidRPr="00A25024">
        <w:t>What is your interpretation of the results in terms of demonstrating</w:t>
      </w:r>
      <w:r w:rsidR="00771B2A">
        <w:t xml:space="preserve"> that </w:t>
      </w:r>
      <w:r w:rsidR="00771B2A" w:rsidRPr="00A831B4">
        <w:rPr>
          <w:rFonts w:ascii="Calibri" w:eastAsia="Calibri" w:hAnsi="Calibri" w:cs="Calibri"/>
        </w:rPr>
        <w:t>performance results are not biased</w:t>
      </w:r>
      <w:r w:rsidR="00771B2A" w:rsidRPr="006A028C">
        <w:rPr>
          <w:rFonts w:ascii="Calibri" w:eastAsia="Calibri" w:hAnsi="Calibri" w:cs="Calibri"/>
        </w:rPr>
        <w:t xml:space="preserve"> </w:t>
      </w:r>
    </w:p>
    <w:p w14:paraId="0CABD01F" w14:textId="45716AAB" w:rsidR="008B604D" w:rsidRDefault="00771B2A">
      <w:pPr>
        <w:autoSpaceDE w:val="0"/>
        <w:autoSpaceDN w:val="0"/>
        <w:adjustRightInd w:val="0"/>
        <w:spacing w:after="0" w:line="240" w:lineRule="auto"/>
        <w:rPr>
          <w:rFonts w:cstheme="minorHAnsi"/>
          <w:bCs/>
        </w:rPr>
      </w:pPr>
      <w:r w:rsidRPr="006A028C">
        <w:rPr>
          <w:rFonts w:ascii="Calibri" w:eastAsia="Calibri" w:hAnsi="Calibri" w:cs="Calibri"/>
        </w:rPr>
        <w:t>due to systematic missing data (or differences between responders and nonresponders)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0CABD020" w14:textId="404F3D74" w:rsidR="00BA053B" w:rsidRDefault="00BA053B">
      <w:pPr>
        <w:autoSpaceDE w:val="0"/>
        <w:autoSpaceDN w:val="0"/>
        <w:adjustRightInd w:val="0"/>
        <w:spacing w:after="0" w:line="240" w:lineRule="auto"/>
        <w:rPr>
          <w:rFonts w:cstheme="minorHAnsi"/>
          <w:bCs/>
        </w:rPr>
      </w:pPr>
    </w:p>
    <w:p w14:paraId="3AF56248" w14:textId="6399533D" w:rsidR="00BD6B23" w:rsidRPr="00932E8F" w:rsidRDefault="00BD6B23">
      <w:pPr>
        <w:autoSpaceDE w:val="0"/>
        <w:autoSpaceDN w:val="0"/>
        <w:adjustRightInd w:val="0"/>
        <w:spacing w:after="0" w:line="240" w:lineRule="auto"/>
        <w:rPr>
          <w:rFonts w:cstheme="minorHAnsi"/>
          <w:bCs/>
          <w:color w:val="0000FF"/>
        </w:rPr>
      </w:pPr>
      <w:r>
        <w:rPr>
          <w:rFonts w:cstheme="minorHAnsi"/>
          <w:bCs/>
          <w:color w:val="0000FF"/>
        </w:rPr>
        <w:t>Not applicable</w:t>
      </w:r>
    </w:p>
    <w:sectPr w:rsidR="00BD6B23" w:rsidRPr="00932E8F" w:rsidSect="008505D1">
      <w:headerReference w:type="default" r:id="rId24"/>
      <w:foot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B4E217" w14:textId="77777777" w:rsidR="00B17B9B" w:rsidRDefault="00B17B9B" w:rsidP="005C73CA">
      <w:pPr>
        <w:spacing w:after="0" w:line="240" w:lineRule="auto"/>
      </w:pPr>
      <w:r>
        <w:separator/>
      </w:r>
    </w:p>
  </w:endnote>
  <w:endnote w:type="continuationSeparator" w:id="0">
    <w:p w14:paraId="2CCFF126" w14:textId="77777777" w:rsidR="00B17B9B" w:rsidRDefault="00B17B9B"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BD026" w14:textId="190954C5" w:rsidR="00B17B9B" w:rsidRDefault="00B17B9B">
    <w:pPr>
      <w:pStyle w:val="Footer"/>
    </w:pPr>
    <w:r>
      <w:t>Version 7.1 9/6/2017</w:t>
    </w:r>
    <w:r>
      <w:ptab w:relativeTo="margin" w:alignment="right" w:leader="none"/>
    </w:r>
    <w:r>
      <w:fldChar w:fldCharType="begin"/>
    </w:r>
    <w:r>
      <w:instrText xml:space="preserve"> PAGE   \* MERGEFORMAT </w:instrText>
    </w:r>
    <w:r>
      <w:fldChar w:fldCharType="separate"/>
    </w:r>
    <w:r w:rsidR="00186AE1">
      <w:rPr>
        <w:noProof/>
      </w:rPr>
      <w:t>27</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E6C3A2" w14:textId="77777777" w:rsidR="00B17B9B" w:rsidRDefault="00B17B9B" w:rsidP="005C73CA">
      <w:pPr>
        <w:spacing w:after="0" w:line="240" w:lineRule="auto"/>
      </w:pPr>
      <w:r>
        <w:separator/>
      </w:r>
    </w:p>
  </w:footnote>
  <w:footnote w:type="continuationSeparator" w:id="0">
    <w:p w14:paraId="6EE45F88" w14:textId="77777777" w:rsidR="00B17B9B" w:rsidRDefault="00B17B9B" w:rsidP="005C73CA">
      <w:pPr>
        <w:spacing w:after="0" w:line="240" w:lineRule="auto"/>
      </w:pPr>
      <w:r>
        <w:continuationSeparator/>
      </w:r>
    </w:p>
  </w:footnote>
  <w:footnote w:id="1">
    <w:p w14:paraId="29D99860" w14:textId="63D1D4D1" w:rsidR="00B17B9B" w:rsidRDefault="00B17B9B" w:rsidP="00FA2920">
      <w:pPr>
        <w:pStyle w:val="FootnoteText"/>
      </w:pPr>
      <w:r>
        <w:rPr>
          <w:rStyle w:val="FootnoteReference"/>
        </w:rPr>
        <w:footnoteRef/>
      </w:r>
      <w:r>
        <w:t xml:space="preserve"> </w:t>
      </w:r>
      <w:r w:rsidRPr="00B11BFD">
        <w:t>Adams J, Mehrota A, Thoman J, McGlynn E. (2010). Physician cost profiling – reliability and risk of misclassification. NEJM, 362(11): 1014-1021.</w:t>
      </w:r>
    </w:p>
  </w:footnote>
  <w:footnote w:id="2">
    <w:p w14:paraId="110BC623" w14:textId="77777777" w:rsidR="00B17B9B" w:rsidRDefault="00B17B9B" w:rsidP="00FA2920">
      <w:pPr>
        <w:pStyle w:val="FootnoteText"/>
      </w:pPr>
      <w:r>
        <w:rPr>
          <w:rStyle w:val="FootnoteReference"/>
        </w:rPr>
        <w:footnoteRef/>
      </w:r>
      <w:r>
        <w:t xml:space="preserve"> </w:t>
      </w:r>
      <w:r w:rsidRPr="00A727EA">
        <w:t xml:space="preserve">Shrout, Patrick E., and Joseph L. Fleiss. "Intraclass correlations: uses in assessing rater reliability." </w:t>
      </w:r>
      <w:r w:rsidRPr="00A727EA">
        <w:rPr>
          <w:i/>
          <w:iCs/>
        </w:rPr>
        <w:t>Psychological bulletin</w:t>
      </w:r>
      <w:r w:rsidRPr="00A727EA">
        <w:t xml:space="preserve"> 86, no. 2 (1979): 420.</w:t>
      </w:r>
    </w:p>
  </w:footnote>
  <w:footnote w:id="3">
    <w:p w14:paraId="7D864F99" w14:textId="1BC9C74D" w:rsidR="00B17B9B" w:rsidRDefault="00B17B9B" w:rsidP="00FA2920">
      <w:pPr>
        <w:pStyle w:val="FootnoteText"/>
      </w:pPr>
      <w:r>
        <w:rPr>
          <w:rStyle w:val="FootnoteReference"/>
        </w:rPr>
        <w:footnoteRef/>
      </w:r>
      <w:r>
        <w:t xml:space="preserve"> Thresholds for sufficient measure reliability (including the ICC and other reliability methods) vary across sources  (see, for example, Portney and Watkins, 2000, for a discussion). Nunnally (1978) is often cited to justify a threshold of 0.7 for “sufficient” reliability. Other authors provide other thresholds. For example, Landis and Koch (1977) classify Kappa statistics in the 0.41-0.60 range as “moderate,” 0.61-0.80 range as “substantial,” and 0.81-1.00 range as “almost perfect.” Koo and Li (2016), on the other hand, classify ICC values in the 0.5-0.75 range as “moderate,” 0.75-0.9 range as “good,” and above 0.9 as “excellent.” The Department of Education provides the following thresholds: </w:t>
      </w:r>
      <w:r w:rsidRPr="00B947E7">
        <w:t>“</w:t>
      </w:r>
      <w:r w:rsidRPr="00FE5DE4">
        <w:rPr>
          <w:i/>
        </w:rPr>
        <w:t>Reliability of an outcome measure may be established by meeting the following minimum standards: (a) internal consistency (such as Cronbach’s alpha) of 0.50 or higher; (b) temporal stability/test-retest reliability of 0.40 or higher; or (c) inter-rater reliability (such as percentage agreement, correlation, or kappa) of 0.50 or higher.</w:t>
      </w:r>
      <w:r w:rsidRPr="00B947E7">
        <w:t>” (What Works Clearinghouse (WWC) Standards Handbook v4, p.78)</w:t>
      </w:r>
      <w:r>
        <w:t xml:space="preserve"> </w:t>
      </w:r>
    </w:p>
    <w:p w14:paraId="24A89732" w14:textId="77777777" w:rsidR="00B17B9B" w:rsidRDefault="00B17B9B" w:rsidP="00FA2920">
      <w:pPr>
        <w:pStyle w:val="FootnoteText"/>
      </w:pPr>
    </w:p>
    <w:p w14:paraId="72BD2151" w14:textId="77777777" w:rsidR="00B17B9B" w:rsidRDefault="00B17B9B" w:rsidP="00FA2920">
      <w:pPr>
        <w:pStyle w:val="FootnoteText"/>
      </w:pPr>
      <w:r w:rsidRPr="00F2067A">
        <w:t xml:space="preserve">Koo, T. K., &amp; Li, M. Y. (2016). A guideline of selecting and reporting intraclass correlation coefficients for reliability research. </w:t>
      </w:r>
      <w:r w:rsidRPr="00F2067A">
        <w:rPr>
          <w:i/>
          <w:iCs/>
        </w:rPr>
        <w:t>Journal of chiropractic medicine</w:t>
      </w:r>
      <w:r w:rsidRPr="00F2067A">
        <w:t xml:space="preserve">, </w:t>
      </w:r>
      <w:r w:rsidRPr="00F2067A">
        <w:rPr>
          <w:i/>
          <w:iCs/>
        </w:rPr>
        <w:t>15</w:t>
      </w:r>
      <w:r w:rsidRPr="00F2067A">
        <w:t>(2), 155-163</w:t>
      </w:r>
      <w:r>
        <w:t>.</w:t>
      </w:r>
    </w:p>
    <w:p w14:paraId="5CB41D8E" w14:textId="77777777" w:rsidR="00B17B9B" w:rsidRDefault="00B17B9B" w:rsidP="00FA2920">
      <w:pPr>
        <w:pStyle w:val="FootnoteText"/>
      </w:pPr>
      <w:r w:rsidRPr="00A031E5">
        <w:t>Landis J, Koch G. The measurement of observer agreement for categorical data. Biometrics. 1977; 33:159-174.</w:t>
      </w:r>
    </w:p>
    <w:p w14:paraId="04DEB79E" w14:textId="77777777" w:rsidR="00B17B9B" w:rsidRDefault="00B17B9B" w:rsidP="00FA2920">
      <w:pPr>
        <w:pStyle w:val="FootnoteText"/>
      </w:pPr>
      <w:r w:rsidRPr="00957B2F">
        <w:t>Nunnally, J. C. (1978). Psychometric theory. New York, NY: McGraw-Hill.</w:t>
      </w:r>
    </w:p>
    <w:p w14:paraId="6F36D281" w14:textId="77777777" w:rsidR="00B17B9B" w:rsidRDefault="00B17B9B" w:rsidP="00FA2920">
      <w:pPr>
        <w:pStyle w:val="FootnoteText"/>
      </w:pPr>
      <w:r>
        <w:t xml:space="preserve">U.S. Department of Education (2018), </w:t>
      </w:r>
      <w:r w:rsidRPr="00B947E7">
        <w:t>What Works Clearinghouse (WWC) Standards Handbook</w:t>
      </w:r>
      <w:r>
        <w:t xml:space="preserve"> version 4.0.</w:t>
      </w:r>
    </w:p>
  </w:footnote>
  <w:footnote w:id="4">
    <w:p w14:paraId="550D2022" w14:textId="77777777" w:rsidR="00B17B9B" w:rsidRDefault="00B17B9B" w:rsidP="00FA2920">
      <w:pPr>
        <w:pStyle w:val="FootnoteText"/>
      </w:pPr>
      <w:r>
        <w:rPr>
          <w:rStyle w:val="FootnoteReference"/>
        </w:rPr>
        <w:footnoteRef/>
      </w:r>
      <w:r>
        <w:t xml:space="preserve"> Thompson, M. P., Kaplan, C. M., Cao, Y., Bazzoli, G. J., &amp; Waters, T. M. (2016). Reliability of 30‐Day Readmission Measures Used in the Hospital Readmission Reduction Program. </w:t>
      </w:r>
      <w:r>
        <w:rPr>
          <w:i/>
          <w:iCs/>
        </w:rPr>
        <w:t>Health services research</w:t>
      </w:r>
      <w:r>
        <w:t xml:space="preserve">, </w:t>
      </w:r>
      <w:r>
        <w:rPr>
          <w:i/>
          <w:iCs/>
        </w:rPr>
        <w:t>51</w:t>
      </w:r>
      <w:r>
        <w:t>(6), 2095-2114.</w:t>
      </w:r>
    </w:p>
  </w:footnote>
  <w:footnote w:id="5">
    <w:p w14:paraId="6B5DA7EA" w14:textId="06193153" w:rsidR="00B17B9B" w:rsidRDefault="00B17B9B" w:rsidP="00FA2920">
      <w:pPr>
        <w:pStyle w:val="FootnoteText"/>
      </w:pPr>
      <w:r>
        <w:rPr>
          <w:rStyle w:val="FootnoteReference"/>
        </w:rPr>
        <w:footnoteRef/>
      </w:r>
      <w:r>
        <w:t xml:space="preserve"> </w:t>
      </w:r>
      <w:r w:rsidRPr="009648C7">
        <w:t>Medicare Program; Inpatient Rehabilitation Facility Prospective Payment System for Federal Fiscal Year 2017 Federal Register, Vol. 81, No. 151. https://www.gpo.gov/fdsys/pkg/FR-2016-08-05/pdf/2016-18196.pdf</w:t>
      </w:r>
    </w:p>
  </w:footnote>
  <w:footnote w:id="6">
    <w:p w14:paraId="2705DEEF" w14:textId="4657B3B2" w:rsidR="00B17B9B" w:rsidRDefault="00B17B9B">
      <w:pPr>
        <w:pStyle w:val="FootnoteText"/>
      </w:pPr>
      <w:r>
        <w:rPr>
          <w:rStyle w:val="FootnoteReference"/>
        </w:rPr>
        <w:footnoteRef/>
      </w:r>
      <w:r>
        <w:t xml:space="preserve"> </w:t>
      </w:r>
      <w:r w:rsidRPr="00B413AB">
        <w:t>Medicare Program; Inpatient Rehabilitation Facility Prospective Payment System for Federal Fiscal Year 2018</w:t>
      </w:r>
      <w:r>
        <w:t xml:space="preserve">. Federal Register, Vol. 82, No. 148. </w:t>
      </w:r>
      <w:r w:rsidRPr="00B413AB">
        <w:t>https://www.govinfo.gov/content/pkg/FR-2017-08-03/pdf/2017-16291.pdf</w:t>
      </w:r>
    </w:p>
  </w:footnote>
  <w:footnote w:id="7">
    <w:p w14:paraId="2E9C398F" w14:textId="17EEA4BC" w:rsidR="00B17B9B" w:rsidRDefault="00B17B9B">
      <w:pPr>
        <w:pStyle w:val="FootnoteText"/>
      </w:pPr>
      <w:r>
        <w:rPr>
          <w:rStyle w:val="FootnoteReference"/>
        </w:rPr>
        <w:footnoteRef/>
      </w:r>
      <w:r>
        <w:t xml:space="preserve"> </w:t>
      </w:r>
      <w:r w:rsidRPr="00EA2BF3">
        <w:t>https://www.cms.gov/Medicare/Quality-Initiatives-Patient-Assessment-Instruments/IRF-Quality-Reporting/IRF-Quality-Reporting-Program-Measures-Information-</w:t>
      </w:r>
    </w:p>
  </w:footnote>
  <w:footnote w:id="8">
    <w:p w14:paraId="67FCD0E9" w14:textId="14DD0E32" w:rsidR="00B17B9B" w:rsidRPr="00AA2A85" w:rsidRDefault="00B17B9B">
      <w:pPr>
        <w:pStyle w:val="FootnoteText"/>
      </w:pPr>
      <w:r>
        <w:rPr>
          <w:rStyle w:val="FootnoteReference"/>
        </w:rPr>
        <w:footnoteRef/>
      </w:r>
      <w:r>
        <w:t xml:space="preserve"> Pearson correlation p-value=0.220, Spearman correlation p-value=0.503.</w:t>
      </w:r>
    </w:p>
  </w:footnote>
  <w:footnote w:id="9">
    <w:p w14:paraId="6A528922" w14:textId="77777777" w:rsidR="00B17B9B" w:rsidRPr="004C4ACD" w:rsidRDefault="00B17B9B">
      <w:pPr>
        <w:pStyle w:val="FootnoteText"/>
      </w:pPr>
      <w:r w:rsidRPr="004C4ACD">
        <w:rPr>
          <w:rStyle w:val="FootnoteReference"/>
        </w:rPr>
        <w:footnoteRef/>
      </w:r>
      <w:r w:rsidRPr="004C4ACD">
        <w:t xml:space="preserve"> QualityNet, "Measure Methodology Reports: Medicare Spending Per Beneficiary (MSPB) Measure," (2015). http://www.qualitynet.org/dcs/ContentServer?c=Page&amp;pagename=QnetPublic%2FPage%2FQnetTier4&amp;cid=1228772057350</w:t>
      </w:r>
    </w:p>
  </w:footnote>
  <w:footnote w:id="10">
    <w:p w14:paraId="7B63CA4B" w14:textId="77777777" w:rsidR="00B17B9B" w:rsidRPr="004C4ACD" w:rsidRDefault="00B17B9B">
      <w:pPr>
        <w:pStyle w:val="FootnoteText"/>
      </w:pPr>
      <w:r w:rsidRPr="004C4ACD">
        <w:rPr>
          <w:rStyle w:val="FootnoteReference"/>
        </w:rPr>
        <w:footnoteRef/>
      </w:r>
      <w:r w:rsidRPr="004C4ACD">
        <w:t xml:space="preserve"> CMS, “Medicare Risk Adjustment Information” (2016) https://www.cms.gov/Medicare/Health-Plans/MedicareAdvtgSpecRateStats/Risk-Adjustors.html</w:t>
      </w:r>
    </w:p>
  </w:footnote>
  <w:footnote w:id="11">
    <w:p w14:paraId="16957BEF" w14:textId="73D72E63" w:rsidR="00B17B9B" w:rsidRDefault="00B17B9B">
      <w:pPr>
        <w:pStyle w:val="FootnoteText"/>
      </w:pPr>
      <w:r>
        <w:rPr>
          <w:rStyle w:val="FootnoteReference"/>
        </w:rPr>
        <w:footnoteRef/>
      </w:r>
      <w:r>
        <w:t xml:space="preserve"> </w:t>
      </w:r>
      <w:r w:rsidRPr="006F3559">
        <w:t>https://www.cms.gov/Medicare/Quality-Initiatives-Patient-Assessment-Instruments/NursingHomeQualityInits/Downloads/2016_07_20_mspb_pac_ltch_irf_snf_measure_specs.pdf</w:t>
      </w:r>
    </w:p>
  </w:footnote>
  <w:footnote w:id="12">
    <w:p w14:paraId="36D08654" w14:textId="77777777" w:rsidR="00B17B9B" w:rsidRPr="004C4ACD" w:rsidRDefault="00B17B9B">
      <w:pPr>
        <w:pStyle w:val="FootnoteText"/>
      </w:pPr>
      <w:r w:rsidRPr="004C4ACD">
        <w:rPr>
          <w:rStyle w:val="FootnoteReference"/>
        </w:rPr>
        <w:footnoteRef/>
      </w:r>
      <w:r w:rsidRPr="004C4ACD">
        <w:t xml:space="preserve"> Identifies beneficiaries who have been institutionalized for at least 90 days in a given year. The indicator is based on 90-day assessments from the Minimum Data Set (MDS) and is calculated based on CMS’ definition of institutionalized individuals.</w:t>
      </w:r>
    </w:p>
  </w:footnote>
  <w:footnote w:id="13">
    <w:p w14:paraId="78BE186F" w14:textId="7F764756" w:rsidR="00B17B9B" w:rsidRDefault="00B17B9B">
      <w:pPr>
        <w:pStyle w:val="FootnoteText"/>
      </w:pPr>
      <w:r w:rsidRPr="004C4ACD">
        <w:rPr>
          <w:rStyle w:val="FootnoteReference"/>
        </w:rPr>
        <w:footnoteRef/>
      </w:r>
      <w:r w:rsidRPr="004C4ACD">
        <w:t xml:space="preserve"> There are 7 case mix categories</w:t>
      </w:r>
      <w:r>
        <w:t>,</w:t>
      </w:r>
      <w:r w:rsidRPr="004C4ACD">
        <w:t xml:space="preserve"> as described </w:t>
      </w:r>
      <w:r>
        <w:t>below</w:t>
      </w:r>
      <w:r w:rsidRPr="004C4ACD">
        <w:t>, but one category is removed to prevent collinearity.</w:t>
      </w:r>
    </w:p>
  </w:footnote>
  <w:footnote w:id="14">
    <w:p w14:paraId="70018F1B" w14:textId="77777777" w:rsidR="00B17B9B" w:rsidRPr="009E7A71" w:rsidRDefault="00B17B9B">
      <w:pPr>
        <w:pStyle w:val="FootnoteText"/>
      </w:pPr>
      <w:r w:rsidRPr="009E7A71">
        <w:rPr>
          <w:rStyle w:val="FootnoteReference"/>
          <w:rFonts w:asciiTheme="minorHAnsi" w:hAnsiTheme="minorHAnsi"/>
        </w:rPr>
        <w:footnoteRef/>
      </w:r>
      <w:r w:rsidRPr="009E7A71">
        <w:t xml:space="preserve"> Pope, Gregory C., John Kautter, Melvin J. Ingber, Sara Freeman, Rishi Sekar, and Cordon Newhart. “Evaluation of the CMS-HCC Risk-Adjustment Model: Final Report.” RTI International: March 2011.</w:t>
      </w:r>
    </w:p>
  </w:footnote>
  <w:footnote w:id="15">
    <w:p w14:paraId="06DBE83D" w14:textId="77777777" w:rsidR="00B17B9B" w:rsidRPr="009E7A71" w:rsidRDefault="00B17B9B">
      <w:pPr>
        <w:pStyle w:val="FootnoteText"/>
      </w:pPr>
      <w:r w:rsidRPr="009E7A71">
        <w:rPr>
          <w:rStyle w:val="FootnoteReference"/>
          <w:rFonts w:asciiTheme="minorHAnsi" w:hAnsiTheme="minorHAnsi"/>
        </w:rPr>
        <w:footnoteRef/>
      </w:r>
      <w:r w:rsidRPr="009E7A71">
        <w:t xml:space="preserve"> Kaiser Family Foundation. “Medicare Chartbook” Fourth Edition, 2010. http://www.kff.org/medicare/upload/8103.pdf  </w:t>
      </w:r>
    </w:p>
  </w:footnote>
  <w:footnote w:id="16">
    <w:p w14:paraId="3D690F27" w14:textId="2AD9393A" w:rsidR="00B17B9B" w:rsidRPr="009E7A71" w:rsidRDefault="00B17B9B">
      <w:pPr>
        <w:pStyle w:val="FootnoteText"/>
      </w:pPr>
      <w:r w:rsidRPr="009E7A71">
        <w:rPr>
          <w:rStyle w:val="FootnoteReference"/>
          <w:rFonts w:asciiTheme="minorHAnsi" w:hAnsiTheme="minorHAnsi"/>
        </w:rPr>
        <w:footnoteRef/>
      </w:r>
      <w:r w:rsidRPr="009E7A71">
        <w:t xml:space="preserve"> </w:t>
      </w:r>
      <w:r w:rsidRPr="00DF483A">
        <w:t xml:space="preserve">Freburger, Janet K., George M. Holmes, Li‐Jung E. Ku, Malcolm P. Cutchin, Kendra Heatwole‐Shank, and Lloyd J. Edwards. "Disparities in post–acute rehabilitation care for joint replacement." </w:t>
      </w:r>
      <w:r w:rsidRPr="00DF483A">
        <w:rPr>
          <w:i/>
          <w:iCs/>
        </w:rPr>
        <w:t>Arthritis care &amp; research</w:t>
      </w:r>
      <w:r w:rsidRPr="00DF483A">
        <w:t xml:space="preserve"> 63, no. 7 (2011): 1020-1030.</w:t>
      </w:r>
      <w:r w:rsidRPr="00DF483A" w:rsidDel="00DF483A">
        <w:t xml:space="preserve"> </w:t>
      </w:r>
    </w:p>
  </w:footnote>
  <w:footnote w:id="17">
    <w:p w14:paraId="02771E58" w14:textId="77777777" w:rsidR="00B17B9B" w:rsidRPr="009E7A71" w:rsidRDefault="00B17B9B">
      <w:pPr>
        <w:pStyle w:val="FootnoteText"/>
      </w:pPr>
      <w:r w:rsidRPr="009E7A71">
        <w:rPr>
          <w:rStyle w:val="FootnoteReference"/>
          <w:rFonts w:asciiTheme="minorHAnsi" w:hAnsiTheme="minorHAnsi"/>
        </w:rPr>
        <w:footnoteRef/>
      </w:r>
      <w:r w:rsidRPr="009E7A71">
        <w:t xml:space="preserve"> National Quality Forum. “Risk Adjustment for Socioeconomic Status or Other Sociodemographic Factors: Technical Report.” National Quality Forum: August 2014.</w:t>
      </w:r>
    </w:p>
  </w:footnote>
  <w:footnote w:id="18">
    <w:p w14:paraId="2ED3BAE9" w14:textId="77777777" w:rsidR="00B17B9B" w:rsidRPr="00721108" w:rsidRDefault="00B17B9B">
      <w:pPr>
        <w:pStyle w:val="FootnoteText"/>
        <w:rPr>
          <w:rFonts w:asciiTheme="minorHAnsi" w:hAnsiTheme="minorHAnsi" w:cstheme="minorHAnsi"/>
          <w:sz w:val="22"/>
        </w:rPr>
      </w:pPr>
      <w:r w:rsidRPr="00721108">
        <w:rPr>
          <w:rStyle w:val="FootnoteReference"/>
          <w:rFonts w:asciiTheme="minorHAnsi" w:hAnsiTheme="minorHAnsi" w:cstheme="minorHAnsi"/>
          <w:sz w:val="18"/>
        </w:rPr>
        <w:footnoteRef/>
      </w:r>
      <w:r w:rsidRPr="00721108">
        <w:rPr>
          <w:rFonts w:asciiTheme="minorHAnsi" w:hAnsiTheme="minorHAnsi" w:cstheme="minorHAnsi"/>
          <w:sz w:val="18"/>
        </w:rPr>
        <w:t xml:space="preserve"> </w:t>
      </w:r>
      <w:hyperlink r:id="rId1" w:history="1">
        <w:r w:rsidRPr="00721108">
          <w:rPr>
            <w:rStyle w:val="Hyperlink"/>
            <w:rFonts w:asciiTheme="minorHAnsi" w:hAnsiTheme="minorHAnsi" w:cstheme="minorHAnsi"/>
            <w:sz w:val="18"/>
          </w:rPr>
          <w:t>https://www.huduser.gov/portal/datasets/usps_crosswalk.html</w:t>
        </w:r>
      </w:hyperlink>
      <w:r w:rsidRPr="00721108">
        <w:rPr>
          <w:rFonts w:asciiTheme="minorHAnsi" w:hAnsiTheme="minorHAnsi" w:cstheme="minorHAnsi"/>
          <w:sz w:val="18"/>
        </w:rPr>
        <w:t xml:space="preserve"> </w:t>
      </w:r>
    </w:p>
  </w:footnote>
  <w:footnote w:id="19">
    <w:p w14:paraId="0BB6452E" w14:textId="77777777" w:rsidR="00B17B9B" w:rsidRPr="00721108" w:rsidRDefault="00B17B9B">
      <w:pPr>
        <w:pStyle w:val="FootnoteText"/>
        <w:rPr>
          <w:rFonts w:asciiTheme="minorHAnsi" w:hAnsiTheme="minorHAnsi" w:cstheme="minorHAnsi"/>
          <w:sz w:val="22"/>
        </w:rPr>
      </w:pPr>
      <w:r w:rsidRPr="00721108">
        <w:rPr>
          <w:rStyle w:val="FootnoteReference"/>
          <w:rFonts w:asciiTheme="minorHAnsi" w:hAnsiTheme="minorHAnsi" w:cstheme="minorHAnsi"/>
          <w:sz w:val="18"/>
        </w:rPr>
        <w:footnoteRef/>
      </w:r>
      <w:hyperlink r:id="rId2" w:history="1">
        <w:r w:rsidRPr="00BA2F48">
          <w:rPr>
            <w:rStyle w:val="Hyperlink"/>
            <w:rFonts w:asciiTheme="minorHAnsi" w:hAnsiTheme="minorHAnsi" w:cstheme="minorHAnsi"/>
            <w:sz w:val="18"/>
          </w:rPr>
          <w:t>https://www.ers.usda.gov/data-products/rural-urban-continuum-codes/</w:t>
        </w:r>
      </w:hyperlink>
      <w:r>
        <w:rPr>
          <w:rFonts w:asciiTheme="minorHAnsi" w:hAnsiTheme="minorHAnsi" w:cstheme="minorHAnsi"/>
          <w:sz w:val="18"/>
        </w:rPr>
        <w:t xml:space="preserve">  </w:t>
      </w:r>
      <w:r w:rsidRPr="00721108">
        <w:rPr>
          <w:rFonts w:asciiTheme="minorHAnsi" w:hAnsiTheme="minorHAnsi" w:cstheme="minorHAnsi"/>
          <w:sz w:val="18"/>
        </w:rPr>
        <w:t xml:space="preserve">  </w:t>
      </w:r>
    </w:p>
  </w:footnote>
  <w:footnote w:id="20">
    <w:p w14:paraId="6A88B998" w14:textId="77777777" w:rsidR="00B17B9B" w:rsidRPr="00423371" w:rsidRDefault="00B17B9B">
      <w:pPr>
        <w:pStyle w:val="FootnoteText"/>
      </w:pPr>
      <w:r w:rsidRPr="00721108">
        <w:rPr>
          <w:rStyle w:val="FootnoteReference"/>
          <w:rFonts w:asciiTheme="minorHAnsi" w:hAnsiTheme="minorHAnsi" w:cstheme="minorHAnsi"/>
          <w:sz w:val="18"/>
        </w:rPr>
        <w:footnoteRef/>
      </w:r>
      <w:r w:rsidRPr="00721108">
        <w:t xml:space="preserve"> </w:t>
      </w:r>
      <w:r w:rsidRPr="00481253">
        <w:t xml:space="preserve">Bonito, A. J., Bann, C., Eicheldinger, C., &amp; Carpenter, L. (2008). Creation of new race-ethnicity codes and socioeconomic status (SES) indicators for Medicare beneficiaries. </w:t>
      </w:r>
      <w:r w:rsidRPr="00481253">
        <w:rPr>
          <w:i/>
          <w:iCs/>
        </w:rPr>
        <w:t>AHRQ Publication</w:t>
      </w:r>
      <w:r w:rsidRPr="00481253">
        <w:t>, (08-0029).</w:t>
      </w:r>
      <w:r w:rsidRPr="00721108">
        <w:t xml:space="preserve"> Available at: </w:t>
      </w:r>
      <w:hyperlink r:id="rId3" w:history="1">
        <w:r w:rsidRPr="00721108">
          <w:rPr>
            <w:rStyle w:val="Hyperlink"/>
            <w:rFonts w:asciiTheme="minorHAnsi" w:hAnsiTheme="minorHAnsi" w:cstheme="minorHAnsi"/>
            <w:sz w:val="18"/>
          </w:rPr>
          <w:t>https://archive.ahrq.gov/research/findings/final-reports/medicareindicators/medicareindicators.pdf</w:t>
        </w:r>
      </w:hyperlink>
    </w:p>
  </w:footnote>
  <w:footnote w:id="21">
    <w:p w14:paraId="156FB80F" w14:textId="2F441DC4" w:rsidR="00B17B9B" w:rsidRDefault="00B17B9B">
      <w:pPr>
        <w:pStyle w:val="FootnoteText"/>
      </w:pPr>
      <w:r>
        <w:rPr>
          <w:rStyle w:val="FootnoteReference"/>
        </w:rPr>
        <w:footnoteRef/>
      </w:r>
      <w:r>
        <w:t xml:space="preserve"> Some coefficients do not have the same sign as the absolute difference in spending between the reference group and the controlled group. For example, while spending is higher among patients who are Hispanic than among those who are categorized as White, the coefficient on the Hispanic indicator variable is negative. This is due to collinearity between the social risk factors and the clinical factors already included in the model.</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BD025" w14:textId="77777777" w:rsidR="00B17B9B" w:rsidRPr="00105D8B" w:rsidRDefault="00B17B9B"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9302C3"/>
    <w:multiLevelType w:val="multilevel"/>
    <w:tmpl w:val="2284A642"/>
    <w:lvl w:ilvl="0">
      <w:start w:val="1"/>
      <w:numFmt w:val="decimal"/>
      <w:lvlText w:val="%1."/>
      <w:lvlJc w:val="left"/>
      <w:pPr>
        <w:ind w:left="390" w:hanging="390"/>
      </w:pPr>
      <w:rPr>
        <w:rFonts w:hint="default"/>
        <w:b/>
      </w:rPr>
    </w:lvl>
    <w:lvl w:ilvl="1">
      <w:start w:val="1"/>
      <w:numFmt w:val="decimal"/>
      <w:pStyle w:val="Heading2"/>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025730"/>
    <w:multiLevelType w:val="hybridMultilevel"/>
    <w:tmpl w:val="3DB81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78119DF"/>
    <w:multiLevelType w:val="hybridMultilevel"/>
    <w:tmpl w:val="8BA81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C0328E"/>
    <w:multiLevelType w:val="hybridMultilevel"/>
    <w:tmpl w:val="6A6C52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242F5A"/>
    <w:multiLevelType w:val="hybridMultilevel"/>
    <w:tmpl w:val="7DCC5D12"/>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D9050FF"/>
    <w:multiLevelType w:val="hybridMultilevel"/>
    <w:tmpl w:val="16F4ED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19340AC"/>
    <w:multiLevelType w:val="hybridMultilevel"/>
    <w:tmpl w:val="9142323A"/>
    <w:lvl w:ilvl="0" w:tplc="BB227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D73D4A"/>
    <w:multiLevelType w:val="hybridMultilevel"/>
    <w:tmpl w:val="0ABE6ECE"/>
    <w:lvl w:ilvl="0" w:tplc="A836D424">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72A49AF"/>
    <w:multiLevelType w:val="hybridMultilevel"/>
    <w:tmpl w:val="19146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EEB44B5"/>
    <w:multiLevelType w:val="hybridMultilevel"/>
    <w:tmpl w:val="47120E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1944205"/>
    <w:multiLevelType w:val="hybridMultilevel"/>
    <w:tmpl w:val="B94665F0"/>
    <w:lvl w:ilvl="0" w:tplc="FF2CFCCC">
      <w:start w:val="1"/>
      <w:numFmt w:val="decimal"/>
      <w:lvlText w:val="%1."/>
      <w:lvlJc w:val="left"/>
      <w:pPr>
        <w:ind w:left="720" w:hanging="360"/>
      </w:pPr>
      <w:rPr>
        <w:color w:val="0000FF"/>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8"/>
  </w:num>
  <w:num w:numId="3">
    <w:abstractNumId w:val="6"/>
  </w:num>
  <w:num w:numId="4">
    <w:abstractNumId w:val="9"/>
  </w:num>
  <w:num w:numId="5">
    <w:abstractNumId w:val="4"/>
  </w:num>
  <w:num w:numId="6">
    <w:abstractNumId w:val="2"/>
  </w:num>
  <w:num w:numId="7">
    <w:abstractNumId w:val="7"/>
  </w:num>
  <w:num w:numId="8">
    <w:abstractNumId w:val="29"/>
  </w:num>
  <w:num w:numId="9">
    <w:abstractNumId w:val="17"/>
  </w:num>
  <w:num w:numId="10">
    <w:abstractNumId w:val="37"/>
  </w:num>
  <w:num w:numId="11">
    <w:abstractNumId w:val="19"/>
  </w:num>
  <w:num w:numId="12">
    <w:abstractNumId w:val="34"/>
  </w:num>
  <w:num w:numId="13">
    <w:abstractNumId w:val="26"/>
  </w:num>
  <w:num w:numId="14">
    <w:abstractNumId w:val="26"/>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5"/>
  </w:num>
  <w:num w:numId="16">
    <w:abstractNumId w:val="14"/>
  </w:num>
  <w:num w:numId="17">
    <w:abstractNumId w:val="35"/>
  </w:num>
  <w:num w:numId="18">
    <w:abstractNumId w:val="32"/>
  </w:num>
  <w:num w:numId="19">
    <w:abstractNumId w:val="31"/>
  </w:num>
  <w:num w:numId="20">
    <w:abstractNumId w:val="23"/>
  </w:num>
  <w:num w:numId="21">
    <w:abstractNumId w:val="27"/>
  </w:num>
  <w:num w:numId="22">
    <w:abstractNumId w:val="22"/>
  </w:num>
  <w:num w:numId="23">
    <w:abstractNumId w:val="12"/>
  </w:num>
  <w:num w:numId="24">
    <w:abstractNumId w:val="21"/>
  </w:num>
  <w:num w:numId="25">
    <w:abstractNumId w:val="20"/>
  </w:num>
  <w:num w:numId="26">
    <w:abstractNumId w:val="38"/>
  </w:num>
  <w:num w:numId="27">
    <w:abstractNumId w:val="0"/>
  </w:num>
  <w:num w:numId="28">
    <w:abstractNumId w:val="16"/>
  </w:num>
  <w:num w:numId="29">
    <w:abstractNumId w:val="24"/>
  </w:num>
  <w:num w:numId="30">
    <w:abstractNumId w:val="1"/>
  </w:num>
  <w:num w:numId="31">
    <w:abstractNumId w:val="28"/>
  </w:num>
  <w:num w:numId="32">
    <w:abstractNumId w:val="5"/>
  </w:num>
  <w:num w:numId="33">
    <w:abstractNumId w:val="13"/>
  </w:num>
  <w:num w:numId="34">
    <w:abstractNumId w:val="3"/>
  </w:num>
  <w:num w:numId="35">
    <w:abstractNumId w:val="30"/>
  </w:num>
  <w:num w:numId="36">
    <w:abstractNumId w:val="15"/>
  </w:num>
  <w:num w:numId="37">
    <w:abstractNumId w:val="11"/>
  </w:num>
  <w:num w:numId="38">
    <w:abstractNumId w:val="36"/>
  </w:num>
  <w:num w:numId="39">
    <w:abstractNumId w:val="10"/>
  </w:num>
  <w:num w:numId="4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696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2954"/>
    <w:rsid w:val="00003469"/>
    <w:rsid w:val="0001094F"/>
    <w:rsid w:val="00012813"/>
    <w:rsid w:val="00020168"/>
    <w:rsid w:val="00020ED5"/>
    <w:rsid w:val="00021170"/>
    <w:rsid w:val="0002128B"/>
    <w:rsid w:val="00024DFD"/>
    <w:rsid w:val="000263C6"/>
    <w:rsid w:val="00027628"/>
    <w:rsid w:val="00027AB8"/>
    <w:rsid w:val="000309DD"/>
    <w:rsid w:val="00031389"/>
    <w:rsid w:val="00031414"/>
    <w:rsid w:val="00032C97"/>
    <w:rsid w:val="00033038"/>
    <w:rsid w:val="00033D63"/>
    <w:rsid w:val="0003436F"/>
    <w:rsid w:val="0003793C"/>
    <w:rsid w:val="000414E8"/>
    <w:rsid w:val="00041A1A"/>
    <w:rsid w:val="00041BAD"/>
    <w:rsid w:val="0004593A"/>
    <w:rsid w:val="00045F10"/>
    <w:rsid w:val="0004797E"/>
    <w:rsid w:val="00050A3E"/>
    <w:rsid w:val="00052A6F"/>
    <w:rsid w:val="00053F02"/>
    <w:rsid w:val="00054185"/>
    <w:rsid w:val="0005612B"/>
    <w:rsid w:val="000574AB"/>
    <w:rsid w:val="0006147A"/>
    <w:rsid w:val="0006234F"/>
    <w:rsid w:val="00062EC6"/>
    <w:rsid w:val="000759D0"/>
    <w:rsid w:val="000775F8"/>
    <w:rsid w:val="00080CF7"/>
    <w:rsid w:val="000851B2"/>
    <w:rsid w:val="000878FF"/>
    <w:rsid w:val="00087A2E"/>
    <w:rsid w:val="00092566"/>
    <w:rsid w:val="000968F8"/>
    <w:rsid w:val="00097012"/>
    <w:rsid w:val="000A4C1B"/>
    <w:rsid w:val="000B032A"/>
    <w:rsid w:val="000B0F90"/>
    <w:rsid w:val="000B11CB"/>
    <w:rsid w:val="000B156F"/>
    <w:rsid w:val="000B26E0"/>
    <w:rsid w:val="000B2DF7"/>
    <w:rsid w:val="000B3880"/>
    <w:rsid w:val="000B7D57"/>
    <w:rsid w:val="000C036D"/>
    <w:rsid w:val="000C0C80"/>
    <w:rsid w:val="000C0FF8"/>
    <w:rsid w:val="000C40BD"/>
    <w:rsid w:val="000D2722"/>
    <w:rsid w:val="000D3586"/>
    <w:rsid w:val="000D62B8"/>
    <w:rsid w:val="000D7948"/>
    <w:rsid w:val="000D7C84"/>
    <w:rsid w:val="000E2471"/>
    <w:rsid w:val="000E4E13"/>
    <w:rsid w:val="000E78F6"/>
    <w:rsid w:val="000F034A"/>
    <w:rsid w:val="000F06B5"/>
    <w:rsid w:val="000F0997"/>
    <w:rsid w:val="000F180C"/>
    <w:rsid w:val="000F1B7A"/>
    <w:rsid w:val="000F39E9"/>
    <w:rsid w:val="001043F7"/>
    <w:rsid w:val="00104B45"/>
    <w:rsid w:val="00105D8B"/>
    <w:rsid w:val="001105C3"/>
    <w:rsid w:val="0011342F"/>
    <w:rsid w:val="001202E9"/>
    <w:rsid w:val="001221F8"/>
    <w:rsid w:val="00122DF1"/>
    <w:rsid w:val="0012454F"/>
    <w:rsid w:val="00125273"/>
    <w:rsid w:val="0012575E"/>
    <w:rsid w:val="00127555"/>
    <w:rsid w:val="00127927"/>
    <w:rsid w:val="00127C06"/>
    <w:rsid w:val="00132C46"/>
    <w:rsid w:val="00137888"/>
    <w:rsid w:val="00140FEC"/>
    <w:rsid w:val="001445D0"/>
    <w:rsid w:val="00145149"/>
    <w:rsid w:val="00145D4F"/>
    <w:rsid w:val="0014773C"/>
    <w:rsid w:val="00153D1E"/>
    <w:rsid w:val="0015588C"/>
    <w:rsid w:val="00156DFB"/>
    <w:rsid w:val="00164769"/>
    <w:rsid w:val="00164E20"/>
    <w:rsid w:val="001725B1"/>
    <w:rsid w:val="0017364A"/>
    <w:rsid w:val="0017696D"/>
    <w:rsid w:val="00180E25"/>
    <w:rsid w:val="00184377"/>
    <w:rsid w:val="001848FC"/>
    <w:rsid w:val="00186AE1"/>
    <w:rsid w:val="00193275"/>
    <w:rsid w:val="00193F21"/>
    <w:rsid w:val="001969C5"/>
    <w:rsid w:val="001A0DFE"/>
    <w:rsid w:val="001A3F08"/>
    <w:rsid w:val="001A4E4D"/>
    <w:rsid w:val="001A6CDD"/>
    <w:rsid w:val="001B07DB"/>
    <w:rsid w:val="001B0EFC"/>
    <w:rsid w:val="001B42E3"/>
    <w:rsid w:val="001C12EE"/>
    <w:rsid w:val="001C1DBA"/>
    <w:rsid w:val="001C3ABA"/>
    <w:rsid w:val="001C580A"/>
    <w:rsid w:val="001C7B02"/>
    <w:rsid w:val="001C7C89"/>
    <w:rsid w:val="001D4DD4"/>
    <w:rsid w:val="001D6D0A"/>
    <w:rsid w:val="001D73CD"/>
    <w:rsid w:val="001E4DD4"/>
    <w:rsid w:val="001E69DC"/>
    <w:rsid w:val="001F169D"/>
    <w:rsid w:val="001F1DA1"/>
    <w:rsid w:val="001F6F93"/>
    <w:rsid w:val="001F7A20"/>
    <w:rsid w:val="00203EDC"/>
    <w:rsid w:val="0021054A"/>
    <w:rsid w:val="002112E0"/>
    <w:rsid w:val="0021195A"/>
    <w:rsid w:val="00213383"/>
    <w:rsid w:val="00216D77"/>
    <w:rsid w:val="00220250"/>
    <w:rsid w:val="00220ACD"/>
    <w:rsid w:val="00220C50"/>
    <w:rsid w:val="00222444"/>
    <w:rsid w:val="0022691B"/>
    <w:rsid w:val="00226A40"/>
    <w:rsid w:val="002311F9"/>
    <w:rsid w:val="00232163"/>
    <w:rsid w:val="002376F8"/>
    <w:rsid w:val="002408E4"/>
    <w:rsid w:val="00241591"/>
    <w:rsid w:val="00244BE8"/>
    <w:rsid w:val="00250A9B"/>
    <w:rsid w:val="00250B4F"/>
    <w:rsid w:val="00256931"/>
    <w:rsid w:val="0025762F"/>
    <w:rsid w:val="00261288"/>
    <w:rsid w:val="00265939"/>
    <w:rsid w:val="00266255"/>
    <w:rsid w:val="002719C6"/>
    <w:rsid w:val="00275563"/>
    <w:rsid w:val="0028114D"/>
    <w:rsid w:val="00283993"/>
    <w:rsid w:val="00287649"/>
    <w:rsid w:val="00287CCE"/>
    <w:rsid w:val="00287E84"/>
    <w:rsid w:val="002901D0"/>
    <w:rsid w:val="0029286C"/>
    <w:rsid w:val="0029300E"/>
    <w:rsid w:val="00293EAA"/>
    <w:rsid w:val="0029689D"/>
    <w:rsid w:val="002A2B23"/>
    <w:rsid w:val="002A66EE"/>
    <w:rsid w:val="002A6801"/>
    <w:rsid w:val="002B08F5"/>
    <w:rsid w:val="002B0C3A"/>
    <w:rsid w:val="002B0D69"/>
    <w:rsid w:val="002B2116"/>
    <w:rsid w:val="002B2D9B"/>
    <w:rsid w:val="002B4554"/>
    <w:rsid w:val="002B5016"/>
    <w:rsid w:val="002B60EA"/>
    <w:rsid w:val="002B742C"/>
    <w:rsid w:val="002B7F4D"/>
    <w:rsid w:val="002C1209"/>
    <w:rsid w:val="002C15E0"/>
    <w:rsid w:val="002C285C"/>
    <w:rsid w:val="002C7BE4"/>
    <w:rsid w:val="002D417D"/>
    <w:rsid w:val="002D5E5D"/>
    <w:rsid w:val="002D7FBA"/>
    <w:rsid w:val="002E494E"/>
    <w:rsid w:val="002E6199"/>
    <w:rsid w:val="002E78A0"/>
    <w:rsid w:val="002F18CD"/>
    <w:rsid w:val="002F2687"/>
    <w:rsid w:val="002F48E1"/>
    <w:rsid w:val="002F4F3B"/>
    <w:rsid w:val="002F5B5E"/>
    <w:rsid w:val="002F72C4"/>
    <w:rsid w:val="00304C86"/>
    <w:rsid w:val="003059EB"/>
    <w:rsid w:val="003101C7"/>
    <w:rsid w:val="003116AC"/>
    <w:rsid w:val="00312E42"/>
    <w:rsid w:val="00315567"/>
    <w:rsid w:val="00315C70"/>
    <w:rsid w:val="00315FC1"/>
    <w:rsid w:val="00325237"/>
    <w:rsid w:val="00330144"/>
    <w:rsid w:val="00334329"/>
    <w:rsid w:val="003425A5"/>
    <w:rsid w:val="00345071"/>
    <w:rsid w:val="00345CBA"/>
    <w:rsid w:val="00345DB3"/>
    <w:rsid w:val="00346245"/>
    <w:rsid w:val="00356267"/>
    <w:rsid w:val="00356BAD"/>
    <w:rsid w:val="003605B4"/>
    <w:rsid w:val="00361C95"/>
    <w:rsid w:val="003627AC"/>
    <w:rsid w:val="0036446C"/>
    <w:rsid w:val="00365650"/>
    <w:rsid w:val="00366914"/>
    <w:rsid w:val="00367585"/>
    <w:rsid w:val="00370797"/>
    <w:rsid w:val="003727B0"/>
    <w:rsid w:val="00372FE3"/>
    <w:rsid w:val="003755CB"/>
    <w:rsid w:val="00383F85"/>
    <w:rsid w:val="00387BA1"/>
    <w:rsid w:val="003920FD"/>
    <w:rsid w:val="003975AE"/>
    <w:rsid w:val="003A07A1"/>
    <w:rsid w:val="003A306C"/>
    <w:rsid w:val="003A4D15"/>
    <w:rsid w:val="003A7C3A"/>
    <w:rsid w:val="003A7DE7"/>
    <w:rsid w:val="003B1006"/>
    <w:rsid w:val="003B2E3F"/>
    <w:rsid w:val="003B6C04"/>
    <w:rsid w:val="003B7495"/>
    <w:rsid w:val="003B75B9"/>
    <w:rsid w:val="003C5F11"/>
    <w:rsid w:val="003D294B"/>
    <w:rsid w:val="003D4787"/>
    <w:rsid w:val="003D6401"/>
    <w:rsid w:val="003E1863"/>
    <w:rsid w:val="003E58C0"/>
    <w:rsid w:val="003F307C"/>
    <w:rsid w:val="003F4BE9"/>
    <w:rsid w:val="003F68FE"/>
    <w:rsid w:val="004023AD"/>
    <w:rsid w:val="0040466A"/>
    <w:rsid w:val="0041569A"/>
    <w:rsid w:val="00415A79"/>
    <w:rsid w:val="0041606D"/>
    <w:rsid w:val="00416962"/>
    <w:rsid w:val="00417899"/>
    <w:rsid w:val="004206A8"/>
    <w:rsid w:val="00423E6B"/>
    <w:rsid w:val="00424DFD"/>
    <w:rsid w:val="00430EC2"/>
    <w:rsid w:val="00430FE4"/>
    <w:rsid w:val="004348CC"/>
    <w:rsid w:val="00435A56"/>
    <w:rsid w:val="00444D8C"/>
    <w:rsid w:val="00447F63"/>
    <w:rsid w:val="00450C58"/>
    <w:rsid w:val="00450EC3"/>
    <w:rsid w:val="00452183"/>
    <w:rsid w:val="004538DF"/>
    <w:rsid w:val="0045474C"/>
    <w:rsid w:val="004658FF"/>
    <w:rsid w:val="004729C2"/>
    <w:rsid w:val="00474233"/>
    <w:rsid w:val="00474318"/>
    <w:rsid w:val="00474ED7"/>
    <w:rsid w:val="004756E1"/>
    <w:rsid w:val="00475A5F"/>
    <w:rsid w:val="0048008A"/>
    <w:rsid w:val="00482588"/>
    <w:rsid w:val="00483E94"/>
    <w:rsid w:val="00484120"/>
    <w:rsid w:val="004853A0"/>
    <w:rsid w:val="00491849"/>
    <w:rsid w:val="00491E34"/>
    <w:rsid w:val="00494DD8"/>
    <w:rsid w:val="00495623"/>
    <w:rsid w:val="00496B5F"/>
    <w:rsid w:val="004A2E10"/>
    <w:rsid w:val="004A5072"/>
    <w:rsid w:val="004B17FF"/>
    <w:rsid w:val="004B1BA0"/>
    <w:rsid w:val="004B2F49"/>
    <w:rsid w:val="004B52E4"/>
    <w:rsid w:val="004B6CEE"/>
    <w:rsid w:val="004B78CC"/>
    <w:rsid w:val="004B7E0B"/>
    <w:rsid w:val="004B7E51"/>
    <w:rsid w:val="004C2443"/>
    <w:rsid w:val="004C3950"/>
    <w:rsid w:val="004C498F"/>
    <w:rsid w:val="004C5D29"/>
    <w:rsid w:val="004C681A"/>
    <w:rsid w:val="004D4D8A"/>
    <w:rsid w:val="004D5A18"/>
    <w:rsid w:val="004E386C"/>
    <w:rsid w:val="004E7F11"/>
    <w:rsid w:val="004F23F7"/>
    <w:rsid w:val="004F2792"/>
    <w:rsid w:val="004F2EEF"/>
    <w:rsid w:val="004F5348"/>
    <w:rsid w:val="004F6699"/>
    <w:rsid w:val="004F68EE"/>
    <w:rsid w:val="005038D5"/>
    <w:rsid w:val="00503F2A"/>
    <w:rsid w:val="005047D7"/>
    <w:rsid w:val="00507E0E"/>
    <w:rsid w:val="00511BA4"/>
    <w:rsid w:val="0051364E"/>
    <w:rsid w:val="00514415"/>
    <w:rsid w:val="005149E7"/>
    <w:rsid w:val="005159DC"/>
    <w:rsid w:val="005162B2"/>
    <w:rsid w:val="00522730"/>
    <w:rsid w:val="005232D6"/>
    <w:rsid w:val="005333CC"/>
    <w:rsid w:val="00534A20"/>
    <w:rsid w:val="005363F1"/>
    <w:rsid w:val="00537C1B"/>
    <w:rsid w:val="00543CC8"/>
    <w:rsid w:val="00545116"/>
    <w:rsid w:val="0055007C"/>
    <w:rsid w:val="0055403A"/>
    <w:rsid w:val="00554922"/>
    <w:rsid w:val="00555282"/>
    <w:rsid w:val="005560E7"/>
    <w:rsid w:val="00557B48"/>
    <w:rsid w:val="005600BD"/>
    <w:rsid w:val="00560F38"/>
    <w:rsid w:val="005612CC"/>
    <w:rsid w:val="00563029"/>
    <w:rsid w:val="00565DD8"/>
    <w:rsid w:val="00567D12"/>
    <w:rsid w:val="00572742"/>
    <w:rsid w:val="00576062"/>
    <w:rsid w:val="00583A39"/>
    <w:rsid w:val="0059181B"/>
    <w:rsid w:val="00591E03"/>
    <w:rsid w:val="00593BBE"/>
    <w:rsid w:val="00594927"/>
    <w:rsid w:val="0059559F"/>
    <w:rsid w:val="005A2B23"/>
    <w:rsid w:val="005A49FF"/>
    <w:rsid w:val="005A5888"/>
    <w:rsid w:val="005A7634"/>
    <w:rsid w:val="005B10D8"/>
    <w:rsid w:val="005B2207"/>
    <w:rsid w:val="005B282E"/>
    <w:rsid w:val="005B389F"/>
    <w:rsid w:val="005B46AA"/>
    <w:rsid w:val="005B6F04"/>
    <w:rsid w:val="005B7239"/>
    <w:rsid w:val="005C015D"/>
    <w:rsid w:val="005C0447"/>
    <w:rsid w:val="005C046A"/>
    <w:rsid w:val="005C739F"/>
    <w:rsid w:val="005C73CA"/>
    <w:rsid w:val="005D4768"/>
    <w:rsid w:val="005D5E99"/>
    <w:rsid w:val="005E2CAB"/>
    <w:rsid w:val="005E429E"/>
    <w:rsid w:val="005F03A0"/>
    <w:rsid w:val="005F74E5"/>
    <w:rsid w:val="006004E1"/>
    <w:rsid w:val="00601ED4"/>
    <w:rsid w:val="006030BC"/>
    <w:rsid w:val="00605EC5"/>
    <w:rsid w:val="00607923"/>
    <w:rsid w:val="00611A73"/>
    <w:rsid w:val="00612866"/>
    <w:rsid w:val="00616EB5"/>
    <w:rsid w:val="006269D4"/>
    <w:rsid w:val="0063124A"/>
    <w:rsid w:val="006327D8"/>
    <w:rsid w:val="0064070A"/>
    <w:rsid w:val="00643A01"/>
    <w:rsid w:val="0064440A"/>
    <w:rsid w:val="0064453F"/>
    <w:rsid w:val="006447DA"/>
    <w:rsid w:val="006463A6"/>
    <w:rsid w:val="00650A6C"/>
    <w:rsid w:val="00651D44"/>
    <w:rsid w:val="00653076"/>
    <w:rsid w:val="00654DFE"/>
    <w:rsid w:val="0065616A"/>
    <w:rsid w:val="006574D2"/>
    <w:rsid w:val="00660070"/>
    <w:rsid w:val="00660221"/>
    <w:rsid w:val="00663563"/>
    <w:rsid w:val="00667423"/>
    <w:rsid w:val="006676D4"/>
    <w:rsid w:val="00671C67"/>
    <w:rsid w:val="00675535"/>
    <w:rsid w:val="00676408"/>
    <w:rsid w:val="00681359"/>
    <w:rsid w:val="00682041"/>
    <w:rsid w:val="0068298C"/>
    <w:rsid w:val="00683442"/>
    <w:rsid w:val="0069157C"/>
    <w:rsid w:val="006958E9"/>
    <w:rsid w:val="00696262"/>
    <w:rsid w:val="006A02B2"/>
    <w:rsid w:val="006C1389"/>
    <w:rsid w:val="006C3A4F"/>
    <w:rsid w:val="006C4845"/>
    <w:rsid w:val="006C55F4"/>
    <w:rsid w:val="006D576A"/>
    <w:rsid w:val="006D6BC1"/>
    <w:rsid w:val="006E285F"/>
    <w:rsid w:val="006E2BFC"/>
    <w:rsid w:val="006E5C57"/>
    <w:rsid w:val="006E7C21"/>
    <w:rsid w:val="006F1819"/>
    <w:rsid w:val="006F22A5"/>
    <w:rsid w:val="006F3559"/>
    <w:rsid w:val="00702C73"/>
    <w:rsid w:val="00705E21"/>
    <w:rsid w:val="00706660"/>
    <w:rsid w:val="00712EEA"/>
    <w:rsid w:val="00713394"/>
    <w:rsid w:val="0071428D"/>
    <w:rsid w:val="00715FD3"/>
    <w:rsid w:val="007207AC"/>
    <w:rsid w:val="00723138"/>
    <w:rsid w:val="00723A09"/>
    <w:rsid w:val="00724677"/>
    <w:rsid w:val="00725AC2"/>
    <w:rsid w:val="007278B0"/>
    <w:rsid w:val="00732880"/>
    <w:rsid w:val="007416B9"/>
    <w:rsid w:val="007422FD"/>
    <w:rsid w:val="00743E46"/>
    <w:rsid w:val="00747C45"/>
    <w:rsid w:val="00750059"/>
    <w:rsid w:val="0075476E"/>
    <w:rsid w:val="00756FDB"/>
    <w:rsid w:val="007629B6"/>
    <w:rsid w:val="007660CC"/>
    <w:rsid w:val="007665BF"/>
    <w:rsid w:val="00767E73"/>
    <w:rsid w:val="00771B2A"/>
    <w:rsid w:val="007742D5"/>
    <w:rsid w:val="0077473F"/>
    <w:rsid w:val="0077564D"/>
    <w:rsid w:val="007757CE"/>
    <w:rsid w:val="00775800"/>
    <w:rsid w:val="00781554"/>
    <w:rsid w:val="00781B20"/>
    <w:rsid w:val="007910F3"/>
    <w:rsid w:val="0079180E"/>
    <w:rsid w:val="007950CC"/>
    <w:rsid w:val="0079538B"/>
    <w:rsid w:val="00795C8B"/>
    <w:rsid w:val="007961B8"/>
    <w:rsid w:val="00797624"/>
    <w:rsid w:val="007A4828"/>
    <w:rsid w:val="007B01D9"/>
    <w:rsid w:val="007B058A"/>
    <w:rsid w:val="007B093D"/>
    <w:rsid w:val="007B2069"/>
    <w:rsid w:val="007B3419"/>
    <w:rsid w:val="007B4DB0"/>
    <w:rsid w:val="007C04A1"/>
    <w:rsid w:val="007C21FA"/>
    <w:rsid w:val="007C7E1F"/>
    <w:rsid w:val="007C7F0E"/>
    <w:rsid w:val="007D13B1"/>
    <w:rsid w:val="007D2C2D"/>
    <w:rsid w:val="007D4351"/>
    <w:rsid w:val="007D7019"/>
    <w:rsid w:val="007E18DB"/>
    <w:rsid w:val="007E1F48"/>
    <w:rsid w:val="007E44B9"/>
    <w:rsid w:val="007E51E4"/>
    <w:rsid w:val="007E6B45"/>
    <w:rsid w:val="007E6F1C"/>
    <w:rsid w:val="007F48CE"/>
    <w:rsid w:val="007F5BC1"/>
    <w:rsid w:val="00803C67"/>
    <w:rsid w:val="00804378"/>
    <w:rsid w:val="00804C69"/>
    <w:rsid w:val="00805629"/>
    <w:rsid w:val="008066EC"/>
    <w:rsid w:val="0080711D"/>
    <w:rsid w:val="008107BD"/>
    <w:rsid w:val="008121AB"/>
    <w:rsid w:val="008155CD"/>
    <w:rsid w:val="0082383D"/>
    <w:rsid w:val="00833325"/>
    <w:rsid w:val="00840A41"/>
    <w:rsid w:val="00841511"/>
    <w:rsid w:val="00842EA2"/>
    <w:rsid w:val="00842F3C"/>
    <w:rsid w:val="008440C0"/>
    <w:rsid w:val="00845DA3"/>
    <w:rsid w:val="00847D3E"/>
    <w:rsid w:val="0085005A"/>
    <w:rsid w:val="008505D1"/>
    <w:rsid w:val="008523B4"/>
    <w:rsid w:val="00853F4A"/>
    <w:rsid w:val="00854A36"/>
    <w:rsid w:val="00855158"/>
    <w:rsid w:val="00856CF0"/>
    <w:rsid w:val="00857EE8"/>
    <w:rsid w:val="008645D4"/>
    <w:rsid w:val="0086464B"/>
    <w:rsid w:val="008647FC"/>
    <w:rsid w:val="00864CA8"/>
    <w:rsid w:val="00865E2D"/>
    <w:rsid w:val="00870E6C"/>
    <w:rsid w:val="0087257C"/>
    <w:rsid w:val="00875846"/>
    <w:rsid w:val="00880A50"/>
    <w:rsid w:val="008813B4"/>
    <w:rsid w:val="00884486"/>
    <w:rsid w:val="008871A9"/>
    <w:rsid w:val="008916BA"/>
    <w:rsid w:val="00892176"/>
    <w:rsid w:val="00893355"/>
    <w:rsid w:val="008937A7"/>
    <w:rsid w:val="00896894"/>
    <w:rsid w:val="008A1DB7"/>
    <w:rsid w:val="008A403A"/>
    <w:rsid w:val="008A4C13"/>
    <w:rsid w:val="008B012C"/>
    <w:rsid w:val="008B0D46"/>
    <w:rsid w:val="008B0DCF"/>
    <w:rsid w:val="008B331F"/>
    <w:rsid w:val="008B4FE7"/>
    <w:rsid w:val="008B604D"/>
    <w:rsid w:val="008C3C8A"/>
    <w:rsid w:val="008C54A9"/>
    <w:rsid w:val="008C7D29"/>
    <w:rsid w:val="008D014E"/>
    <w:rsid w:val="008D0765"/>
    <w:rsid w:val="008E1673"/>
    <w:rsid w:val="008E3298"/>
    <w:rsid w:val="008E67C3"/>
    <w:rsid w:val="008F3A2B"/>
    <w:rsid w:val="008F589F"/>
    <w:rsid w:val="008F76A9"/>
    <w:rsid w:val="008F7E67"/>
    <w:rsid w:val="00900DBF"/>
    <w:rsid w:val="00901BE1"/>
    <w:rsid w:val="009048B9"/>
    <w:rsid w:val="00904E91"/>
    <w:rsid w:val="00905379"/>
    <w:rsid w:val="009100E2"/>
    <w:rsid w:val="00911C86"/>
    <w:rsid w:val="00913C6F"/>
    <w:rsid w:val="00915886"/>
    <w:rsid w:val="00917D86"/>
    <w:rsid w:val="00920F85"/>
    <w:rsid w:val="009214DC"/>
    <w:rsid w:val="009229DA"/>
    <w:rsid w:val="00924950"/>
    <w:rsid w:val="009252E1"/>
    <w:rsid w:val="00927027"/>
    <w:rsid w:val="00930CC9"/>
    <w:rsid w:val="00932E8F"/>
    <w:rsid w:val="009344BA"/>
    <w:rsid w:val="00937FAF"/>
    <w:rsid w:val="00941A96"/>
    <w:rsid w:val="00943B15"/>
    <w:rsid w:val="009456CA"/>
    <w:rsid w:val="00946E61"/>
    <w:rsid w:val="00947F78"/>
    <w:rsid w:val="00950BF4"/>
    <w:rsid w:val="00953234"/>
    <w:rsid w:val="009561FA"/>
    <w:rsid w:val="00960B62"/>
    <w:rsid w:val="009613C7"/>
    <w:rsid w:val="00961EAF"/>
    <w:rsid w:val="0096278F"/>
    <w:rsid w:val="00962D3B"/>
    <w:rsid w:val="009648C7"/>
    <w:rsid w:val="009668D1"/>
    <w:rsid w:val="009726E1"/>
    <w:rsid w:val="00972A04"/>
    <w:rsid w:val="00973DBE"/>
    <w:rsid w:val="00976F68"/>
    <w:rsid w:val="00977591"/>
    <w:rsid w:val="00980E75"/>
    <w:rsid w:val="00984A86"/>
    <w:rsid w:val="0099179B"/>
    <w:rsid w:val="00994BE0"/>
    <w:rsid w:val="009975D3"/>
    <w:rsid w:val="009A1539"/>
    <w:rsid w:val="009A25B1"/>
    <w:rsid w:val="009A4608"/>
    <w:rsid w:val="009A5651"/>
    <w:rsid w:val="009A6A57"/>
    <w:rsid w:val="009A70BF"/>
    <w:rsid w:val="009B1A15"/>
    <w:rsid w:val="009B29E4"/>
    <w:rsid w:val="009B2CB0"/>
    <w:rsid w:val="009B3966"/>
    <w:rsid w:val="009B40D1"/>
    <w:rsid w:val="009C05C6"/>
    <w:rsid w:val="009C0852"/>
    <w:rsid w:val="009C13CA"/>
    <w:rsid w:val="009C32C6"/>
    <w:rsid w:val="009C33C8"/>
    <w:rsid w:val="009C665F"/>
    <w:rsid w:val="009C6A40"/>
    <w:rsid w:val="009C7513"/>
    <w:rsid w:val="009D3882"/>
    <w:rsid w:val="009D4F63"/>
    <w:rsid w:val="009D7E07"/>
    <w:rsid w:val="009D7E38"/>
    <w:rsid w:val="009E095B"/>
    <w:rsid w:val="009E1846"/>
    <w:rsid w:val="009E70AD"/>
    <w:rsid w:val="009E78FF"/>
    <w:rsid w:val="009F0098"/>
    <w:rsid w:val="009F203E"/>
    <w:rsid w:val="009F4B34"/>
    <w:rsid w:val="009F5674"/>
    <w:rsid w:val="009F6752"/>
    <w:rsid w:val="00A01494"/>
    <w:rsid w:val="00A0332F"/>
    <w:rsid w:val="00A107AA"/>
    <w:rsid w:val="00A1736A"/>
    <w:rsid w:val="00A22FA9"/>
    <w:rsid w:val="00A25024"/>
    <w:rsid w:val="00A25B35"/>
    <w:rsid w:val="00A35F8F"/>
    <w:rsid w:val="00A369FD"/>
    <w:rsid w:val="00A37161"/>
    <w:rsid w:val="00A378B8"/>
    <w:rsid w:val="00A40190"/>
    <w:rsid w:val="00A41377"/>
    <w:rsid w:val="00A4263D"/>
    <w:rsid w:val="00A42FE7"/>
    <w:rsid w:val="00A44779"/>
    <w:rsid w:val="00A45AA4"/>
    <w:rsid w:val="00A4781C"/>
    <w:rsid w:val="00A509B8"/>
    <w:rsid w:val="00A52AB9"/>
    <w:rsid w:val="00A540C1"/>
    <w:rsid w:val="00A56BD0"/>
    <w:rsid w:val="00A619B0"/>
    <w:rsid w:val="00A6210B"/>
    <w:rsid w:val="00A62DF7"/>
    <w:rsid w:val="00A63BA5"/>
    <w:rsid w:val="00A6442E"/>
    <w:rsid w:val="00A64EBF"/>
    <w:rsid w:val="00A70052"/>
    <w:rsid w:val="00A71200"/>
    <w:rsid w:val="00A71A02"/>
    <w:rsid w:val="00A7323A"/>
    <w:rsid w:val="00A7397E"/>
    <w:rsid w:val="00A739A5"/>
    <w:rsid w:val="00A82CBD"/>
    <w:rsid w:val="00A82FB4"/>
    <w:rsid w:val="00A831B4"/>
    <w:rsid w:val="00A850F6"/>
    <w:rsid w:val="00A85EBC"/>
    <w:rsid w:val="00A86D77"/>
    <w:rsid w:val="00A8792A"/>
    <w:rsid w:val="00A9453A"/>
    <w:rsid w:val="00A97798"/>
    <w:rsid w:val="00A97B3D"/>
    <w:rsid w:val="00AA2A85"/>
    <w:rsid w:val="00AA43D2"/>
    <w:rsid w:val="00AA5213"/>
    <w:rsid w:val="00AA65A6"/>
    <w:rsid w:val="00AC1D8E"/>
    <w:rsid w:val="00AC48FA"/>
    <w:rsid w:val="00AC4915"/>
    <w:rsid w:val="00AC7BAB"/>
    <w:rsid w:val="00AC7EB7"/>
    <w:rsid w:val="00AD0240"/>
    <w:rsid w:val="00AD2058"/>
    <w:rsid w:val="00AD206A"/>
    <w:rsid w:val="00AD2E50"/>
    <w:rsid w:val="00AD4137"/>
    <w:rsid w:val="00AD62C9"/>
    <w:rsid w:val="00AE1383"/>
    <w:rsid w:val="00AE5115"/>
    <w:rsid w:val="00AF2D68"/>
    <w:rsid w:val="00B037BA"/>
    <w:rsid w:val="00B13000"/>
    <w:rsid w:val="00B135A1"/>
    <w:rsid w:val="00B17B9B"/>
    <w:rsid w:val="00B20139"/>
    <w:rsid w:val="00B218DA"/>
    <w:rsid w:val="00B24BE1"/>
    <w:rsid w:val="00B24CBB"/>
    <w:rsid w:val="00B342FA"/>
    <w:rsid w:val="00B34E10"/>
    <w:rsid w:val="00B3741D"/>
    <w:rsid w:val="00B413AB"/>
    <w:rsid w:val="00B4202C"/>
    <w:rsid w:val="00B51771"/>
    <w:rsid w:val="00B52257"/>
    <w:rsid w:val="00B5354C"/>
    <w:rsid w:val="00B53E8B"/>
    <w:rsid w:val="00B5698F"/>
    <w:rsid w:val="00B6296E"/>
    <w:rsid w:val="00B6644A"/>
    <w:rsid w:val="00B67360"/>
    <w:rsid w:val="00B73BE4"/>
    <w:rsid w:val="00B774D2"/>
    <w:rsid w:val="00B77798"/>
    <w:rsid w:val="00B8015A"/>
    <w:rsid w:val="00B82A57"/>
    <w:rsid w:val="00B8568F"/>
    <w:rsid w:val="00B86F66"/>
    <w:rsid w:val="00BA053B"/>
    <w:rsid w:val="00BA4F47"/>
    <w:rsid w:val="00BB1632"/>
    <w:rsid w:val="00BB35AE"/>
    <w:rsid w:val="00BB652D"/>
    <w:rsid w:val="00BB7659"/>
    <w:rsid w:val="00BC03A1"/>
    <w:rsid w:val="00BC0D25"/>
    <w:rsid w:val="00BC37E9"/>
    <w:rsid w:val="00BD2505"/>
    <w:rsid w:val="00BD3C33"/>
    <w:rsid w:val="00BD4BFD"/>
    <w:rsid w:val="00BD6B23"/>
    <w:rsid w:val="00BE5652"/>
    <w:rsid w:val="00BE592D"/>
    <w:rsid w:val="00BE7F61"/>
    <w:rsid w:val="00BF1971"/>
    <w:rsid w:val="00BF2614"/>
    <w:rsid w:val="00BF34E1"/>
    <w:rsid w:val="00BF50A3"/>
    <w:rsid w:val="00BF52B0"/>
    <w:rsid w:val="00BF5697"/>
    <w:rsid w:val="00BF77A2"/>
    <w:rsid w:val="00C05348"/>
    <w:rsid w:val="00C07A14"/>
    <w:rsid w:val="00C14CCC"/>
    <w:rsid w:val="00C1695E"/>
    <w:rsid w:val="00C17C66"/>
    <w:rsid w:val="00C17FDE"/>
    <w:rsid w:val="00C22C1C"/>
    <w:rsid w:val="00C30AF2"/>
    <w:rsid w:val="00C3104A"/>
    <w:rsid w:val="00C320EC"/>
    <w:rsid w:val="00C32CAA"/>
    <w:rsid w:val="00C32E99"/>
    <w:rsid w:val="00C32EC0"/>
    <w:rsid w:val="00C337B3"/>
    <w:rsid w:val="00C33F2E"/>
    <w:rsid w:val="00C34936"/>
    <w:rsid w:val="00C34C14"/>
    <w:rsid w:val="00C355B9"/>
    <w:rsid w:val="00C37EF1"/>
    <w:rsid w:val="00C401C4"/>
    <w:rsid w:val="00C41680"/>
    <w:rsid w:val="00C44FBA"/>
    <w:rsid w:val="00C472B4"/>
    <w:rsid w:val="00C57824"/>
    <w:rsid w:val="00C60A25"/>
    <w:rsid w:val="00C61233"/>
    <w:rsid w:val="00C62F6D"/>
    <w:rsid w:val="00C64278"/>
    <w:rsid w:val="00C70B83"/>
    <w:rsid w:val="00C765C5"/>
    <w:rsid w:val="00C775CE"/>
    <w:rsid w:val="00C82479"/>
    <w:rsid w:val="00C84128"/>
    <w:rsid w:val="00C850B9"/>
    <w:rsid w:val="00C8572F"/>
    <w:rsid w:val="00C867F0"/>
    <w:rsid w:val="00C97CD6"/>
    <w:rsid w:val="00CA06D8"/>
    <w:rsid w:val="00CA345A"/>
    <w:rsid w:val="00CA3A7B"/>
    <w:rsid w:val="00CB0795"/>
    <w:rsid w:val="00CB49FF"/>
    <w:rsid w:val="00CB5BB5"/>
    <w:rsid w:val="00CB6EF6"/>
    <w:rsid w:val="00CC02CF"/>
    <w:rsid w:val="00CC086A"/>
    <w:rsid w:val="00CC171D"/>
    <w:rsid w:val="00CD0E24"/>
    <w:rsid w:val="00CD0F66"/>
    <w:rsid w:val="00CD303A"/>
    <w:rsid w:val="00CD364B"/>
    <w:rsid w:val="00CD4717"/>
    <w:rsid w:val="00CD5D77"/>
    <w:rsid w:val="00CE23B8"/>
    <w:rsid w:val="00CE284E"/>
    <w:rsid w:val="00CE4E77"/>
    <w:rsid w:val="00CE50D7"/>
    <w:rsid w:val="00CF1289"/>
    <w:rsid w:val="00CF4CBE"/>
    <w:rsid w:val="00CF6F55"/>
    <w:rsid w:val="00D00344"/>
    <w:rsid w:val="00D0098F"/>
    <w:rsid w:val="00D03C89"/>
    <w:rsid w:val="00D05CCB"/>
    <w:rsid w:val="00D10332"/>
    <w:rsid w:val="00D10415"/>
    <w:rsid w:val="00D136DC"/>
    <w:rsid w:val="00D1754D"/>
    <w:rsid w:val="00D217C2"/>
    <w:rsid w:val="00D2223F"/>
    <w:rsid w:val="00D26184"/>
    <w:rsid w:val="00D274A4"/>
    <w:rsid w:val="00D277AF"/>
    <w:rsid w:val="00D31163"/>
    <w:rsid w:val="00D31F28"/>
    <w:rsid w:val="00D320B1"/>
    <w:rsid w:val="00D33666"/>
    <w:rsid w:val="00D33AFD"/>
    <w:rsid w:val="00D36489"/>
    <w:rsid w:val="00D369E9"/>
    <w:rsid w:val="00D37913"/>
    <w:rsid w:val="00D42195"/>
    <w:rsid w:val="00D50704"/>
    <w:rsid w:val="00D5760A"/>
    <w:rsid w:val="00D57976"/>
    <w:rsid w:val="00D61410"/>
    <w:rsid w:val="00D61F7D"/>
    <w:rsid w:val="00D63793"/>
    <w:rsid w:val="00D74FD7"/>
    <w:rsid w:val="00D76227"/>
    <w:rsid w:val="00D7692A"/>
    <w:rsid w:val="00D76B4F"/>
    <w:rsid w:val="00D8181D"/>
    <w:rsid w:val="00D82A98"/>
    <w:rsid w:val="00D83AE2"/>
    <w:rsid w:val="00D8612F"/>
    <w:rsid w:val="00D86357"/>
    <w:rsid w:val="00D968D8"/>
    <w:rsid w:val="00D97C10"/>
    <w:rsid w:val="00D97C1D"/>
    <w:rsid w:val="00DA4E26"/>
    <w:rsid w:val="00DA563D"/>
    <w:rsid w:val="00DA5AB3"/>
    <w:rsid w:val="00DA5FA6"/>
    <w:rsid w:val="00DA7277"/>
    <w:rsid w:val="00DB08A4"/>
    <w:rsid w:val="00DB3627"/>
    <w:rsid w:val="00DB424E"/>
    <w:rsid w:val="00DB4724"/>
    <w:rsid w:val="00DB6630"/>
    <w:rsid w:val="00DB6944"/>
    <w:rsid w:val="00DC0705"/>
    <w:rsid w:val="00DC3C90"/>
    <w:rsid w:val="00DC4746"/>
    <w:rsid w:val="00DD2DDC"/>
    <w:rsid w:val="00DD45F5"/>
    <w:rsid w:val="00DD790D"/>
    <w:rsid w:val="00DE0136"/>
    <w:rsid w:val="00DE2B2F"/>
    <w:rsid w:val="00DE33CD"/>
    <w:rsid w:val="00DE7149"/>
    <w:rsid w:val="00DF107D"/>
    <w:rsid w:val="00DF173E"/>
    <w:rsid w:val="00DF483A"/>
    <w:rsid w:val="00DF7017"/>
    <w:rsid w:val="00E0314C"/>
    <w:rsid w:val="00E05147"/>
    <w:rsid w:val="00E079C1"/>
    <w:rsid w:val="00E1508F"/>
    <w:rsid w:val="00E20823"/>
    <w:rsid w:val="00E20C70"/>
    <w:rsid w:val="00E235D8"/>
    <w:rsid w:val="00E2596D"/>
    <w:rsid w:val="00E261DF"/>
    <w:rsid w:val="00E27240"/>
    <w:rsid w:val="00E27D38"/>
    <w:rsid w:val="00E27EDD"/>
    <w:rsid w:val="00E30584"/>
    <w:rsid w:val="00E310B9"/>
    <w:rsid w:val="00E363E4"/>
    <w:rsid w:val="00E37E1B"/>
    <w:rsid w:val="00E43349"/>
    <w:rsid w:val="00E4725E"/>
    <w:rsid w:val="00E504B1"/>
    <w:rsid w:val="00E562C0"/>
    <w:rsid w:val="00E57FAF"/>
    <w:rsid w:val="00E61AFB"/>
    <w:rsid w:val="00E65019"/>
    <w:rsid w:val="00E66E1F"/>
    <w:rsid w:val="00E672D6"/>
    <w:rsid w:val="00E67DC9"/>
    <w:rsid w:val="00E70419"/>
    <w:rsid w:val="00E76024"/>
    <w:rsid w:val="00E7748C"/>
    <w:rsid w:val="00E817B4"/>
    <w:rsid w:val="00E856A2"/>
    <w:rsid w:val="00E85E81"/>
    <w:rsid w:val="00E967AD"/>
    <w:rsid w:val="00E96884"/>
    <w:rsid w:val="00E968DE"/>
    <w:rsid w:val="00E96E33"/>
    <w:rsid w:val="00EA2BF3"/>
    <w:rsid w:val="00EA3F5E"/>
    <w:rsid w:val="00EA5435"/>
    <w:rsid w:val="00EA5F47"/>
    <w:rsid w:val="00EB455E"/>
    <w:rsid w:val="00EC67A3"/>
    <w:rsid w:val="00EC79DE"/>
    <w:rsid w:val="00EC7A01"/>
    <w:rsid w:val="00ED0C0F"/>
    <w:rsid w:val="00ED4ACE"/>
    <w:rsid w:val="00ED4D04"/>
    <w:rsid w:val="00ED7179"/>
    <w:rsid w:val="00EE1014"/>
    <w:rsid w:val="00EE1F6B"/>
    <w:rsid w:val="00EE4048"/>
    <w:rsid w:val="00EE4D35"/>
    <w:rsid w:val="00EE73A2"/>
    <w:rsid w:val="00EF2DA7"/>
    <w:rsid w:val="00EF74B5"/>
    <w:rsid w:val="00F07365"/>
    <w:rsid w:val="00F1164D"/>
    <w:rsid w:val="00F13064"/>
    <w:rsid w:val="00F130E5"/>
    <w:rsid w:val="00F1412B"/>
    <w:rsid w:val="00F15BFA"/>
    <w:rsid w:val="00F21CE6"/>
    <w:rsid w:val="00F2316D"/>
    <w:rsid w:val="00F23AC0"/>
    <w:rsid w:val="00F304E6"/>
    <w:rsid w:val="00F34FAB"/>
    <w:rsid w:val="00F435AA"/>
    <w:rsid w:val="00F52602"/>
    <w:rsid w:val="00F527DE"/>
    <w:rsid w:val="00F5738A"/>
    <w:rsid w:val="00F612D4"/>
    <w:rsid w:val="00F616BC"/>
    <w:rsid w:val="00F665AD"/>
    <w:rsid w:val="00F71DD3"/>
    <w:rsid w:val="00F7342C"/>
    <w:rsid w:val="00F73494"/>
    <w:rsid w:val="00F73767"/>
    <w:rsid w:val="00F7389E"/>
    <w:rsid w:val="00F769E7"/>
    <w:rsid w:val="00F76A49"/>
    <w:rsid w:val="00F77F1D"/>
    <w:rsid w:val="00F821F3"/>
    <w:rsid w:val="00F83738"/>
    <w:rsid w:val="00F87CCB"/>
    <w:rsid w:val="00F87FD6"/>
    <w:rsid w:val="00F958F9"/>
    <w:rsid w:val="00F96946"/>
    <w:rsid w:val="00FA2920"/>
    <w:rsid w:val="00FA48C7"/>
    <w:rsid w:val="00FA54E5"/>
    <w:rsid w:val="00FA7B27"/>
    <w:rsid w:val="00FB41CB"/>
    <w:rsid w:val="00FB51FB"/>
    <w:rsid w:val="00FB63A3"/>
    <w:rsid w:val="00FB73C1"/>
    <w:rsid w:val="00FB7EB5"/>
    <w:rsid w:val="00FC20FC"/>
    <w:rsid w:val="00FD1124"/>
    <w:rsid w:val="00FD15CA"/>
    <w:rsid w:val="00FD48B9"/>
    <w:rsid w:val="00FD4FB8"/>
    <w:rsid w:val="00FD5A66"/>
    <w:rsid w:val="00FD7136"/>
    <w:rsid w:val="00FE0CE0"/>
    <w:rsid w:val="00FE4F0A"/>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9633"/>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F1289"/>
    <w:pPr>
      <w:spacing w:after="0" w:line="240" w:lineRule="auto"/>
      <w:outlineLvl w:val="0"/>
    </w:pPr>
    <w:rPr>
      <w:rFonts w:cstheme="minorHAnsi"/>
      <w:b/>
      <w:noProof/>
    </w:rPr>
  </w:style>
  <w:style w:type="paragraph" w:styleId="Heading2">
    <w:name w:val="heading 2"/>
    <w:basedOn w:val="ListParagraph"/>
    <w:next w:val="Normal"/>
    <w:link w:val="Heading2Char"/>
    <w:uiPriority w:val="9"/>
    <w:unhideWhenUsed/>
    <w:qFormat/>
    <w:rsid w:val="00C64278"/>
    <w:pPr>
      <w:numPr>
        <w:ilvl w:val="1"/>
        <w:numId w:val="30"/>
      </w:numPr>
      <w:autoSpaceDE w:val="0"/>
      <w:autoSpaceDN w:val="0"/>
      <w:adjustRightInd w:val="0"/>
      <w:spacing w:after="0" w:line="240" w:lineRule="auto"/>
      <w:outlineLvl w:val="1"/>
    </w:pPr>
    <w:rPr>
      <w:rFonts w:cstheme="minorHAnsi"/>
      <w:b/>
      <w:bCs/>
    </w:rPr>
  </w:style>
  <w:style w:type="paragraph" w:styleId="Heading3">
    <w:name w:val="heading 3"/>
    <w:basedOn w:val="Heading2"/>
    <w:next w:val="Normal"/>
    <w:link w:val="Heading3Char"/>
    <w:uiPriority w:val="9"/>
    <w:unhideWhenUsed/>
    <w:qFormat/>
    <w:rsid w:val="00EE4048"/>
    <w:pPr>
      <w:numPr>
        <w:ilvl w:val="0"/>
        <w:numId w:val="0"/>
      </w:numPr>
      <w:outlineLvl w:val="2"/>
    </w:pPr>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aliases w:val="Char18"/>
    <w:basedOn w:val="Normal"/>
    <w:link w:val="FootnoteTextChar"/>
    <w:uiPriority w:val="99"/>
    <w:qFormat/>
    <w:rsid w:val="00FA2920"/>
    <w:pPr>
      <w:spacing w:after="0" w:line="240" w:lineRule="auto"/>
    </w:pPr>
    <w:rPr>
      <w:rFonts w:ascii="Times New Roman" w:eastAsia="Calibri" w:hAnsi="Times New Roman" w:cs="Times New Roman"/>
      <w:color w:val="0000FF"/>
      <w:sz w:val="20"/>
      <w:szCs w:val="20"/>
    </w:rPr>
  </w:style>
  <w:style w:type="character" w:customStyle="1" w:styleId="FootnoteTextChar">
    <w:name w:val="Footnote Text Char"/>
    <w:aliases w:val="Char18 Char"/>
    <w:basedOn w:val="DefaultParagraphFont"/>
    <w:link w:val="FootnoteText"/>
    <w:uiPriority w:val="99"/>
    <w:rsid w:val="00FA2920"/>
    <w:rPr>
      <w:rFonts w:ascii="Times New Roman" w:eastAsia="Calibri" w:hAnsi="Times New Roman" w:cs="Times New Roman"/>
      <w:color w:val="0000FF"/>
      <w:sz w:val="20"/>
      <w:szCs w:val="20"/>
    </w:rPr>
  </w:style>
  <w:style w:type="character" w:styleId="FootnoteReference">
    <w:name w:val="footnote reference"/>
    <w:basedOn w:val="DefaultParagraphFont"/>
    <w:uiPriority w:val="99"/>
    <w:qFormat/>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character" w:customStyle="1" w:styleId="Heading1Char">
    <w:name w:val="Heading 1 Char"/>
    <w:basedOn w:val="DefaultParagraphFont"/>
    <w:link w:val="Heading1"/>
    <w:uiPriority w:val="9"/>
    <w:rsid w:val="00CF1289"/>
    <w:rPr>
      <w:rFonts w:cstheme="minorHAnsi"/>
      <w:b/>
      <w:noProof/>
    </w:rPr>
  </w:style>
  <w:style w:type="character" w:customStyle="1" w:styleId="Heading2Char">
    <w:name w:val="Heading 2 Char"/>
    <w:basedOn w:val="DefaultParagraphFont"/>
    <w:link w:val="Heading2"/>
    <w:uiPriority w:val="9"/>
    <w:rsid w:val="00C64278"/>
    <w:rPr>
      <w:rFonts w:cstheme="minorHAnsi"/>
      <w:b/>
      <w:bCs/>
    </w:rPr>
  </w:style>
  <w:style w:type="character" w:customStyle="1" w:styleId="Heading3Char">
    <w:name w:val="Heading 3 Char"/>
    <w:basedOn w:val="DefaultParagraphFont"/>
    <w:link w:val="Heading3"/>
    <w:uiPriority w:val="9"/>
    <w:rsid w:val="00EE4048"/>
    <w:rPr>
      <w:rFonts w:cstheme="minorHAnsi"/>
      <w:b/>
      <w:bCs/>
    </w:rPr>
  </w:style>
  <w:style w:type="paragraph" w:styleId="TOCHeading">
    <w:name w:val="TOC Heading"/>
    <w:basedOn w:val="Heading1"/>
    <w:next w:val="Normal"/>
    <w:uiPriority w:val="39"/>
    <w:unhideWhenUsed/>
    <w:qFormat/>
    <w:rsid w:val="0077564D"/>
    <w:pPr>
      <w:keepNext/>
      <w:keepLines/>
      <w:spacing w:before="240" w:line="259" w:lineRule="auto"/>
      <w:outlineLvl w:val="9"/>
    </w:pPr>
    <w:rPr>
      <w:rFonts w:asciiTheme="majorHAnsi" w:eastAsiaTheme="majorEastAsia" w:hAnsiTheme="majorHAnsi" w:cstheme="majorBidi"/>
      <w:b w:val="0"/>
      <w:noProof w:val="0"/>
      <w:color w:val="365F91" w:themeColor="accent1" w:themeShade="BF"/>
      <w:sz w:val="32"/>
      <w:szCs w:val="32"/>
    </w:rPr>
  </w:style>
  <w:style w:type="paragraph" w:styleId="TOC1">
    <w:name w:val="toc 1"/>
    <w:basedOn w:val="Normal"/>
    <w:next w:val="Normal"/>
    <w:autoRedefine/>
    <w:uiPriority w:val="39"/>
    <w:unhideWhenUsed/>
    <w:rsid w:val="0077564D"/>
    <w:pPr>
      <w:spacing w:after="100"/>
    </w:pPr>
  </w:style>
  <w:style w:type="paragraph" w:styleId="TOC2">
    <w:name w:val="toc 2"/>
    <w:basedOn w:val="Normal"/>
    <w:next w:val="Normal"/>
    <w:autoRedefine/>
    <w:uiPriority w:val="39"/>
    <w:unhideWhenUsed/>
    <w:rsid w:val="0077564D"/>
    <w:pPr>
      <w:spacing w:after="100"/>
      <w:ind w:left="220"/>
    </w:pPr>
  </w:style>
  <w:style w:type="paragraph" w:styleId="TOC3">
    <w:name w:val="toc 3"/>
    <w:basedOn w:val="Normal"/>
    <w:next w:val="Normal"/>
    <w:autoRedefine/>
    <w:uiPriority w:val="39"/>
    <w:unhideWhenUsed/>
    <w:rsid w:val="0077564D"/>
    <w:pPr>
      <w:spacing w:after="100"/>
      <w:ind w:left="440"/>
    </w:pPr>
  </w:style>
  <w:style w:type="table" w:customStyle="1" w:styleId="CMSTable">
    <w:name w:val="CMS_Table"/>
    <w:basedOn w:val="TableNormal"/>
    <w:uiPriority w:val="99"/>
    <w:rsid w:val="009D4F63"/>
    <w:pPr>
      <w:spacing w:after="0" w:line="240" w:lineRule="auto"/>
    </w:pPr>
    <w:rPr>
      <w:rFonts w:ascii="Times New Roman" w:eastAsia="Times New Roman" w:hAnsi="Times New Roman" w:cs="Times New Roman"/>
      <w:szCs w:val="20"/>
    </w:rPr>
    <w:tblPr>
      <w:tblCellMar>
        <w:left w:w="58" w:type="dxa"/>
        <w:right w:w="58" w:type="dxa"/>
      </w:tblCellMar>
    </w:tblPr>
    <w:tblStylePr w:type="firstRow">
      <w:pPr>
        <w:jc w:val="center"/>
      </w:pPr>
      <w:tblPr/>
      <w:tcPr>
        <w:tcBorders>
          <w:top w:val="single" w:sz="12" w:space="0" w:color="auto"/>
          <w:bottom w:val="single" w:sz="6" w:space="0" w:color="auto"/>
        </w:tcBorders>
        <w:vAlign w:val="bottom"/>
      </w:tcPr>
    </w:tblStylePr>
    <w:tblStylePr w:type="lastRow">
      <w:tblPr/>
      <w:tcPr>
        <w:tcBorders>
          <w:bottom w:val="single" w:sz="12" w:space="0" w:color="auto"/>
        </w:tcBorders>
      </w:tcPr>
    </w:tblStylePr>
  </w:style>
  <w:style w:type="character" w:customStyle="1" w:styleId="areply">
    <w:name w:val="areply"/>
    <w:basedOn w:val="DefaultParagraphFont"/>
    <w:uiPriority w:val="1"/>
    <w:qFormat/>
    <w:rsid w:val="006463A6"/>
  </w:style>
  <w:style w:type="table" w:customStyle="1" w:styleId="ListTable6Colorful1">
    <w:name w:val="List Table 6 Colorful1"/>
    <w:basedOn w:val="TableNormal"/>
    <w:next w:val="ListTable6Colorful"/>
    <w:uiPriority w:val="51"/>
    <w:rsid w:val="00DB08A4"/>
    <w:pPr>
      <w:spacing w:after="0" w:line="240" w:lineRule="auto"/>
    </w:pPr>
    <w:rPr>
      <w:rFonts w:eastAsia="MS Mincho"/>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
    <w:name w:val="List Table 6 Colorful"/>
    <w:basedOn w:val="TableNormal"/>
    <w:uiPriority w:val="51"/>
    <w:rsid w:val="00DB08A4"/>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Caption">
    <w:name w:val="caption"/>
    <w:basedOn w:val="Normal"/>
    <w:next w:val="Normal"/>
    <w:uiPriority w:val="35"/>
    <w:qFormat/>
    <w:rsid w:val="005B10D8"/>
    <w:pPr>
      <w:keepNext/>
      <w:spacing w:after="120" w:line="240" w:lineRule="auto"/>
    </w:pPr>
    <w:rPr>
      <w:rFonts w:eastAsia="SimSun" w:cstheme="minorHAnsi"/>
      <w:b/>
      <w:bCs/>
      <w:color w:val="0000FF"/>
      <w:szCs w:val="18"/>
    </w:rPr>
  </w:style>
  <w:style w:type="table" w:customStyle="1" w:styleId="CMSTable1">
    <w:name w:val="CMS_Table1"/>
    <w:basedOn w:val="TableNormal"/>
    <w:uiPriority w:val="99"/>
    <w:rsid w:val="00804378"/>
    <w:pPr>
      <w:spacing w:after="0" w:line="240" w:lineRule="auto"/>
    </w:pPr>
    <w:rPr>
      <w:rFonts w:ascii="Times New Roman" w:eastAsia="Times New Roman" w:hAnsi="Times New Roman" w:cs="Times New Roman"/>
      <w:szCs w:val="20"/>
    </w:rPr>
    <w:tblPr>
      <w:tblCellMar>
        <w:left w:w="58" w:type="dxa"/>
        <w:right w:w="58" w:type="dxa"/>
      </w:tblCellMar>
    </w:tblPr>
    <w:tblStylePr w:type="firstRow">
      <w:pPr>
        <w:jc w:val="center"/>
      </w:pPr>
      <w:tblPr/>
      <w:tcPr>
        <w:tcBorders>
          <w:top w:val="single" w:sz="12" w:space="0" w:color="auto"/>
          <w:bottom w:val="single" w:sz="6" w:space="0" w:color="auto"/>
        </w:tcBorders>
        <w:vAlign w:val="bottom"/>
      </w:tcPr>
    </w:tblStylePr>
    <w:tblStylePr w:type="lastRow">
      <w:tblPr/>
      <w:tcPr>
        <w:tcBorders>
          <w:bottom w:val="single" w:sz="12" w:space="0" w:color="auto"/>
        </w:tcBorders>
      </w:tcPr>
    </w:tblStylePr>
  </w:style>
  <w:style w:type="character" w:customStyle="1" w:styleId="st1">
    <w:name w:val="st1"/>
    <w:basedOn w:val="DefaultParagraphFont"/>
    <w:rsid w:val="007B4DB0"/>
  </w:style>
  <w:style w:type="character" w:customStyle="1" w:styleId="normaltextrun">
    <w:name w:val="normaltextrun"/>
    <w:basedOn w:val="DefaultParagraphFont"/>
    <w:rsid w:val="007B4DB0"/>
  </w:style>
  <w:style w:type="character" w:customStyle="1" w:styleId="eop">
    <w:name w:val="eop"/>
    <w:basedOn w:val="DefaultParagraphFont"/>
    <w:rsid w:val="007B4DB0"/>
  </w:style>
  <w:style w:type="paragraph" w:customStyle="1" w:styleId="paragraph">
    <w:name w:val="paragraph"/>
    <w:basedOn w:val="Normal"/>
    <w:rsid w:val="007B4DB0"/>
    <w:pPr>
      <w:spacing w:before="100" w:beforeAutospacing="1" w:after="100" w:afterAutospacing="1" w:line="240" w:lineRule="auto"/>
    </w:pPr>
    <w:rPr>
      <w:rFonts w:ascii="Calibri" w:eastAsiaTheme="minorHAnsi" w:hAnsi="Calibri" w:cs="Calibri"/>
    </w:rPr>
  </w:style>
  <w:style w:type="paragraph" w:styleId="EndnoteText">
    <w:name w:val="endnote text"/>
    <w:basedOn w:val="Normal"/>
    <w:link w:val="EndnoteTextChar"/>
    <w:uiPriority w:val="99"/>
    <w:semiHidden/>
    <w:unhideWhenUsed/>
    <w:rsid w:val="00A56BD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56BD0"/>
    <w:rPr>
      <w:sz w:val="20"/>
      <w:szCs w:val="20"/>
    </w:rPr>
  </w:style>
  <w:style w:type="character" w:styleId="EndnoteReference">
    <w:name w:val="endnote reference"/>
    <w:basedOn w:val="DefaultParagraphFont"/>
    <w:uiPriority w:val="99"/>
    <w:semiHidden/>
    <w:unhideWhenUsed/>
    <w:rsid w:val="00A56BD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97766">
      <w:bodyDiv w:val="1"/>
      <w:marLeft w:val="0"/>
      <w:marRight w:val="0"/>
      <w:marTop w:val="0"/>
      <w:marBottom w:val="0"/>
      <w:divBdr>
        <w:top w:val="none" w:sz="0" w:space="0" w:color="auto"/>
        <w:left w:val="none" w:sz="0" w:space="0" w:color="auto"/>
        <w:bottom w:val="none" w:sz="0" w:space="0" w:color="auto"/>
        <w:right w:val="none" w:sz="0" w:space="0" w:color="auto"/>
      </w:divBdr>
    </w:div>
    <w:div w:id="413016128">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607860522">
      <w:bodyDiv w:val="1"/>
      <w:marLeft w:val="0"/>
      <w:marRight w:val="0"/>
      <w:marTop w:val="0"/>
      <w:marBottom w:val="0"/>
      <w:divBdr>
        <w:top w:val="none" w:sz="0" w:space="0" w:color="auto"/>
        <w:left w:val="none" w:sz="0" w:space="0" w:color="auto"/>
        <w:bottom w:val="none" w:sz="0" w:space="0" w:color="auto"/>
        <w:right w:val="none" w:sz="0" w:space="0" w:color="auto"/>
      </w:divBdr>
    </w:div>
    <w:div w:id="678502720">
      <w:bodyDiv w:val="1"/>
      <w:marLeft w:val="0"/>
      <w:marRight w:val="0"/>
      <w:marTop w:val="0"/>
      <w:marBottom w:val="0"/>
      <w:divBdr>
        <w:top w:val="none" w:sz="0" w:space="0" w:color="auto"/>
        <w:left w:val="none" w:sz="0" w:space="0" w:color="auto"/>
        <w:bottom w:val="none" w:sz="0" w:space="0" w:color="auto"/>
        <w:right w:val="none" w:sz="0" w:space="0" w:color="auto"/>
      </w:divBdr>
    </w:div>
    <w:div w:id="794559961">
      <w:bodyDiv w:val="1"/>
      <w:marLeft w:val="0"/>
      <w:marRight w:val="0"/>
      <w:marTop w:val="0"/>
      <w:marBottom w:val="0"/>
      <w:divBdr>
        <w:top w:val="none" w:sz="0" w:space="0" w:color="auto"/>
        <w:left w:val="none" w:sz="0" w:space="0" w:color="auto"/>
        <w:bottom w:val="none" w:sz="0" w:space="0" w:color="auto"/>
        <w:right w:val="none" w:sz="0" w:space="0" w:color="auto"/>
      </w:divBdr>
    </w:div>
    <w:div w:id="909343251">
      <w:bodyDiv w:val="1"/>
      <w:marLeft w:val="0"/>
      <w:marRight w:val="0"/>
      <w:marTop w:val="0"/>
      <w:marBottom w:val="0"/>
      <w:divBdr>
        <w:top w:val="none" w:sz="0" w:space="0" w:color="auto"/>
        <w:left w:val="none" w:sz="0" w:space="0" w:color="auto"/>
        <w:bottom w:val="none" w:sz="0" w:space="0" w:color="auto"/>
        <w:right w:val="none" w:sz="0" w:space="0" w:color="auto"/>
      </w:divBdr>
    </w:div>
    <w:div w:id="1091392919">
      <w:bodyDiv w:val="1"/>
      <w:marLeft w:val="0"/>
      <w:marRight w:val="0"/>
      <w:marTop w:val="0"/>
      <w:marBottom w:val="0"/>
      <w:divBdr>
        <w:top w:val="none" w:sz="0" w:space="0" w:color="auto"/>
        <w:left w:val="none" w:sz="0" w:space="0" w:color="auto"/>
        <w:bottom w:val="none" w:sz="0" w:space="0" w:color="auto"/>
        <w:right w:val="none" w:sz="0" w:space="0" w:color="auto"/>
      </w:divBdr>
    </w:div>
    <w:div w:id="1155225270">
      <w:bodyDiv w:val="1"/>
      <w:marLeft w:val="0"/>
      <w:marRight w:val="0"/>
      <w:marTop w:val="0"/>
      <w:marBottom w:val="0"/>
      <w:divBdr>
        <w:top w:val="none" w:sz="0" w:space="0" w:color="auto"/>
        <w:left w:val="none" w:sz="0" w:space="0" w:color="auto"/>
        <w:bottom w:val="none" w:sz="0" w:space="0" w:color="auto"/>
        <w:right w:val="none" w:sz="0" w:space="0" w:color="auto"/>
      </w:divBdr>
    </w:div>
    <w:div w:id="1193494730">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523782501">
      <w:bodyDiv w:val="1"/>
      <w:marLeft w:val="0"/>
      <w:marRight w:val="0"/>
      <w:marTop w:val="0"/>
      <w:marBottom w:val="0"/>
      <w:divBdr>
        <w:top w:val="none" w:sz="0" w:space="0" w:color="auto"/>
        <w:left w:val="none" w:sz="0" w:space="0" w:color="auto"/>
        <w:bottom w:val="none" w:sz="0" w:space="0" w:color="auto"/>
        <w:right w:val="none" w:sz="0" w:space="0" w:color="auto"/>
      </w:divBdr>
    </w:div>
    <w:div w:id="1683893630">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2035643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resdac.org/cms-data?tid%5B%5D=4931&amp;tid_1%5B%5D=1&amp;=Find+Data+Files" TargetMode="External"/><Relationship Id="rId18" Type="http://schemas.openxmlformats.org/officeDocument/2006/relationships/hyperlink" Target="https://www.ers.usda.gov/data-products/rural-urban-continuum-code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jpeg"/><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factfinder.census.gov/faces/nav/jsf/pages/searchresults.xhtml?refresh=t"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cms.gov/Medicare/Health-Plans/MedicareAdvtgSpecRateStats/Risk-Adjustors.html" TargetMode="External"/><Relationship Id="rId20" Type="http://schemas.openxmlformats.org/officeDocument/2006/relationships/hyperlink" Target="https://www.ccwdata.org/documents/10280/19002256/medicare-enrollment-impact-of-conversion-from-edb-to-cme.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www.resdac.org/cms-data/files/mds-3.0/data-documentation" TargetMode="External"/><Relationship Id="rId23" Type="http://schemas.openxmlformats.org/officeDocument/2006/relationships/image" Target="media/image3.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cms.gov/Research-Statistics-Data-and-Systems/Downloadable-Public-Use-Files/Provider-of-Services/index.htm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cms.gov/Regulations-and-Guidance/Guidance/Manuals/Downloads/clm104c27.pdf" TargetMode="External"/><Relationship Id="rId22" Type="http://schemas.openxmlformats.org/officeDocument/2006/relationships/image" Target="media/image2.jpeg"/><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archive.ahrq.gov/research/findings/final-reports/medicareindicators/medicareindicators.pdf" TargetMode="External"/><Relationship Id="rId2" Type="http://schemas.openxmlformats.org/officeDocument/2006/relationships/hyperlink" Target="https://www.ers.usda.gov/data-products/rural-urban-continuum-codes/" TargetMode="External"/><Relationship Id="rId1" Type="http://schemas.openxmlformats.org/officeDocument/2006/relationships/hyperlink" Target="https://www.huduser.gov/portal/datasets/usps_crosswalk.html"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Yu Mincho">
    <w:altName w:val="游明朝"/>
    <w:panose1 w:val="00000000000000000000"/>
    <w:charset w:val="8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81983"/>
    <w:rsid w:val="000B4D73"/>
    <w:rsid w:val="000F4C23"/>
    <w:rsid w:val="00127222"/>
    <w:rsid w:val="001636B9"/>
    <w:rsid w:val="001736D7"/>
    <w:rsid w:val="00190AF4"/>
    <w:rsid w:val="001B2A67"/>
    <w:rsid w:val="00223FA3"/>
    <w:rsid w:val="00253C31"/>
    <w:rsid w:val="00255CA2"/>
    <w:rsid w:val="00260F5B"/>
    <w:rsid w:val="0028603B"/>
    <w:rsid w:val="00286D0C"/>
    <w:rsid w:val="002A288F"/>
    <w:rsid w:val="002C4222"/>
    <w:rsid w:val="002C65A7"/>
    <w:rsid w:val="002E6AD9"/>
    <w:rsid w:val="002F052A"/>
    <w:rsid w:val="002F28C2"/>
    <w:rsid w:val="00350176"/>
    <w:rsid w:val="00364628"/>
    <w:rsid w:val="003840F0"/>
    <w:rsid w:val="003A7CEE"/>
    <w:rsid w:val="00437537"/>
    <w:rsid w:val="004D1CE3"/>
    <w:rsid w:val="004D785E"/>
    <w:rsid w:val="004E5C87"/>
    <w:rsid w:val="00513FC9"/>
    <w:rsid w:val="0053654E"/>
    <w:rsid w:val="00610196"/>
    <w:rsid w:val="00632A7E"/>
    <w:rsid w:val="00632AB6"/>
    <w:rsid w:val="00695DFC"/>
    <w:rsid w:val="006B78B9"/>
    <w:rsid w:val="006C249D"/>
    <w:rsid w:val="007075DD"/>
    <w:rsid w:val="007078C2"/>
    <w:rsid w:val="00714564"/>
    <w:rsid w:val="00720ECE"/>
    <w:rsid w:val="00730B33"/>
    <w:rsid w:val="00772B2A"/>
    <w:rsid w:val="007C672A"/>
    <w:rsid w:val="007D4368"/>
    <w:rsid w:val="007E1C3E"/>
    <w:rsid w:val="00822666"/>
    <w:rsid w:val="00823ECC"/>
    <w:rsid w:val="00826796"/>
    <w:rsid w:val="0084560A"/>
    <w:rsid w:val="00866C97"/>
    <w:rsid w:val="00887188"/>
    <w:rsid w:val="008968AE"/>
    <w:rsid w:val="008A31E0"/>
    <w:rsid w:val="008D6B3F"/>
    <w:rsid w:val="009017AE"/>
    <w:rsid w:val="00945DC6"/>
    <w:rsid w:val="009C542D"/>
    <w:rsid w:val="00A01A18"/>
    <w:rsid w:val="00A245BD"/>
    <w:rsid w:val="00A6486E"/>
    <w:rsid w:val="00A664BC"/>
    <w:rsid w:val="00A95183"/>
    <w:rsid w:val="00AA76EA"/>
    <w:rsid w:val="00AB31EC"/>
    <w:rsid w:val="00AB4AF7"/>
    <w:rsid w:val="00AD7C4F"/>
    <w:rsid w:val="00B3399C"/>
    <w:rsid w:val="00B445F5"/>
    <w:rsid w:val="00B928CD"/>
    <w:rsid w:val="00BD40CB"/>
    <w:rsid w:val="00C024CA"/>
    <w:rsid w:val="00C362A2"/>
    <w:rsid w:val="00C67129"/>
    <w:rsid w:val="00C90121"/>
    <w:rsid w:val="00C96E73"/>
    <w:rsid w:val="00C9784D"/>
    <w:rsid w:val="00CA1FE8"/>
    <w:rsid w:val="00CA344F"/>
    <w:rsid w:val="00D051CC"/>
    <w:rsid w:val="00D1676E"/>
    <w:rsid w:val="00D569EC"/>
    <w:rsid w:val="00D756CD"/>
    <w:rsid w:val="00D875CC"/>
    <w:rsid w:val="00DB2584"/>
    <w:rsid w:val="00DB4A2D"/>
    <w:rsid w:val="00DC0246"/>
    <w:rsid w:val="00DE5AEA"/>
    <w:rsid w:val="00E133F8"/>
    <w:rsid w:val="00E6518A"/>
    <w:rsid w:val="00E93B41"/>
    <w:rsid w:val="00E95D5A"/>
    <w:rsid w:val="00EC773D"/>
    <w:rsid w:val="00F40436"/>
    <w:rsid w:val="00F540AB"/>
    <w:rsid w:val="00F854C1"/>
    <w:rsid w:val="00F915BA"/>
    <w:rsid w:val="00FA65B2"/>
    <w:rsid w:val="00FB1423"/>
    <w:rsid w:val="00FB30D0"/>
    <w:rsid w:val="00FF1A58"/>
    <w:rsid w:val="00FF28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2.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3.xml><?xml version="1.0" encoding="utf-8"?>
<ds:datastoreItem xmlns:ds="http://schemas.openxmlformats.org/officeDocument/2006/customXml" ds:itemID="{D700C901-3C40-4C03-AF30-8401D54B3554}">
  <ds:schemaRefs>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purl.org/dc/dcmitype/"/>
    <ds:schemaRef ds:uri="http://schemas.openxmlformats.org/package/2006/metadata/core-properties"/>
    <ds:schemaRef ds:uri="836b82f1-340d-495e-85b5-201c5296619a"/>
    <ds:schemaRef ds:uri="http://www.w3.org/XML/1998/namespace"/>
    <ds:schemaRef ds:uri="http://purl.org/dc/terms/"/>
  </ds:schemaRefs>
</ds:datastoreItem>
</file>

<file path=customXml/itemProps4.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1E6B1D0-62A5-4DAF-B33C-EA0016BF8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28</Pages>
  <Words>11400</Words>
  <Characters>64985</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76233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Mikhail Pyatigorsky</cp:lastModifiedBy>
  <cp:revision>4</cp:revision>
  <dcterms:created xsi:type="dcterms:W3CDTF">2020-04-27T19:34:00Z</dcterms:created>
  <dcterms:modified xsi:type="dcterms:W3CDTF">2020-04-28T00:06:00Z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