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4D9F" w:rsidRDefault="00EA4D9F" w:rsidP="00EA4D9F">
      <w:pPr>
        <w:rPr>
          <w:rFonts w:cstheme="minorHAnsi"/>
          <w:i/>
          <w:iCs/>
          <w:sz w:val="20"/>
          <w:szCs w:val="18"/>
          <w:lang w:val="en"/>
        </w:rPr>
      </w:pPr>
      <w:bookmarkStart w:id="0" w:name="_GoBack"/>
      <w:bookmarkEnd w:id="0"/>
      <w:r w:rsidRPr="0095747E">
        <w:rPr>
          <w:rFonts w:cstheme="minorHAnsi"/>
          <w:b/>
          <w:bCs/>
          <w:sz w:val="20"/>
          <w:szCs w:val="18"/>
          <w:lang w:val="en"/>
        </w:rPr>
        <w:t xml:space="preserve">S.7.2. Construction Logic </w:t>
      </w:r>
      <w:r w:rsidRPr="0095747E">
        <w:rPr>
          <w:rFonts w:cstheme="minorHAnsi"/>
          <w:i/>
          <w:iCs/>
          <w:sz w:val="20"/>
          <w:szCs w:val="18"/>
          <w:lang w:val="en"/>
        </w:rPr>
        <w:t>(Detail logic steps used to cluster, group or assign claims beyond those associated with the measure’s clinical logic.)</w:t>
      </w:r>
    </w:p>
    <w:p w:rsidR="00EA4D9F" w:rsidRPr="00F23D3A" w:rsidRDefault="00EA4D9F" w:rsidP="00EA4D9F">
      <w:pPr>
        <w:rPr>
          <w:rFonts w:cstheme="minorHAnsi"/>
          <w:b/>
          <w:color w:val="3E60F2"/>
          <w:lang w:val="en"/>
        </w:rPr>
      </w:pPr>
      <w:r w:rsidRPr="00F23D3A">
        <w:rPr>
          <w:rFonts w:cstheme="minorHAnsi"/>
          <w:b/>
          <w:color w:val="3E60F2"/>
          <w:lang w:val="en"/>
        </w:rPr>
        <w:t>Episode Construction</w:t>
      </w:r>
    </w:p>
    <w:p w:rsidR="00EA4D9F" w:rsidRPr="00F23D3A" w:rsidRDefault="00EA4D9F" w:rsidP="00EA4D9F">
      <w:pPr>
        <w:rPr>
          <w:rFonts w:cstheme="minorHAnsi"/>
          <w:color w:val="3E60F2"/>
          <w:lang w:val="en"/>
        </w:rPr>
      </w:pPr>
      <w:r>
        <w:rPr>
          <w:rFonts w:cstheme="minorHAnsi"/>
          <w:color w:val="3E60F2"/>
          <w:lang w:val="en"/>
        </w:rPr>
        <w:t xml:space="preserve">MSPB-PAC LTCH </w:t>
      </w:r>
      <w:r w:rsidRPr="00F23D3A">
        <w:rPr>
          <w:rFonts w:cstheme="minorHAnsi"/>
          <w:color w:val="3E60F2"/>
          <w:lang w:val="en"/>
        </w:rPr>
        <w:t xml:space="preserve">episodes assess all Medicare Part A and Part B claims for services delivered to a beneficiary during the episode window, subject to exclusions for particular services that are clinically unrelated to PAC treatment. Constructing an </w:t>
      </w:r>
      <w:r>
        <w:rPr>
          <w:rFonts w:cstheme="minorHAnsi"/>
          <w:color w:val="3E60F2"/>
          <w:lang w:val="en"/>
        </w:rPr>
        <w:t xml:space="preserve">MSPB-PAC LTCH </w:t>
      </w:r>
      <w:r w:rsidRPr="00F23D3A">
        <w:rPr>
          <w:rFonts w:cstheme="minorHAnsi"/>
          <w:color w:val="3E60F2"/>
          <w:lang w:val="en"/>
        </w:rPr>
        <w:t xml:space="preserve">episode involves the following steps: </w:t>
      </w:r>
    </w:p>
    <w:p w:rsidR="00EA4D9F" w:rsidRPr="00F23D3A" w:rsidRDefault="00EA4D9F" w:rsidP="00EA4D9F">
      <w:pPr>
        <w:pStyle w:val="ListParagraph"/>
        <w:numPr>
          <w:ilvl w:val="0"/>
          <w:numId w:val="1"/>
        </w:numPr>
        <w:rPr>
          <w:rFonts w:cstheme="minorHAnsi"/>
          <w:color w:val="3E60F2"/>
          <w:lang w:val="en"/>
        </w:rPr>
      </w:pPr>
      <w:r w:rsidRPr="00F23D3A">
        <w:rPr>
          <w:rFonts w:cstheme="minorHAnsi"/>
          <w:color w:val="3E60F2"/>
          <w:lang w:val="en"/>
        </w:rPr>
        <w:t>Defining the episode trigger, episode window, treatment period, and associated services period;</w:t>
      </w:r>
    </w:p>
    <w:p w:rsidR="00EA4D9F" w:rsidRPr="00F23D3A" w:rsidRDefault="00EA4D9F" w:rsidP="00EA4D9F">
      <w:pPr>
        <w:pStyle w:val="ListParagraph"/>
        <w:numPr>
          <w:ilvl w:val="0"/>
          <w:numId w:val="1"/>
        </w:numPr>
        <w:rPr>
          <w:rFonts w:cstheme="minorHAnsi"/>
          <w:color w:val="3E60F2"/>
          <w:lang w:val="en"/>
        </w:rPr>
      </w:pPr>
      <w:r w:rsidRPr="00F23D3A">
        <w:rPr>
          <w:rFonts w:cstheme="minorHAnsi"/>
          <w:color w:val="3E60F2"/>
          <w:lang w:val="en"/>
        </w:rPr>
        <w:t xml:space="preserve">Excluding certain services from the episode that are clinically unrelated to PAC treatment and closing the episode. </w:t>
      </w:r>
    </w:p>
    <w:p w:rsidR="00EA4D9F" w:rsidRDefault="00EA4D9F" w:rsidP="00EA4D9F">
      <w:pPr>
        <w:rPr>
          <w:rFonts w:cstheme="minorHAnsi"/>
          <w:color w:val="3E60F2"/>
          <w:lang w:val="en"/>
        </w:rPr>
      </w:pPr>
      <w:r w:rsidRPr="00F23D3A">
        <w:rPr>
          <w:rFonts w:cstheme="minorHAnsi"/>
          <w:i/>
          <w:color w:val="3E60F2"/>
          <w:lang w:val="en"/>
        </w:rPr>
        <w:t>Episode Trigger</w:t>
      </w:r>
      <w:r w:rsidRPr="00F23D3A">
        <w:rPr>
          <w:rFonts w:cstheme="minorHAnsi"/>
          <w:color w:val="3E60F2"/>
          <w:lang w:val="en"/>
        </w:rPr>
        <w:t xml:space="preserve">. Each episode is opened by an episode trigger. The trigger for </w:t>
      </w:r>
      <w:r>
        <w:rPr>
          <w:rFonts w:cstheme="minorHAnsi"/>
          <w:color w:val="3E60F2"/>
          <w:lang w:val="en"/>
        </w:rPr>
        <w:t>LTCH</w:t>
      </w:r>
      <w:r w:rsidRPr="00F23D3A">
        <w:rPr>
          <w:rFonts w:cstheme="minorHAnsi"/>
          <w:color w:val="3E60F2"/>
          <w:lang w:val="en"/>
        </w:rPr>
        <w:t xml:space="preserve"> episodes is admission to the </w:t>
      </w:r>
      <w:r>
        <w:rPr>
          <w:rFonts w:cstheme="minorHAnsi"/>
          <w:color w:val="3E60F2"/>
          <w:lang w:val="en"/>
        </w:rPr>
        <w:t>LTCH</w:t>
      </w:r>
      <w:r w:rsidRPr="00F23D3A">
        <w:rPr>
          <w:rFonts w:cstheme="minorHAnsi"/>
          <w:color w:val="3E60F2"/>
          <w:lang w:val="en"/>
        </w:rPr>
        <w:t xml:space="preserve">, except for readmissions occurring within 7 days to the same provider. The </w:t>
      </w:r>
      <w:r>
        <w:rPr>
          <w:rFonts w:cstheme="minorHAnsi"/>
          <w:color w:val="3E60F2"/>
          <w:lang w:val="en"/>
        </w:rPr>
        <w:t>LTCH</w:t>
      </w:r>
      <w:r w:rsidRPr="00F23D3A">
        <w:rPr>
          <w:rFonts w:cstheme="minorHAnsi"/>
          <w:color w:val="3E60F2"/>
          <w:lang w:val="en"/>
        </w:rPr>
        <w:t xml:space="preserve"> that triggers the episode is the provider to whom the episode is attributed for the purpose of calculating </w:t>
      </w:r>
      <w:r w:rsidRPr="0051523E">
        <w:rPr>
          <w:rFonts w:cstheme="minorHAnsi"/>
          <w:color w:val="3E60F2"/>
          <w:lang w:val="en"/>
        </w:rPr>
        <w:t xml:space="preserve">the </w:t>
      </w:r>
      <w:r>
        <w:rPr>
          <w:rFonts w:cstheme="minorHAnsi"/>
          <w:color w:val="3E60F2"/>
          <w:lang w:val="en"/>
        </w:rPr>
        <w:t xml:space="preserve">MSPB-PAC LTCH </w:t>
      </w:r>
      <w:r w:rsidRPr="0051523E">
        <w:rPr>
          <w:rFonts w:cstheme="minorHAnsi"/>
          <w:color w:val="3E60F2"/>
          <w:lang w:val="en"/>
        </w:rPr>
        <w:t>measure (attributed provider).</w:t>
      </w:r>
      <w:r w:rsidRPr="00B16EBF">
        <w:rPr>
          <w:rFonts w:cstheme="minorHAnsi"/>
          <w:color w:val="3E60F2"/>
          <w:lang w:val="en"/>
        </w:rPr>
        <w:t xml:space="preserve"> </w:t>
      </w:r>
      <w:r w:rsidRPr="008E1555">
        <w:rPr>
          <w:rFonts w:cstheme="minorHAnsi"/>
          <w:color w:val="3E60F2"/>
          <w:lang w:val="en"/>
        </w:rPr>
        <w:t>We identify an admission to an LTCH based on the inpatient claims with the third character of CMS Certification Number (CCN) equal to "W", or with last four digits of CCN that fall within the range of 2000-2299.[1]</w:t>
      </w:r>
      <w:r w:rsidRPr="00B16EBF">
        <w:rPr>
          <w:rFonts w:cstheme="minorHAnsi"/>
          <w:color w:val="3E60F2"/>
          <w:lang w:val="en"/>
        </w:rPr>
        <w:t xml:space="preserve"> </w:t>
      </w:r>
    </w:p>
    <w:p w:rsidR="00EA4D9F" w:rsidRPr="00B16EBF" w:rsidRDefault="00EA4D9F" w:rsidP="00EA4D9F">
      <w:pPr>
        <w:rPr>
          <w:rFonts w:cstheme="minorHAnsi"/>
          <w:color w:val="3E60F2"/>
          <w:lang w:val="en"/>
        </w:rPr>
      </w:pPr>
      <w:r w:rsidRPr="007E3B8C">
        <w:rPr>
          <w:rFonts w:cstheme="minorHAnsi"/>
          <w:color w:val="3E60F2"/>
          <w:lang w:val="en"/>
        </w:rPr>
        <w:t>The MSPB-PAC LTCH measure allow</w:t>
      </w:r>
      <w:r>
        <w:rPr>
          <w:rFonts w:cstheme="minorHAnsi"/>
          <w:color w:val="3E60F2"/>
          <w:lang w:val="en"/>
        </w:rPr>
        <w:t>s</w:t>
      </w:r>
      <w:r w:rsidRPr="007E3B8C">
        <w:rPr>
          <w:rFonts w:cstheme="minorHAnsi"/>
          <w:color w:val="3E60F2"/>
          <w:lang w:val="en"/>
        </w:rPr>
        <w:t xml:space="preserve"> different types of claims to trigger different episodes, reflecting differences in payment policy and beneficiaries’ underlying health characteristics. In the LTCH setting, the dual payment rate structure</w:t>
      </w:r>
      <w:r>
        <w:rPr>
          <w:rFonts w:cstheme="minorHAnsi"/>
          <w:color w:val="3E60F2"/>
          <w:lang w:val="en"/>
        </w:rPr>
        <w:t>,</w:t>
      </w:r>
      <w:r w:rsidRPr="007E3B8C">
        <w:rPr>
          <w:rFonts w:cstheme="minorHAnsi"/>
          <w:color w:val="3E60F2"/>
          <w:lang w:val="en"/>
        </w:rPr>
        <w:t xml:space="preserve"> as detailed in the FY 2016 LTCH PPS Final Rule</w:t>
      </w:r>
      <w:r>
        <w:rPr>
          <w:rFonts w:cstheme="minorHAnsi"/>
          <w:color w:val="3E60F2"/>
          <w:lang w:val="en"/>
        </w:rPr>
        <w:t>,</w:t>
      </w:r>
      <w:r w:rsidRPr="007E3B8C">
        <w:rPr>
          <w:rFonts w:cstheme="minorHAnsi"/>
          <w:color w:val="3E60F2"/>
          <w:lang w:val="en"/>
        </w:rPr>
        <w:t xml:space="preserve"> distinguishes between standard payment rate cases and site neutral payment rate cases.</w:t>
      </w:r>
      <w:r w:rsidRPr="000F486C">
        <w:rPr>
          <w:rFonts w:cstheme="minorHAnsi"/>
          <w:color w:val="3E60F2"/>
          <w:lang w:val="en"/>
        </w:rPr>
        <w:t>[2]</w:t>
      </w:r>
      <w:r>
        <w:rPr>
          <w:rFonts w:cstheme="minorHAnsi"/>
          <w:color w:val="3E60F2"/>
          <w:lang w:val="en"/>
        </w:rPr>
        <w:t xml:space="preserve"> </w:t>
      </w:r>
      <w:r w:rsidRPr="007E3B8C">
        <w:rPr>
          <w:rFonts w:cstheme="minorHAnsi"/>
          <w:color w:val="3E60F2"/>
          <w:lang w:val="en"/>
        </w:rPr>
        <w:t xml:space="preserve">A standard payment rate case is one that is not a psychiatric or rehabilitation </w:t>
      </w:r>
      <w:r w:rsidRPr="007151BB">
        <w:rPr>
          <w:rFonts w:cstheme="minorHAnsi"/>
          <w:color w:val="3E60F2"/>
          <w:lang w:val="en"/>
        </w:rPr>
        <w:t>Medicare Severity Long-Term Care Diagnosis-Related Group (MS-LTC-DRG)</w:t>
      </w:r>
      <w:r w:rsidRPr="007E3B8C">
        <w:rPr>
          <w:rFonts w:cstheme="minorHAnsi"/>
          <w:color w:val="3E60F2"/>
          <w:lang w:val="en"/>
        </w:rPr>
        <w:t xml:space="preserve">, is immediately preceded by an acute care hospital stay, and either </w:t>
      </w:r>
      <w:r>
        <w:rPr>
          <w:rFonts w:cstheme="minorHAnsi"/>
          <w:color w:val="3E60F2"/>
          <w:lang w:val="en"/>
        </w:rPr>
        <w:t xml:space="preserve">(i) </w:t>
      </w:r>
      <w:r w:rsidRPr="007E3B8C">
        <w:rPr>
          <w:rFonts w:cstheme="minorHAnsi"/>
          <w:color w:val="3E60F2"/>
          <w:lang w:val="en"/>
        </w:rPr>
        <w:t>the acute care hospital stay included at least 3 days in intensive care unit (ICU) or coronary care unit (CCU) or</w:t>
      </w:r>
      <w:r>
        <w:rPr>
          <w:rFonts w:cstheme="minorHAnsi"/>
          <w:color w:val="3E60F2"/>
          <w:lang w:val="en"/>
        </w:rPr>
        <w:t xml:space="preserve"> (ii)</w:t>
      </w:r>
      <w:r w:rsidRPr="007E3B8C">
        <w:rPr>
          <w:rFonts w:cstheme="minorHAnsi"/>
          <w:color w:val="3E60F2"/>
          <w:lang w:val="en"/>
        </w:rPr>
        <w:t xml:space="preserve"> the beneficiary received 96+ hours of ventilator services. A site neutral payment rate case is one that does not meet the definition of a standard payment rate case.</w:t>
      </w:r>
      <w:r>
        <w:rPr>
          <w:rFonts w:cstheme="minorHAnsi"/>
          <w:color w:val="3E60F2"/>
          <w:lang w:val="en"/>
        </w:rPr>
        <w:t xml:space="preserve"> </w:t>
      </w:r>
      <w:r w:rsidRPr="00F63AFC">
        <w:rPr>
          <w:rFonts w:cstheme="minorHAnsi"/>
          <w:color w:val="3E60F2"/>
          <w:lang w:val="en"/>
        </w:rPr>
        <w:t>A standard payment rate case triggers an MSPB-PAC LTCH Standard episode</w:t>
      </w:r>
      <w:r>
        <w:rPr>
          <w:rFonts w:cstheme="minorHAnsi"/>
          <w:color w:val="3E60F2"/>
          <w:lang w:val="en"/>
        </w:rPr>
        <w:t>,</w:t>
      </w:r>
      <w:r w:rsidRPr="00F63AFC">
        <w:rPr>
          <w:rFonts w:cstheme="minorHAnsi"/>
          <w:color w:val="3E60F2"/>
          <w:lang w:val="en"/>
        </w:rPr>
        <w:t xml:space="preserve"> while a site neutral payment rate case triggers an MSPB-PAC LTCH Site Neutral episode. LTCH Standard and Site Neutral episodes are compared only with LTCH Standard and Site Neutral episodes, respectively, to ensure that the measure is making fair comparisons between clinically similar beneficiaries.</w:t>
      </w:r>
    </w:p>
    <w:p w:rsidR="00EA4D9F" w:rsidRPr="00B16EBF" w:rsidRDefault="00EA4D9F" w:rsidP="00EA4D9F">
      <w:pPr>
        <w:rPr>
          <w:rFonts w:cstheme="minorHAnsi"/>
          <w:color w:val="3E60F2"/>
          <w:lang w:val="en"/>
        </w:rPr>
      </w:pPr>
      <w:r w:rsidRPr="00DB12E7">
        <w:rPr>
          <w:rFonts w:cstheme="minorHAnsi"/>
          <w:i/>
          <w:color w:val="3E60F2"/>
          <w:lang w:val="en"/>
        </w:rPr>
        <w:t>Episode Window.</w:t>
      </w:r>
      <w:r w:rsidRPr="00B16EBF">
        <w:rPr>
          <w:rFonts w:cstheme="minorHAnsi"/>
          <w:color w:val="3E60F2"/>
          <w:lang w:val="en"/>
        </w:rPr>
        <w:t xml:space="preserve"> The episode window consists of a treatment period and an associated services period. </w:t>
      </w:r>
    </w:p>
    <w:p w:rsidR="00EA4D9F" w:rsidRPr="00DB12E7" w:rsidRDefault="00EA4D9F" w:rsidP="00EA4D9F">
      <w:pPr>
        <w:rPr>
          <w:rStyle w:val="Style1"/>
          <w:rFonts w:eastAsia="Trebuchet MS" w:cstheme="minorHAnsi"/>
          <w:color w:val="3E60F2"/>
        </w:rPr>
      </w:pPr>
      <w:r w:rsidRPr="00DB12E7">
        <w:rPr>
          <w:rFonts w:cstheme="minorHAnsi"/>
          <w:i/>
          <w:color w:val="3E60F2"/>
          <w:lang w:val="en"/>
        </w:rPr>
        <w:t>Treatment Period.</w:t>
      </w:r>
      <w:r w:rsidRPr="00B16EBF">
        <w:rPr>
          <w:rFonts w:cstheme="minorHAnsi"/>
          <w:color w:val="3E60F2"/>
          <w:lang w:val="en"/>
        </w:rPr>
        <w:t xml:space="preserve"> The treatment period of an </w:t>
      </w:r>
      <w:r>
        <w:rPr>
          <w:rFonts w:cstheme="minorHAnsi"/>
          <w:color w:val="3E60F2"/>
          <w:lang w:val="en"/>
        </w:rPr>
        <w:t xml:space="preserve">MSPB-PAC LTCH </w:t>
      </w:r>
      <w:r w:rsidRPr="00B16EBF">
        <w:rPr>
          <w:rFonts w:cstheme="minorHAnsi"/>
          <w:color w:val="3E60F2"/>
          <w:lang w:val="en"/>
        </w:rPr>
        <w:t xml:space="preserve">episode begins on the day of the trigger and ends at discharge. </w:t>
      </w:r>
      <w:r w:rsidRPr="00DB12E7" w:rsidDel="00582C86">
        <w:rPr>
          <w:rStyle w:val="Style1"/>
          <w:rFonts w:eastAsia="Trebuchet MS" w:cstheme="minorHAnsi"/>
          <w:color w:val="3E60F2"/>
        </w:rPr>
        <w:t xml:space="preserve">Readmissions </w:t>
      </w:r>
      <w:r w:rsidRPr="00DB12E7">
        <w:rPr>
          <w:rStyle w:val="Style1"/>
          <w:rFonts w:eastAsia="Trebuchet MS" w:cstheme="minorHAnsi"/>
          <w:color w:val="3E60F2"/>
        </w:rPr>
        <w:t xml:space="preserve">of the same patient </w:t>
      </w:r>
      <w:r w:rsidRPr="00DB12E7" w:rsidDel="00582C86">
        <w:rPr>
          <w:rStyle w:val="Style1"/>
          <w:rFonts w:eastAsia="Trebuchet MS" w:cstheme="minorHAnsi"/>
          <w:color w:val="3E60F2"/>
        </w:rPr>
        <w:t xml:space="preserve">to the same </w:t>
      </w:r>
      <w:r w:rsidRPr="00DB12E7">
        <w:rPr>
          <w:rStyle w:val="Style1"/>
          <w:rFonts w:eastAsia="Trebuchet MS" w:cstheme="minorHAnsi"/>
          <w:color w:val="3E60F2"/>
        </w:rPr>
        <w:t>provider</w:t>
      </w:r>
      <w:r w:rsidRPr="00DB12E7" w:rsidDel="00582C86">
        <w:rPr>
          <w:rStyle w:val="Style1"/>
          <w:rFonts w:eastAsia="Trebuchet MS" w:cstheme="minorHAnsi"/>
          <w:color w:val="3E60F2"/>
        </w:rPr>
        <w:t xml:space="preserve"> within 7 or fewer days </w:t>
      </w:r>
      <w:r w:rsidRPr="00DB12E7">
        <w:rPr>
          <w:rStyle w:val="Style1"/>
          <w:rFonts w:eastAsia="Trebuchet MS" w:cstheme="minorHAnsi"/>
          <w:color w:val="3E60F2"/>
        </w:rPr>
        <w:t xml:space="preserve">after discharge </w:t>
      </w:r>
      <w:r w:rsidRPr="00DB12E7" w:rsidDel="00582C86">
        <w:rPr>
          <w:rStyle w:val="Style1"/>
          <w:rFonts w:eastAsia="Trebuchet MS" w:cstheme="minorHAnsi"/>
          <w:color w:val="3E60F2"/>
        </w:rPr>
        <w:t>do not trigger a new episode and instead are included in the treatment period of the original episode</w:t>
      </w:r>
      <w:r w:rsidRPr="00DB12E7">
        <w:rPr>
          <w:rStyle w:val="Style1"/>
          <w:rFonts w:eastAsia="Trebuchet MS" w:cstheme="minorHAnsi"/>
          <w:color w:val="3E60F2"/>
        </w:rPr>
        <w:t xml:space="preserve"> to reflect the likelihood that these closely adjacent stays are related</w:t>
      </w:r>
      <w:r w:rsidRPr="00DB12E7" w:rsidDel="00582C86">
        <w:rPr>
          <w:rStyle w:val="Style1"/>
          <w:rFonts w:eastAsia="Trebuchet MS" w:cstheme="minorHAnsi"/>
          <w:color w:val="3E60F2"/>
        </w:rPr>
        <w:t xml:space="preserve">. </w:t>
      </w:r>
      <w:r w:rsidRPr="00DB12E7">
        <w:rPr>
          <w:rStyle w:val="Style1"/>
          <w:rFonts w:eastAsia="Trebuchet MS" w:cstheme="minorHAnsi"/>
          <w:color w:val="3E60F2"/>
        </w:rPr>
        <w:t>For gaps of 7 or fewer days, stays in the same setting with the same patient and provider are collapsed into one treatment period. For instance, w</w:t>
      </w:r>
      <w:r w:rsidRPr="00DB12E7" w:rsidDel="00582C86">
        <w:rPr>
          <w:rStyle w:val="Style1"/>
          <w:rFonts w:eastAsia="Trebuchet MS" w:cstheme="minorHAnsi"/>
          <w:color w:val="3E60F2"/>
        </w:rPr>
        <w:t xml:space="preserve">hen two sequential stays at the same </w:t>
      </w:r>
      <w:r>
        <w:rPr>
          <w:rStyle w:val="Style1"/>
          <w:rFonts w:eastAsia="Trebuchet MS" w:cstheme="minorHAnsi"/>
          <w:color w:val="3E60F2"/>
        </w:rPr>
        <w:t>LTCH</w:t>
      </w:r>
      <w:r w:rsidRPr="00DB12E7" w:rsidDel="00582C86">
        <w:rPr>
          <w:rStyle w:val="Style1"/>
          <w:rFonts w:eastAsia="Trebuchet MS" w:cstheme="minorHAnsi"/>
          <w:color w:val="3E60F2"/>
        </w:rPr>
        <w:t xml:space="preserve"> occur within 7 or fewer days of one another, the treatment period ends on the day of discharge for the latest </w:t>
      </w:r>
      <w:r>
        <w:rPr>
          <w:rStyle w:val="Style1"/>
          <w:rFonts w:eastAsia="Trebuchet MS" w:cstheme="minorHAnsi"/>
          <w:color w:val="3E60F2"/>
        </w:rPr>
        <w:t>LTCH</w:t>
      </w:r>
      <w:r w:rsidRPr="00DB12E7" w:rsidDel="00582C86">
        <w:rPr>
          <w:rStyle w:val="Style1"/>
          <w:rFonts w:eastAsia="Trebuchet MS" w:cstheme="minorHAnsi"/>
          <w:color w:val="3E60F2"/>
        </w:rPr>
        <w:t xml:space="preserve"> stay. The treatment period includes </w:t>
      </w:r>
      <w:r w:rsidRPr="00DB12E7">
        <w:rPr>
          <w:rStyle w:val="Style1"/>
          <w:rFonts w:eastAsia="Trebuchet MS" w:cstheme="minorHAnsi"/>
          <w:color w:val="3E60F2"/>
        </w:rPr>
        <w:t xml:space="preserve">Medicare Part A and Part B </w:t>
      </w:r>
      <w:r w:rsidRPr="00DB12E7" w:rsidDel="00582C86">
        <w:rPr>
          <w:rStyle w:val="Style1"/>
          <w:rFonts w:eastAsia="Trebuchet MS" w:cstheme="minorHAnsi"/>
          <w:color w:val="3E60F2"/>
        </w:rPr>
        <w:t xml:space="preserve">services </w:t>
      </w:r>
      <w:r w:rsidRPr="00DB12E7">
        <w:rPr>
          <w:rStyle w:val="Style1"/>
          <w:rFonts w:eastAsia="Trebuchet MS" w:cstheme="minorHAnsi"/>
          <w:color w:val="3E60F2"/>
        </w:rPr>
        <w:t xml:space="preserve">delivered to a beneficiary </w:t>
      </w:r>
      <w:r w:rsidRPr="00DB12E7" w:rsidDel="00582C86">
        <w:rPr>
          <w:rStyle w:val="Style1"/>
          <w:rFonts w:eastAsia="Trebuchet MS" w:cstheme="minorHAnsi"/>
          <w:color w:val="3E60F2"/>
        </w:rPr>
        <w:t xml:space="preserve">that are provided directly or </w:t>
      </w:r>
      <w:r w:rsidRPr="00DB12E7">
        <w:rPr>
          <w:rStyle w:val="Style1"/>
          <w:rFonts w:eastAsia="Trebuchet MS" w:cstheme="minorHAnsi"/>
          <w:color w:val="3E60F2"/>
        </w:rPr>
        <w:t xml:space="preserve">could </w:t>
      </w:r>
      <w:r w:rsidRPr="00DB12E7" w:rsidDel="00582C86">
        <w:rPr>
          <w:rStyle w:val="Style1"/>
          <w:rFonts w:eastAsia="Trebuchet MS" w:cstheme="minorHAnsi"/>
          <w:color w:val="3E60F2"/>
        </w:rPr>
        <w:t xml:space="preserve">reasonably </w:t>
      </w:r>
      <w:r w:rsidRPr="00DB12E7">
        <w:rPr>
          <w:rStyle w:val="Style1"/>
          <w:rFonts w:eastAsia="Trebuchet MS" w:cstheme="minorHAnsi"/>
          <w:color w:val="3E60F2"/>
        </w:rPr>
        <w:t xml:space="preserve">have been managed </w:t>
      </w:r>
      <w:r w:rsidRPr="00DB12E7" w:rsidDel="00582C86">
        <w:rPr>
          <w:rStyle w:val="Style1"/>
          <w:rFonts w:eastAsia="Trebuchet MS" w:cstheme="minorHAnsi"/>
          <w:color w:val="3E60F2"/>
        </w:rPr>
        <w:t xml:space="preserve">by the </w:t>
      </w:r>
      <w:r w:rsidRPr="00DB12E7">
        <w:rPr>
          <w:rStyle w:val="Style1"/>
          <w:rFonts w:eastAsia="Trebuchet MS" w:cstheme="minorHAnsi"/>
          <w:color w:val="3E60F2"/>
        </w:rPr>
        <w:t xml:space="preserve">attributed </w:t>
      </w:r>
      <w:r>
        <w:rPr>
          <w:rStyle w:val="Style1"/>
          <w:rFonts w:eastAsia="Trebuchet MS" w:cstheme="minorHAnsi"/>
          <w:color w:val="3E60F2"/>
        </w:rPr>
        <w:t>LTCH</w:t>
      </w:r>
      <w:r w:rsidRPr="00DB12E7" w:rsidDel="00582C86">
        <w:rPr>
          <w:rStyle w:val="Style1"/>
          <w:rFonts w:eastAsia="Trebuchet MS" w:cstheme="minorHAnsi"/>
          <w:color w:val="3E60F2"/>
        </w:rPr>
        <w:t xml:space="preserve"> provider</w:t>
      </w:r>
      <w:r w:rsidRPr="00DB12E7">
        <w:rPr>
          <w:rStyle w:val="Style1"/>
          <w:rFonts w:eastAsia="Trebuchet MS" w:cstheme="minorHAnsi"/>
          <w:color w:val="3E60F2"/>
        </w:rPr>
        <w:t xml:space="preserve">, and that are </w:t>
      </w:r>
      <w:r w:rsidRPr="00DB12E7" w:rsidDel="00582C86">
        <w:rPr>
          <w:rStyle w:val="Style1"/>
          <w:rFonts w:eastAsia="Trebuchet MS" w:cstheme="minorHAnsi"/>
          <w:color w:val="3E60F2"/>
        </w:rPr>
        <w:t xml:space="preserve">related to the beneficiary’s </w:t>
      </w:r>
      <w:r w:rsidRPr="00774246" w:rsidDel="00582C86">
        <w:rPr>
          <w:rStyle w:val="Style1"/>
          <w:rFonts w:eastAsia="Trebuchet MS" w:cstheme="minorHAnsi"/>
          <w:color w:val="3E60F2"/>
        </w:rPr>
        <w:t>care plan.</w:t>
      </w:r>
      <w:r w:rsidRPr="00774246">
        <w:rPr>
          <w:rStyle w:val="Style1"/>
          <w:rFonts w:eastAsia="Trebuchet MS" w:cstheme="minorHAnsi"/>
          <w:color w:val="3E60F2"/>
        </w:rPr>
        <w:t xml:space="preserve"> </w:t>
      </w:r>
      <w:r w:rsidRPr="00EA118F">
        <w:rPr>
          <w:rStyle w:val="Style1"/>
          <w:rFonts w:eastAsia="Trebuchet MS" w:cstheme="minorHAnsi"/>
          <w:color w:val="3E60F2"/>
        </w:rPr>
        <w:t xml:space="preserve">Treatment services occurring on the first day of </w:t>
      </w:r>
      <w:r>
        <w:rPr>
          <w:rStyle w:val="Style1"/>
          <w:rFonts w:eastAsia="Trebuchet MS" w:cstheme="minorHAnsi"/>
          <w:color w:val="3E60F2"/>
        </w:rPr>
        <w:t xml:space="preserve">MSPB-PAC LTCH </w:t>
      </w:r>
      <w:r w:rsidRPr="00EA118F">
        <w:rPr>
          <w:rStyle w:val="Style1"/>
          <w:rFonts w:eastAsia="Trebuchet MS" w:cstheme="minorHAnsi"/>
          <w:color w:val="3E60F2"/>
        </w:rPr>
        <w:t xml:space="preserve">episodes are subject to exclusions related to prior institutional care, including ambulance transport to the attributed </w:t>
      </w:r>
      <w:r>
        <w:rPr>
          <w:rStyle w:val="Style1"/>
          <w:rFonts w:eastAsia="Trebuchet MS" w:cstheme="minorHAnsi"/>
          <w:color w:val="3E60F2"/>
        </w:rPr>
        <w:t>LTCH</w:t>
      </w:r>
      <w:r w:rsidRPr="00EA118F">
        <w:rPr>
          <w:rStyle w:val="Style1"/>
          <w:rFonts w:eastAsia="Trebuchet MS" w:cstheme="minorHAnsi"/>
          <w:color w:val="3E60F2"/>
        </w:rPr>
        <w:t xml:space="preserve"> facility</w:t>
      </w:r>
      <w:r>
        <w:rPr>
          <w:rStyle w:val="Style1"/>
          <w:rFonts w:eastAsia="Trebuchet MS" w:cstheme="minorHAnsi"/>
          <w:color w:val="3E60F2"/>
        </w:rPr>
        <w:t xml:space="preserve"> and </w:t>
      </w:r>
      <w:r w:rsidRPr="00AA1D2C">
        <w:rPr>
          <w:color w:val="3E60F2"/>
        </w:rPr>
        <w:t xml:space="preserve">durable medical equipment, prosthetics, orthotics, and supplies </w:t>
      </w:r>
      <w:r w:rsidRPr="00AA1D2C">
        <w:rPr>
          <w:color w:val="3E60F2"/>
        </w:rPr>
        <w:lastRenderedPageBreak/>
        <w:t xml:space="preserve">(DMEPOS) </w:t>
      </w:r>
      <w:r w:rsidRPr="00774246">
        <w:rPr>
          <w:rStyle w:val="Style1"/>
          <w:rFonts w:eastAsia="Trebuchet MS" w:cstheme="minorHAnsi"/>
          <w:color w:val="3E60F2"/>
        </w:rPr>
        <w:t xml:space="preserve">orders preceding the patient’s </w:t>
      </w:r>
      <w:r w:rsidRPr="00DB12E7">
        <w:rPr>
          <w:rStyle w:val="Style1"/>
          <w:rFonts w:eastAsia="Trebuchet MS" w:cstheme="minorHAnsi"/>
          <w:color w:val="3E60F2"/>
        </w:rPr>
        <w:t xml:space="preserve">admission to the </w:t>
      </w:r>
      <w:r>
        <w:rPr>
          <w:rStyle w:val="Style1"/>
          <w:rFonts w:eastAsia="Trebuchet MS" w:cstheme="minorHAnsi"/>
          <w:color w:val="3E60F2"/>
        </w:rPr>
        <w:t>LTCH</w:t>
      </w:r>
      <w:r w:rsidRPr="00DB12E7">
        <w:rPr>
          <w:rStyle w:val="Style1"/>
          <w:rFonts w:eastAsia="Trebuchet MS" w:cstheme="minorHAnsi"/>
          <w:color w:val="3E60F2"/>
        </w:rPr>
        <w:t>.</w:t>
      </w:r>
      <w:r w:rsidRPr="00DB12E7">
        <w:rPr>
          <w:color w:val="3E60F2"/>
        </w:rPr>
        <w:t xml:space="preserve"> </w:t>
      </w:r>
      <w:r w:rsidRPr="00DB12E7">
        <w:rPr>
          <w:rStyle w:val="Style1"/>
          <w:rFonts w:eastAsia="Trebuchet MS" w:cstheme="minorHAnsi"/>
          <w:color w:val="3E60F2"/>
        </w:rPr>
        <w:t xml:space="preserve">Treatment services are also subject to exclusions for particular services that are clinically unrelated to PAC treatment, as described in </w:t>
      </w:r>
      <w:r w:rsidRPr="00DB12E7">
        <w:rPr>
          <w:rStyle w:val="Style1"/>
          <w:rFonts w:eastAsia="Trebuchet MS" w:cstheme="minorHAnsi"/>
          <w:b/>
          <w:color w:val="3E60F2"/>
        </w:rPr>
        <w:t>section S.9.1</w:t>
      </w:r>
      <w:r w:rsidRPr="00DB12E7">
        <w:rPr>
          <w:rStyle w:val="Style1"/>
          <w:rFonts w:eastAsia="Trebuchet MS" w:cstheme="minorHAnsi"/>
          <w:color w:val="3E60F2"/>
        </w:rPr>
        <w:t xml:space="preserve">, below.  </w:t>
      </w:r>
      <w:r w:rsidRPr="00DB12E7" w:rsidDel="00582C86">
        <w:rPr>
          <w:rStyle w:val="Style1"/>
          <w:rFonts w:eastAsia="Trebuchet MS" w:cstheme="minorHAnsi"/>
          <w:color w:val="3E60F2"/>
        </w:rPr>
        <w:t xml:space="preserve"> </w:t>
      </w:r>
    </w:p>
    <w:p w:rsidR="00EA4D9F" w:rsidRPr="00B16EBF" w:rsidRDefault="00EA4D9F" w:rsidP="00EA4D9F">
      <w:pPr>
        <w:spacing w:line="276" w:lineRule="auto"/>
        <w:rPr>
          <w:rStyle w:val="Style1"/>
          <w:rFonts w:eastAsia="Trebuchet MS" w:cstheme="minorHAnsi"/>
          <w:color w:val="3E60F2"/>
        </w:rPr>
      </w:pPr>
      <w:r w:rsidRPr="00B16EBF">
        <w:rPr>
          <w:noProof/>
          <w:color w:val="3E60F2"/>
        </w:rPr>
        <w:drawing>
          <wp:inline distT="0" distB="0" distL="0" distR="0" wp14:anchorId="1FB40496" wp14:editId="5820ABC8">
            <wp:extent cx="5943600" cy="25349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2534920"/>
                    </a:xfrm>
                    <a:prstGeom prst="rect">
                      <a:avLst/>
                    </a:prstGeom>
                  </pic:spPr>
                </pic:pic>
              </a:graphicData>
            </a:graphic>
          </wp:inline>
        </w:drawing>
      </w:r>
    </w:p>
    <w:p w:rsidR="00EA4D9F" w:rsidRPr="00B92460" w:rsidRDefault="00EA4D9F" w:rsidP="00EA4D9F">
      <w:pPr>
        <w:spacing w:line="276" w:lineRule="auto"/>
        <w:rPr>
          <w:rStyle w:val="Style1"/>
          <w:rFonts w:eastAsia="Trebuchet MS" w:cstheme="minorHAnsi"/>
          <w:color w:val="3E60F2"/>
        </w:rPr>
      </w:pPr>
      <w:r w:rsidRPr="00774246">
        <w:rPr>
          <w:rFonts w:cstheme="minorHAnsi"/>
          <w:i/>
          <w:color w:val="3E60F2"/>
          <w:lang w:val="en"/>
        </w:rPr>
        <w:t>Associated Services Period.</w:t>
      </w:r>
      <w:r w:rsidRPr="00774246">
        <w:rPr>
          <w:rFonts w:cstheme="minorHAnsi"/>
          <w:color w:val="3E60F2"/>
          <w:lang w:val="en"/>
        </w:rPr>
        <w:t xml:space="preserve"> </w:t>
      </w:r>
      <w:r w:rsidRPr="00B92460">
        <w:rPr>
          <w:rFonts w:cstheme="minorHAnsi"/>
          <w:color w:val="3E60F2"/>
          <w:lang w:val="en"/>
        </w:rPr>
        <w:t xml:space="preserve">The associated services period starts at the trigger event for each of the </w:t>
      </w:r>
      <w:r>
        <w:rPr>
          <w:rFonts w:cstheme="minorHAnsi"/>
          <w:color w:val="3E60F2"/>
          <w:lang w:val="en"/>
        </w:rPr>
        <w:t xml:space="preserve">MSPB-PAC LTCH </w:t>
      </w:r>
      <w:r w:rsidRPr="00B92460">
        <w:rPr>
          <w:rFonts w:cstheme="minorHAnsi"/>
          <w:color w:val="3E60F2"/>
          <w:lang w:val="en"/>
        </w:rPr>
        <w:t xml:space="preserve">episodes, and ends 30 days after the end of the treatment period. The associated services period is the time during which all non-treatment services are counted towards the episode (associated services). Such services are associated with </w:t>
      </w:r>
      <w:r>
        <w:rPr>
          <w:rFonts w:cstheme="minorHAnsi"/>
          <w:color w:val="3E60F2"/>
          <w:lang w:val="en"/>
        </w:rPr>
        <w:t>LTCH</w:t>
      </w:r>
      <w:r w:rsidRPr="00B92460">
        <w:rPr>
          <w:rFonts w:cstheme="minorHAnsi"/>
          <w:color w:val="3E60F2"/>
          <w:lang w:val="en"/>
        </w:rPr>
        <w:t xml:space="preserve"> care but are not provided directly, or could </w:t>
      </w:r>
      <w:r>
        <w:rPr>
          <w:rFonts w:cstheme="minorHAnsi"/>
          <w:color w:val="3E60F2"/>
          <w:lang w:val="en"/>
        </w:rPr>
        <w:t xml:space="preserve">not </w:t>
      </w:r>
      <w:r w:rsidRPr="00B92460">
        <w:rPr>
          <w:rFonts w:cstheme="minorHAnsi"/>
          <w:color w:val="3E60F2"/>
          <w:lang w:val="en"/>
        </w:rPr>
        <w:t xml:space="preserve">reasonably have been managed by the attributed provider. For instance, an associated service includes an acute inpatient hospital admission for a complication arising during or after </w:t>
      </w:r>
      <w:r>
        <w:rPr>
          <w:rFonts w:cstheme="minorHAnsi"/>
          <w:color w:val="3E60F2"/>
          <w:lang w:val="en"/>
        </w:rPr>
        <w:t>LTCH</w:t>
      </w:r>
      <w:r w:rsidRPr="00B92460">
        <w:rPr>
          <w:rFonts w:cstheme="minorHAnsi"/>
          <w:color w:val="3E60F2"/>
          <w:lang w:val="en"/>
        </w:rPr>
        <w:t xml:space="preserve"> treatment. The Medicare spending for all Part A and Part B services during the associated services period are counted toward the episode, with exceptions for clinically unrelated services, as described in </w:t>
      </w:r>
      <w:r w:rsidRPr="00B92460">
        <w:rPr>
          <w:rFonts w:cstheme="minorHAnsi"/>
          <w:b/>
          <w:color w:val="3E60F2"/>
          <w:lang w:val="en"/>
        </w:rPr>
        <w:t xml:space="preserve">section </w:t>
      </w:r>
      <w:r w:rsidRPr="00B92460">
        <w:rPr>
          <w:rStyle w:val="Style1"/>
          <w:rFonts w:eastAsia="Trebuchet MS" w:cstheme="minorHAnsi"/>
          <w:b/>
          <w:color w:val="3E60F2"/>
        </w:rPr>
        <w:t>S.9.1</w:t>
      </w:r>
      <w:r w:rsidRPr="00B92460">
        <w:rPr>
          <w:rStyle w:val="Style1"/>
          <w:rFonts w:eastAsia="Trebuchet MS" w:cstheme="minorHAnsi"/>
          <w:color w:val="3E60F2"/>
        </w:rPr>
        <w:t>, below.</w:t>
      </w:r>
    </w:p>
    <w:p w:rsidR="00EA4D9F" w:rsidRPr="00774246" w:rsidRDefault="00EA4D9F" w:rsidP="00EA4D9F">
      <w:pPr>
        <w:spacing w:line="276" w:lineRule="auto"/>
        <w:rPr>
          <w:rStyle w:val="Style1"/>
          <w:rFonts w:eastAsia="Trebuchet MS" w:cstheme="minorHAnsi"/>
          <w:color w:val="3E60F2"/>
        </w:rPr>
      </w:pPr>
      <w:r w:rsidRPr="00B92460">
        <w:rPr>
          <w:rStyle w:val="Style1"/>
          <w:rFonts w:eastAsia="Trebuchet MS" w:cstheme="minorHAnsi"/>
          <w:i/>
          <w:color w:val="3E60F2"/>
        </w:rPr>
        <w:t xml:space="preserve">Closing Episodes. </w:t>
      </w:r>
      <w:r>
        <w:rPr>
          <w:rStyle w:val="Style1"/>
          <w:rFonts w:eastAsia="Trebuchet MS" w:cstheme="minorHAnsi"/>
          <w:color w:val="3E60F2"/>
        </w:rPr>
        <w:t>MSPB-PAC LTCH</w:t>
      </w:r>
      <w:r w:rsidRPr="00B92460">
        <w:rPr>
          <w:rStyle w:val="Style1"/>
          <w:rFonts w:eastAsia="Trebuchet MS" w:cstheme="minorHAnsi"/>
          <w:color w:val="3E60F2"/>
        </w:rPr>
        <w:t xml:space="preserve"> episodes end </w:t>
      </w:r>
      <w:r w:rsidRPr="00B92460">
        <w:rPr>
          <w:rFonts w:cstheme="minorHAnsi"/>
          <w:color w:val="3E60F2"/>
          <w:lang w:val="en"/>
        </w:rPr>
        <w:t>30 days after discharge from the facility. The full payment for all claims that begin within the episode window is counted toward the episode</w:t>
      </w:r>
      <w:r>
        <w:rPr>
          <w:rFonts w:cstheme="minorHAnsi"/>
          <w:color w:val="3E60F2"/>
          <w:lang w:val="en"/>
        </w:rPr>
        <w:t>; this is done</w:t>
      </w:r>
      <w:r w:rsidRPr="00B92460">
        <w:rPr>
          <w:rFonts w:cstheme="minorHAnsi"/>
          <w:color w:val="3E60F2"/>
          <w:lang w:val="en"/>
        </w:rPr>
        <w:t xml:space="preserve"> to maintain consistency with the MSPB</w:t>
      </w:r>
      <w:r>
        <w:rPr>
          <w:rFonts w:cstheme="minorHAnsi"/>
          <w:color w:val="3E60F2"/>
          <w:lang w:val="en"/>
        </w:rPr>
        <w:t>-Hospital</w:t>
      </w:r>
      <w:r w:rsidRPr="00B92460">
        <w:rPr>
          <w:rFonts w:cstheme="minorHAnsi"/>
          <w:color w:val="3E60F2"/>
          <w:lang w:val="en"/>
        </w:rPr>
        <w:t xml:space="preserve"> measure (NQF #2158) and to fairly assign payment to the episode for Medicare claims paid on a prospective payment system, regardless of </w:t>
      </w:r>
      <w:r>
        <w:rPr>
          <w:rFonts w:cstheme="minorHAnsi"/>
          <w:color w:val="3E60F2"/>
          <w:lang w:val="en"/>
        </w:rPr>
        <w:t>episode</w:t>
      </w:r>
      <w:r w:rsidRPr="00774246">
        <w:rPr>
          <w:rFonts w:cstheme="minorHAnsi"/>
          <w:color w:val="3E60F2"/>
          <w:lang w:val="en"/>
        </w:rPr>
        <w:t xml:space="preserve"> length. </w:t>
      </w:r>
    </w:p>
    <w:p w:rsidR="00EA4D9F" w:rsidRPr="00B92460" w:rsidRDefault="00EA4D9F" w:rsidP="00EA4D9F">
      <w:pPr>
        <w:spacing w:line="276" w:lineRule="auto"/>
        <w:rPr>
          <w:rStyle w:val="Style1"/>
          <w:rFonts w:eastAsia="Trebuchet MS" w:cstheme="minorHAnsi"/>
          <w:color w:val="3E60F2"/>
        </w:rPr>
      </w:pPr>
      <w:r w:rsidRPr="00B92460">
        <w:rPr>
          <w:rStyle w:val="Style1"/>
          <w:rFonts w:eastAsia="Trebuchet MS" w:cstheme="minorHAnsi"/>
          <w:color w:val="3E60F2"/>
        </w:rPr>
        <w:t xml:space="preserve">An </w:t>
      </w:r>
      <w:r>
        <w:rPr>
          <w:rStyle w:val="Style1"/>
          <w:rFonts w:eastAsia="Trebuchet MS" w:cstheme="minorHAnsi"/>
          <w:color w:val="3E60F2"/>
        </w:rPr>
        <w:t>MSPB-PAC LTCH</w:t>
      </w:r>
      <w:r w:rsidRPr="00B92460">
        <w:rPr>
          <w:rStyle w:val="Style1"/>
          <w:rFonts w:eastAsia="Trebuchet MS" w:cstheme="minorHAnsi"/>
          <w:color w:val="3E60F2"/>
        </w:rPr>
        <w:t xml:space="preserve"> episode may begin during the associated services period of another </w:t>
      </w:r>
      <w:r>
        <w:rPr>
          <w:rStyle w:val="Style1"/>
          <w:rFonts w:eastAsia="Trebuchet MS" w:cstheme="minorHAnsi"/>
          <w:color w:val="3E60F2"/>
        </w:rPr>
        <w:t>MSPB-PAC LTCH</w:t>
      </w:r>
      <w:r w:rsidRPr="00B92460">
        <w:rPr>
          <w:rStyle w:val="Style1"/>
          <w:rFonts w:eastAsia="Trebuchet MS" w:cstheme="minorHAnsi"/>
          <w:color w:val="3E60F2"/>
        </w:rPr>
        <w:t xml:space="preserve"> episode in the 30 days post-treatment. See </w:t>
      </w:r>
      <w:r w:rsidRPr="00B92460">
        <w:rPr>
          <w:rStyle w:val="Style1"/>
          <w:rFonts w:eastAsia="Trebuchet MS" w:cstheme="minorHAnsi"/>
          <w:b/>
          <w:bCs/>
          <w:color w:val="3E60F2"/>
        </w:rPr>
        <w:t xml:space="preserve">section S.7.3 </w:t>
      </w:r>
      <w:r w:rsidRPr="00B92460">
        <w:rPr>
          <w:rStyle w:val="Style1"/>
          <w:rFonts w:eastAsia="Trebuchet MS" w:cstheme="minorHAnsi"/>
          <w:color w:val="3E60F2"/>
        </w:rPr>
        <w:t xml:space="preserve">for examples of situations in which this occurs and how it is handled in the </w:t>
      </w:r>
      <w:r>
        <w:rPr>
          <w:rStyle w:val="Style1"/>
          <w:rFonts w:eastAsia="Trebuchet MS" w:cstheme="minorHAnsi"/>
          <w:color w:val="3E60F2"/>
        </w:rPr>
        <w:t>MSPB-PAC LTCH</w:t>
      </w:r>
      <w:r w:rsidRPr="00B92460">
        <w:rPr>
          <w:rStyle w:val="Style1"/>
          <w:rFonts w:eastAsia="Trebuchet MS" w:cstheme="minorHAnsi"/>
          <w:color w:val="3E60F2"/>
        </w:rPr>
        <w:t xml:space="preserve"> measure. </w:t>
      </w:r>
    </w:p>
    <w:p w:rsidR="00EA4D9F" w:rsidRDefault="00EA4D9F" w:rsidP="00EA4D9F">
      <w:pPr>
        <w:spacing w:line="276" w:lineRule="auto"/>
        <w:rPr>
          <w:rStyle w:val="Style1"/>
          <w:rFonts w:eastAsia="Trebuchet MS" w:cstheme="minorHAnsi"/>
          <w:b/>
          <w:color w:val="3E60F2"/>
        </w:rPr>
      </w:pPr>
      <w:r w:rsidRPr="00B92460">
        <w:rPr>
          <w:rStyle w:val="Style1"/>
          <w:rFonts w:eastAsia="Trebuchet MS" w:cstheme="minorHAnsi"/>
          <w:b/>
          <w:color w:val="3E60F2"/>
        </w:rPr>
        <w:t xml:space="preserve">Measure Calculation </w:t>
      </w:r>
    </w:p>
    <w:p w:rsidR="00EA4D9F" w:rsidRPr="00B92460" w:rsidRDefault="00EA4D9F" w:rsidP="00EA4D9F">
      <w:pPr>
        <w:spacing w:line="276" w:lineRule="auto"/>
        <w:rPr>
          <w:rStyle w:val="Style1"/>
          <w:rFonts w:eastAsia="Trebuchet MS" w:cstheme="minorHAnsi"/>
          <w:color w:val="3E60F2"/>
        </w:rPr>
      </w:pPr>
      <w:r w:rsidRPr="00B92460">
        <w:rPr>
          <w:rStyle w:val="Style1"/>
          <w:rFonts w:eastAsia="Trebuchet MS" w:cstheme="minorHAnsi"/>
          <w:color w:val="3E60F2"/>
        </w:rPr>
        <w:t xml:space="preserve">Certain episodes are excluded from the </w:t>
      </w:r>
      <w:r>
        <w:rPr>
          <w:rStyle w:val="Style1"/>
          <w:rFonts w:eastAsia="Trebuchet MS" w:cstheme="minorHAnsi"/>
          <w:color w:val="3E60F2"/>
        </w:rPr>
        <w:t>MSPB-PAC LTCH</w:t>
      </w:r>
      <w:r w:rsidRPr="00B92460">
        <w:rPr>
          <w:rStyle w:val="Style1"/>
          <w:rFonts w:eastAsia="Trebuchet MS" w:cstheme="minorHAnsi"/>
          <w:color w:val="3E60F2"/>
        </w:rPr>
        <w:t xml:space="preserve"> calculation to ensure that the measure facilitate</w:t>
      </w:r>
      <w:r>
        <w:rPr>
          <w:rStyle w:val="Style1"/>
          <w:rFonts w:eastAsia="Trebuchet MS" w:cstheme="minorHAnsi"/>
          <w:color w:val="3E60F2"/>
        </w:rPr>
        <w:t>s</w:t>
      </w:r>
      <w:r w:rsidRPr="00B92460">
        <w:rPr>
          <w:rStyle w:val="Style1"/>
          <w:rFonts w:eastAsia="Trebuchet MS" w:cstheme="minorHAnsi"/>
          <w:color w:val="3E60F2"/>
        </w:rPr>
        <w:t xml:space="preserve"> meaningful comparisons between </w:t>
      </w:r>
      <w:r>
        <w:rPr>
          <w:rStyle w:val="Style1"/>
          <w:rFonts w:eastAsia="Trebuchet MS" w:cstheme="minorHAnsi"/>
          <w:color w:val="3E60F2"/>
        </w:rPr>
        <w:t>LTCH</w:t>
      </w:r>
      <w:r w:rsidRPr="00B92460">
        <w:rPr>
          <w:rStyle w:val="Style1"/>
          <w:rFonts w:eastAsia="Trebuchet MS" w:cstheme="minorHAnsi"/>
          <w:color w:val="3E60F2"/>
        </w:rPr>
        <w:t xml:space="preserve"> providers. These exclusions are distinct from the exclusions for clinically unrelated services discussed above, which exclude a limited set of services from </w:t>
      </w:r>
      <w:r>
        <w:rPr>
          <w:rStyle w:val="Style1"/>
          <w:rFonts w:eastAsia="Trebuchet MS" w:cstheme="minorHAnsi"/>
          <w:color w:val="3E60F2"/>
        </w:rPr>
        <w:t xml:space="preserve">MSPB-PAC LTCH </w:t>
      </w:r>
      <w:r w:rsidRPr="00B92460">
        <w:rPr>
          <w:rStyle w:val="Style1"/>
          <w:rFonts w:eastAsia="Trebuchet MS" w:cstheme="minorHAnsi"/>
          <w:color w:val="3E60F2"/>
        </w:rPr>
        <w:t xml:space="preserve">episodes. In contrast, episode-level exclusions, discussed in </w:t>
      </w:r>
      <w:r w:rsidRPr="00B92460">
        <w:rPr>
          <w:rStyle w:val="Style1"/>
          <w:rFonts w:eastAsia="Trebuchet MS" w:cstheme="minorHAnsi"/>
          <w:b/>
          <w:color w:val="3E60F2"/>
        </w:rPr>
        <w:t>section S.9.1</w:t>
      </w:r>
      <w:r w:rsidRPr="00B92460">
        <w:rPr>
          <w:rStyle w:val="Style1"/>
          <w:rFonts w:eastAsia="Trebuchet MS" w:cstheme="minorHAnsi"/>
          <w:color w:val="3E60F2"/>
        </w:rPr>
        <w:t xml:space="preserve">, remove entire episodes from measure calculation when certain criteria are met. </w:t>
      </w:r>
    </w:p>
    <w:p w:rsidR="00EA4D9F" w:rsidRPr="00B92460" w:rsidRDefault="00EA4D9F" w:rsidP="00EA4D9F">
      <w:pPr>
        <w:spacing w:line="276" w:lineRule="auto"/>
        <w:rPr>
          <w:rFonts w:eastAsia="Trebuchet MS" w:cstheme="minorHAnsi"/>
          <w:color w:val="3E60F2"/>
        </w:rPr>
      </w:pPr>
      <w:r w:rsidRPr="00B92460">
        <w:rPr>
          <w:rStyle w:val="Style1"/>
          <w:rFonts w:eastAsia="Trebuchet MS" w:cstheme="minorHAnsi"/>
          <w:color w:val="3E60F2"/>
        </w:rPr>
        <w:lastRenderedPageBreak/>
        <w:t>After applying the episode-level exclusions, the measure can be calculated in the following steps</w:t>
      </w:r>
      <w:r>
        <w:rPr>
          <w:rStyle w:val="Style1"/>
          <w:rFonts w:eastAsia="Trebuchet MS" w:cstheme="minorHAnsi"/>
          <w:color w:val="3E60F2"/>
        </w:rPr>
        <w:t>:</w:t>
      </w:r>
    </w:p>
    <w:p w:rsidR="00EA4D9F" w:rsidRPr="00B92460" w:rsidRDefault="00EA4D9F" w:rsidP="00EA4D9F">
      <w:pPr>
        <w:ind w:left="1440" w:hanging="1440"/>
        <w:rPr>
          <w:rFonts w:cstheme="minorHAnsi"/>
          <w:color w:val="3E60F2"/>
        </w:rPr>
      </w:pPr>
      <w:r w:rsidRPr="00B92460">
        <w:rPr>
          <w:rFonts w:cstheme="minorHAnsi"/>
          <w:color w:val="3E60F2"/>
        </w:rPr>
        <w:t>Step 1:</w:t>
      </w:r>
      <w:r w:rsidRPr="00B92460">
        <w:rPr>
          <w:rFonts w:cstheme="minorHAnsi"/>
          <w:color w:val="3E60F2"/>
        </w:rPr>
        <w:tab/>
      </w:r>
      <w:r w:rsidRPr="00B92460">
        <w:rPr>
          <w:rFonts w:cstheme="minorHAnsi"/>
          <w:b/>
          <w:i/>
          <w:color w:val="3E60F2"/>
        </w:rPr>
        <w:t>Standardize Claim Payments.</w:t>
      </w:r>
      <w:r w:rsidRPr="00B92460">
        <w:rPr>
          <w:rFonts w:cstheme="minorHAnsi"/>
          <w:color w:val="3E60F2"/>
        </w:rPr>
        <w:t xml:space="preserve"> The first step in calculating the standardized payment for a claim is to eliminate variation in payments due to Medicare geographic adjustment factors and add-on payments for Medicare programs, such as indirect medical education (IME) and disproportionate share hospitals (DSH). The goal of this step is to remove sources of variation not directly related to decisions to provide clinical services. Payment standardization controls for geographic variation in healthcare payments,</w:t>
      </w:r>
      <w:r w:rsidRPr="00774246">
        <w:rPr>
          <w:rFonts w:cstheme="minorHAnsi"/>
          <w:color w:val="3E60F2"/>
        </w:rPr>
        <w:t xml:space="preserve"> such as the hospital wage index and geographic practice cost index (GPCI)</w:t>
      </w:r>
      <w:r>
        <w:rPr>
          <w:rFonts w:cstheme="minorHAnsi"/>
          <w:color w:val="3E60F2"/>
        </w:rPr>
        <w:t>.</w:t>
      </w:r>
      <w:r w:rsidRPr="00774246">
        <w:rPr>
          <w:rFonts w:cstheme="minorHAnsi"/>
          <w:color w:val="3E60F2"/>
        </w:rPr>
        <w:t>[</w:t>
      </w:r>
      <w:r>
        <w:rPr>
          <w:rFonts w:cstheme="minorHAnsi"/>
          <w:color w:val="3E60F2"/>
        </w:rPr>
        <w:t>3</w:t>
      </w:r>
      <w:r w:rsidRPr="00B92460">
        <w:rPr>
          <w:rFonts w:cstheme="minorHAnsi"/>
          <w:color w:val="3E60F2"/>
        </w:rPr>
        <w:t xml:space="preserve">] All payment data shown in the </w:t>
      </w:r>
      <w:r>
        <w:rPr>
          <w:rFonts w:cstheme="minorHAnsi"/>
          <w:color w:val="3E60F2"/>
        </w:rPr>
        <w:t>MSPB-PAC LTCH</w:t>
      </w:r>
      <w:r w:rsidRPr="00B92460">
        <w:rPr>
          <w:rFonts w:cstheme="minorHAnsi"/>
          <w:color w:val="3E60F2"/>
        </w:rPr>
        <w:t xml:space="preserve"> measure and supporting documentation reflect allowed amounts, which include both Medicare trust fund payments and beneficiary deductible and coinsurance. Bonus or penalty amounts due to Medicare quality reporting or other special programs are not included.                                                 </w:t>
      </w:r>
    </w:p>
    <w:p w:rsidR="00EA4D9F" w:rsidRPr="00B92460" w:rsidRDefault="00EA4D9F" w:rsidP="00EA4D9F">
      <w:pPr>
        <w:ind w:left="1440" w:hanging="1440"/>
        <w:rPr>
          <w:rFonts w:cstheme="minorHAnsi"/>
          <w:color w:val="3E60F2"/>
        </w:rPr>
      </w:pPr>
      <w:r w:rsidRPr="00B92460">
        <w:rPr>
          <w:rFonts w:cstheme="minorHAnsi"/>
          <w:color w:val="3E60F2"/>
        </w:rPr>
        <w:t>Step 2:</w:t>
      </w:r>
      <w:r w:rsidRPr="00B92460">
        <w:rPr>
          <w:rFonts w:cstheme="minorHAnsi"/>
          <w:color w:val="3E60F2"/>
        </w:rPr>
        <w:tab/>
      </w:r>
      <w:r w:rsidRPr="00B92460">
        <w:rPr>
          <w:rFonts w:cstheme="minorHAnsi"/>
          <w:b/>
          <w:i/>
          <w:color w:val="3E60F2"/>
        </w:rPr>
        <w:t>Calculate Standardized Episode Payments.</w:t>
      </w:r>
      <w:r w:rsidRPr="00B92460">
        <w:rPr>
          <w:rFonts w:cstheme="minorHAnsi"/>
          <w:color w:val="3E60F2"/>
        </w:rPr>
        <w:t xml:space="preserve"> Next, to prepare claims data for calculating risk-adjusted payments, standardized episode payments are calculated. For each episode, standardized payments </w:t>
      </w:r>
      <w:r>
        <w:rPr>
          <w:rFonts w:cstheme="minorHAnsi"/>
          <w:color w:val="3E60F2"/>
        </w:rPr>
        <w:t>include</w:t>
      </w:r>
      <w:r w:rsidRPr="00B92460">
        <w:rPr>
          <w:rFonts w:cstheme="minorHAnsi"/>
          <w:color w:val="3E60F2"/>
        </w:rPr>
        <w:t xml:space="preserve"> all standardized Medicare claims payments for services in the episode window,</w:t>
      </w:r>
      <w:r w:rsidRPr="00774246">
        <w:rPr>
          <w:rFonts w:cstheme="minorHAnsi"/>
          <w:color w:val="3E60F2"/>
        </w:rPr>
        <w:t xml:space="preserve"> as detailed in previous paragraphs</w:t>
      </w:r>
      <w:r w:rsidRPr="00B92460">
        <w:rPr>
          <w:rFonts w:cstheme="minorHAnsi"/>
          <w:color w:val="3E60F2"/>
        </w:rPr>
        <w:t xml:space="preserve">. </w:t>
      </w:r>
    </w:p>
    <w:p w:rsidR="00EA4D9F" w:rsidRPr="00B92460" w:rsidRDefault="00EA4D9F" w:rsidP="00EA4D9F">
      <w:pPr>
        <w:ind w:left="1440" w:hanging="1440"/>
        <w:rPr>
          <w:rFonts w:cstheme="minorHAnsi"/>
          <w:color w:val="3E60F2"/>
        </w:rPr>
      </w:pPr>
      <w:r w:rsidRPr="00B92460">
        <w:rPr>
          <w:rFonts w:cstheme="minorHAnsi"/>
          <w:color w:val="3E60F2"/>
        </w:rPr>
        <w:t xml:space="preserve">Step 3: </w:t>
      </w:r>
      <w:r w:rsidRPr="00B92460">
        <w:rPr>
          <w:rFonts w:cstheme="minorHAnsi"/>
          <w:color w:val="3E60F2"/>
        </w:rPr>
        <w:tab/>
      </w:r>
      <w:r w:rsidRPr="00B92460">
        <w:rPr>
          <w:rFonts w:cstheme="minorHAnsi"/>
          <w:b/>
          <w:i/>
          <w:color w:val="3E60F2"/>
        </w:rPr>
        <w:t>Calculate Predicted Episode Payments.</w:t>
      </w:r>
      <w:r w:rsidRPr="00B92460">
        <w:rPr>
          <w:rFonts w:cstheme="minorHAnsi"/>
          <w:color w:val="3E60F2"/>
        </w:rPr>
        <w:t xml:space="preserve"> The third step calculates predicted payments for each episode. This step estimates the relationship between the independent variables and standardized episode payments using an ordinary least squares (OLS) regression. </w:t>
      </w:r>
      <w:r>
        <w:rPr>
          <w:rFonts w:cstheme="minorHAnsi"/>
          <w:color w:val="3E60F2"/>
        </w:rPr>
        <w:t xml:space="preserve">The calculation is performed separately for Standard and Site Neutral episodes (described above). </w:t>
      </w:r>
      <w:r w:rsidRPr="00B92460">
        <w:rPr>
          <w:rFonts w:cstheme="minorHAnsi"/>
          <w:color w:val="3E60F2"/>
        </w:rPr>
        <w:t xml:space="preserve">See Appendix C of the Measure Specifications document provided in </w:t>
      </w:r>
      <w:r w:rsidRPr="00B92460">
        <w:rPr>
          <w:rFonts w:cstheme="minorHAnsi"/>
          <w:b/>
          <w:color w:val="3E60F2"/>
        </w:rPr>
        <w:t>section S.1</w:t>
      </w:r>
      <w:r w:rsidRPr="00B92460">
        <w:rPr>
          <w:rFonts w:cstheme="minorHAnsi"/>
          <w:color w:val="3E60F2"/>
        </w:rPr>
        <w:t xml:space="preserve"> for a full list of the independent variables used in the risk</w:t>
      </w:r>
      <w:r>
        <w:rPr>
          <w:rFonts w:cstheme="minorHAnsi"/>
          <w:color w:val="3E60F2"/>
        </w:rPr>
        <w:t xml:space="preserve"> </w:t>
      </w:r>
      <w:r w:rsidRPr="00B92460">
        <w:rPr>
          <w:rFonts w:cstheme="minorHAnsi"/>
          <w:color w:val="3E60F2"/>
        </w:rPr>
        <w:t>adjustment model</w:t>
      </w:r>
      <w:r>
        <w:rPr>
          <w:rFonts w:cstheme="minorHAnsi"/>
          <w:color w:val="3E60F2"/>
        </w:rPr>
        <w:t>.</w:t>
      </w:r>
      <w:r w:rsidRPr="00B92460">
        <w:rPr>
          <w:rFonts w:cstheme="minorHAnsi"/>
          <w:color w:val="3E60F2"/>
        </w:rPr>
        <w:t xml:space="preserve"> </w:t>
      </w:r>
    </w:p>
    <w:p w:rsidR="00EA4D9F" w:rsidRPr="00774246" w:rsidRDefault="00EA4D9F" w:rsidP="00EA4D9F">
      <w:pPr>
        <w:ind w:left="1440" w:hanging="1440"/>
        <w:rPr>
          <w:rFonts w:cstheme="minorHAnsi"/>
          <w:color w:val="3E60F2"/>
        </w:rPr>
      </w:pPr>
      <w:r w:rsidRPr="00B92460">
        <w:rPr>
          <w:rFonts w:cstheme="minorHAnsi"/>
          <w:color w:val="3E60F2"/>
        </w:rPr>
        <w:t xml:space="preserve">Step 4: </w:t>
      </w:r>
      <w:r w:rsidRPr="00B92460">
        <w:rPr>
          <w:rFonts w:cstheme="minorHAnsi"/>
          <w:color w:val="3E60F2"/>
        </w:rPr>
        <w:tab/>
      </w:r>
      <w:r w:rsidRPr="00B92460">
        <w:rPr>
          <w:rFonts w:cstheme="minorHAnsi"/>
          <w:b/>
          <w:i/>
          <w:color w:val="3E60F2"/>
        </w:rPr>
        <w:t>Winsorize (Bottom Code) Predicted Values.</w:t>
      </w:r>
      <w:r w:rsidRPr="00B92460">
        <w:rPr>
          <w:rFonts w:cstheme="minorHAnsi"/>
          <w:color w:val="3E60F2"/>
        </w:rPr>
        <w:t xml:space="preserve"> Next, the distribution of predicted values is examined. If the distribution of predicted values includes extremely low values (defined as below the 0.5</w:t>
      </w:r>
      <w:r w:rsidRPr="00B92460">
        <w:rPr>
          <w:rFonts w:cstheme="minorHAnsi"/>
          <w:color w:val="3E60F2"/>
          <w:vertAlign w:val="superscript"/>
        </w:rPr>
        <w:t>th</w:t>
      </w:r>
      <w:r w:rsidRPr="00B92460">
        <w:rPr>
          <w:rFonts w:cstheme="minorHAnsi"/>
          <w:color w:val="3E60F2"/>
        </w:rPr>
        <w:t xml:space="preserve"> percentile), winsorization is performed at the low end of the distribution (i.e., “bottom coding”). The resultant values are renormalized to maintain a consistent average episode payment. If the distribution of predicted values does not </w:t>
      </w:r>
      <w:r>
        <w:rPr>
          <w:rFonts w:cstheme="minorHAnsi"/>
          <w:color w:val="3E60F2"/>
        </w:rPr>
        <w:t>include</w:t>
      </w:r>
      <w:r w:rsidRPr="00774246">
        <w:rPr>
          <w:rFonts w:cstheme="minorHAnsi"/>
          <w:color w:val="3E60F2"/>
        </w:rPr>
        <w:t xml:space="preserve"> extremely low values, winsorization is not required to ensure meaningful ratios of observed to predicted spending (see below). In accordance with the </w:t>
      </w:r>
      <w:r w:rsidRPr="00B92460">
        <w:rPr>
          <w:rFonts w:cstheme="minorHAnsi"/>
          <w:color w:val="3E60F2"/>
        </w:rPr>
        <w:t xml:space="preserve">MSPB-Hospital </w:t>
      </w:r>
      <w:r w:rsidRPr="00F23D3A">
        <w:rPr>
          <w:rFonts w:cstheme="minorHAnsi"/>
          <w:color w:val="3E60F2"/>
        </w:rPr>
        <w:t>measure (NQF #2158) calculation, renormalization multiplies the winsorized predicted values by the ratio of the average original predicted payment and the average winsorized predicted payment. For example, suppose an episode’s predicted value (PREDICTED_VALUE) is $1,000, but the 0.5th percentile of predicted values is $1,500. Then, that episode’s “winsorized” predicted value (WINS_PREDICTED_VALUE)</w:t>
      </w:r>
      <w:r w:rsidRPr="00774246">
        <w:rPr>
          <w:rFonts w:cstheme="minorHAnsi"/>
          <w:color w:val="3E60F2"/>
        </w:rPr>
        <w:t xml:space="preserve"> would be $1,500. The “renormalized” winsorized predicted value would be: </w:t>
      </w:r>
    </w:p>
    <w:p w:rsidR="00EA4D9F" w:rsidRPr="00774246" w:rsidRDefault="00EA4D9F" w:rsidP="00EA4D9F">
      <w:pPr>
        <w:ind w:left="1440" w:hanging="1440"/>
        <w:jc w:val="center"/>
        <w:rPr>
          <w:rFonts w:cstheme="minorHAnsi"/>
          <w:color w:val="3E60F2"/>
        </w:rPr>
      </w:pPr>
      <m:oMathPara>
        <m:oMath>
          <m:f>
            <m:fPr>
              <m:ctrlPr>
                <w:rPr>
                  <w:rFonts w:ascii="Cambria Math" w:hAnsi="Cambria Math" w:cstheme="minorHAnsi"/>
                  <w:i/>
                  <w:color w:val="3E60F2"/>
                  <w:sz w:val="24"/>
                </w:rPr>
              </m:ctrlPr>
            </m:fPr>
            <m:num>
              <m:r>
                <w:rPr>
                  <w:rFonts w:ascii="Cambria Math" w:hAnsi="Cambria Math" w:cstheme="minorHAnsi"/>
                  <w:color w:val="3E60F2"/>
                  <w:sz w:val="24"/>
                </w:rPr>
                <m:t>$1500×mean</m:t>
              </m:r>
              <m:d>
                <m:dPr>
                  <m:ctrlPr>
                    <w:rPr>
                      <w:rFonts w:ascii="Cambria Math" w:hAnsi="Cambria Math" w:cstheme="minorHAnsi"/>
                      <w:i/>
                      <w:color w:val="3E60F2"/>
                      <w:sz w:val="24"/>
                    </w:rPr>
                  </m:ctrlPr>
                </m:dPr>
                <m:e>
                  <m:r>
                    <w:rPr>
                      <w:rFonts w:ascii="Cambria Math" w:hAnsi="Cambria Math" w:cstheme="minorHAnsi"/>
                      <w:color w:val="3E60F2"/>
                      <w:sz w:val="24"/>
                    </w:rPr>
                    <m:t>PREDICTED_VALUE</m:t>
                  </m:r>
                </m:e>
              </m:d>
            </m:num>
            <m:den>
              <m:r>
                <w:rPr>
                  <w:rFonts w:ascii="Cambria Math" w:hAnsi="Cambria Math" w:cstheme="minorHAnsi"/>
                  <w:color w:val="3E60F2"/>
                  <w:sz w:val="24"/>
                </w:rPr>
                <m:t>mean</m:t>
              </m:r>
              <m:d>
                <m:dPr>
                  <m:ctrlPr>
                    <w:rPr>
                      <w:rFonts w:ascii="Cambria Math" w:hAnsi="Cambria Math" w:cstheme="minorHAnsi"/>
                      <w:i/>
                      <w:color w:val="3E60F2"/>
                      <w:sz w:val="24"/>
                    </w:rPr>
                  </m:ctrlPr>
                </m:dPr>
                <m:e>
                  <m:r>
                    <w:rPr>
                      <w:rFonts w:ascii="Cambria Math" w:hAnsi="Cambria Math" w:cstheme="minorHAnsi"/>
                      <w:color w:val="3E60F2"/>
                      <w:sz w:val="24"/>
                    </w:rPr>
                    <m:t>WINS_PREDICTED_VALUE</m:t>
                  </m:r>
                </m:e>
              </m:d>
            </m:den>
          </m:f>
        </m:oMath>
      </m:oMathPara>
    </w:p>
    <w:p w:rsidR="00EA4D9F" w:rsidRPr="00B92460" w:rsidRDefault="00EA4D9F" w:rsidP="00EA4D9F">
      <w:pPr>
        <w:ind w:left="1440"/>
        <w:rPr>
          <w:rFonts w:cstheme="minorHAnsi"/>
          <w:color w:val="3E60F2"/>
        </w:rPr>
      </w:pPr>
      <w:r w:rsidRPr="00B92460">
        <w:rPr>
          <w:rFonts w:cstheme="minorHAnsi"/>
          <w:color w:val="3E60F2"/>
        </w:rPr>
        <w:t xml:space="preserve">where the mean is taken over the entire national sample of the </w:t>
      </w:r>
      <w:r>
        <w:rPr>
          <w:rFonts w:cstheme="minorHAnsi"/>
          <w:color w:val="3E60F2"/>
        </w:rPr>
        <w:t>MSPB-PAC LTCH</w:t>
      </w:r>
      <w:r w:rsidRPr="00B92460">
        <w:rPr>
          <w:rFonts w:cstheme="minorHAnsi"/>
          <w:color w:val="3E60F2"/>
        </w:rPr>
        <w:t xml:space="preserve"> episodes. This re-normalization ensures that the average of the resulting winsorized predicted values is equal to the average of the original predicted values.</w:t>
      </w:r>
    </w:p>
    <w:p w:rsidR="00EA4D9F" w:rsidRPr="00B92460" w:rsidRDefault="00EA4D9F" w:rsidP="00EA4D9F">
      <w:pPr>
        <w:pStyle w:val="equation"/>
        <w:spacing w:line="276" w:lineRule="auto"/>
        <w:ind w:left="1440" w:hanging="1440"/>
        <w:rPr>
          <w:rFonts w:asciiTheme="minorHAnsi" w:hAnsiTheme="minorHAnsi" w:cstheme="minorHAnsi"/>
          <w:i/>
          <w:color w:val="3E60F2"/>
          <w:sz w:val="22"/>
          <w:szCs w:val="22"/>
        </w:rPr>
      </w:pPr>
      <w:bookmarkStart w:id="1" w:name="_Hlk520552363"/>
      <w:r w:rsidRPr="00B92460">
        <w:rPr>
          <w:rFonts w:asciiTheme="minorHAnsi" w:hAnsiTheme="minorHAnsi" w:cstheme="minorHAnsi"/>
          <w:color w:val="3E60F2"/>
          <w:sz w:val="22"/>
          <w:szCs w:val="22"/>
        </w:rPr>
        <w:lastRenderedPageBreak/>
        <w:t xml:space="preserve">Step 5:                 </w:t>
      </w:r>
      <w:r w:rsidRPr="00B92460">
        <w:rPr>
          <w:rFonts w:asciiTheme="minorHAnsi" w:hAnsiTheme="minorHAnsi" w:cstheme="minorHAnsi"/>
          <w:color w:val="3E60F2"/>
          <w:sz w:val="22"/>
          <w:szCs w:val="22"/>
        </w:rPr>
        <w:tab/>
      </w:r>
      <w:r w:rsidRPr="00B92460">
        <w:rPr>
          <w:rFonts w:asciiTheme="minorHAnsi" w:hAnsiTheme="minorHAnsi" w:cstheme="minorHAnsi"/>
          <w:b/>
          <w:i/>
          <w:color w:val="3E60F2"/>
          <w:sz w:val="22"/>
          <w:szCs w:val="22"/>
        </w:rPr>
        <w:t>Calculate Residuals.</w:t>
      </w:r>
      <w:r w:rsidRPr="00B92460">
        <w:rPr>
          <w:rFonts w:asciiTheme="minorHAnsi" w:hAnsiTheme="minorHAnsi" w:cstheme="minorHAnsi"/>
          <w:color w:val="3E60F2"/>
          <w:sz w:val="22"/>
          <w:szCs w:val="22"/>
        </w:rPr>
        <w:t xml:space="preserve"> The residuals for each episode are calculated as the difference between the standardized episode spending and the standardized predicted spending for episode </w:t>
      </w:r>
      <w:r w:rsidRPr="00B92460">
        <w:rPr>
          <w:rFonts w:asciiTheme="minorHAnsi" w:hAnsiTheme="minorHAnsi" w:cstheme="minorHAnsi"/>
          <w:i/>
          <w:color w:val="3E60F2"/>
          <w:sz w:val="22"/>
          <w:szCs w:val="22"/>
        </w:rPr>
        <w:t xml:space="preserve">i </w:t>
      </w:r>
      <w:r w:rsidRPr="00B92460">
        <w:rPr>
          <w:rFonts w:asciiTheme="minorHAnsi" w:hAnsiTheme="minorHAnsi" w:cstheme="minorHAnsi"/>
          <w:color w:val="3E60F2"/>
          <w:sz w:val="22"/>
          <w:szCs w:val="22"/>
        </w:rPr>
        <w:t xml:space="preserve">and </w:t>
      </w:r>
      <w:r>
        <w:rPr>
          <w:rFonts w:asciiTheme="minorHAnsi" w:hAnsiTheme="minorHAnsi" w:cstheme="minorHAnsi"/>
          <w:color w:val="3E60F2"/>
          <w:sz w:val="22"/>
          <w:szCs w:val="22"/>
        </w:rPr>
        <w:t>LTCH</w:t>
      </w:r>
      <w:r w:rsidRPr="00B92460">
        <w:rPr>
          <w:rFonts w:asciiTheme="minorHAnsi" w:hAnsiTheme="minorHAnsi" w:cstheme="minorHAnsi"/>
          <w:i/>
          <w:color w:val="3E60F2"/>
          <w:sz w:val="22"/>
          <w:szCs w:val="22"/>
        </w:rPr>
        <w:t xml:space="preserve"> k. </w:t>
      </w:r>
    </w:p>
    <w:p w:rsidR="00EA4D9F" w:rsidRPr="00774246" w:rsidRDefault="00EA4D9F" w:rsidP="00EA4D9F">
      <w:pPr>
        <w:pStyle w:val="equation"/>
        <w:spacing w:line="276" w:lineRule="auto"/>
        <w:ind w:left="1440" w:hanging="1440"/>
        <w:jc w:val="center"/>
        <w:rPr>
          <w:rFonts w:asciiTheme="minorHAnsi" w:hAnsiTheme="minorHAnsi" w:cstheme="minorHAnsi"/>
          <w:color w:val="3E60F2"/>
          <w:spacing w:val="-9"/>
          <w:sz w:val="22"/>
          <w:szCs w:val="22"/>
        </w:rPr>
      </w:pPr>
      <m:oMathPara>
        <m:oMath>
          <m:sSub>
            <m:sSubPr>
              <m:ctrlPr>
                <w:rPr>
                  <w:rFonts w:ascii="Cambria Math" w:hAnsi="Cambria Math" w:cstheme="minorHAnsi"/>
                  <w:i/>
                  <w:color w:val="3E60F2"/>
                  <w:sz w:val="22"/>
                  <w:szCs w:val="22"/>
                  <w:vertAlign w:val="subscript"/>
                </w:rPr>
              </m:ctrlPr>
            </m:sSubPr>
            <m:e>
              <m:r>
                <w:rPr>
                  <w:rFonts w:ascii="Cambria Math" w:hAnsi="Cambria Math" w:cstheme="minorHAnsi"/>
                  <w:color w:val="3E60F2"/>
                  <w:sz w:val="22"/>
                  <w:szCs w:val="22"/>
                </w:rPr>
                <m:t>Residual</m:t>
              </m:r>
            </m:e>
            <m:sub>
              <m:r>
                <w:rPr>
                  <w:rFonts w:ascii="Cambria Math" w:hAnsi="Cambria Math" w:cstheme="minorHAnsi"/>
                  <w:color w:val="3E60F2"/>
                  <w:sz w:val="22"/>
                  <w:szCs w:val="22"/>
                  <w:vertAlign w:val="subscript"/>
                </w:rPr>
                <m:t>ik</m:t>
              </m:r>
              <m:r>
                <w:rPr>
                  <w:rFonts w:ascii="Cambria Math" w:hAnsi="Cambria Math" w:cstheme="minorHAnsi"/>
                  <w:color w:val="3E60F2"/>
                  <w:sz w:val="22"/>
                  <w:szCs w:val="22"/>
                </w:rPr>
                <m:t xml:space="preserve"> </m:t>
              </m:r>
            </m:sub>
          </m:sSub>
          <m:r>
            <w:rPr>
              <w:rFonts w:ascii="Cambria Math" w:hAnsi="Cambria Math" w:cstheme="minorHAnsi"/>
              <w:color w:val="3E60F2"/>
              <w:sz w:val="22"/>
              <w:szCs w:val="22"/>
            </w:rPr>
            <m:t xml:space="preserve">= </m:t>
          </m:r>
          <m:sSub>
            <m:sSubPr>
              <m:ctrlPr>
                <w:rPr>
                  <w:rFonts w:ascii="Cambria Math" w:hAnsi="Cambria Math" w:cstheme="minorHAnsi"/>
                  <w:i/>
                  <w:color w:val="3E60F2"/>
                  <w:sz w:val="22"/>
                  <w:szCs w:val="22"/>
                </w:rPr>
              </m:ctrlPr>
            </m:sSubPr>
            <m:e>
              <m:r>
                <w:rPr>
                  <w:rFonts w:ascii="Cambria Math" w:hAnsi="Cambria Math" w:cstheme="minorHAnsi"/>
                  <w:color w:val="3E60F2"/>
                  <w:sz w:val="22"/>
                  <w:szCs w:val="22"/>
                </w:rPr>
                <m:t>Y</m:t>
              </m:r>
            </m:e>
            <m:sub>
              <m:r>
                <w:rPr>
                  <w:rFonts w:ascii="Cambria Math" w:hAnsi="Cambria Math" w:cstheme="minorHAnsi"/>
                  <w:color w:val="3E60F2"/>
                  <w:sz w:val="22"/>
                  <w:szCs w:val="22"/>
                  <w:vertAlign w:val="subscript"/>
                </w:rPr>
                <m:t>ik</m:t>
              </m:r>
            </m:sub>
          </m:sSub>
          <m:r>
            <w:rPr>
              <w:rFonts w:ascii="Cambria Math" w:hAnsi="Cambria Math" w:cstheme="minorHAnsi"/>
              <w:color w:val="3E60F2"/>
              <w:sz w:val="22"/>
              <w:szCs w:val="22"/>
            </w:rPr>
            <m:t>-</m:t>
          </m:r>
          <m:acc>
            <m:accPr>
              <m:ctrlPr>
                <w:rPr>
                  <w:rFonts w:ascii="Cambria Math" w:hAnsi="Cambria Math" w:cstheme="minorHAnsi"/>
                  <w:i/>
                  <w:color w:val="3E60F2"/>
                  <w:sz w:val="22"/>
                  <w:szCs w:val="22"/>
                </w:rPr>
              </m:ctrlPr>
            </m:accPr>
            <m:e>
              <m:sSub>
                <m:sSubPr>
                  <m:ctrlPr>
                    <w:rPr>
                      <w:rFonts w:ascii="Cambria Math" w:hAnsi="Cambria Math" w:cstheme="minorHAnsi"/>
                      <w:i/>
                      <w:color w:val="3E60F2"/>
                      <w:sz w:val="22"/>
                      <w:szCs w:val="22"/>
                    </w:rPr>
                  </m:ctrlPr>
                </m:sSubPr>
                <m:e>
                  <m:r>
                    <w:rPr>
                      <w:rFonts w:ascii="Cambria Math" w:hAnsi="Cambria Math" w:cstheme="minorHAnsi"/>
                      <w:color w:val="3E60F2"/>
                      <w:sz w:val="22"/>
                      <w:szCs w:val="22"/>
                    </w:rPr>
                    <m:t>Y</m:t>
                  </m:r>
                </m:e>
                <m:sub>
                  <m:r>
                    <w:rPr>
                      <w:rFonts w:ascii="Cambria Math" w:hAnsi="Cambria Math" w:cstheme="minorHAnsi"/>
                      <w:color w:val="3E60F2"/>
                      <w:sz w:val="22"/>
                      <w:szCs w:val="22"/>
                    </w:rPr>
                    <m:t>ik</m:t>
                  </m:r>
                </m:sub>
              </m:sSub>
            </m:e>
          </m:acc>
        </m:oMath>
      </m:oMathPara>
    </w:p>
    <w:p w:rsidR="00EA4D9F" w:rsidRPr="00B92460" w:rsidRDefault="00EA4D9F" w:rsidP="00EA4D9F">
      <w:pPr>
        <w:pStyle w:val="NOTE"/>
        <w:spacing w:line="276" w:lineRule="auto"/>
        <w:rPr>
          <w:rFonts w:asciiTheme="minorHAnsi" w:eastAsia="Trebuchet MS" w:hAnsiTheme="minorHAnsi" w:cstheme="minorHAnsi"/>
          <w:color w:val="3E60F2"/>
          <w:sz w:val="22"/>
          <w:szCs w:val="22"/>
        </w:rPr>
      </w:pPr>
      <w:r w:rsidRPr="00B92460">
        <w:rPr>
          <w:rFonts w:asciiTheme="minorHAnsi" w:eastAsia="Trebuchet MS" w:hAnsiTheme="minorHAnsi" w:cstheme="minorHAnsi"/>
          <w:color w:val="3E60F2"/>
          <w:sz w:val="22"/>
          <w:szCs w:val="22"/>
        </w:rPr>
        <w:tab/>
      </w:r>
      <w:r w:rsidRPr="00B92460">
        <w:rPr>
          <w:rFonts w:asciiTheme="minorHAnsi" w:eastAsia="Trebuchet MS" w:hAnsiTheme="minorHAnsi" w:cstheme="minorHAnsi"/>
          <w:color w:val="3E60F2"/>
          <w:sz w:val="22"/>
          <w:szCs w:val="22"/>
        </w:rPr>
        <w:tab/>
        <w:t xml:space="preserve">where: </w:t>
      </w:r>
    </w:p>
    <w:p w:rsidR="00EA4D9F" w:rsidRPr="00B92460" w:rsidRDefault="00EA4D9F" w:rsidP="00EA4D9F">
      <w:pPr>
        <w:pStyle w:val="NOTE"/>
        <w:spacing w:line="276" w:lineRule="auto"/>
        <w:rPr>
          <w:rFonts w:asciiTheme="minorHAnsi" w:eastAsia="Trebuchet MS" w:hAnsiTheme="minorHAnsi" w:cstheme="minorHAnsi"/>
          <w:color w:val="3E60F2"/>
          <w:sz w:val="22"/>
          <w:szCs w:val="22"/>
        </w:rPr>
      </w:pPr>
      <w:r w:rsidRPr="00B92460">
        <w:rPr>
          <w:rFonts w:asciiTheme="minorHAnsi" w:eastAsia="Trebuchet MS" w:hAnsiTheme="minorHAnsi" w:cstheme="minorHAnsi"/>
          <w:color w:val="3E60F2"/>
          <w:sz w:val="22"/>
          <w:szCs w:val="22"/>
        </w:rPr>
        <w:tab/>
      </w:r>
      <w:r w:rsidRPr="00B92460">
        <w:rPr>
          <w:rFonts w:asciiTheme="minorHAnsi" w:eastAsia="Trebuchet MS" w:hAnsiTheme="minorHAnsi" w:cstheme="minorHAnsi"/>
          <w:color w:val="3E60F2"/>
          <w:sz w:val="22"/>
          <w:szCs w:val="22"/>
        </w:rPr>
        <w:tab/>
      </w:r>
      <m:oMath>
        <m:sSub>
          <m:sSubPr>
            <m:ctrlPr>
              <w:rPr>
                <w:rFonts w:ascii="Cambria Math" w:hAnsi="Cambria Math" w:cstheme="minorHAnsi"/>
                <w:i/>
                <w:color w:val="3E60F2"/>
                <w:sz w:val="22"/>
                <w:szCs w:val="22"/>
              </w:rPr>
            </m:ctrlPr>
          </m:sSubPr>
          <m:e>
            <m:r>
              <w:rPr>
                <w:rFonts w:ascii="Cambria Math" w:hAnsi="Cambria Math" w:cstheme="minorHAnsi"/>
                <w:color w:val="3E60F2"/>
                <w:sz w:val="22"/>
                <w:szCs w:val="22"/>
              </w:rPr>
              <m:t>Y</m:t>
            </m:r>
          </m:e>
          <m:sub>
            <m:r>
              <w:rPr>
                <w:rFonts w:ascii="Cambria Math" w:hAnsi="Cambria Math" w:cstheme="minorHAnsi"/>
                <w:color w:val="3E60F2"/>
                <w:sz w:val="22"/>
                <w:szCs w:val="22"/>
                <w:vertAlign w:val="subscript"/>
              </w:rPr>
              <m:t>ik</m:t>
            </m:r>
          </m:sub>
        </m:sSub>
      </m:oMath>
      <w:r w:rsidRPr="00774246">
        <w:rPr>
          <w:rFonts w:asciiTheme="minorHAnsi" w:eastAsia="Trebuchet MS" w:hAnsiTheme="minorHAnsi" w:cstheme="minorHAnsi"/>
          <w:color w:val="3E60F2"/>
          <w:sz w:val="22"/>
          <w:szCs w:val="22"/>
        </w:rPr>
        <w:t xml:space="preserve"> is the attributed standardized spending for episode </w:t>
      </w:r>
      <w:r w:rsidRPr="00774246">
        <w:rPr>
          <w:rFonts w:asciiTheme="minorHAnsi" w:eastAsia="Trebuchet MS" w:hAnsiTheme="minorHAnsi" w:cstheme="minorHAnsi"/>
          <w:i/>
          <w:color w:val="3E60F2"/>
          <w:sz w:val="22"/>
          <w:szCs w:val="22"/>
        </w:rPr>
        <w:t>i</w:t>
      </w:r>
      <w:r w:rsidRPr="00B92460">
        <w:rPr>
          <w:rFonts w:asciiTheme="minorHAnsi" w:eastAsia="Trebuchet MS" w:hAnsiTheme="minorHAnsi" w:cstheme="minorHAnsi"/>
          <w:color w:val="3E60F2"/>
          <w:sz w:val="22"/>
          <w:szCs w:val="22"/>
        </w:rPr>
        <w:t xml:space="preserve"> and provider</w:t>
      </w:r>
      <w:r w:rsidRPr="00B92460">
        <w:rPr>
          <w:rFonts w:asciiTheme="minorHAnsi" w:eastAsia="Trebuchet MS" w:hAnsiTheme="minorHAnsi" w:cstheme="minorHAnsi"/>
          <w:i/>
          <w:color w:val="3E60F2"/>
          <w:sz w:val="22"/>
          <w:szCs w:val="22"/>
        </w:rPr>
        <w:t xml:space="preserve"> k</w:t>
      </w:r>
      <w:r w:rsidRPr="00B92460">
        <w:rPr>
          <w:rFonts w:asciiTheme="minorHAnsi" w:eastAsia="Trebuchet MS" w:hAnsiTheme="minorHAnsi" w:cstheme="minorHAnsi"/>
          <w:color w:val="3E60F2"/>
          <w:sz w:val="22"/>
          <w:szCs w:val="22"/>
        </w:rPr>
        <w:t xml:space="preserve">. </w:t>
      </w:r>
    </w:p>
    <w:p w:rsidR="00EA4D9F" w:rsidRPr="00B92460" w:rsidRDefault="00EA4D9F" w:rsidP="00EA4D9F">
      <w:pPr>
        <w:pStyle w:val="NOTE"/>
        <w:spacing w:line="276" w:lineRule="auto"/>
        <w:ind w:left="1440"/>
        <w:rPr>
          <w:rFonts w:asciiTheme="minorHAnsi" w:eastAsia="Trebuchet MS" w:hAnsiTheme="minorHAnsi" w:cstheme="minorHAnsi"/>
          <w:color w:val="3E60F2"/>
          <w:sz w:val="22"/>
          <w:szCs w:val="22"/>
        </w:rPr>
      </w:pPr>
      <m:oMath>
        <m:acc>
          <m:accPr>
            <m:ctrlPr>
              <w:rPr>
                <w:rFonts w:ascii="Cambria Math" w:hAnsi="Cambria Math" w:cstheme="minorHAnsi"/>
                <w:i/>
                <w:color w:val="3E60F2"/>
                <w:sz w:val="22"/>
                <w:szCs w:val="22"/>
              </w:rPr>
            </m:ctrlPr>
          </m:accPr>
          <m:e>
            <m:sSub>
              <m:sSubPr>
                <m:ctrlPr>
                  <w:rPr>
                    <w:rFonts w:ascii="Cambria Math" w:hAnsi="Cambria Math" w:cstheme="minorHAnsi"/>
                    <w:i/>
                    <w:color w:val="3E60F2"/>
                    <w:sz w:val="22"/>
                    <w:szCs w:val="22"/>
                  </w:rPr>
                </m:ctrlPr>
              </m:sSubPr>
              <m:e>
                <m:r>
                  <w:rPr>
                    <w:rFonts w:ascii="Cambria Math" w:hAnsi="Cambria Math" w:cstheme="minorHAnsi"/>
                    <w:color w:val="3E60F2"/>
                    <w:sz w:val="22"/>
                    <w:szCs w:val="22"/>
                  </w:rPr>
                  <m:t>Y</m:t>
                </m:r>
              </m:e>
              <m:sub>
                <m:r>
                  <w:rPr>
                    <w:rFonts w:ascii="Cambria Math" w:hAnsi="Cambria Math" w:cstheme="minorHAnsi"/>
                    <w:color w:val="3E60F2"/>
                    <w:sz w:val="22"/>
                    <w:szCs w:val="22"/>
                  </w:rPr>
                  <m:t>ik</m:t>
                </m:r>
              </m:sub>
            </m:sSub>
          </m:e>
        </m:acc>
      </m:oMath>
      <w:r w:rsidRPr="00774246">
        <w:rPr>
          <w:rFonts w:asciiTheme="minorHAnsi" w:eastAsia="Trebuchet MS" w:hAnsiTheme="minorHAnsi" w:cstheme="minorHAnsi"/>
          <w:color w:val="3E60F2"/>
          <w:sz w:val="22"/>
          <w:szCs w:val="22"/>
        </w:rPr>
        <w:t xml:space="preserve"> is the standardized predicted spending for episode </w:t>
      </w:r>
      <w:r w:rsidRPr="00774246">
        <w:rPr>
          <w:rFonts w:asciiTheme="minorHAnsi" w:eastAsia="Trebuchet MS" w:hAnsiTheme="minorHAnsi" w:cstheme="minorHAnsi"/>
          <w:i/>
          <w:color w:val="3E60F2"/>
          <w:sz w:val="22"/>
          <w:szCs w:val="22"/>
        </w:rPr>
        <w:t>i</w:t>
      </w:r>
      <w:r w:rsidRPr="00B92460">
        <w:rPr>
          <w:rFonts w:asciiTheme="minorHAnsi" w:eastAsia="Trebuchet MS" w:hAnsiTheme="minorHAnsi" w:cstheme="minorHAnsi"/>
          <w:color w:val="3E60F2"/>
          <w:sz w:val="22"/>
          <w:szCs w:val="22"/>
        </w:rPr>
        <w:t xml:space="preserve"> and provider</w:t>
      </w:r>
      <w:r w:rsidRPr="00B92460">
        <w:rPr>
          <w:rFonts w:asciiTheme="minorHAnsi" w:eastAsia="Trebuchet MS" w:hAnsiTheme="minorHAnsi" w:cstheme="minorHAnsi"/>
          <w:i/>
          <w:color w:val="3E60F2"/>
          <w:sz w:val="22"/>
          <w:szCs w:val="22"/>
        </w:rPr>
        <w:t xml:space="preserve"> k</w:t>
      </w:r>
      <w:r w:rsidRPr="00B92460">
        <w:rPr>
          <w:rFonts w:asciiTheme="minorHAnsi" w:eastAsia="Trebuchet MS" w:hAnsiTheme="minorHAnsi" w:cstheme="minorHAnsi"/>
          <w:color w:val="3E60F2"/>
          <w:sz w:val="22"/>
          <w:szCs w:val="22"/>
        </w:rPr>
        <w:t>, as predicted from risk</w:t>
      </w:r>
      <w:r>
        <w:rPr>
          <w:rFonts w:asciiTheme="minorHAnsi" w:eastAsia="Trebuchet MS" w:hAnsiTheme="minorHAnsi" w:cstheme="minorHAnsi"/>
          <w:color w:val="3E60F2"/>
          <w:sz w:val="22"/>
          <w:szCs w:val="22"/>
        </w:rPr>
        <w:t xml:space="preserve"> </w:t>
      </w:r>
      <w:r w:rsidRPr="00B92460">
        <w:rPr>
          <w:rFonts w:asciiTheme="minorHAnsi" w:eastAsia="Trebuchet MS" w:hAnsiTheme="minorHAnsi" w:cstheme="minorHAnsi"/>
          <w:color w:val="3E60F2"/>
          <w:sz w:val="22"/>
          <w:szCs w:val="22"/>
        </w:rPr>
        <w:t xml:space="preserve">adjustment. </w:t>
      </w:r>
    </w:p>
    <w:p w:rsidR="00EA4D9F" w:rsidRPr="00B92460" w:rsidRDefault="00EA4D9F" w:rsidP="00EA4D9F">
      <w:pPr>
        <w:pStyle w:val="NOTE"/>
        <w:spacing w:line="276" w:lineRule="auto"/>
        <w:ind w:left="1440" w:hanging="1440"/>
        <w:rPr>
          <w:rFonts w:asciiTheme="minorHAnsi" w:eastAsia="Trebuchet MS" w:hAnsiTheme="minorHAnsi" w:cstheme="minorHAnsi"/>
          <w:color w:val="3E60F2"/>
          <w:sz w:val="22"/>
          <w:szCs w:val="22"/>
        </w:rPr>
      </w:pPr>
      <w:r w:rsidRPr="00B92460">
        <w:rPr>
          <w:rFonts w:asciiTheme="minorHAnsi" w:eastAsia="Trebuchet MS" w:hAnsiTheme="minorHAnsi" w:cstheme="minorHAnsi"/>
          <w:color w:val="3E60F2"/>
          <w:sz w:val="22"/>
          <w:szCs w:val="22"/>
        </w:rPr>
        <w:t xml:space="preserve">Step 6: </w:t>
      </w:r>
      <w:r w:rsidRPr="00B92460">
        <w:rPr>
          <w:rFonts w:asciiTheme="minorHAnsi" w:eastAsia="Trebuchet MS" w:hAnsiTheme="minorHAnsi" w:cstheme="minorHAnsi"/>
          <w:color w:val="3E60F2"/>
          <w:sz w:val="22"/>
          <w:szCs w:val="22"/>
        </w:rPr>
        <w:tab/>
      </w:r>
      <w:r w:rsidRPr="00B92460">
        <w:rPr>
          <w:rFonts w:asciiTheme="minorHAnsi" w:eastAsia="Trebuchet MS" w:hAnsiTheme="minorHAnsi" w:cstheme="minorHAnsi"/>
          <w:b/>
          <w:i/>
          <w:color w:val="3E60F2"/>
          <w:sz w:val="22"/>
          <w:szCs w:val="22"/>
        </w:rPr>
        <w:t>Exclude Episodes with Outlier Residuals.</w:t>
      </w:r>
      <w:r w:rsidRPr="00B92460">
        <w:rPr>
          <w:rFonts w:asciiTheme="minorHAnsi" w:eastAsia="Trebuchet MS" w:hAnsiTheme="minorHAnsi" w:cstheme="minorHAnsi"/>
          <w:color w:val="3E60F2"/>
          <w:sz w:val="22"/>
          <w:szCs w:val="22"/>
        </w:rPr>
        <w:t xml:space="preserve"> The next step excludes outliers from the calculation and renormalizes the resultant predicted values to maintain a consistent average episode payment level. Episodes with residuals below the 1</w:t>
      </w:r>
      <w:r w:rsidRPr="00B92460">
        <w:rPr>
          <w:rFonts w:asciiTheme="minorHAnsi" w:eastAsia="Trebuchet MS" w:hAnsiTheme="minorHAnsi" w:cstheme="minorHAnsi"/>
          <w:color w:val="3E60F2"/>
          <w:sz w:val="22"/>
          <w:szCs w:val="22"/>
          <w:vertAlign w:val="superscript"/>
        </w:rPr>
        <w:t>st</w:t>
      </w:r>
      <w:r w:rsidRPr="00B92460">
        <w:rPr>
          <w:rFonts w:asciiTheme="minorHAnsi" w:eastAsia="Trebuchet MS" w:hAnsiTheme="minorHAnsi" w:cstheme="minorHAnsi"/>
          <w:color w:val="3E60F2"/>
          <w:sz w:val="22"/>
          <w:szCs w:val="22"/>
        </w:rPr>
        <w:t xml:space="preserve"> percentile or above the 99</w:t>
      </w:r>
      <w:r w:rsidRPr="00B92460">
        <w:rPr>
          <w:rFonts w:asciiTheme="minorHAnsi" w:eastAsia="Trebuchet MS" w:hAnsiTheme="minorHAnsi" w:cstheme="minorHAnsi"/>
          <w:color w:val="3E60F2"/>
          <w:sz w:val="22"/>
          <w:szCs w:val="22"/>
          <w:vertAlign w:val="superscript"/>
        </w:rPr>
        <w:t>th</w:t>
      </w:r>
      <w:r w:rsidRPr="00B92460">
        <w:rPr>
          <w:rFonts w:asciiTheme="minorHAnsi" w:eastAsia="Trebuchet MS" w:hAnsiTheme="minorHAnsi" w:cstheme="minorHAnsi"/>
          <w:color w:val="3E60F2"/>
          <w:sz w:val="22"/>
          <w:szCs w:val="22"/>
        </w:rPr>
        <w:t xml:space="preserve"> percentile of the residual distribution are excluded, reducing the impact of high- and low-payment outliers on a PAC provider’s measure. Predicted values after outlier exclusion are renormalized by multiplying each value by the ratio of the average standardized un-risk-adjusted payments to the average of the standardized predicted payments remaining after exclusion of episodes with outlier residuals.</w:t>
      </w:r>
    </w:p>
    <w:p w:rsidR="00EA4D9F" w:rsidRDefault="00EA4D9F" w:rsidP="00EA4D9F">
      <w:pPr>
        <w:pStyle w:val="NOTE"/>
        <w:spacing w:line="276" w:lineRule="auto"/>
        <w:ind w:left="1440" w:hanging="1440"/>
        <w:rPr>
          <w:rFonts w:asciiTheme="minorHAnsi" w:eastAsia="Trebuchet MS" w:hAnsiTheme="minorHAnsi" w:cstheme="minorHAnsi"/>
          <w:color w:val="3E60F2"/>
          <w:sz w:val="22"/>
          <w:szCs w:val="22"/>
        </w:rPr>
      </w:pPr>
      <w:r w:rsidRPr="00B92460">
        <w:rPr>
          <w:rFonts w:asciiTheme="minorHAnsi" w:eastAsia="Trebuchet MS" w:hAnsiTheme="minorHAnsi" w:cstheme="minorHAnsi"/>
          <w:color w:val="3E60F2"/>
          <w:sz w:val="22"/>
          <w:szCs w:val="22"/>
        </w:rPr>
        <w:t>Step 7:</w:t>
      </w:r>
      <w:r w:rsidRPr="00B92460">
        <w:rPr>
          <w:rFonts w:asciiTheme="minorHAnsi" w:eastAsia="Trebuchet MS" w:hAnsiTheme="minorHAnsi" w:cstheme="minorHAnsi"/>
          <w:color w:val="3E60F2"/>
          <w:sz w:val="22"/>
          <w:szCs w:val="22"/>
        </w:rPr>
        <w:tab/>
      </w:r>
      <w:r w:rsidRPr="00B92460">
        <w:rPr>
          <w:rFonts w:asciiTheme="minorHAnsi" w:eastAsia="Trebuchet MS" w:hAnsiTheme="minorHAnsi" w:cstheme="minorHAnsi"/>
          <w:b/>
          <w:i/>
          <w:color w:val="3E60F2"/>
          <w:sz w:val="22"/>
          <w:szCs w:val="22"/>
        </w:rPr>
        <w:t xml:space="preserve">Calculate </w:t>
      </w:r>
      <w:r>
        <w:rPr>
          <w:rFonts w:asciiTheme="minorHAnsi" w:eastAsia="Trebuchet MS" w:hAnsiTheme="minorHAnsi" w:cstheme="minorHAnsi"/>
          <w:b/>
          <w:i/>
          <w:color w:val="3E60F2"/>
          <w:sz w:val="22"/>
          <w:szCs w:val="22"/>
        </w:rPr>
        <w:t>MSPB-PAC LTCH</w:t>
      </w:r>
      <w:r w:rsidRPr="00B92460">
        <w:rPr>
          <w:rFonts w:asciiTheme="minorHAnsi" w:eastAsia="Trebuchet MS" w:hAnsiTheme="minorHAnsi" w:cstheme="minorHAnsi"/>
          <w:b/>
          <w:i/>
          <w:color w:val="3E60F2"/>
          <w:sz w:val="22"/>
          <w:szCs w:val="22"/>
        </w:rPr>
        <w:t xml:space="preserve"> Measure</w:t>
      </w:r>
      <w:r w:rsidRPr="00B92460">
        <w:rPr>
          <w:rFonts w:asciiTheme="minorHAnsi" w:eastAsia="Trebuchet MS" w:hAnsiTheme="minorHAnsi" w:cstheme="minorHAnsi"/>
          <w:i/>
          <w:color w:val="3E60F2"/>
          <w:sz w:val="22"/>
          <w:szCs w:val="22"/>
        </w:rPr>
        <w:t>.</w:t>
      </w:r>
      <w:r w:rsidRPr="00B92460">
        <w:rPr>
          <w:rFonts w:asciiTheme="minorHAnsi" w:eastAsia="Trebuchet MS" w:hAnsiTheme="minorHAnsi" w:cstheme="minorHAnsi"/>
          <w:color w:val="3E60F2"/>
          <w:sz w:val="22"/>
          <w:szCs w:val="22"/>
        </w:rPr>
        <w:t xml:space="preserve"> The </w:t>
      </w:r>
      <w:r>
        <w:rPr>
          <w:rFonts w:asciiTheme="minorHAnsi" w:eastAsia="Trebuchet MS" w:hAnsiTheme="minorHAnsi" w:cstheme="minorHAnsi"/>
          <w:color w:val="3E60F2"/>
          <w:sz w:val="22"/>
          <w:szCs w:val="22"/>
        </w:rPr>
        <w:t>MSPB-PAC LTCH</w:t>
      </w:r>
      <w:r w:rsidRPr="00B92460">
        <w:rPr>
          <w:rFonts w:asciiTheme="minorHAnsi" w:eastAsia="Trebuchet MS" w:hAnsiTheme="minorHAnsi" w:cstheme="minorHAnsi"/>
          <w:color w:val="3E60F2"/>
          <w:sz w:val="22"/>
          <w:szCs w:val="22"/>
        </w:rPr>
        <w:t xml:space="preserve"> measure is calculated for individual providers, allowing them to be compared relative to other </w:t>
      </w:r>
      <w:r>
        <w:rPr>
          <w:rFonts w:asciiTheme="minorHAnsi" w:eastAsia="Trebuchet MS" w:hAnsiTheme="minorHAnsi" w:cstheme="minorHAnsi"/>
          <w:color w:val="3E60F2"/>
          <w:sz w:val="22"/>
          <w:szCs w:val="22"/>
        </w:rPr>
        <w:t>LTCH</w:t>
      </w:r>
      <w:r w:rsidRPr="00B92460">
        <w:rPr>
          <w:rFonts w:asciiTheme="minorHAnsi" w:eastAsia="Trebuchet MS" w:hAnsiTheme="minorHAnsi" w:cstheme="minorHAnsi"/>
          <w:color w:val="3E60F2"/>
          <w:sz w:val="22"/>
          <w:szCs w:val="22"/>
        </w:rPr>
        <w:t xml:space="preserve"> providers nationally. </w:t>
      </w:r>
      <w:r w:rsidRPr="00EB2EB8">
        <w:rPr>
          <w:rFonts w:asciiTheme="minorHAnsi" w:eastAsia="Trebuchet MS" w:hAnsiTheme="minorHAnsi" w:cstheme="minorHAnsi"/>
          <w:color w:val="3E60F2"/>
          <w:sz w:val="22"/>
          <w:szCs w:val="22"/>
        </w:rPr>
        <w:t>The MSPB-PAC LTCH measure is calculated as the ratio of the MSPB-PAC Amount for each LTCH provider divided by the episode-weighted median MSPB</w:t>
      </w:r>
      <w:r>
        <w:rPr>
          <w:rFonts w:asciiTheme="minorHAnsi" w:eastAsia="Trebuchet MS" w:hAnsiTheme="minorHAnsi" w:cstheme="minorHAnsi"/>
          <w:color w:val="3E60F2"/>
          <w:sz w:val="22"/>
          <w:szCs w:val="22"/>
        </w:rPr>
        <w:t>-</w:t>
      </w:r>
      <w:r w:rsidRPr="00EB2EB8">
        <w:rPr>
          <w:rFonts w:asciiTheme="minorHAnsi" w:eastAsia="Trebuchet MS" w:hAnsiTheme="minorHAnsi" w:cstheme="minorHAnsi"/>
          <w:color w:val="3E60F2"/>
          <w:sz w:val="22"/>
          <w:szCs w:val="22"/>
        </w:rPr>
        <w:t>PAC Amount across all LTCH providers. MSPB-PAC LTCH measure calculation is performed separately for LTCH Standard and Site Neutral episodes to ensure that they are compared only to other episodes of the same type. The final MSPB-PAC LTCH measure combines the ratios of the episode types to construct one provider score</w:t>
      </w:r>
      <w:r>
        <w:rPr>
          <w:rFonts w:asciiTheme="minorHAnsi" w:eastAsia="Trebuchet MS" w:hAnsiTheme="minorHAnsi" w:cstheme="minorHAnsi"/>
          <w:color w:val="3E60F2"/>
          <w:sz w:val="22"/>
          <w:szCs w:val="22"/>
        </w:rPr>
        <w:t>.</w:t>
      </w:r>
    </w:p>
    <w:p w:rsidR="00EA4D9F" w:rsidRDefault="00EA4D9F" w:rsidP="00EA4D9F">
      <w:pPr>
        <w:pStyle w:val="NOTE"/>
        <w:spacing w:line="276" w:lineRule="auto"/>
        <w:ind w:left="1440"/>
        <w:rPr>
          <w:rFonts w:asciiTheme="minorHAnsi" w:eastAsia="Trebuchet MS" w:hAnsiTheme="minorHAnsi" w:cstheme="minorHAnsi"/>
          <w:color w:val="3E60F2"/>
          <w:sz w:val="22"/>
          <w:szCs w:val="22"/>
        </w:rPr>
      </w:pPr>
      <w:r w:rsidRPr="00EB2EB8">
        <w:rPr>
          <w:rFonts w:asciiTheme="minorHAnsi" w:eastAsia="Trebuchet MS" w:hAnsiTheme="minorHAnsi" w:cstheme="minorHAnsi"/>
          <w:color w:val="3E60F2"/>
          <w:sz w:val="22"/>
          <w:szCs w:val="22"/>
        </w:rPr>
        <w:t>To calculate the MSPB-PAC Amount for each LTCH provider, one calculates the ratio of the standardized spending for LTCH Standard episodes over the expected spending (as predicted in risk adjustment) for LTCH Standard episodes, and the ratio of the standardized spending for LTCH Site Neutral episodes over the expected spending (as predicted in risk adjustment) for LTCH Site Neutral episodes, and then averages these ratios across all episodes for the attributed provider. This quantity is then multiplied by the average episode spending level across all LTCH providers nationall</w:t>
      </w:r>
      <w:r>
        <w:rPr>
          <w:rFonts w:asciiTheme="minorHAnsi" w:eastAsia="Trebuchet MS" w:hAnsiTheme="minorHAnsi" w:cstheme="minorHAnsi"/>
          <w:color w:val="3E60F2"/>
          <w:sz w:val="22"/>
          <w:szCs w:val="22"/>
        </w:rPr>
        <w:t>y for Standard and Site Neutral</w:t>
      </w:r>
      <w:r w:rsidRPr="00EB2EB8">
        <w:rPr>
          <w:rFonts w:asciiTheme="minorHAnsi" w:eastAsia="Trebuchet MS" w:hAnsiTheme="minorHAnsi" w:cstheme="minorHAnsi"/>
          <w:color w:val="3E60F2"/>
          <w:sz w:val="22"/>
          <w:szCs w:val="22"/>
        </w:rPr>
        <w:t xml:space="preserve"> episodes. </w:t>
      </w:r>
    </w:p>
    <w:p w:rsidR="00EA4D9F" w:rsidRPr="00774246" w:rsidRDefault="00EA4D9F" w:rsidP="00EA4D9F">
      <w:pPr>
        <w:pStyle w:val="NOTE"/>
        <w:spacing w:line="276" w:lineRule="auto"/>
        <w:ind w:left="1440"/>
        <w:rPr>
          <w:rFonts w:asciiTheme="minorHAnsi" w:eastAsia="Trebuchet MS" w:hAnsiTheme="minorHAnsi" w:cstheme="minorHAnsi"/>
          <w:color w:val="3E60F2"/>
          <w:sz w:val="22"/>
          <w:szCs w:val="22"/>
        </w:rPr>
      </w:pPr>
      <w:r w:rsidRPr="00B92460">
        <w:rPr>
          <w:rFonts w:asciiTheme="minorHAnsi" w:eastAsia="Trebuchet MS" w:hAnsiTheme="minorHAnsi" w:cstheme="minorHAnsi"/>
          <w:color w:val="3E60F2"/>
          <w:sz w:val="22"/>
          <w:szCs w:val="22"/>
        </w:rPr>
        <w:t xml:space="preserve">Mathematically, </w:t>
      </w:r>
      <w:r>
        <w:rPr>
          <w:rFonts w:asciiTheme="minorHAnsi" w:eastAsia="Trebuchet MS" w:hAnsiTheme="minorHAnsi" w:cstheme="minorHAnsi"/>
          <w:color w:val="3E60F2"/>
          <w:sz w:val="22"/>
          <w:szCs w:val="22"/>
        </w:rPr>
        <w:t>MSPB-PAC LTCH</w:t>
      </w:r>
      <w:r w:rsidRPr="00B92460">
        <w:rPr>
          <w:rFonts w:asciiTheme="minorHAnsi" w:eastAsia="Trebuchet MS" w:hAnsiTheme="minorHAnsi" w:cstheme="minorHAnsi"/>
          <w:color w:val="3E60F2"/>
          <w:sz w:val="22"/>
          <w:szCs w:val="22"/>
        </w:rPr>
        <w:t xml:space="preserve"> for individual provider </w:t>
      </w:r>
      <w:r w:rsidRPr="00B92460">
        <w:rPr>
          <w:rFonts w:asciiTheme="minorHAnsi" w:eastAsia="Trebuchet MS" w:hAnsiTheme="minorHAnsi" w:cstheme="minorHAnsi"/>
          <w:i/>
          <w:color w:val="3E60F2"/>
          <w:sz w:val="22"/>
          <w:szCs w:val="22"/>
        </w:rPr>
        <w:t>k</w:t>
      </w:r>
      <w:r w:rsidRPr="00B92460">
        <w:rPr>
          <w:rFonts w:asciiTheme="minorHAnsi" w:eastAsia="Trebuchet MS" w:hAnsiTheme="minorHAnsi" w:cstheme="minorHAnsi"/>
          <w:color w:val="3E60F2"/>
          <w:sz w:val="22"/>
          <w:szCs w:val="22"/>
        </w:rPr>
        <w:t xml:space="preserve"> is</w:t>
      </w:r>
      <w:r>
        <w:rPr>
          <w:rFonts w:asciiTheme="minorHAnsi" w:eastAsia="Trebuchet MS" w:hAnsiTheme="minorHAnsi" w:cstheme="minorHAnsi"/>
          <w:color w:val="3E60F2"/>
          <w:sz w:val="22"/>
          <w:szCs w:val="22"/>
        </w:rPr>
        <w:t>:</w:t>
      </w:r>
      <w:r w:rsidRPr="00774246">
        <w:rPr>
          <w:rFonts w:asciiTheme="minorHAnsi" w:eastAsia="Trebuchet MS" w:hAnsiTheme="minorHAnsi" w:cstheme="minorHAnsi"/>
          <w:color w:val="3E60F2"/>
          <w:sz w:val="22"/>
          <w:szCs w:val="22"/>
        </w:rPr>
        <w:t xml:space="preserve"> </w:t>
      </w:r>
    </w:p>
    <w:p w:rsidR="00EA4D9F" w:rsidRPr="00774246" w:rsidRDefault="00EA4D9F" w:rsidP="00EA4D9F">
      <w:pPr>
        <w:pStyle w:val="NOTE"/>
        <w:spacing w:line="276" w:lineRule="auto"/>
        <w:ind w:left="1440" w:hanging="1440"/>
        <w:rPr>
          <w:rFonts w:asciiTheme="minorHAnsi" w:eastAsia="Trebuchet MS" w:hAnsiTheme="minorHAnsi" w:cstheme="minorHAnsi"/>
          <w:color w:val="3E60F2"/>
          <w:sz w:val="22"/>
          <w:szCs w:val="22"/>
        </w:rPr>
      </w:pPr>
      <m:oMathPara>
        <m:oMath>
          <m:f>
            <m:fPr>
              <m:ctrlPr>
                <w:rPr>
                  <w:rFonts w:ascii="Cambria Math" w:eastAsia="Trebuchet MS" w:hAnsi="Cambria Math" w:cstheme="minorHAnsi"/>
                  <w:i/>
                  <w:color w:val="3E60F2"/>
                  <w:sz w:val="22"/>
                  <w:szCs w:val="22"/>
                </w:rPr>
              </m:ctrlPr>
            </m:fPr>
            <m:num>
              <m:sSub>
                <m:sSubPr>
                  <m:ctrlPr>
                    <w:rPr>
                      <w:rFonts w:ascii="Cambria Math" w:eastAsia="Trebuchet MS" w:hAnsi="Cambria Math" w:cstheme="minorHAnsi"/>
                      <w:i/>
                      <w:color w:val="3E60F2"/>
                      <w:sz w:val="22"/>
                      <w:szCs w:val="22"/>
                    </w:rPr>
                  </m:ctrlPr>
                </m:sSubPr>
                <m:e>
                  <m:r>
                    <m:rPr>
                      <m:nor/>
                    </m:rPr>
                    <w:rPr>
                      <w:rFonts w:ascii="Cambria Math" w:eastAsia="Trebuchet MS" w:hAnsi="Cambria Math" w:cstheme="minorHAnsi"/>
                      <w:i/>
                      <w:color w:val="3E60F2"/>
                      <w:sz w:val="22"/>
                      <w:szCs w:val="22"/>
                    </w:rPr>
                    <m:t>MSPB-PAC LTCH Amount</m:t>
                  </m:r>
                </m:e>
                <m:sub>
                  <m:r>
                    <w:rPr>
                      <w:rFonts w:ascii="Cambria Math" w:eastAsia="Trebuchet MS" w:hAnsi="Cambria Math" w:cstheme="minorHAnsi"/>
                      <w:color w:val="3E60F2"/>
                      <w:sz w:val="22"/>
                      <w:szCs w:val="22"/>
                    </w:rPr>
                    <m:t>k</m:t>
                  </m:r>
                </m:sub>
              </m:sSub>
            </m:num>
            <m:den>
              <m:r>
                <m:rPr>
                  <m:nor/>
                </m:rPr>
                <w:rPr>
                  <w:rFonts w:ascii="Cambria Math" w:eastAsia="Trebuchet MS" w:hAnsi="Cambria Math" w:cstheme="minorHAnsi"/>
                  <w:i/>
                  <w:color w:val="3E60F2"/>
                  <w:sz w:val="22"/>
                  <w:szCs w:val="22"/>
                </w:rPr>
                <m:t>National Median MSPB-PAC LTCH Amount</m:t>
              </m:r>
            </m:den>
          </m:f>
        </m:oMath>
      </m:oMathPara>
    </w:p>
    <w:p w:rsidR="00EA4D9F" w:rsidRPr="00B92460" w:rsidRDefault="00EA4D9F" w:rsidP="00EA4D9F">
      <w:pPr>
        <w:pStyle w:val="NOTE"/>
        <w:spacing w:line="276" w:lineRule="auto"/>
        <w:rPr>
          <w:rFonts w:asciiTheme="minorHAnsi" w:eastAsia="Trebuchet MS" w:hAnsiTheme="minorHAnsi" w:cstheme="minorHAnsi"/>
          <w:color w:val="3E60F2"/>
          <w:sz w:val="22"/>
          <w:szCs w:val="22"/>
        </w:rPr>
      </w:pPr>
    </w:p>
    <w:p w:rsidR="00EA4D9F" w:rsidRDefault="00EA4D9F" w:rsidP="00EA4D9F">
      <w:pPr>
        <w:pStyle w:val="NOTE"/>
        <w:spacing w:line="276" w:lineRule="auto"/>
        <w:ind w:left="1440"/>
        <w:rPr>
          <w:rFonts w:asciiTheme="minorHAnsi" w:eastAsia="Trebuchet MS" w:hAnsiTheme="minorHAnsi" w:cstheme="minorHAnsi"/>
          <w:color w:val="3E60F2"/>
          <w:sz w:val="22"/>
          <w:szCs w:val="22"/>
        </w:rPr>
      </w:pPr>
    </w:p>
    <w:p w:rsidR="00EA4D9F" w:rsidRDefault="00EA4D9F" w:rsidP="00EA4D9F">
      <w:pPr>
        <w:pStyle w:val="NOTE"/>
        <w:spacing w:line="276" w:lineRule="auto"/>
        <w:ind w:left="1440"/>
        <w:rPr>
          <w:rFonts w:asciiTheme="minorHAnsi" w:eastAsia="Trebuchet MS" w:hAnsiTheme="minorHAnsi" w:cstheme="minorHAnsi"/>
          <w:color w:val="3E60F2"/>
          <w:sz w:val="22"/>
          <w:szCs w:val="22"/>
        </w:rPr>
      </w:pPr>
      <w:r>
        <w:t xml:space="preserve">. </w:t>
      </w:r>
    </w:p>
    <w:p w:rsidR="00EA4D9F" w:rsidRPr="00B92460" w:rsidRDefault="00EA4D9F" w:rsidP="00EA4D9F">
      <w:pPr>
        <w:pStyle w:val="NOTE"/>
        <w:spacing w:line="276" w:lineRule="auto"/>
        <w:ind w:left="1440"/>
        <w:rPr>
          <w:rFonts w:asciiTheme="minorHAnsi" w:eastAsia="Trebuchet MS" w:hAnsiTheme="minorHAnsi" w:cstheme="minorHAnsi"/>
          <w:color w:val="3E60F2"/>
          <w:sz w:val="22"/>
          <w:szCs w:val="22"/>
        </w:rPr>
      </w:pPr>
      <w:r w:rsidRPr="00B92460">
        <w:rPr>
          <w:rFonts w:asciiTheme="minorHAnsi" w:eastAsia="Trebuchet MS" w:hAnsiTheme="minorHAnsi" w:cstheme="minorHAnsi"/>
          <w:color w:val="3E60F2"/>
          <w:sz w:val="22"/>
          <w:szCs w:val="22"/>
        </w:rPr>
        <w:t xml:space="preserve">The numerator is the </w:t>
      </w:r>
      <w:r>
        <w:rPr>
          <w:rFonts w:asciiTheme="minorHAnsi" w:eastAsia="Trebuchet MS" w:hAnsiTheme="minorHAnsi" w:cstheme="minorHAnsi"/>
          <w:color w:val="3E60F2"/>
          <w:sz w:val="22"/>
          <w:szCs w:val="22"/>
        </w:rPr>
        <w:t>MSPB-PAC LTCH</w:t>
      </w:r>
      <w:r w:rsidRPr="00B92460">
        <w:rPr>
          <w:rFonts w:asciiTheme="minorHAnsi" w:eastAsia="Trebuchet MS" w:hAnsiTheme="minorHAnsi" w:cstheme="minorHAnsi"/>
          <w:color w:val="3E60F2"/>
          <w:sz w:val="22"/>
          <w:szCs w:val="22"/>
        </w:rPr>
        <w:t xml:space="preserve"> Amount, or the average risk-adjusted episode spending across all episodes for the attributed provider</w:t>
      </w:r>
      <w:r>
        <w:rPr>
          <w:rFonts w:asciiTheme="minorHAnsi" w:eastAsia="Trebuchet MS" w:hAnsiTheme="minorHAnsi" w:cstheme="minorHAnsi"/>
          <w:color w:val="3E60F2"/>
          <w:sz w:val="22"/>
          <w:szCs w:val="22"/>
        </w:rPr>
        <w:t>, comparing Standard and Site Neutral episodes only with episodes of the same type</w:t>
      </w:r>
      <w:r w:rsidRPr="00B92460">
        <w:rPr>
          <w:rFonts w:asciiTheme="minorHAnsi" w:eastAsia="Trebuchet MS" w:hAnsiTheme="minorHAnsi" w:cstheme="minorHAnsi"/>
          <w:color w:val="3E60F2"/>
          <w:sz w:val="22"/>
          <w:szCs w:val="22"/>
        </w:rPr>
        <w:t xml:space="preserve">. This is then multiplied by the national average episode spending level for all </w:t>
      </w:r>
      <w:r>
        <w:rPr>
          <w:rFonts w:asciiTheme="minorHAnsi" w:eastAsia="Trebuchet MS" w:hAnsiTheme="minorHAnsi" w:cstheme="minorHAnsi"/>
          <w:color w:val="3E60F2"/>
          <w:sz w:val="22"/>
          <w:szCs w:val="22"/>
        </w:rPr>
        <w:t>LTCH</w:t>
      </w:r>
      <w:r w:rsidRPr="00B92460">
        <w:rPr>
          <w:rFonts w:asciiTheme="minorHAnsi" w:eastAsia="Trebuchet MS" w:hAnsiTheme="minorHAnsi" w:cstheme="minorHAnsi"/>
          <w:color w:val="3E60F2"/>
          <w:sz w:val="22"/>
          <w:szCs w:val="22"/>
        </w:rPr>
        <w:t xml:space="preserve"> providers nationally. Mathematically, the </w:t>
      </w:r>
      <w:r>
        <w:rPr>
          <w:rFonts w:asciiTheme="minorHAnsi" w:eastAsia="Trebuchet MS" w:hAnsiTheme="minorHAnsi" w:cstheme="minorHAnsi"/>
          <w:color w:val="3E60F2"/>
          <w:sz w:val="22"/>
          <w:szCs w:val="22"/>
        </w:rPr>
        <w:t>MSPB-PAC LTCH</w:t>
      </w:r>
      <w:r w:rsidRPr="00B92460">
        <w:rPr>
          <w:rFonts w:asciiTheme="minorHAnsi" w:eastAsia="Trebuchet MS" w:hAnsiTheme="minorHAnsi" w:cstheme="minorHAnsi"/>
          <w:color w:val="3E60F2"/>
          <w:sz w:val="22"/>
          <w:szCs w:val="22"/>
        </w:rPr>
        <w:t xml:space="preserve"> Amount numerator is calculated as:</w:t>
      </w:r>
    </w:p>
    <w:p w:rsidR="00EA4D9F" w:rsidRPr="00774246" w:rsidRDefault="00EA4D9F" w:rsidP="00EA4D9F">
      <w:pPr>
        <w:pStyle w:val="NOTE"/>
        <w:spacing w:line="276" w:lineRule="auto"/>
        <w:jc w:val="center"/>
        <w:rPr>
          <w:rFonts w:asciiTheme="minorHAnsi" w:eastAsia="Trebuchet MS" w:hAnsiTheme="minorHAnsi" w:cstheme="minorHAnsi"/>
          <w:color w:val="3E60F2"/>
          <w:sz w:val="22"/>
          <w:szCs w:val="22"/>
        </w:rPr>
      </w:pPr>
      <m:oMathPara>
        <m:oMath>
          <m:sSub>
            <m:sSubPr>
              <m:ctrlPr>
                <w:rPr>
                  <w:rFonts w:ascii="Cambria Math" w:eastAsia="Trebuchet MS" w:hAnsi="Cambria Math" w:cstheme="minorHAnsi"/>
                  <w:i/>
                  <w:color w:val="3E60F2"/>
                  <w:sz w:val="22"/>
                  <w:szCs w:val="22"/>
                </w:rPr>
              </m:ctrlPr>
            </m:sSubPr>
            <m:e>
              <m:r>
                <m:rPr>
                  <m:nor/>
                </m:rPr>
                <w:rPr>
                  <w:rFonts w:ascii="Cambria Math" w:eastAsia="Trebuchet MS" w:hAnsi="Cambria Math" w:cstheme="minorHAnsi"/>
                  <w:i/>
                  <w:color w:val="3E60F2"/>
                  <w:sz w:val="22"/>
                  <w:szCs w:val="22"/>
                </w:rPr>
                <m:t>MSPB-PAC LTCH Amount</m:t>
              </m:r>
            </m:e>
            <m:sub>
              <m:r>
                <w:rPr>
                  <w:rFonts w:ascii="Cambria Math" w:eastAsia="Trebuchet MS" w:hAnsi="Cambria Math" w:cstheme="minorHAnsi"/>
                  <w:color w:val="3E60F2"/>
                  <w:sz w:val="22"/>
                  <w:szCs w:val="22"/>
                </w:rPr>
                <m:t>k</m:t>
              </m:r>
            </m:sub>
          </m:sSub>
          <m:r>
            <w:rPr>
              <w:rFonts w:ascii="Cambria Math" w:eastAsia="Trebuchet MS" w:hAnsi="Cambria Math" w:cstheme="minorHAnsi"/>
              <w:color w:val="3E60F2"/>
              <w:sz w:val="22"/>
              <w:szCs w:val="22"/>
            </w:rPr>
            <m:t>=</m:t>
          </m:r>
          <m:d>
            <m:dPr>
              <m:ctrlPr>
                <w:rPr>
                  <w:rFonts w:ascii="Cambria Math" w:eastAsia="Trebuchet MS" w:hAnsi="Cambria Math" w:cstheme="minorHAnsi"/>
                  <w:i/>
                  <w:color w:val="3E60F2"/>
                  <w:sz w:val="22"/>
                  <w:szCs w:val="22"/>
                </w:rPr>
              </m:ctrlPr>
            </m:dPr>
            <m:e>
              <m:f>
                <m:fPr>
                  <m:ctrlPr>
                    <w:rPr>
                      <w:rFonts w:ascii="Cambria Math" w:eastAsia="Trebuchet MS" w:hAnsi="Cambria Math" w:cstheme="minorHAnsi"/>
                      <w:i/>
                      <w:color w:val="3E60F2"/>
                      <w:sz w:val="22"/>
                      <w:szCs w:val="22"/>
                    </w:rPr>
                  </m:ctrlPr>
                </m:fPr>
                <m:num>
                  <m:r>
                    <w:rPr>
                      <w:rFonts w:ascii="Cambria Math" w:eastAsia="Trebuchet MS" w:hAnsi="Cambria Math" w:cstheme="minorHAnsi"/>
                      <w:color w:val="3E60F2"/>
                      <w:sz w:val="22"/>
                      <w:szCs w:val="22"/>
                    </w:rPr>
                    <m:t>1</m:t>
                  </m:r>
                </m:num>
                <m:den>
                  <m:sSub>
                    <m:sSubPr>
                      <m:ctrlPr>
                        <w:rPr>
                          <w:rFonts w:ascii="Cambria Math" w:eastAsia="Trebuchet MS" w:hAnsi="Cambria Math" w:cstheme="minorHAnsi"/>
                          <w:i/>
                          <w:color w:val="3E60F2"/>
                          <w:sz w:val="22"/>
                          <w:szCs w:val="22"/>
                        </w:rPr>
                      </m:ctrlPr>
                    </m:sSubPr>
                    <m:e>
                      <m:r>
                        <w:rPr>
                          <w:rFonts w:ascii="Cambria Math" w:eastAsia="Trebuchet MS" w:hAnsi="Cambria Math" w:cstheme="minorHAnsi"/>
                          <w:color w:val="3E60F2"/>
                          <w:sz w:val="22"/>
                          <w:szCs w:val="22"/>
                        </w:rPr>
                        <m:t>n</m:t>
                      </m:r>
                    </m:e>
                    <m:sub>
                      <m:r>
                        <w:rPr>
                          <w:rFonts w:ascii="Cambria Math" w:eastAsia="Trebuchet MS" w:hAnsi="Cambria Math" w:cstheme="minorHAnsi"/>
                          <w:color w:val="3E60F2"/>
                          <w:sz w:val="22"/>
                          <w:szCs w:val="22"/>
                        </w:rPr>
                        <m:t>k</m:t>
                      </m:r>
                    </m:sub>
                  </m:sSub>
                </m:den>
              </m:f>
              <m:nary>
                <m:naryPr>
                  <m:chr m:val="∑"/>
                  <m:limLoc m:val="undOvr"/>
                  <m:supHide m:val="1"/>
                  <m:ctrlPr>
                    <w:rPr>
                      <w:rFonts w:ascii="Cambria Math" w:eastAsia="Trebuchet MS" w:hAnsi="Cambria Math" w:cstheme="minorHAnsi"/>
                      <w:i/>
                      <w:color w:val="3E60F2"/>
                      <w:sz w:val="22"/>
                      <w:szCs w:val="22"/>
                    </w:rPr>
                  </m:ctrlPr>
                </m:naryPr>
                <m:sub>
                  <m:r>
                    <w:rPr>
                      <w:rFonts w:ascii="Cambria Math" w:eastAsia="Trebuchet MS" w:hAnsi="Cambria Math" w:cstheme="minorHAnsi"/>
                      <w:color w:val="3E60F2"/>
                      <w:sz w:val="22"/>
                      <w:szCs w:val="22"/>
                    </w:rPr>
                    <m:t>i∈</m:t>
                  </m:r>
                  <m:d>
                    <m:dPr>
                      <m:begChr m:val="{"/>
                      <m:endChr m:val="}"/>
                      <m:ctrlPr>
                        <w:rPr>
                          <w:rFonts w:ascii="Cambria Math" w:eastAsia="Trebuchet MS" w:hAnsi="Cambria Math" w:cstheme="minorHAnsi"/>
                          <w:i/>
                          <w:color w:val="3E60F2"/>
                          <w:sz w:val="22"/>
                          <w:szCs w:val="22"/>
                        </w:rPr>
                      </m:ctrlPr>
                    </m:dPr>
                    <m:e>
                      <m:sSub>
                        <m:sSubPr>
                          <m:ctrlPr>
                            <w:rPr>
                              <w:rFonts w:ascii="Cambria Math" w:eastAsia="Trebuchet MS" w:hAnsi="Cambria Math" w:cstheme="minorHAnsi"/>
                              <w:i/>
                              <w:color w:val="3E60F2"/>
                              <w:sz w:val="22"/>
                              <w:szCs w:val="22"/>
                            </w:rPr>
                          </m:ctrlPr>
                        </m:sSubPr>
                        <m:e>
                          <m:r>
                            <w:rPr>
                              <w:rFonts w:ascii="Cambria Math" w:eastAsia="Trebuchet MS" w:hAnsi="Cambria Math" w:cstheme="minorHAnsi"/>
                              <w:color w:val="3E60F2"/>
                              <w:sz w:val="22"/>
                              <w:szCs w:val="22"/>
                            </w:rPr>
                            <m:t>i</m:t>
                          </m:r>
                        </m:e>
                        <m:sub>
                          <m:r>
                            <w:rPr>
                              <w:rFonts w:ascii="Cambria Math" w:eastAsia="Trebuchet MS" w:hAnsi="Cambria Math" w:cstheme="minorHAnsi"/>
                              <w:color w:val="3E60F2"/>
                              <w:sz w:val="22"/>
                              <w:szCs w:val="22"/>
                            </w:rPr>
                            <m:t>k</m:t>
                          </m:r>
                        </m:sub>
                      </m:sSub>
                    </m:e>
                  </m:d>
                </m:sub>
                <m:sup/>
                <m:e>
                  <m:f>
                    <m:fPr>
                      <m:ctrlPr>
                        <w:rPr>
                          <w:rFonts w:ascii="Cambria Math" w:eastAsia="Trebuchet MS" w:hAnsi="Cambria Math" w:cstheme="minorHAnsi"/>
                          <w:i/>
                          <w:color w:val="3E60F2"/>
                          <w:sz w:val="22"/>
                          <w:szCs w:val="22"/>
                        </w:rPr>
                      </m:ctrlPr>
                    </m:fPr>
                    <m:num>
                      <m:sSub>
                        <m:sSubPr>
                          <m:ctrlPr>
                            <w:rPr>
                              <w:rFonts w:ascii="Cambria Math" w:eastAsia="Trebuchet MS" w:hAnsi="Cambria Math" w:cstheme="minorHAnsi"/>
                              <w:i/>
                              <w:color w:val="3E60F2"/>
                              <w:sz w:val="22"/>
                              <w:szCs w:val="22"/>
                            </w:rPr>
                          </m:ctrlPr>
                        </m:sSubPr>
                        <m:e>
                          <m:r>
                            <w:rPr>
                              <w:rFonts w:ascii="Cambria Math" w:eastAsia="Trebuchet MS" w:hAnsi="Cambria Math" w:cstheme="minorHAnsi"/>
                              <w:color w:val="3E60F2"/>
                              <w:sz w:val="22"/>
                              <w:szCs w:val="22"/>
                            </w:rPr>
                            <m:t>Y</m:t>
                          </m:r>
                        </m:e>
                        <m:sub>
                          <m:r>
                            <w:rPr>
                              <w:rFonts w:ascii="Cambria Math" w:eastAsia="Trebuchet MS" w:hAnsi="Cambria Math" w:cstheme="minorHAnsi"/>
                              <w:color w:val="3E60F2"/>
                              <w:sz w:val="22"/>
                              <w:szCs w:val="22"/>
                            </w:rPr>
                            <m:t>ik</m:t>
                          </m:r>
                        </m:sub>
                      </m:sSub>
                    </m:num>
                    <m:den>
                      <m:acc>
                        <m:accPr>
                          <m:ctrlPr>
                            <w:rPr>
                              <w:rFonts w:ascii="Cambria Math" w:eastAsia="Trebuchet MS" w:hAnsi="Cambria Math" w:cstheme="minorHAnsi"/>
                              <w:i/>
                              <w:color w:val="3E60F2"/>
                              <w:sz w:val="22"/>
                              <w:szCs w:val="22"/>
                            </w:rPr>
                          </m:ctrlPr>
                        </m:accPr>
                        <m:e>
                          <m:sSub>
                            <m:sSubPr>
                              <m:ctrlPr>
                                <w:rPr>
                                  <w:rFonts w:ascii="Cambria Math" w:eastAsia="Trebuchet MS" w:hAnsi="Cambria Math" w:cstheme="minorHAnsi"/>
                                  <w:i/>
                                  <w:color w:val="3E60F2"/>
                                  <w:sz w:val="22"/>
                                  <w:szCs w:val="22"/>
                                </w:rPr>
                              </m:ctrlPr>
                            </m:sSubPr>
                            <m:e>
                              <m:r>
                                <w:rPr>
                                  <w:rFonts w:ascii="Cambria Math" w:eastAsia="Trebuchet MS" w:hAnsi="Cambria Math" w:cstheme="minorHAnsi"/>
                                  <w:color w:val="3E60F2"/>
                                  <w:sz w:val="22"/>
                                  <w:szCs w:val="22"/>
                                </w:rPr>
                                <m:t>Y</m:t>
                              </m:r>
                            </m:e>
                            <m:sub>
                              <m:r>
                                <w:rPr>
                                  <w:rFonts w:ascii="Cambria Math" w:eastAsia="Trebuchet MS" w:hAnsi="Cambria Math" w:cstheme="minorHAnsi"/>
                                  <w:color w:val="3E60F2"/>
                                  <w:sz w:val="22"/>
                                  <w:szCs w:val="22"/>
                                </w:rPr>
                                <m:t>ik</m:t>
                              </m:r>
                            </m:sub>
                          </m:sSub>
                        </m:e>
                      </m:acc>
                    </m:den>
                  </m:f>
                </m:e>
              </m:nary>
            </m:e>
          </m:d>
          <m:d>
            <m:dPr>
              <m:ctrlPr>
                <w:rPr>
                  <w:rFonts w:ascii="Cambria Math" w:eastAsia="Trebuchet MS" w:hAnsi="Cambria Math" w:cstheme="minorHAnsi"/>
                  <w:i/>
                  <w:color w:val="3E60F2"/>
                  <w:sz w:val="22"/>
                  <w:szCs w:val="22"/>
                </w:rPr>
              </m:ctrlPr>
            </m:dPr>
            <m:e>
              <m:f>
                <m:fPr>
                  <m:ctrlPr>
                    <w:rPr>
                      <w:rFonts w:ascii="Cambria Math" w:eastAsia="Trebuchet MS" w:hAnsi="Cambria Math" w:cstheme="minorHAnsi"/>
                      <w:i/>
                      <w:color w:val="3E60F2"/>
                      <w:sz w:val="22"/>
                      <w:szCs w:val="22"/>
                    </w:rPr>
                  </m:ctrlPr>
                </m:fPr>
                <m:num>
                  <m:r>
                    <w:rPr>
                      <w:rFonts w:ascii="Cambria Math" w:eastAsia="Trebuchet MS" w:hAnsi="Cambria Math" w:cstheme="minorHAnsi"/>
                      <w:color w:val="3E60F2"/>
                      <w:sz w:val="22"/>
                      <w:szCs w:val="22"/>
                    </w:rPr>
                    <m:t>1</m:t>
                  </m:r>
                </m:num>
                <m:den>
                  <m:r>
                    <w:rPr>
                      <w:rFonts w:ascii="Cambria Math" w:eastAsia="Trebuchet MS" w:hAnsi="Cambria Math" w:cstheme="minorHAnsi"/>
                      <w:color w:val="3E60F2"/>
                      <w:sz w:val="22"/>
                      <w:szCs w:val="22"/>
                    </w:rPr>
                    <m:t>n</m:t>
                  </m:r>
                </m:den>
              </m:f>
              <m:nary>
                <m:naryPr>
                  <m:chr m:val="∑"/>
                  <m:limLoc m:val="subSup"/>
                  <m:supHide m:val="1"/>
                  <m:ctrlPr>
                    <w:rPr>
                      <w:rFonts w:ascii="Cambria Math" w:eastAsia="Trebuchet MS" w:hAnsi="Cambria Math" w:cstheme="minorHAnsi"/>
                      <w:i/>
                      <w:color w:val="3E60F2"/>
                      <w:sz w:val="22"/>
                      <w:szCs w:val="22"/>
                    </w:rPr>
                  </m:ctrlPr>
                </m:naryPr>
                <m:sub>
                  <m:r>
                    <w:rPr>
                      <w:rFonts w:ascii="Cambria Math" w:eastAsia="Trebuchet MS" w:hAnsi="Cambria Math" w:cstheme="minorHAnsi"/>
                      <w:color w:val="3E60F2"/>
                      <w:sz w:val="22"/>
                      <w:szCs w:val="22"/>
                    </w:rPr>
                    <m:t>k</m:t>
                  </m:r>
                </m:sub>
                <m:sup/>
                <m:e>
                  <m:nary>
                    <m:naryPr>
                      <m:chr m:val="∑"/>
                      <m:limLoc m:val="undOvr"/>
                      <m:supHide m:val="1"/>
                      <m:ctrlPr>
                        <w:rPr>
                          <w:rFonts w:ascii="Cambria Math" w:eastAsia="Trebuchet MS" w:hAnsi="Cambria Math" w:cstheme="minorHAnsi"/>
                          <w:i/>
                          <w:color w:val="3E60F2"/>
                          <w:sz w:val="22"/>
                          <w:szCs w:val="22"/>
                        </w:rPr>
                      </m:ctrlPr>
                    </m:naryPr>
                    <m:sub>
                      <m:r>
                        <w:rPr>
                          <w:rFonts w:ascii="Cambria Math" w:eastAsia="Trebuchet MS" w:hAnsi="Cambria Math" w:cstheme="minorHAnsi"/>
                          <w:color w:val="3E60F2"/>
                          <w:sz w:val="22"/>
                          <w:szCs w:val="22"/>
                        </w:rPr>
                        <m:t>i∈</m:t>
                      </m:r>
                      <m:d>
                        <m:dPr>
                          <m:begChr m:val="{"/>
                          <m:endChr m:val="}"/>
                          <m:ctrlPr>
                            <w:rPr>
                              <w:rFonts w:ascii="Cambria Math" w:eastAsia="Trebuchet MS" w:hAnsi="Cambria Math" w:cstheme="minorHAnsi"/>
                              <w:i/>
                              <w:color w:val="3E60F2"/>
                              <w:sz w:val="22"/>
                              <w:szCs w:val="22"/>
                            </w:rPr>
                          </m:ctrlPr>
                        </m:dPr>
                        <m:e>
                          <m:sSub>
                            <m:sSubPr>
                              <m:ctrlPr>
                                <w:rPr>
                                  <w:rFonts w:ascii="Cambria Math" w:eastAsia="Trebuchet MS" w:hAnsi="Cambria Math" w:cstheme="minorHAnsi"/>
                                  <w:i/>
                                  <w:color w:val="3E60F2"/>
                                  <w:sz w:val="22"/>
                                  <w:szCs w:val="22"/>
                                </w:rPr>
                              </m:ctrlPr>
                            </m:sSubPr>
                            <m:e>
                              <m:r>
                                <w:rPr>
                                  <w:rFonts w:ascii="Cambria Math" w:eastAsia="Trebuchet MS" w:hAnsi="Cambria Math" w:cstheme="minorHAnsi"/>
                                  <w:color w:val="3E60F2"/>
                                  <w:sz w:val="22"/>
                                  <w:szCs w:val="22"/>
                                </w:rPr>
                                <m:t>i</m:t>
                              </m:r>
                            </m:e>
                            <m:sub>
                              <m:r>
                                <w:rPr>
                                  <w:rFonts w:ascii="Cambria Math" w:eastAsia="Trebuchet MS" w:hAnsi="Cambria Math" w:cstheme="minorHAnsi"/>
                                  <w:color w:val="3E60F2"/>
                                  <w:sz w:val="22"/>
                                  <w:szCs w:val="22"/>
                                </w:rPr>
                                <m:t>k</m:t>
                              </m:r>
                            </m:sub>
                          </m:sSub>
                        </m:e>
                      </m:d>
                    </m:sub>
                    <m:sup/>
                    <m:e>
                      <m:sSub>
                        <m:sSubPr>
                          <m:ctrlPr>
                            <w:rPr>
                              <w:rFonts w:ascii="Cambria Math" w:eastAsia="Trebuchet MS" w:hAnsi="Cambria Math" w:cstheme="minorHAnsi"/>
                              <w:i/>
                              <w:color w:val="3E60F2"/>
                              <w:sz w:val="22"/>
                              <w:szCs w:val="22"/>
                            </w:rPr>
                          </m:ctrlPr>
                        </m:sSubPr>
                        <m:e>
                          <m:r>
                            <w:rPr>
                              <w:rFonts w:ascii="Cambria Math" w:eastAsia="Trebuchet MS" w:hAnsi="Cambria Math" w:cstheme="minorHAnsi"/>
                              <w:color w:val="3E60F2"/>
                              <w:sz w:val="22"/>
                              <w:szCs w:val="22"/>
                            </w:rPr>
                            <m:t>Y</m:t>
                          </m:r>
                        </m:e>
                        <m:sub>
                          <m:r>
                            <w:rPr>
                              <w:rFonts w:ascii="Cambria Math" w:eastAsia="Trebuchet MS" w:hAnsi="Cambria Math" w:cstheme="minorHAnsi"/>
                              <w:color w:val="3E60F2"/>
                              <w:sz w:val="22"/>
                              <w:szCs w:val="22"/>
                            </w:rPr>
                            <m:t>ik</m:t>
                          </m:r>
                        </m:sub>
                      </m:sSub>
                    </m:e>
                  </m:nary>
                </m:e>
              </m:nary>
            </m:e>
          </m:d>
        </m:oMath>
      </m:oMathPara>
    </w:p>
    <w:p w:rsidR="00EA4D9F" w:rsidRPr="00B92460" w:rsidRDefault="00EA4D9F" w:rsidP="00EA4D9F">
      <w:pPr>
        <w:pStyle w:val="NOTE"/>
        <w:spacing w:line="276" w:lineRule="auto"/>
        <w:rPr>
          <w:rFonts w:asciiTheme="minorHAnsi" w:eastAsia="Trebuchet MS" w:hAnsiTheme="minorHAnsi" w:cstheme="minorHAnsi"/>
          <w:color w:val="3E60F2"/>
          <w:sz w:val="22"/>
          <w:szCs w:val="22"/>
        </w:rPr>
      </w:pPr>
    </w:p>
    <w:p w:rsidR="00EA4D9F" w:rsidRPr="00B92460" w:rsidRDefault="00EA4D9F" w:rsidP="00EA4D9F">
      <w:pPr>
        <w:pStyle w:val="NOTE"/>
        <w:spacing w:line="276" w:lineRule="auto"/>
        <w:rPr>
          <w:rFonts w:asciiTheme="minorHAnsi" w:eastAsia="Trebuchet MS" w:hAnsiTheme="minorHAnsi" w:cstheme="minorHAnsi"/>
          <w:color w:val="3E60F2"/>
          <w:sz w:val="22"/>
          <w:szCs w:val="22"/>
        </w:rPr>
      </w:pPr>
      <w:r w:rsidRPr="00B92460">
        <w:rPr>
          <w:rFonts w:asciiTheme="minorHAnsi" w:eastAsia="Trebuchet MS" w:hAnsiTheme="minorHAnsi" w:cstheme="minorHAnsi"/>
          <w:color w:val="3E60F2"/>
          <w:sz w:val="22"/>
          <w:szCs w:val="22"/>
        </w:rPr>
        <w:tab/>
      </w:r>
      <w:r w:rsidRPr="00B92460">
        <w:rPr>
          <w:rFonts w:asciiTheme="minorHAnsi" w:eastAsia="Trebuchet MS" w:hAnsiTheme="minorHAnsi" w:cstheme="minorHAnsi"/>
          <w:color w:val="3E60F2"/>
          <w:sz w:val="22"/>
          <w:szCs w:val="22"/>
        </w:rPr>
        <w:tab/>
        <w:t>Where:</w:t>
      </w:r>
    </w:p>
    <w:p w:rsidR="00EA4D9F" w:rsidRPr="00B92460" w:rsidRDefault="00EA4D9F" w:rsidP="00EA4D9F">
      <w:pPr>
        <w:pStyle w:val="NOTE"/>
        <w:spacing w:line="276" w:lineRule="auto"/>
        <w:rPr>
          <w:rFonts w:asciiTheme="minorHAnsi" w:eastAsia="Trebuchet MS" w:hAnsiTheme="minorHAnsi" w:cstheme="minorHAnsi"/>
          <w:color w:val="3E60F2"/>
          <w:sz w:val="22"/>
          <w:szCs w:val="22"/>
        </w:rPr>
      </w:pPr>
      <w:r w:rsidRPr="00B92460">
        <w:rPr>
          <w:rFonts w:asciiTheme="minorHAnsi" w:eastAsia="Trebuchet MS" w:hAnsiTheme="minorHAnsi" w:cstheme="minorHAnsi"/>
          <w:color w:val="3E60F2"/>
          <w:sz w:val="22"/>
          <w:szCs w:val="22"/>
        </w:rPr>
        <w:tab/>
      </w:r>
      <w:r w:rsidRPr="00B92460">
        <w:rPr>
          <w:rFonts w:asciiTheme="minorHAnsi" w:eastAsia="Trebuchet MS" w:hAnsiTheme="minorHAnsi" w:cstheme="minorHAnsi"/>
          <w:color w:val="3E60F2"/>
          <w:sz w:val="22"/>
          <w:szCs w:val="22"/>
        </w:rPr>
        <w:tab/>
      </w:r>
      <m:oMath>
        <m:sSub>
          <m:sSubPr>
            <m:ctrlPr>
              <w:rPr>
                <w:rFonts w:ascii="Cambria Math" w:eastAsia="Trebuchet MS" w:hAnsi="Cambria Math" w:cstheme="minorHAnsi"/>
                <w:i/>
                <w:color w:val="3E60F2"/>
                <w:sz w:val="22"/>
                <w:szCs w:val="22"/>
              </w:rPr>
            </m:ctrlPr>
          </m:sSubPr>
          <m:e>
            <m:r>
              <w:rPr>
                <w:rFonts w:ascii="Cambria Math" w:eastAsia="Trebuchet MS" w:hAnsi="Cambria Math" w:cstheme="minorHAnsi"/>
                <w:color w:val="3E60F2"/>
                <w:sz w:val="22"/>
                <w:szCs w:val="22"/>
              </w:rPr>
              <m:t>Y</m:t>
            </m:r>
          </m:e>
          <m:sub>
            <m:r>
              <w:rPr>
                <w:rFonts w:ascii="Cambria Math" w:eastAsia="Trebuchet MS" w:hAnsi="Cambria Math" w:cstheme="minorHAnsi"/>
                <w:color w:val="3E60F2"/>
                <w:sz w:val="22"/>
                <w:szCs w:val="22"/>
              </w:rPr>
              <m:t>ik</m:t>
            </m:r>
          </m:sub>
        </m:sSub>
      </m:oMath>
      <w:r w:rsidRPr="00774246">
        <w:rPr>
          <w:rFonts w:asciiTheme="minorHAnsi" w:eastAsia="Trebuchet MS" w:hAnsiTheme="minorHAnsi" w:cstheme="minorHAnsi"/>
          <w:color w:val="3E60F2"/>
          <w:sz w:val="22"/>
          <w:szCs w:val="22"/>
        </w:rPr>
        <w:tab/>
        <w:t xml:space="preserve">is the attributed standardized spending for episode </w:t>
      </w:r>
      <w:r w:rsidRPr="00B92460">
        <w:rPr>
          <w:rFonts w:asciiTheme="minorHAnsi" w:eastAsia="Trebuchet MS" w:hAnsiTheme="minorHAnsi" w:cstheme="minorHAnsi"/>
          <w:i/>
          <w:color w:val="3E60F2"/>
          <w:sz w:val="22"/>
          <w:szCs w:val="22"/>
        </w:rPr>
        <w:t xml:space="preserve">i </w:t>
      </w:r>
      <w:r w:rsidRPr="00B92460">
        <w:rPr>
          <w:rFonts w:asciiTheme="minorHAnsi" w:eastAsia="Trebuchet MS" w:hAnsiTheme="minorHAnsi" w:cstheme="minorHAnsi"/>
          <w:color w:val="3E60F2"/>
          <w:sz w:val="22"/>
          <w:szCs w:val="22"/>
        </w:rPr>
        <w:t xml:space="preserve">and provider </w:t>
      </w:r>
      <w:r w:rsidRPr="00B92460">
        <w:rPr>
          <w:rFonts w:asciiTheme="minorHAnsi" w:eastAsia="Trebuchet MS" w:hAnsiTheme="minorHAnsi" w:cstheme="minorHAnsi"/>
          <w:i/>
          <w:color w:val="3E60F2"/>
          <w:sz w:val="22"/>
          <w:szCs w:val="22"/>
        </w:rPr>
        <w:t>k</w:t>
      </w:r>
      <w:r w:rsidRPr="00B92460">
        <w:rPr>
          <w:rFonts w:asciiTheme="minorHAnsi" w:eastAsia="Trebuchet MS" w:hAnsiTheme="minorHAnsi" w:cstheme="minorHAnsi"/>
          <w:color w:val="3E60F2"/>
          <w:sz w:val="22"/>
          <w:szCs w:val="22"/>
        </w:rPr>
        <w:t>.</w:t>
      </w:r>
    </w:p>
    <w:p w:rsidR="00EA4D9F" w:rsidRPr="00B92460" w:rsidRDefault="00EA4D9F" w:rsidP="00EA4D9F">
      <w:pPr>
        <w:pStyle w:val="NOTE"/>
        <w:spacing w:line="276" w:lineRule="auto"/>
        <w:ind w:left="2160" w:hanging="720"/>
        <w:rPr>
          <w:rFonts w:asciiTheme="minorHAnsi" w:eastAsia="Trebuchet MS" w:hAnsiTheme="minorHAnsi" w:cstheme="minorHAnsi"/>
          <w:color w:val="3E60F2"/>
          <w:sz w:val="22"/>
          <w:szCs w:val="22"/>
        </w:rPr>
      </w:pPr>
      <m:oMath>
        <m:acc>
          <m:accPr>
            <m:ctrlPr>
              <w:rPr>
                <w:rFonts w:ascii="Cambria Math" w:hAnsi="Cambria Math" w:cstheme="minorHAnsi"/>
                <w:i/>
                <w:color w:val="3E60F2"/>
                <w:sz w:val="22"/>
                <w:szCs w:val="22"/>
              </w:rPr>
            </m:ctrlPr>
          </m:accPr>
          <m:e>
            <m:sSub>
              <m:sSubPr>
                <m:ctrlPr>
                  <w:rPr>
                    <w:rFonts w:ascii="Cambria Math" w:hAnsi="Cambria Math" w:cstheme="minorHAnsi"/>
                    <w:i/>
                    <w:color w:val="3E60F2"/>
                    <w:sz w:val="22"/>
                    <w:szCs w:val="22"/>
                  </w:rPr>
                </m:ctrlPr>
              </m:sSubPr>
              <m:e>
                <m:r>
                  <w:rPr>
                    <w:rFonts w:ascii="Cambria Math" w:hAnsi="Cambria Math" w:cstheme="minorHAnsi"/>
                    <w:color w:val="3E60F2"/>
                    <w:sz w:val="22"/>
                    <w:szCs w:val="22"/>
                  </w:rPr>
                  <m:t>Y</m:t>
                </m:r>
              </m:e>
              <m:sub>
                <m:r>
                  <w:rPr>
                    <w:rFonts w:ascii="Cambria Math" w:hAnsi="Cambria Math" w:cstheme="minorHAnsi"/>
                    <w:color w:val="3E60F2"/>
                    <w:sz w:val="22"/>
                    <w:szCs w:val="22"/>
                  </w:rPr>
                  <m:t>ik</m:t>
                </m:r>
              </m:sub>
            </m:sSub>
          </m:e>
        </m:acc>
      </m:oMath>
      <w:r w:rsidRPr="00774246">
        <w:rPr>
          <w:rFonts w:asciiTheme="minorHAnsi" w:eastAsia="Trebuchet MS" w:hAnsiTheme="minorHAnsi" w:cstheme="minorHAnsi"/>
          <w:color w:val="3E60F2"/>
          <w:sz w:val="22"/>
          <w:szCs w:val="22"/>
        </w:rPr>
        <w:t xml:space="preserve"> </w:t>
      </w:r>
      <w:r w:rsidRPr="00774246">
        <w:rPr>
          <w:rFonts w:asciiTheme="minorHAnsi" w:eastAsia="Trebuchet MS" w:hAnsiTheme="minorHAnsi" w:cstheme="minorHAnsi"/>
          <w:color w:val="3E60F2"/>
          <w:sz w:val="22"/>
          <w:szCs w:val="22"/>
        </w:rPr>
        <w:tab/>
        <w:t xml:space="preserve">is the expected standardized spending for episode </w:t>
      </w:r>
      <w:r w:rsidRPr="00774246">
        <w:rPr>
          <w:rFonts w:asciiTheme="minorHAnsi" w:eastAsia="Trebuchet MS" w:hAnsiTheme="minorHAnsi" w:cstheme="minorHAnsi"/>
          <w:i/>
          <w:color w:val="3E60F2"/>
          <w:sz w:val="22"/>
          <w:szCs w:val="22"/>
        </w:rPr>
        <w:t xml:space="preserve">i </w:t>
      </w:r>
      <w:r w:rsidRPr="00B92460">
        <w:rPr>
          <w:rFonts w:asciiTheme="minorHAnsi" w:eastAsia="Trebuchet MS" w:hAnsiTheme="minorHAnsi" w:cstheme="minorHAnsi"/>
          <w:color w:val="3E60F2"/>
          <w:sz w:val="22"/>
          <w:szCs w:val="22"/>
        </w:rPr>
        <w:t xml:space="preserve">and provider </w:t>
      </w:r>
      <w:r w:rsidRPr="00B92460">
        <w:rPr>
          <w:rFonts w:asciiTheme="minorHAnsi" w:eastAsia="Trebuchet MS" w:hAnsiTheme="minorHAnsi" w:cstheme="minorHAnsi"/>
          <w:i/>
          <w:color w:val="3E60F2"/>
          <w:sz w:val="22"/>
          <w:szCs w:val="22"/>
        </w:rPr>
        <w:t xml:space="preserve">k, </w:t>
      </w:r>
      <w:r w:rsidRPr="00B92460">
        <w:rPr>
          <w:rFonts w:asciiTheme="minorHAnsi" w:eastAsia="Trebuchet MS" w:hAnsiTheme="minorHAnsi" w:cstheme="minorHAnsi"/>
          <w:color w:val="3E60F2"/>
          <w:sz w:val="22"/>
          <w:szCs w:val="22"/>
        </w:rPr>
        <w:t>as predicted from risk</w:t>
      </w:r>
      <w:r>
        <w:rPr>
          <w:rFonts w:asciiTheme="minorHAnsi" w:eastAsia="Trebuchet MS" w:hAnsiTheme="minorHAnsi" w:cstheme="minorHAnsi"/>
          <w:color w:val="3E60F2"/>
          <w:sz w:val="22"/>
          <w:szCs w:val="22"/>
        </w:rPr>
        <w:t xml:space="preserve"> </w:t>
      </w:r>
      <w:r w:rsidRPr="00B92460">
        <w:rPr>
          <w:rFonts w:asciiTheme="minorHAnsi" w:eastAsia="Trebuchet MS" w:hAnsiTheme="minorHAnsi" w:cstheme="minorHAnsi"/>
          <w:color w:val="3E60F2"/>
          <w:sz w:val="22"/>
          <w:szCs w:val="22"/>
        </w:rPr>
        <w:t>adjustment, and resulting from Step 6 above</w:t>
      </w:r>
    </w:p>
    <w:p w:rsidR="00EA4D9F" w:rsidRPr="00B92460" w:rsidRDefault="00EA4D9F" w:rsidP="00EA4D9F">
      <w:pPr>
        <w:pStyle w:val="NOTE"/>
        <w:spacing w:line="276" w:lineRule="auto"/>
        <w:ind w:left="2160" w:hanging="720"/>
        <w:rPr>
          <w:rFonts w:asciiTheme="minorHAnsi" w:eastAsia="Trebuchet MS" w:hAnsiTheme="minorHAnsi" w:cstheme="minorHAnsi"/>
          <w:color w:val="3E60F2"/>
          <w:sz w:val="22"/>
          <w:szCs w:val="22"/>
        </w:rPr>
      </w:pPr>
      <m:oMath>
        <m:sSub>
          <m:sSubPr>
            <m:ctrlPr>
              <w:rPr>
                <w:rFonts w:ascii="Cambria Math" w:eastAsia="Trebuchet MS" w:hAnsi="Cambria Math" w:cstheme="minorHAnsi"/>
                <w:i/>
                <w:color w:val="3E60F2"/>
                <w:sz w:val="22"/>
                <w:szCs w:val="22"/>
              </w:rPr>
            </m:ctrlPr>
          </m:sSubPr>
          <m:e>
            <m:r>
              <w:rPr>
                <w:rFonts w:ascii="Cambria Math" w:eastAsia="Trebuchet MS" w:hAnsi="Cambria Math" w:cstheme="minorHAnsi"/>
                <w:color w:val="3E60F2"/>
                <w:sz w:val="22"/>
                <w:szCs w:val="22"/>
              </w:rPr>
              <m:t>n</m:t>
            </m:r>
          </m:e>
          <m:sub>
            <m:r>
              <w:rPr>
                <w:rFonts w:ascii="Cambria Math" w:eastAsia="Trebuchet MS" w:hAnsi="Cambria Math" w:cstheme="minorHAnsi"/>
                <w:color w:val="3E60F2"/>
                <w:sz w:val="22"/>
                <w:szCs w:val="22"/>
              </w:rPr>
              <m:t>k</m:t>
            </m:r>
          </m:sub>
        </m:sSub>
      </m:oMath>
      <w:r w:rsidRPr="00774246">
        <w:rPr>
          <w:rFonts w:asciiTheme="minorHAnsi" w:eastAsia="Trebuchet MS" w:hAnsiTheme="minorHAnsi" w:cstheme="minorHAnsi"/>
          <w:color w:val="3E60F2"/>
          <w:sz w:val="22"/>
          <w:szCs w:val="22"/>
        </w:rPr>
        <w:t xml:space="preserve"> </w:t>
      </w:r>
      <w:r w:rsidRPr="00774246">
        <w:rPr>
          <w:rFonts w:asciiTheme="minorHAnsi" w:eastAsia="Trebuchet MS" w:hAnsiTheme="minorHAnsi" w:cstheme="minorHAnsi"/>
          <w:color w:val="3E60F2"/>
          <w:sz w:val="22"/>
          <w:szCs w:val="22"/>
        </w:rPr>
        <w:tab/>
        <w:t xml:space="preserve">is the number of episodes for provider </w:t>
      </w:r>
      <w:r w:rsidRPr="00774246">
        <w:rPr>
          <w:rFonts w:asciiTheme="minorHAnsi" w:eastAsia="Trebuchet MS" w:hAnsiTheme="minorHAnsi" w:cstheme="minorHAnsi"/>
          <w:i/>
          <w:color w:val="3E60F2"/>
          <w:sz w:val="22"/>
          <w:szCs w:val="22"/>
        </w:rPr>
        <w:t>k</w:t>
      </w:r>
    </w:p>
    <w:p w:rsidR="00EA4D9F" w:rsidRPr="00B92460" w:rsidRDefault="00EA4D9F" w:rsidP="00EA4D9F">
      <w:pPr>
        <w:pStyle w:val="NOTE"/>
        <w:spacing w:line="276" w:lineRule="auto"/>
        <w:ind w:left="2160" w:hanging="720"/>
        <w:rPr>
          <w:rFonts w:asciiTheme="minorHAnsi" w:eastAsia="Trebuchet MS" w:hAnsiTheme="minorHAnsi" w:cstheme="minorHAnsi"/>
          <w:color w:val="3E60F2"/>
          <w:sz w:val="22"/>
          <w:szCs w:val="22"/>
        </w:rPr>
      </w:pPr>
      <m:oMath>
        <m:r>
          <w:rPr>
            <w:rFonts w:ascii="Cambria Math" w:eastAsia="Trebuchet MS" w:hAnsi="Cambria Math" w:cstheme="minorHAnsi"/>
            <w:color w:val="3E60F2"/>
            <w:sz w:val="22"/>
            <w:szCs w:val="22"/>
          </w:rPr>
          <m:t>n</m:t>
        </m:r>
      </m:oMath>
      <w:r w:rsidRPr="00B92460">
        <w:rPr>
          <w:rFonts w:asciiTheme="minorHAnsi" w:eastAsia="Trebuchet MS" w:hAnsiTheme="minorHAnsi" w:cstheme="minorHAnsi"/>
          <w:color w:val="3E60F2"/>
          <w:sz w:val="22"/>
          <w:szCs w:val="22"/>
        </w:rPr>
        <w:t xml:space="preserve"> </w:t>
      </w:r>
      <w:r w:rsidRPr="00B92460">
        <w:rPr>
          <w:rFonts w:asciiTheme="minorHAnsi" w:eastAsia="Trebuchet MS" w:hAnsiTheme="minorHAnsi" w:cstheme="minorHAnsi"/>
          <w:color w:val="3E60F2"/>
          <w:sz w:val="22"/>
          <w:szCs w:val="22"/>
        </w:rPr>
        <w:tab/>
        <w:t>is the number of episodes nationally</w:t>
      </w:r>
    </w:p>
    <w:p w:rsidR="00EA4D9F" w:rsidRPr="00B92460" w:rsidRDefault="00EA4D9F" w:rsidP="00EA4D9F">
      <w:pPr>
        <w:pStyle w:val="NOTE"/>
        <w:spacing w:line="276" w:lineRule="auto"/>
        <w:ind w:left="2160" w:hanging="720"/>
        <w:rPr>
          <w:rFonts w:asciiTheme="minorHAnsi" w:eastAsia="Trebuchet MS" w:hAnsiTheme="minorHAnsi" w:cstheme="minorHAnsi"/>
          <w:i/>
          <w:color w:val="3E60F2"/>
          <w:sz w:val="22"/>
          <w:szCs w:val="22"/>
        </w:rPr>
      </w:pPr>
      <m:oMath>
        <m:r>
          <w:rPr>
            <w:rFonts w:ascii="Cambria Math" w:eastAsia="Trebuchet MS" w:hAnsi="Cambria Math" w:cstheme="minorHAnsi"/>
            <w:color w:val="3E60F2"/>
            <w:sz w:val="22"/>
            <w:szCs w:val="22"/>
          </w:rPr>
          <m:t>i∈</m:t>
        </m:r>
        <m:d>
          <m:dPr>
            <m:begChr m:val="{"/>
            <m:endChr m:val="}"/>
            <m:ctrlPr>
              <w:rPr>
                <w:rFonts w:ascii="Cambria Math" w:eastAsia="Trebuchet MS" w:hAnsi="Cambria Math" w:cstheme="minorHAnsi"/>
                <w:i/>
                <w:color w:val="3E60F2"/>
                <w:sz w:val="22"/>
                <w:szCs w:val="22"/>
              </w:rPr>
            </m:ctrlPr>
          </m:dPr>
          <m:e>
            <m:sSub>
              <m:sSubPr>
                <m:ctrlPr>
                  <w:rPr>
                    <w:rFonts w:ascii="Cambria Math" w:eastAsia="Trebuchet MS" w:hAnsi="Cambria Math" w:cstheme="minorHAnsi"/>
                    <w:i/>
                    <w:color w:val="3E60F2"/>
                    <w:sz w:val="22"/>
                    <w:szCs w:val="22"/>
                  </w:rPr>
                </m:ctrlPr>
              </m:sSubPr>
              <m:e>
                <m:r>
                  <w:rPr>
                    <w:rFonts w:ascii="Cambria Math" w:eastAsia="Trebuchet MS" w:hAnsi="Cambria Math" w:cstheme="minorHAnsi"/>
                    <w:color w:val="3E60F2"/>
                    <w:sz w:val="22"/>
                    <w:szCs w:val="22"/>
                  </w:rPr>
                  <m:t>i</m:t>
                </m:r>
              </m:e>
              <m:sub>
                <m:r>
                  <w:rPr>
                    <w:rFonts w:ascii="Cambria Math" w:eastAsia="Trebuchet MS" w:hAnsi="Cambria Math" w:cstheme="minorHAnsi"/>
                    <w:color w:val="3E60F2"/>
                    <w:sz w:val="22"/>
                    <w:szCs w:val="22"/>
                  </w:rPr>
                  <m:t>k</m:t>
                </m:r>
              </m:sub>
            </m:sSub>
          </m:e>
        </m:d>
      </m:oMath>
      <w:r w:rsidRPr="00774246">
        <w:rPr>
          <w:rFonts w:asciiTheme="minorHAnsi" w:eastAsia="Trebuchet MS" w:hAnsiTheme="minorHAnsi" w:cstheme="minorHAnsi"/>
          <w:color w:val="3E60F2"/>
          <w:sz w:val="22"/>
          <w:szCs w:val="22"/>
        </w:rPr>
        <w:t xml:space="preserve"> is all episodes </w:t>
      </w:r>
      <w:r w:rsidRPr="00774246">
        <w:rPr>
          <w:rFonts w:asciiTheme="minorHAnsi" w:eastAsia="Trebuchet MS" w:hAnsiTheme="minorHAnsi" w:cstheme="minorHAnsi"/>
          <w:i/>
          <w:color w:val="3E60F2"/>
          <w:sz w:val="22"/>
          <w:szCs w:val="22"/>
        </w:rPr>
        <w:t>i</w:t>
      </w:r>
      <w:r w:rsidRPr="00B92460">
        <w:rPr>
          <w:rFonts w:asciiTheme="minorHAnsi" w:eastAsia="Trebuchet MS" w:hAnsiTheme="minorHAnsi" w:cstheme="minorHAnsi"/>
          <w:color w:val="3E60F2"/>
          <w:sz w:val="22"/>
          <w:szCs w:val="22"/>
        </w:rPr>
        <w:t xml:space="preserve"> in the set of episodes attributed to provider </w:t>
      </w:r>
      <w:r w:rsidRPr="00B92460">
        <w:rPr>
          <w:rFonts w:asciiTheme="minorHAnsi" w:eastAsia="Trebuchet MS" w:hAnsiTheme="minorHAnsi" w:cstheme="minorHAnsi"/>
          <w:i/>
          <w:color w:val="3E60F2"/>
          <w:sz w:val="22"/>
          <w:szCs w:val="22"/>
        </w:rPr>
        <w:t>k</w:t>
      </w:r>
    </w:p>
    <w:p w:rsidR="00EA4D9F" w:rsidRPr="009A67DF" w:rsidRDefault="00EA4D9F" w:rsidP="00EA4D9F">
      <w:pPr>
        <w:pStyle w:val="NOTE"/>
        <w:spacing w:line="276" w:lineRule="auto"/>
        <w:ind w:left="1440"/>
        <w:rPr>
          <w:rFonts w:asciiTheme="minorHAnsi" w:eastAsia="Trebuchet MS" w:hAnsiTheme="minorHAnsi" w:cstheme="minorHAnsi"/>
          <w:color w:val="3E60F2"/>
          <w:sz w:val="22"/>
          <w:szCs w:val="22"/>
        </w:rPr>
      </w:pPr>
      <w:r w:rsidRPr="009A67DF">
        <w:rPr>
          <w:rFonts w:asciiTheme="minorHAnsi" w:eastAsia="Trebuchet MS" w:hAnsiTheme="minorHAnsi" w:cstheme="minorHAnsi"/>
          <w:color w:val="3E60F2"/>
          <w:sz w:val="22"/>
          <w:szCs w:val="22"/>
        </w:rPr>
        <w:t>The</w:t>
      </w:r>
      <w:r w:rsidRPr="00774246">
        <w:rPr>
          <w:rFonts w:asciiTheme="minorHAnsi" w:eastAsia="Trebuchet MS" w:hAnsiTheme="minorHAnsi" w:cstheme="minorHAnsi"/>
          <w:color w:val="3E60F2"/>
          <w:sz w:val="22"/>
          <w:szCs w:val="22"/>
        </w:rPr>
        <w:t xml:space="preserve"> denominator is the episode-weighted national median of the </w:t>
      </w:r>
      <w:r>
        <w:rPr>
          <w:rFonts w:asciiTheme="minorHAnsi" w:eastAsia="Trebuchet MS" w:hAnsiTheme="minorHAnsi" w:cstheme="minorHAnsi"/>
          <w:color w:val="3E60F2"/>
          <w:sz w:val="22"/>
          <w:szCs w:val="22"/>
        </w:rPr>
        <w:t>MSPB-PAC LTCH</w:t>
      </w:r>
      <w:r w:rsidRPr="00774246">
        <w:rPr>
          <w:rFonts w:asciiTheme="minorHAnsi" w:eastAsia="Trebuchet MS" w:hAnsiTheme="minorHAnsi" w:cstheme="minorHAnsi"/>
          <w:color w:val="3E60F2"/>
          <w:sz w:val="22"/>
          <w:szCs w:val="22"/>
        </w:rPr>
        <w:t xml:space="preserve"> A</w:t>
      </w:r>
      <w:r w:rsidRPr="009A67DF">
        <w:rPr>
          <w:rFonts w:asciiTheme="minorHAnsi" w:eastAsia="Trebuchet MS" w:hAnsiTheme="minorHAnsi" w:cstheme="minorHAnsi"/>
          <w:color w:val="3E60F2"/>
          <w:sz w:val="22"/>
          <w:szCs w:val="22"/>
        </w:rPr>
        <w:t xml:space="preserve">mounts for all </w:t>
      </w:r>
      <w:r>
        <w:rPr>
          <w:rFonts w:asciiTheme="minorHAnsi" w:eastAsia="Trebuchet MS" w:hAnsiTheme="minorHAnsi" w:cstheme="minorHAnsi"/>
          <w:color w:val="3E60F2"/>
          <w:sz w:val="22"/>
          <w:szCs w:val="22"/>
        </w:rPr>
        <w:t>LTCH facilities</w:t>
      </w:r>
      <w:r w:rsidRPr="009A67DF">
        <w:rPr>
          <w:rFonts w:asciiTheme="minorHAnsi" w:eastAsia="Trebuchet MS" w:hAnsiTheme="minorHAnsi" w:cstheme="minorHAnsi"/>
          <w:color w:val="3E60F2"/>
          <w:sz w:val="22"/>
          <w:szCs w:val="22"/>
        </w:rPr>
        <w:t xml:space="preserve"> nationally. </w:t>
      </w:r>
    </w:p>
    <w:p w:rsidR="00EA4D9F" w:rsidRPr="009A67DF" w:rsidRDefault="00EA4D9F" w:rsidP="00EA4D9F">
      <w:pPr>
        <w:pStyle w:val="NOTE"/>
        <w:spacing w:line="276" w:lineRule="auto"/>
        <w:rPr>
          <w:rFonts w:asciiTheme="minorHAnsi" w:eastAsia="Trebuchet MS" w:hAnsiTheme="minorHAnsi" w:cstheme="minorHAnsi"/>
          <w:color w:val="3E60F2"/>
          <w:sz w:val="22"/>
          <w:szCs w:val="22"/>
        </w:rPr>
      </w:pPr>
      <w:r w:rsidRPr="009A67DF">
        <w:rPr>
          <w:rFonts w:asciiTheme="minorHAnsi" w:eastAsia="Trebuchet MS" w:hAnsiTheme="minorHAnsi" w:cstheme="minorHAnsi"/>
          <w:color w:val="3E60F2"/>
          <w:sz w:val="22"/>
          <w:szCs w:val="22"/>
        </w:rPr>
        <w:t xml:space="preserve">The </w:t>
      </w:r>
      <w:r>
        <w:rPr>
          <w:rFonts w:asciiTheme="minorHAnsi" w:eastAsia="Trebuchet MS" w:hAnsiTheme="minorHAnsi" w:cstheme="minorHAnsi"/>
          <w:color w:val="3E60F2"/>
          <w:sz w:val="22"/>
          <w:szCs w:val="22"/>
        </w:rPr>
        <w:t>MSPB-PAC LTCH</w:t>
      </w:r>
      <w:r w:rsidRPr="009A67DF">
        <w:rPr>
          <w:rFonts w:asciiTheme="minorHAnsi" w:eastAsia="Trebuchet MS" w:hAnsiTheme="minorHAnsi" w:cstheme="minorHAnsi"/>
          <w:color w:val="3E60F2"/>
          <w:sz w:val="22"/>
          <w:szCs w:val="22"/>
        </w:rPr>
        <w:t xml:space="preserve"> measure</w:t>
      </w:r>
      <w:r>
        <w:rPr>
          <w:rFonts w:asciiTheme="minorHAnsi" w:eastAsia="Trebuchet MS" w:hAnsiTheme="minorHAnsi" w:cstheme="minorHAnsi"/>
          <w:color w:val="3E60F2"/>
          <w:sz w:val="22"/>
          <w:szCs w:val="22"/>
        </w:rPr>
        <w:t xml:space="preserve"> score</w:t>
      </w:r>
      <w:r w:rsidRPr="009A67DF">
        <w:rPr>
          <w:rFonts w:asciiTheme="minorHAnsi" w:eastAsia="Trebuchet MS" w:hAnsiTheme="minorHAnsi" w:cstheme="minorHAnsi"/>
          <w:color w:val="3E60F2"/>
          <w:sz w:val="22"/>
          <w:szCs w:val="22"/>
        </w:rPr>
        <w:t xml:space="preserve"> is calculated for each provider. An </w:t>
      </w:r>
      <w:r>
        <w:rPr>
          <w:rFonts w:asciiTheme="minorHAnsi" w:eastAsia="Trebuchet MS" w:hAnsiTheme="minorHAnsi" w:cstheme="minorHAnsi"/>
          <w:color w:val="3E60F2"/>
          <w:sz w:val="22"/>
          <w:szCs w:val="22"/>
        </w:rPr>
        <w:t>MSPB-PAC LTCH</w:t>
      </w:r>
      <w:r w:rsidRPr="009A67DF">
        <w:rPr>
          <w:rFonts w:asciiTheme="minorHAnsi" w:eastAsia="Trebuchet MS" w:hAnsiTheme="minorHAnsi" w:cstheme="minorHAnsi"/>
          <w:color w:val="3E60F2"/>
          <w:sz w:val="22"/>
          <w:szCs w:val="22"/>
        </w:rPr>
        <w:t xml:space="preserve"> measure</w:t>
      </w:r>
      <w:r>
        <w:rPr>
          <w:rFonts w:asciiTheme="minorHAnsi" w:eastAsia="Trebuchet MS" w:hAnsiTheme="minorHAnsi" w:cstheme="minorHAnsi"/>
          <w:color w:val="3E60F2"/>
          <w:sz w:val="22"/>
          <w:szCs w:val="22"/>
        </w:rPr>
        <w:t xml:space="preserve"> score</w:t>
      </w:r>
      <w:r w:rsidRPr="009A67DF">
        <w:rPr>
          <w:rFonts w:asciiTheme="minorHAnsi" w:eastAsia="Trebuchet MS" w:hAnsiTheme="minorHAnsi" w:cstheme="minorHAnsi"/>
          <w:color w:val="3E60F2"/>
          <w:sz w:val="22"/>
          <w:szCs w:val="22"/>
        </w:rPr>
        <w:t xml:space="preserve"> with a value less than 1 indicates that a given </w:t>
      </w:r>
      <w:r>
        <w:rPr>
          <w:rFonts w:asciiTheme="minorHAnsi" w:eastAsia="Trebuchet MS" w:hAnsiTheme="minorHAnsi" w:cstheme="minorHAnsi"/>
          <w:color w:val="3E60F2"/>
          <w:sz w:val="22"/>
          <w:szCs w:val="22"/>
        </w:rPr>
        <w:t>LTCH</w:t>
      </w:r>
      <w:r w:rsidRPr="009A67DF">
        <w:rPr>
          <w:rFonts w:asciiTheme="minorHAnsi" w:eastAsia="Trebuchet MS" w:hAnsiTheme="minorHAnsi" w:cstheme="minorHAnsi"/>
          <w:color w:val="3E60F2"/>
          <w:sz w:val="22"/>
          <w:szCs w:val="22"/>
        </w:rPr>
        <w:t>’s resource use is less, after risk</w:t>
      </w:r>
      <w:r>
        <w:rPr>
          <w:rFonts w:asciiTheme="minorHAnsi" w:eastAsia="Trebuchet MS" w:hAnsiTheme="minorHAnsi" w:cstheme="minorHAnsi"/>
          <w:color w:val="3E60F2"/>
          <w:sz w:val="22"/>
          <w:szCs w:val="22"/>
        </w:rPr>
        <w:t>-</w:t>
      </w:r>
      <w:r w:rsidRPr="009A67DF">
        <w:rPr>
          <w:rFonts w:asciiTheme="minorHAnsi" w:eastAsia="Trebuchet MS" w:hAnsiTheme="minorHAnsi" w:cstheme="minorHAnsi"/>
          <w:color w:val="3E60F2"/>
          <w:sz w:val="22"/>
          <w:szCs w:val="22"/>
        </w:rPr>
        <w:t xml:space="preserve">adjustment, than the resource use of the national median </w:t>
      </w:r>
      <w:r>
        <w:rPr>
          <w:rFonts w:asciiTheme="minorHAnsi" w:eastAsia="Trebuchet MS" w:hAnsiTheme="minorHAnsi" w:cstheme="minorHAnsi"/>
          <w:color w:val="3E60F2"/>
          <w:sz w:val="22"/>
          <w:szCs w:val="22"/>
        </w:rPr>
        <w:t>MSPB-PAC LTCH</w:t>
      </w:r>
      <w:r w:rsidRPr="009A67DF">
        <w:rPr>
          <w:rFonts w:asciiTheme="minorHAnsi" w:eastAsia="Trebuchet MS" w:hAnsiTheme="minorHAnsi" w:cstheme="minorHAnsi"/>
          <w:color w:val="3E60F2"/>
          <w:sz w:val="22"/>
          <w:szCs w:val="22"/>
        </w:rPr>
        <w:t xml:space="preserve"> Amount across all </w:t>
      </w:r>
      <w:r>
        <w:rPr>
          <w:rFonts w:asciiTheme="minorHAnsi" w:eastAsia="Trebuchet MS" w:hAnsiTheme="minorHAnsi" w:cstheme="minorHAnsi"/>
          <w:color w:val="3E60F2"/>
          <w:sz w:val="22"/>
          <w:szCs w:val="22"/>
        </w:rPr>
        <w:t>LTCH facilities</w:t>
      </w:r>
      <w:r w:rsidRPr="009A67DF">
        <w:rPr>
          <w:rFonts w:asciiTheme="minorHAnsi" w:eastAsia="Trebuchet MS" w:hAnsiTheme="minorHAnsi" w:cstheme="minorHAnsi"/>
          <w:color w:val="3E60F2"/>
          <w:sz w:val="22"/>
          <w:szCs w:val="22"/>
        </w:rPr>
        <w:t xml:space="preserve"> nationally in the given performance period.</w:t>
      </w:r>
      <w:bookmarkEnd w:id="1"/>
    </w:p>
    <w:p w:rsidR="00EA4D9F" w:rsidRPr="00B92460" w:rsidRDefault="00EA4D9F" w:rsidP="00EA4D9F">
      <w:pPr>
        <w:pStyle w:val="NOTE"/>
        <w:spacing w:line="276" w:lineRule="auto"/>
        <w:rPr>
          <w:rFonts w:asciiTheme="minorHAnsi" w:eastAsia="Trebuchet MS" w:hAnsiTheme="minorHAnsi" w:cstheme="minorHAnsi"/>
          <w:color w:val="3E60F2"/>
          <w:sz w:val="22"/>
          <w:szCs w:val="22"/>
        </w:rPr>
      </w:pPr>
      <w:r>
        <w:rPr>
          <w:rFonts w:asciiTheme="minorHAnsi" w:eastAsia="Trebuchet MS" w:hAnsiTheme="minorHAnsi" w:cstheme="minorHAnsi"/>
          <w:color w:val="3E60F2"/>
          <w:sz w:val="22"/>
          <w:szCs w:val="22"/>
        </w:rPr>
        <w:t>Notes:</w:t>
      </w:r>
    </w:p>
    <w:p w:rsidR="00EA4D9F" w:rsidRDefault="00EA4D9F" w:rsidP="00EA4D9F">
      <w:pPr>
        <w:spacing w:after="0"/>
        <w:rPr>
          <w:rStyle w:val="Hyperlink"/>
          <w:rFonts w:eastAsia="Trebuchet MS" w:cstheme="minorHAnsi"/>
          <w:bCs/>
          <w:color w:val="3E60F2"/>
          <w:lang w:val="en"/>
        </w:rPr>
      </w:pPr>
      <w:r w:rsidRPr="00AA1D2C">
        <w:rPr>
          <w:rStyle w:val="Hyperlink"/>
          <w:rFonts w:eastAsia="Trebuchet MS" w:cstheme="minorHAnsi"/>
          <w:bCs/>
          <w:color w:val="3E60F2"/>
          <w:lang w:val="en"/>
        </w:rPr>
        <w:t xml:space="preserve">[1] </w:t>
      </w:r>
      <w:r>
        <w:rPr>
          <w:rStyle w:val="Hyperlink"/>
          <w:rFonts w:eastAsia="Trebuchet MS" w:cstheme="minorHAnsi"/>
          <w:bCs/>
          <w:color w:val="3E60F2"/>
          <w:lang w:val="en"/>
        </w:rPr>
        <w:t>Resdac – Long-term care hospitals in the Medicare data.</w:t>
      </w:r>
      <w:r w:rsidRPr="00747E13">
        <w:t xml:space="preserve"> </w:t>
      </w:r>
      <w:hyperlink r:id="rId8" w:history="1">
        <w:r>
          <w:rPr>
            <w:rStyle w:val="Hyperlink"/>
          </w:rPr>
          <w:t>https://www.resdac.org/articles/long-term-care-hospitals-medicare-data</w:t>
        </w:r>
      </w:hyperlink>
      <w:r>
        <w:t xml:space="preserve"> </w:t>
      </w:r>
    </w:p>
    <w:p w:rsidR="00EA4D9F" w:rsidRPr="00AA1D2C" w:rsidRDefault="00EA4D9F" w:rsidP="00EA4D9F">
      <w:pPr>
        <w:spacing w:after="0"/>
        <w:rPr>
          <w:rFonts w:eastAsia="Trebuchet MS" w:cstheme="minorHAnsi"/>
          <w:bCs/>
          <w:color w:val="3E60F2"/>
          <w:lang w:val="en"/>
        </w:rPr>
      </w:pPr>
      <w:r w:rsidRPr="006E0136">
        <w:rPr>
          <w:rStyle w:val="Hyperlink"/>
          <w:rFonts w:eastAsia="Trebuchet MS" w:cstheme="minorHAnsi"/>
          <w:bCs/>
          <w:color w:val="3E60F2"/>
          <w:lang w:val="en"/>
        </w:rPr>
        <w:lastRenderedPageBreak/>
        <w:t>[2]</w:t>
      </w:r>
      <w:r>
        <w:rPr>
          <w:rStyle w:val="Hyperlink"/>
          <w:rFonts w:eastAsia="Trebuchet MS" w:cstheme="minorHAnsi"/>
          <w:bCs/>
          <w:color w:val="3E60F2"/>
          <w:lang w:val="en"/>
        </w:rPr>
        <w:t xml:space="preserve"> Medicare Program; </w:t>
      </w:r>
      <w:r w:rsidRPr="00FA794B">
        <w:rPr>
          <w:rStyle w:val="Hyperlink"/>
          <w:rFonts w:eastAsia="Trebuchet MS" w:cstheme="minorHAnsi"/>
          <w:bCs/>
          <w:color w:val="3E60F2"/>
          <w:lang w:val="en"/>
        </w:rPr>
        <w:t>Hospital Inpatient Prospective Payment System for Acute Care Hospitals and the Long-Term Care Hospital Prospective Payment System and Fiscal Year 2016 Rates</w:t>
      </w:r>
      <w:r>
        <w:rPr>
          <w:rStyle w:val="Hyperlink"/>
          <w:rFonts w:eastAsia="Trebuchet MS" w:cstheme="minorHAnsi"/>
          <w:bCs/>
          <w:color w:val="3E60F2"/>
          <w:lang w:val="en"/>
        </w:rPr>
        <w:t xml:space="preserve">. Federal Register, Vol. 80, Num. 158. </w:t>
      </w:r>
      <w:r w:rsidRPr="00FA794B">
        <w:rPr>
          <w:rStyle w:val="Hyperlink"/>
          <w:rFonts w:eastAsia="Trebuchet MS" w:cstheme="minorHAnsi"/>
          <w:bCs/>
          <w:color w:val="3E60F2"/>
          <w:lang w:val="en"/>
        </w:rPr>
        <w:t>https://www.govinfo.gov/content/pkg/FR-2015-08-17/pdf/2015-19049.pdf</w:t>
      </w:r>
    </w:p>
    <w:p w:rsidR="00EA4D9F" w:rsidRDefault="00EA4D9F" w:rsidP="00EA4D9F">
      <w:pPr>
        <w:pStyle w:val="Default"/>
        <w:rPr>
          <w:rStyle w:val="Hyperlink"/>
          <w:rFonts w:cstheme="minorHAnsi"/>
          <w:color w:val="3E60F2"/>
          <w:szCs w:val="22"/>
        </w:rPr>
      </w:pPr>
      <w:r w:rsidRPr="00AA1D2C">
        <w:rPr>
          <w:rFonts w:asciiTheme="minorHAnsi" w:hAnsiTheme="minorHAnsi" w:cstheme="minorHAnsi"/>
          <w:color w:val="3E60F2"/>
          <w:sz w:val="22"/>
          <w:szCs w:val="22"/>
        </w:rPr>
        <w:t>[</w:t>
      </w:r>
      <w:r>
        <w:rPr>
          <w:rFonts w:asciiTheme="minorHAnsi" w:hAnsiTheme="minorHAnsi" w:cstheme="minorHAnsi"/>
          <w:color w:val="3E60F2"/>
          <w:sz w:val="22"/>
          <w:szCs w:val="22"/>
        </w:rPr>
        <w:t>3</w:t>
      </w:r>
      <w:r w:rsidRPr="00AA1D2C">
        <w:rPr>
          <w:rFonts w:asciiTheme="minorHAnsi" w:hAnsiTheme="minorHAnsi" w:cstheme="minorHAnsi"/>
          <w:color w:val="3E60F2"/>
          <w:sz w:val="22"/>
          <w:szCs w:val="22"/>
        </w:rPr>
        <w:t xml:space="preserve">] QualityNet, “CMS Price (Payment) Standardization </w:t>
      </w:r>
      <w:r>
        <w:rPr>
          <w:rFonts w:asciiTheme="minorHAnsi" w:hAnsiTheme="minorHAnsi" w:cstheme="minorHAnsi"/>
          <w:color w:val="3E60F2"/>
          <w:sz w:val="22"/>
          <w:szCs w:val="22"/>
        </w:rPr>
        <w:t>Overview</w:t>
      </w:r>
      <w:r w:rsidRPr="00AA1D2C">
        <w:rPr>
          <w:rFonts w:asciiTheme="minorHAnsi" w:hAnsiTheme="minorHAnsi" w:cstheme="minorHAnsi"/>
          <w:color w:val="3E60F2"/>
          <w:sz w:val="22"/>
          <w:szCs w:val="22"/>
        </w:rPr>
        <w:t>” (</w:t>
      </w:r>
      <w:r>
        <w:rPr>
          <w:rFonts w:asciiTheme="minorHAnsi" w:hAnsiTheme="minorHAnsi" w:cstheme="minorHAnsi"/>
          <w:color w:val="3E60F2"/>
          <w:sz w:val="22"/>
          <w:szCs w:val="22"/>
        </w:rPr>
        <w:t>April 2019)</w:t>
      </w:r>
      <w:r w:rsidRPr="00AA1D2C">
        <w:rPr>
          <w:rFonts w:asciiTheme="minorHAnsi" w:hAnsiTheme="minorHAnsi" w:cstheme="minorHAnsi"/>
          <w:color w:val="3E60F2"/>
          <w:sz w:val="22"/>
          <w:szCs w:val="22"/>
        </w:rPr>
        <w:t xml:space="preserve">) </w:t>
      </w:r>
      <w:hyperlink r:id="rId9" w:history="1">
        <w:r>
          <w:rPr>
            <w:rStyle w:val="Hyperlink"/>
          </w:rPr>
          <w:t>https://www.qualitynet.org/inpatient/measures/payment-standardization</w:t>
        </w:r>
      </w:hyperlink>
    </w:p>
    <w:p w:rsidR="004E7B59" w:rsidRDefault="004E7B59"/>
    <w:sectPr w:rsidR="004E7B59">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4D9F" w:rsidRDefault="00EA4D9F" w:rsidP="00EA4D9F">
      <w:pPr>
        <w:spacing w:after="0" w:line="240" w:lineRule="auto"/>
      </w:pPr>
      <w:r>
        <w:separator/>
      </w:r>
    </w:p>
  </w:endnote>
  <w:endnote w:type="continuationSeparator" w:id="0">
    <w:p w:rsidR="00EA4D9F" w:rsidRDefault="00EA4D9F" w:rsidP="00EA4D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712960"/>
      <w:docPartObj>
        <w:docPartGallery w:val="Page Numbers (Bottom of Page)"/>
        <w:docPartUnique/>
      </w:docPartObj>
    </w:sdtPr>
    <w:sdtEndPr>
      <w:rPr>
        <w:noProof/>
      </w:rPr>
    </w:sdtEndPr>
    <w:sdtContent>
      <w:p w:rsidR="00EA4D9F" w:rsidRDefault="00EA4D9F">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EA4D9F" w:rsidRDefault="00EA4D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4D9F" w:rsidRDefault="00EA4D9F" w:rsidP="00EA4D9F">
      <w:pPr>
        <w:spacing w:after="0" w:line="240" w:lineRule="auto"/>
      </w:pPr>
      <w:r>
        <w:separator/>
      </w:r>
    </w:p>
  </w:footnote>
  <w:footnote w:type="continuationSeparator" w:id="0">
    <w:p w:rsidR="00EA4D9F" w:rsidRDefault="00EA4D9F" w:rsidP="00EA4D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4D9F" w:rsidRDefault="00EA4D9F">
    <w:pPr>
      <w:pStyle w:val="Header"/>
    </w:pPr>
    <w:r w:rsidRPr="00401620">
      <w:rPr>
        <w:rStyle w:val="Style1"/>
        <w:rFonts w:eastAsiaTheme="minorEastAsia" w:cstheme="minorHAnsi"/>
        <w:color w:val="3E60F2"/>
      </w:rPr>
      <w:t xml:space="preserve">Medicare Spending </w:t>
    </w:r>
    <w:r>
      <w:rPr>
        <w:rStyle w:val="Style1"/>
        <w:rFonts w:eastAsiaTheme="minorEastAsia" w:cstheme="minorHAnsi"/>
        <w:color w:val="3E60F2"/>
      </w:rPr>
      <w:t>P</w:t>
    </w:r>
    <w:r w:rsidRPr="00401620">
      <w:rPr>
        <w:rStyle w:val="Style1"/>
        <w:rFonts w:eastAsiaTheme="minorEastAsia" w:cstheme="minorHAnsi"/>
        <w:color w:val="3E60F2"/>
      </w:rPr>
      <w:t xml:space="preserve">er Beneficiary – Post Acute Care Measure for </w:t>
    </w:r>
    <w:r>
      <w:rPr>
        <w:rStyle w:val="Style1"/>
        <w:rFonts w:eastAsiaTheme="minorEastAsia" w:cstheme="minorHAnsi"/>
        <w:color w:val="3E60F2"/>
      </w:rPr>
      <w:t>Long-Term Care</w:t>
    </w:r>
    <w:r w:rsidRPr="00401620">
      <w:rPr>
        <w:rStyle w:val="Style1"/>
        <w:rFonts w:eastAsiaTheme="minorEastAsia" w:cstheme="minorHAnsi"/>
        <w:color w:val="3E60F2"/>
      </w:rPr>
      <w:t xml:space="preserve"> </w:t>
    </w:r>
    <w:r>
      <w:rPr>
        <w:rStyle w:val="Style1"/>
        <w:rFonts w:eastAsiaTheme="minorEastAsia" w:cstheme="minorHAnsi"/>
        <w:color w:val="3E60F2"/>
      </w:rPr>
      <w:t>Hospitals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7E33E4"/>
    <w:multiLevelType w:val="hybridMultilevel"/>
    <w:tmpl w:val="DBC84A9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D9F"/>
    <w:rsid w:val="002A19D0"/>
    <w:rsid w:val="004E7B59"/>
    <w:rsid w:val="00EA4D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DF1FE2-8D85-4F62-A2A9-287A9CFEA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4D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A4D9F"/>
    <w:rPr>
      <w:strike w:val="0"/>
      <w:dstrike w:val="0"/>
      <w:color w:val="0066CC"/>
      <w:u w:val="none"/>
      <w:effect w:val="none"/>
    </w:rPr>
  </w:style>
  <w:style w:type="character" w:customStyle="1" w:styleId="Style1">
    <w:name w:val="Style1"/>
    <w:basedOn w:val="DefaultParagraphFont"/>
    <w:uiPriority w:val="1"/>
    <w:rsid w:val="00EA4D9F"/>
    <w:rPr>
      <w:rFonts w:asciiTheme="minorHAnsi" w:hAnsiTheme="minorHAnsi"/>
      <w:color w:val="auto"/>
      <w:sz w:val="22"/>
    </w:rPr>
  </w:style>
  <w:style w:type="paragraph" w:styleId="ListParagraph">
    <w:name w:val="List Paragraph"/>
    <w:basedOn w:val="Normal"/>
    <w:link w:val="ListParagraphChar"/>
    <w:uiPriority w:val="34"/>
    <w:qFormat/>
    <w:rsid w:val="00EA4D9F"/>
    <w:pPr>
      <w:ind w:left="720"/>
      <w:contextualSpacing/>
    </w:pPr>
  </w:style>
  <w:style w:type="character" w:customStyle="1" w:styleId="ListParagraphChar">
    <w:name w:val="List Paragraph Char"/>
    <w:basedOn w:val="DefaultParagraphFont"/>
    <w:link w:val="ListParagraph"/>
    <w:uiPriority w:val="34"/>
    <w:locked/>
    <w:rsid w:val="00EA4D9F"/>
  </w:style>
  <w:style w:type="paragraph" w:customStyle="1" w:styleId="equation">
    <w:name w:val="equation"/>
    <w:rsid w:val="00EA4D9F"/>
    <w:pPr>
      <w:tabs>
        <w:tab w:val="center" w:pos="4680"/>
        <w:tab w:val="right" w:pos="9360"/>
      </w:tabs>
      <w:spacing w:after="240" w:line="240" w:lineRule="auto"/>
    </w:pPr>
    <w:rPr>
      <w:rFonts w:ascii="Times New Roman" w:eastAsia="Times New Roman" w:hAnsi="Times New Roman" w:cs="Times New Roman"/>
      <w:sz w:val="24"/>
      <w:szCs w:val="20"/>
    </w:rPr>
  </w:style>
  <w:style w:type="paragraph" w:customStyle="1" w:styleId="NOTE">
    <w:name w:val="NOTE"/>
    <w:basedOn w:val="Normal"/>
    <w:qFormat/>
    <w:rsid w:val="00EA4D9F"/>
    <w:pPr>
      <w:spacing w:after="240" w:line="240" w:lineRule="auto"/>
    </w:pPr>
    <w:rPr>
      <w:rFonts w:ascii="Times New Roman" w:eastAsia="Times New Roman" w:hAnsi="Times New Roman" w:cs="Times New Roman"/>
      <w:sz w:val="24"/>
      <w:szCs w:val="20"/>
    </w:rPr>
  </w:style>
  <w:style w:type="paragraph" w:customStyle="1" w:styleId="Default">
    <w:name w:val="Default"/>
    <w:rsid w:val="00EA4D9F"/>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EA4D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4D9F"/>
  </w:style>
  <w:style w:type="paragraph" w:styleId="Footer">
    <w:name w:val="footer"/>
    <w:basedOn w:val="Normal"/>
    <w:link w:val="FooterChar"/>
    <w:uiPriority w:val="99"/>
    <w:unhideWhenUsed/>
    <w:rsid w:val="00EA4D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4D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sdac.org/articles/long-term-care-hospitals-medicare-data"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qualitynet.org/inpatient/measures/payment-standardiz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2090</Words>
  <Characters>11918</Characters>
  <Application>Microsoft Office Word</Application>
  <DocSecurity>0</DocSecurity>
  <Lines>99</Lines>
  <Paragraphs>27</Paragraphs>
  <ScaleCrop>false</ScaleCrop>
  <Company/>
  <LinksUpToDate>false</LinksUpToDate>
  <CharactersWithSpaces>13981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Mikhail Pyatigorsky</dc:creator>
  <cp:keywords/>
  <dc:description/>
  <cp:lastModifiedBy>Mikhail Pyatigorsky</cp:lastModifiedBy>
  <cp:revision>1</cp:revision>
  <dcterms:created xsi:type="dcterms:W3CDTF">2020-01-02T18:06:00Z</dcterms:created>
  <dcterms:modified xsi:type="dcterms:W3CDTF">2020-01-02T18:08:00Z</dcterms:modified>
</cp:coreProperties>
</file>