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rPr>
      </w:pPr>
      <w:r>
        <w:rPr>
          <w:b/>
          <w:smallCaps/>
          <w:noProof/>
        </w:rPr>
        <w:t>N</w:t>
      </w:r>
      <w:r w:rsidR="002F20A7" w:rsidRPr="001A6D05">
        <w:rPr>
          <w:b/>
          <w:smallCaps/>
          <w:noProof/>
        </w:rPr>
        <w:t>ational Quality Forum</w:t>
      </w:r>
      <w:r w:rsidR="002F20A7" w:rsidRPr="001A6D05">
        <w:rPr>
          <w:b/>
          <w:noProof/>
        </w:rPr>
        <w:t>—</w:t>
      </w:r>
      <w:r w:rsidR="00496AF8" w:rsidRPr="001A6D05">
        <w:rPr>
          <w:b/>
          <w:noProof/>
        </w:rPr>
        <w:t>Evidence (</w:t>
      </w:r>
      <w:r w:rsidR="00BE2295">
        <w:rPr>
          <w:b/>
          <w:noProof/>
        </w:rPr>
        <w:t>subcrite</w:t>
      </w:r>
      <w:r w:rsidR="00617390">
        <w:rPr>
          <w:b/>
          <w:noProof/>
        </w:rPr>
        <w:t>r</w:t>
      </w:r>
      <w:r w:rsidR="00BE2295">
        <w:rPr>
          <w:b/>
          <w:noProof/>
        </w:rPr>
        <w:t xml:space="preserve">ion </w:t>
      </w:r>
      <w:r w:rsidR="00496AF8" w:rsidRPr="001A6D05">
        <w:rPr>
          <w:b/>
          <w:noProof/>
        </w:rPr>
        <w:t>1</w:t>
      </w:r>
      <w:r w:rsidR="00B117D0">
        <w:rPr>
          <w:b/>
          <w:noProof/>
        </w:rPr>
        <w:t>a</w:t>
      </w:r>
      <w:r w:rsidR="00496AF8" w:rsidRPr="001A6D05">
        <w:rPr>
          <w:b/>
          <w:noProof/>
        </w:rPr>
        <w:t>)</w:t>
      </w:r>
      <w:r w:rsidR="002717C7" w:rsidRPr="001A6D05">
        <w:rPr>
          <w:b/>
          <w:noProof/>
        </w:rPr>
        <w:t xml:space="preserve"> </w:t>
      </w:r>
    </w:p>
    <w:p w14:paraId="55B8DA2D" w14:textId="77777777" w:rsidR="00496AF8" w:rsidRPr="00496AF8" w:rsidRDefault="00496AF8" w:rsidP="002E2177">
      <w:pPr>
        <w:rPr>
          <w:noProof/>
        </w:rPr>
      </w:pPr>
    </w:p>
    <w:p w14:paraId="55B8DA2E" w14:textId="3C80B687" w:rsidR="004F7D7E" w:rsidRPr="003B1CC5" w:rsidRDefault="004F7D7E" w:rsidP="002E2177">
      <w:pPr>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ascii="Times New Roman" w:hAnsi="Times New Roman" w:cstheme="minorHAnsi"/>
            <w:b/>
            <w:noProof/>
            <w:color w:val="auto"/>
            <w:sz w:val="24"/>
          </w:rPr>
        </w:sdtEndPr>
        <w:sdtContent>
          <w:r w:rsidR="0026796D">
            <w:rPr>
              <w:rStyle w:val="Style1"/>
            </w:rPr>
            <w:t>3568</w:t>
          </w:r>
        </w:sdtContent>
      </w:sdt>
    </w:p>
    <w:p w14:paraId="55B8DA2F" w14:textId="4B41E363" w:rsidR="00496AF8" w:rsidRPr="003B1CC5" w:rsidRDefault="00496AF8" w:rsidP="002E2177">
      <w:pPr>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rFonts w:ascii="Times New Roman" w:hAnsi="Times New Roman"/>
            <w:noProof/>
            <w:color w:val="auto"/>
            <w:sz w:val="24"/>
          </w:rPr>
        </w:sdtEndPr>
        <w:sdtContent>
          <w:r w:rsidR="002C092A">
            <w:rPr>
              <w:rStyle w:val="Style1"/>
            </w:rPr>
            <w:t>Person-Centered Primary Care Measure PRO-PM</w:t>
          </w:r>
        </w:sdtContent>
      </w:sdt>
    </w:p>
    <w:p w14:paraId="55B8DA30" w14:textId="77777777" w:rsidR="00114848" w:rsidRPr="003B1CC5" w:rsidRDefault="00E97E59" w:rsidP="002E2177">
      <w:pPr>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rFonts w:ascii="Times New Roman" w:hAnsi="Times New Roman"/>
            <w:noProof/>
            <w:color w:val="auto"/>
            <w:sz w:val="24"/>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5E96226D" w:rsidR="00496AF8" w:rsidRPr="003B1CC5" w:rsidRDefault="00496AF8" w:rsidP="002E2177">
      <w:pPr>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0-11-08T00:00:00Z">
            <w:dateFormat w:val="M/d/yyyy"/>
            <w:lid w:val="en-US"/>
            <w:storeMappedDataAs w:val="dateTime"/>
            <w:calendar w:val="gregorian"/>
          </w:date>
        </w:sdtPr>
        <w:sdtEndPr>
          <w:rPr>
            <w:rStyle w:val="DefaultParagraphFont"/>
            <w:rFonts w:ascii="Times New Roman" w:hAnsi="Times New Roman"/>
            <w:noProof/>
            <w:color w:val="auto"/>
            <w:sz w:val="24"/>
            <w:u w:val="none"/>
          </w:rPr>
        </w:sdtEndPr>
        <w:sdtContent>
          <w:r w:rsidR="002C092A">
            <w:rPr>
              <w:rStyle w:val="Style2"/>
            </w:rPr>
            <w:t>11/</w:t>
          </w:r>
          <w:r w:rsidR="00FC5194">
            <w:rPr>
              <w:rStyle w:val="Style2"/>
            </w:rPr>
            <w:t>8</w:t>
          </w:r>
          <w:r w:rsidR="002C092A">
            <w:rPr>
              <w:rStyle w:val="Style2"/>
            </w:rPr>
            <w:t>/2020</w:t>
          </w:r>
        </w:sdtContent>
      </w:sdt>
    </w:p>
    <w:p w14:paraId="55B8DA32" w14:textId="77777777" w:rsidR="00176E60" w:rsidRPr="003B1CC5" w:rsidRDefault="00176E60" w:rsidP="002E2177">
      <w:pPr>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rPr>
          <w:b/>
          <w:bCs/>
          <w:color w:val="0000FF"/>
        </w:rPr>
      </w:pPr>
    </w:p>
    <w:p w14:paraId="55B8DA4F" w14:textId="77777777" w:rsidR="00A67EB1" w:rsidRPr="003B1CC5" w:rsidRDefault="00496AF8" w:rsidP="002E2177">
      <w:pPr>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15447470" w:rsidR="00496AF8" w:rsidRPr="00C12679" w:rsidRDefault="00DF1B87" w:rsidP="00A9011D">
      <w:pPr>
        <w:ind w:left="432" w:hanging="432"/>
        <w:rPr>
          <w:rStyle w:val="Style2"/>
          <w:rFonts w:cstheme="minorHAnsi"/>
        </w:rPr>
      </w:pPr>
      <w:sdt>
        <w:sdtPr>
          <w:rPr>
            <w:rFonts w:asciiTheme="minorHAnsi" w:hAnsiTheme="minorHAnsi"/>
            <w:bCs/>
            <w:color w:val="0000FF"/>
            <w:sz w:val="22"/>
            <w:u w:val="single"/>
          </w:rPr>
          <w:id w:val="1077707841"/>
          <w14:checkbox>
            <w14:checked w14:val="0"/>
            <w14:checkedState w14:val="2612" w14:font="MS Gothic"/>
            <w14:uncheckedState w14:val="2610" w14:font="MS Gothic"/>
          </w14:checkbox>
        </w:sdtPr>
        <w:sdtEndPr/>
        <w:sdtContent>
          <w:r w:rsidR="00C12679" w:rsidRPr="00C12679">
            <w:rPr>
              <w:rFonts w:ascii="MS Gothic" w:eastAsia="MS Gothic" w:hAnsi="MS Gothic" w:hint="eastAsia"/>
              <w:bCs/>
              <w:color w:val="0000FF"/>
              <w:u w:val="single"/>
            </w:rPr>
            <w:t>☐</w:t>
          </w:r>
        </w:sdtContent>
      </w:sdt>
      <w:r w:rsidR="0015535B" w:rsidRPr="00C12679">
        <w:rPr>
          <w:bCs/>
          <w:color w:val="0000FF"/>
        </w:rPr>
        <w:t xml:space="preserve"> </w:t>
      </w:r>
      <w:r w:rsidR="00CC0F87" w:rsidRPr="00C12679">
        <w:rPr>
          <w:bCs/>
          <w:color w:val="0000FF"/>
        </w:rPr>
        <w:t>O</w:t>
      </w:r>
      <w:r w:rsidR="00BE6373" w:rsidRPr="00C12679">
        <w:rPr>
          <w:bCs/>
          <w:color w:val="0000FF"/>
        </w:rPr>
        <w:t>utc</w:t>
      </w:r>
      <w:r w:rsidR="00496AF8" w:rsidRPr="00C12679">
        <w:rPr>
          <w:bCs/>
          <w:color w:val="0000FF"/>
        </w:rPr>
        <w:t>ome</w:t>
      </w:r>
      <w:r w:rsidR="00B117D0" w:rsidRPr="00C12679">
        <w:rPr>
          <w:bCs/>
          <w:color w:val="0000FF"/>
        </w:rPr>
        <w:t xml:space="preserve">: </w:t>
      </w:r>
      <w:sdt>
        <w:sdtPr>
          <w:rPr>
            <w:rStyle w:val="Style2"/>
            <w:rFonts w:cstheme="minorHAnsi"/>
          </w:rPr>
          <w:id w:val="-768232283"/>
          <w:showingPlcHdr/>
        </w:sdtPr>
        <w:sdtEndPr>
          <w:rPr>
            <w:rStyle w:val="DefaultParagraphFont"/>
            <w:rFonts w:ascii="Times New Roman" w:hAnsi="Times New Roman" w:cs="Times New Roman"/>
            <w:color w:val="auto"/>
            <w:sz w:val="24"/>
            <w:u w:val="none"/>
          </w:rPr>
        </w:sdtEndPr>
        <w:sdtContent>
          <w:r w:rsidR="00496AF8" w:rsidRPr="00C12679">
            <w:rPr>
              <w:color w:val="0000FF"/>
            </w:rPr>
            <w:t>Click here to n</w:t>
          </w:r>
          <w:r w:rsidR="00496AF8" w:rsidRPr="00C12679">
            <w:rPr>
              <w:rStyle w:val="PlaceholderText"/>
              <w:rFonts w:cstheme="minorHAnsi"/>
              <w:color w:val="0000FF"/>
            </w:rPr>
            <w:t>ame the health outcome</w:t>
          </w:r>
        </w:sdtContent>
      </w:sdt>
    </w:p>
    <w:p w14:paraId="55B8DA52" w14:textId="3FFE0E71" w:rsidR="00236F87" w:rsidRPr="00C12679" w:rsidRDefault="00DF1B87" w:rsidP="00A9011D">
      <w:pPr>
        <w:ind w:left="864" w:hanging="432"/>
        <w:rPr>
          <w:b/>
          <w:bCs/>
          <w:color w:val="0000FF"/>
        </w:rPr>
      </w:pPr>
      <w:sdt>
        <w:sdtPr>
          <w:rPr>
            <w:bCs/>
            <w:color w:val="0000FF"/>
          </w:rPr>
          <w:id w:val="-1541041819"/>
          <w14:checkbox>
            <w14:checked w14:val="1"/>
            <w14:checkedState w14:val="2612" w14:font="MS Gothic"/>
            <w14:uncheckedState w14:val="2610" w14:font="MS Gothic"/>
          </w14:checkbox>
        </w:sdtPr>
        <w:sdtEndPr/>
        <w:sdtContent>
          <w:r w:rsidR="00C12679" w:rsidRPr="00C12679">
            <w:rPr>
              <w:rFonts w:ascii="MS Gothic" w:eastAsia="MS Gothic" w:hAnsi="MS Gothic" w:hint="eastAsia"/>
              <w:bCs/>
              <w:color w:val="0000FF"/>
            </w:rPr>
            <w:t>☒</w:t>
          </w:r>
        </w:sdtContent>
      </w:sdt>
      <w:r w:rsidR="00236F87" w:rsidRPr="00C12679">
        <w:rPr>
          <w:bCs/>
          <w:color w:val="0000FF"/>
        </w:rPr>
        <w:t>Patient-reported outc</w:t>
      </w:r>
      <w:r w:rsidR="00C613EB" w:rsidRPr="00C12679">
        <w:rPr>
          <w:bCs/>
          <w:color w:val="0000FF"/>
        </w:rPr>
        <w:t>o</w:t>
      </w:r>
      <w:r w:rsidR="00236F87" w:rsidRPr="00C12679">
        <w:rPr>
          <w:bCs/>
          <w:color w:val="0000FF"/>
        </w:rPr>
        <w:t>me</w:t>
      </w:r>
      <w:r w:rsidR="009C291F" w:rsidRPr="00C12679">
        <w:rPr>
          <w:bCs/>
          <w:color w:val="0000FF"/>
        </w:rPr>
        <w:t xml:space="preserve"> (PRO)</w:t>
      </w:r>
      <w:r w:rsidR="00236F87" w:rsidRPr="00C12679">
        <w:rPr>
          <w:bCs/>
          <w:color w:val="0000FF"/>
        </w:rPr>
        <w:t xml:space="preserve">: </w:t>
      </w:r>
      <w:sdt>
        <w:sdtPr>
          <w:rPr>
            <w:rStyle w:val="Style2"/>
            <w:rFonts w:cstheme="minorHAnsi"/>
          </w:rPr>
          <w:id w:val="528310131"/>
        </w:sdtPr>
        <w:sdtEndPr>
          <w:rPr>
            <w:rStyle w:val="DefaultParagraphFont"/>
            <w:rFonts w:ascii="Times New Roman" w:hAnsi="Times New Roman" w:cs="Times New Roman"/>
            <w:color w:val="auto"/>
            <w:sz w:val="24"/>
            <w:u w:val="none"/>
          </w:rPr>
        </w:sdtEndPr>
        <w:sdtContent>
          <w:r w:rsidR="002C092A">
            <w:rPr>
              <w:rStyle w:val="Style2"/>
              <w:rFonts w:cstheme="minorHAnsi"/>
            </w:rPr>
            <w:t>Person-Centered Primary Care Measure</w:t>
          </w:r>
          <w:r w:rsidR="00FC5194">
            <w:rPr>
              <w:rStyle w:val="Style2"/>
              <w:rFonts w:cstheme="minorHAnsi"/>
            </w:rPr>
            <w:t xml:space="preserve"> PRO-PM</w:t>
          </w:r>
        </w:sdtContent>
      </w:sdt>
    </w:p>
    <w:p w14:paraId="55B8DA53" w14:textId="77777777" w:rsidR="00B117D0" w:rsidRPr="0061327A" w:rsidRDefault="00B117D0" w:rsidP="005857F8">
      <w:pPr>
        <w:ind w:left="72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DF1B87"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ascii="Times New Roman" w:hAnsi="Times New Roman" w:cs="Times New Roman"/>
            <w:bCs/>
            <w:color w:val="auto"/>
            <w:sz w:val="24"/>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DF1B87"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ascii="Times New Roman" w:hAnsi="Times New Roman" w:cs="Times New Roman"/>
            <w:bCs/>
            <w:color w:val="auto"/>
            <w:sz w:val="24"/>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ascii="Times New Roman" w:hAnsi="Times New Roman" w:cs="Times New Roman"/>
            <w:bCs/>
            <w:color w:val="auto"/>
            <w:sz w:val="24"/>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ascii="Times New Roman" w:hAnsi="Times New Roman" w:cs="Times New Roman"/>
            <w:bCs/>
            <w:color w:val="auto"/>
            <w:sz w:val="24"/>
            <w:u w:val="none"/>
          </w:rPr>
        </w:sdtEndPr>
        <w:sdtContent>
          <w:r>
            <w:rPr>
              <w:rStyle w:val="Style2"/>
              <w:rFonts w:cstheme="minorHAnsi"/>
            </w:rPr>
            <w:t xml:space="preserve">     </w:t>
          </w:r>
        </w:sdtContent>
      </w:sdt>
    </w:p>
    <w:p w14:paraId="55B8DA57" w14:textId="77777777" w:rsidR="00496AF8" w:rsidRPr="003B1CC5" w:rsidRDefault="00DF1B87"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ascii="Times New Roman" w:hAnsi="Times New Roman" w:cs="Times New Roman"/>
            <w:bCs/>
            <w:color w:val="auto"/>
            <w:sz w:val="24"/>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DF1B87"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ascii="Times New Roman" w:hAnsi="Times New Roman" w:cs="Times New Roman"/>
            <w:bCs/>
            <w:color w:val="auto"/>
            <w:sz w:val="24"/>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A" w14:textId="0BF72708" w:rsidR="002B06BD" w:rsidRDefault="00676BD4" w:rsidP="002B06BD">
      <w:pPr>
        <w:ind w:left="432" w:hanging="432"/>
        <w:rPr>
          <w:iCs/>
        </w:rPr>
      </w:pPr>
      <w:r w:rsidRPr="00C12679">
        <w:rPr>
          <w:b/>
          <w:bCs/>
          <w:color w:val="0000FF"/>
        </w:rPr>
        <w:t>1a.</w:t>
      </w:r>
      <w:r w:rsidR="00C41794" w:rsidRPr="00C12679">
        <w:rPr>
          <w:b/>
          <w:bCs/>
          <w:color w:val="0000FF"/>
        </w:rPr>
        <w:t>2</w:t>
      </w:r>
      <w:r w:rsidR="002B06BD" w:rsidRPr="00C12679">
        <w:rPr>
          <w:bCs/>
        </w:rPr>
        <w:t xml:space="preserve"> </w:t>
      </w:r>
      <w:r w:rsidRPr="00C12679">
        <w:rPr>
          <w:b/>
          <w:bCs/>
        </w:rPr>
        <w:t>LOGIC MODEL</w:t>
      </w:r>
      <w:r w:rsidRPr="00C12679">
        <w:rPr>
          <w:bCs/>
        </w:rPr>
        <w:t xml:space="preserve"> </w:t>
      </w:r>
      <w:r w:rsidRPr="00C12679">
        <w:rPr>
          <w:iCs/>
        </w:rPr>
        <w:t>Diagram or briefly describe</w:t>
      </w:r>
      <w:r w:rsidR="002B06BD" w:rsidRPr="00C12679">
        <w:rPr>
          <w:iCs/>
        </w:rPr>
        <w:t xml:space="preserve"> the </w:t>
      </w:r>
      <w:r w:rsidRPr="00C12679">
        <w:rPr>
          <w:iCs/>
        </w:rPr>
        <w:t>steps</w:t>
      </w:r>
      <w:r w:rsidR="00236F87" w:rsidRPr="00C12679">
        <w:rPr>
          <w:iCs/>
        </w:rPr>
        <w:t xml:space="preserve"> </w:t>
      </w:r>
      <w:r w:rsidR="002B06BD" w:rsidRPr="00C12679">
        <w:rPr>
          <w:iCs/>
        </w:rPr>
        <w:t xml:space="preserve">between </w:t>
      </w:r>
      <w:r w:rsidR="00CB06C9" w:rsidRPr="00C12679">
        <w:rPr>
          <w:iCs/>
        </w:rPr>
        <w:t>the</w:t>
      </w:r>
      <w:r w:rsidR="002B06BD" w:rsidRPr="00C12679">
        <w:rPr>
          <w:iCs/>
        </w:rPr>
        <w:t xml:space="preserve"> healthcare structure</w:t>
      </w:r>
      <w:r w:rsidR="00CB06C9" w:rsidRPr="00C12679">
        <w:rPr>
          <w:iCs/>
        </w:rPr>
        <w:t>s</w:t>
      </w:r>
      <w:r w:rsidR="00F90F82" w:rsidRPr="00C12679">
        <w:rPr>
          <w:iCs/>
        </w:rPr>
        <w:t xml:space="preserve"> and</w:t>
      </w:r>
      <w:r w:rsidR="002B06BD" w:rsidRPr="00C12679">
        <w:rPr>
          <w:iCs/>
        </w:rPr>
        <w:t xml:space="preserve"> process</w:t>
      </w:r>
      <w:r w:rsidR="00CB06C9" w:rsidRPr="00C12679">
        <w:rPr>
          <w:iCs/>
        </w:rPr>
        <w:t>es</w:t>
      </w:r>
      <w:r w:rsidRPr="00C12679">
        <w:rPr>
          <w:iCs/>
        </w:rPr>
        <w:t xml:space="preserve"> (e.g.,</w:t>
      </w:r>
      <w:r w:rsidR="002B06BD" w:rsidRPr="00C12679">
        <w:rPr>
          <w:iCs/>
        </w:rPr>
        <w:t xml:space="preserve"> intervention</w:t>
      </w:r>
      <w:r w:rsidR="00CB06C9" w:rsidRPr="00C12679">
        <w:rPr>
          <w:iCs/>
        </w:rPr>
        <w:t>s</w:t>
      </w:r>
      <w:r w:rsidR="002B06BD" w:rsidRPr="00C12679">
        <w:rPr>
          <w:iCs/>
        </w:rPr>
        <w:t>, or service</w:t>
      </w:r>
      <w:r w:rsidR="00CB06C9" w:rsidRPr="00C12679">
        <w:rPr>
          <w:iCs/>
        </w:rPr>
        <w:t>s</w:t>
      </w:r>
      <w:r w:rsidRPr="00C12679">
        <w:rPr>
          <w:iCs/>
        </w:rPr>
        <w:t>)</w:t>
      </w:r>
      <w:r w:rsidR="00CB06C9" w:rsidRPr="00C12679">
        <w:rPr>
          <w:iCs/>
        </w:rPr>
        <w:t xml:space="preserve"> </w:t>
      </w:r>
      <w:r w:rsidRPr="00C12679">
        <w:rPr>
          <w:iCs/>
        </w:rPr>
        <w:t>and the patient’s health outcome</w:t>
      </w:r>
      <w:r w:rsidR="00F90F82" w:rsidRPr="00C12679">
        <w:rPr>
          <w:iCs/>
        </w:rPr>
        <w:t>(s)</w:t>
      </w:r>
      <w:r w:rsidRPr="00C12679">
        <w:rPr>
          <w:iCs/>
        </w:rPr>
        <w:t xml:space="preserve">. The relationships in the diagram should be easily understood by general, non-technical audiences. Indicate the </w:t>
      </w:r>
      <w:r w:rsidR="00F90F82" w:rsidRPr="00C12679">
        <w:rPr>
          <w:iCs/>
        </w:rPr>
        <w:t xml:space="preserve">structure, </w:t>
      </w:r>
      <w:r w:rsidRPr="00C12679">
        <w:rPr>
          <w:iCs/>
        </w:rPr>
        <w:t>process or outcome being measured.</w:t>
      </w:r>
    </w:p>
    <w:p w14:paraId="23A10FA9" w14:textId="77777777" w:rsidR="000E7AF5" w:rsidRDefault="000E7AF5" w:rsidP="002B06BD">
      <w:pPr>
        <w:ind w:left="432" w:hanging="432"/>
        <w:rPr>
          <w:iCs/>
        </w:rPr>
      </w:pPr>
    </w:p>
    <w:p w14:paraId="0195AFE8" w14:textId="13C62839" w:rsidR="00FC5194" w:rsidRDefault="000E7AF5" w:rsidP="002B06BD">
      <w:pPr>
        <w:ind w:left="432" w:hanging="432"/>
        <w:rPr>
          <w:iCs/>
        </w:rPr>
      </w:pPr>
      <w:bookmarkStart w:id="5" w:name="_GoBack"/>
      <w:r w:rsidRPr="000E7AF5">
        <w:rPr>
          <w:iCs/>
          <w:noProof/>
        </w:rPr>
        <w:drawing>
          <wp:inline distT="0" distB="0" distL="0" distR="0" wp14:anchorId="3401BCAB" wp14:editId="64FCB9C1">
            <wp:extent cx="5943600" cy="2236470"/>
            <wp:effectExtent l="0" t="0" r="0" b="0"/>
            <wp:docPr id="1" name="Picture 1" descr="Diagram and text of continuous quality improvement cycle using the PCPCM PRO-PM as an example.&#10;1. The cycle begins with Patient contact with Primary Care&#10;2. Patient receives intervention, prevention or health opportunity&#10;3. Patient receives PCPCM survey instrument to provide care assessment&#10;4. Clinician receives summary PCPCM instrument scores&#10;5. Clinician performs targeted intervention to improve performance&#10;6. Care delivery is improved&#10;7. Patients experience better health outcomes and experience.&#10;The cycle repeats in a continuous loop.&#10;&#10;">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chat or text message&#10;&#10;Description automatically generated"/>
                    <pic:cNvPicPr/>
                  </pic:nvPicPr>
                  <pic:blipFill>
                    <a:blip r:embed="rId15"/>
                    <a:stretch>
                      <a:fillRect/>
                    </a:stretch>
                  </pic:blipFill>
                  <pic:spPr>
                    <a:xfrm>
                      <a:off x="0" y="0"/>
                      <a:ext cx="5943600" cy="2236470"/>
                    </a:xfrm>
                    <a:prstGeom prst="rect">
                      <a:avLst/>
                    </a:prstGeom>
                  </pic:spPr>
                </pic:pic>
              </a:graphicData>
            </a:graphic>
          </wp:inline>
        </w:drawing>
      </w:r>
      <w:bookmarkEnd w:id="5"/>
    </w:p>
    <w:p w14:paraId="32EB0956" w14:textId="77777777" w:rsidR="000E7AF5" w:rsidRDefault="000E7AF5" w:rsidP="002B06BD">
      <w:pPr>
        <w:ind w:left="432" w:hanging="432"/>
        <w:rPr>
          <w:iCs/>
        </w:rPr>
      </w:pPr>
    </w:p>
    <w:p w14:paraId="5F534490" w14:textId="74E2913F" w:rsidR="00FC5194" w:rsidRDefault="004F005E" w:rsidP="002B06BD">
      <w:pPr>
        <w:ind w:left="432" w:hanging="432"/>
        <w:rPr>
          <w:iCs/>
        </w:rPr>
      </w:pPr>
      <w:r>
        <w:rPr>
          <w:iCs/>
        </w:rPr>
        <w:t>Any patient active in a primary care practice will receive the Person-Centered Primary Care Measure (PCPCM) instrument once a year. Patients are defined as active if they are identified by their primary care practice as having had at least once documented interaction during the 12 months preceding their use of the PCPCM.</w:t>
      </w:r>
    </w:p>
    <w:p w14:paraId="16541B2D" w14:textId="33A346E5" w:rsidR="004F005E" w:rsidRDefault="004F005E" w:rsidP="002B06BD">
      <w:pPr>
        <w:ind w:left="432" w:hanging="432"/>
        <w:rPr>
          <w:iCs/>
        </w:rPr>
      </w:pPr>
    </w:p>
    <w:p w14:paraId="19E385DA" w14:textId="10DB5900" w:rsidR="004F005E" w:rsidRDefault="004F005E" w:rsidP="002B06BD">
      <w:pPr>
        <w:ind w:left="432" w:hanging="432"/>
        <w:rPr>
          <w:iCs/>
        </w:rPr>
      </w:pPr>
      <w:r>
        <w:rPr>
          <w:iCs/>
        </w:rPr>
        <w:t xml:space="preserve">Active patients interact with a practice during the course of a year. That interaction can include, but is not limited to, in person visits, telehealth visits, or responses to needs for medication refills, questions answered, or health forms filled out. Active patients will receive an invitation to fill out the PCPCM instrument either by email, web portal, or mail, as determined by the practice. Patients are invited to fill out the instrument during the month of their birth. Clinicians receive regular feedback based on their PCPCM PRO-PM score. Clinicians receive their scores in conjunction with national and regional or local </w:t>
      </w:r>
      <w:r>
        <w:rPr>
          <w:iCs/>
        </w:rPr>
        <w:lastRenderedPageBreak/>
        <w:t>benchmarks, as deemed appropriate by the practice. Using the PCPCM PRO-PM score, and their score on individual items, clinicians are able to follow actionable steps to improve their performance relative to such things as care coordination, access, comprehensiveness, patient health goals, etc. As adjustments are made to their behaviors and care delivery based on this feedback, overall care can be improved. Whether care has improved or not can be determined by assessing changes in PCPCM PRO-PM scores over time, or changes in other health outcomes over time.</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sidRPr="000E7AF5">
        <w:rPr>
          <w:b/>
          <w:bCs/>
          <w:color w:val="0000FF"/>
        </w:rPr>
        <w:t>1a.3</w:t>
      </w:r>
      <w:r w:rsidRPr="000E7AF5">
        <w:rPr>
          <w:bCs/>
        </w:rPr>
        <w:t xml:space="preserve"> </w:t>
      </w:r>
      <w:r w:rsidRPr="000E7AF5">
        <w:rPr>
          <w:b/>
          <w:bCs/>
        </w:rPr>
        <w:t xml:space="preserve">Value and Meaningfulness:  </w:t>
      </w:r>
      <w:r w:rsidRPr="000E7AF5">
        <w:rPr>
          <w:bCs/>
        </w:rPr>
        <w:t xml:space="preserve"> </w:t>
      </w:r>
      <w:r w:rsidRPr="000E7AF5">
        <w:rPr>
          <w:b/>
          <w:iCs/>
        </w:rPr>
        <w:t xml:space="preserve">IF </w:t>
      </w:r>
      <w:r w:rsidRPr="000E7AF5">
        <w:rPr>
          <w:iCs/>
        </w:rPr>
        <w:t xml:space="preserve">this measure is derived from patient report, provide evidence that the target population values the measured </w:t>
      </w:r>
      <w:r w:rsidRPr="000E7AF5">
        <w:rPr>
          <w:b/>
          <w:i/>
          <w:iCs/>
        </w:rPr>
        <w:t>outcome, process, or structure</w:t>
      </w:r>
      <w:r w:rsidRPr="000E7AF5">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458C834B" w:rsidR="00676BD4" w:rsidRDefault="00E61055" w:rsidP="002E2177">
      <w:pPr>
        <w:ind w:left="432" w:hanging="432"/>
        <w:rPr>
          <w:bCs/>
          <w:color w:val="000000" w:themeColor="text1"/>
        </w:rPr>
      </w:pPr>
      <w:r>
        <w:rPr>
          <w:bCs/>
          <w:color w:val="000000" w:themeColor="text1"/>
        </w:rPr>
        <w:t>A core component of the PCPCM and central to constructing the instrument itself was the value and meaningfulness of the instrument to patients. In essence, we enlisted the help of hundreds of patients as co-developers of this instrument.</w:t>
      </w:r>
    </w:p>
    <w:p w14:paraId="3A95A372" w14:textId="19AC2608" w:rsidR="00E61055" w:rsidRDefault="00E61055" w:rsidP="002E2177">
      <w:pPr>
        <w:ind w:left="432" w:hanging="432"/>
        <w:rPr>
          <w:bCs/>
          <w:color w:val="000000" w:themeColor="text1"/>
        </w:rPr>
      </w:pPr>
    </w:p>
    <w:p w14:paraId="05FCBB25" w14:textId="77777777" w:rsidR="00E61055" w:rsidRDefault="00E61055" w:rsidP="00E61055">
      <w:pPr>
        <w:autoSpaceDE w:val="0"/>
        <w:autoSpaceDN w:val="0"/>
        <w:adjustRightInd w:val="0"/>
        <w:rPr>
          <w:bCs/>
          <w:color w:val="000000" w:themeColor="text1"/>
        </w:rPr>
      </w:pPr>
      <w:r w:rsidRPr="00EA4429">
        <w:rPr>
          <w:bCs/>
          <w:color w:val="000000" w:themeColor="text1"/>
        </w:rPr>
        <w:t xml:space="preserve">The PCPCM </w:t>
      </w:r>
      <w:r>
        <w:rPr>
          <w:bCs/>
          <w:color w:val="000000" w:themeColor="text1"/>
        </w:rPr>
        <w:t>PRO-PM</w:t>
      </w:r>
      <w:r w:rsidRPr="00EA4429">
        <w:rPr>
          <w:bCs/>
          <w:color w:val="000000" w:themeColor="text1"/>
        </w:rPr>
        <w:t xml:space="preserve"> is calculated using the PCPCM PRO</w:t>
      </w:r>
      <w:r>
        <w:rPr>
          <w:bCs/>
          <w:color w:val="000000" w:themeColor="text1"/>
        </w:rPr>
        <w:t xml:space="preserve"> instrument</w:t>
      </w:r>
      <w:r w:rsidRPr="00EA4429">
        <w:rPr>
          <w:bCs/>
          <w:color w:val="000000" w:themeColor="text1"/>
        </w:rPr>
        <w:t xml:space="preserve">. </w:t>
      </w:r>
      <w:r>
        <w:rPr>
          <w:bCs/>
          <w:color w:val="000000" w:themeColor="text1"/>
        </w:rPr>
        <w:t>The 11 items of the PCPCM PRO are the critical data elements of the PCPCM PRO-PM</w:t>
      </w:r>
    </w:p>
    <w:p w14:paraId="4BA435A2" w14:textId="77777777" w:rsidR="00E61055" w:rsidRDefault="00E61055" w:rsidP="00E61055">
      <w:pPr>
        <w:autoSpaceDE w:val="0"/>
        <w:autoSpaceDN w:val="0"/>
        <w:adjustRightInd w:val="0"/>
        <w:rPr>
          <w:bCs/>
          <w:color w:val="000000" w:themeColor="text1"/>
        </w:rPr>
      </w:pPr>
    </w:p>
    <w:p w14:paraId="75AA74B8" w14:textId="77777777" w:rsidR="00E61055" w:rsidRDefault="00E61055" w:rsidP="00E61055">
      <w:pPr>
        <w:autoSpaceDE w:val="0"/>
        <w:autoSpaceDN w:val="0"/>
        <w:adjustRightInd w:val="0"/>
        <w:rPr>
          <w:bCs/>
          <w:color w:val="000000" w:themeColor="text1"/>
        </w:rPr>
      </w:pPr>
      <w:r>
        <w:rPr>
          <w:bCs/>
          <w:color w:val="000000" w:themeColor="text1"/>
          <w:u w:val="single"/>
        </w:rPr>
        <w:t>Background</w:t>
      </w:r>
      <w:r w:rsidRPr="00757D78">
        <w:rPr>
          <w:bCs/>
          <w:color w:val="000000" w:themeColor="text1"/>
        </w:rPr>
        <w:t xml:space="preserve">. </w:t>
      </w:r>
      <w:r w:rsidRPr="00EA4429">
        <w:rPr>
          <w:bCs/>
          <w:color w:val="000000" w:themeColor="text1"/>
        </w:rPr>
        <w:t>The PCPCM PRO was created through a multi-step approach</w:t>
      </w:r>
      <w:r>
        <w:rPr>
          <w:bCs/>
          <w:color w:val="000000" w:themeColor="text1"/>
        </w:rPr>
        <w:t xml:space="preserve">. First, we conducted a survey to identify a preliminary set of quality indicator areas of greatest importance to primary care clinicians </w:t>
      </w:r>
      <w:r w:rsidRPr="00EA4429">
        <w:rPr>
          <w:bCs/>
          <w:color w:val="000000" w:themeColor="text1"/>
        </w:rPr>
        <w:t>(n=525), patients (n=412), and employers (n=85).</w:t>
      </w:r>
      <w:r>
        <w:rPr>
          <w:bCs/>
          <w:color w:val="000000" w:themeColor="text1"/>
        </w:rPr>
        <w:t xml:space="preserve"> Qualitative content analysis was used to identify 18 quality indicator areas among the ~10,000 written comments received.</w:t>
      </w:r>
      <w:r>
        <w:rPr>
          <w:bCs/>
          <w:color w:val="000000" w:themeColor="text1"/>
          <w:vertAlign w:val="superscript"/>
        </w:rPr>
        <w:t>1</w:t>
      </w:r>
      <w:r>
        <w:rPr>
          <w:bCs/>
          <w:color w:val="000000" w:themeColor="text1"/>
        </w:rPr>
        <w:t xml:space="preserve"> Next, we hosted a national conference </w:t>
      </w:r>
      <w:r w:rsidRPr="00EA4429">
        <w:rPr>
          <w:bCs/>
          <w:color w:val="000000" w:themeColor="text1"/>
        </w:rPr>
        <w:t>(</w:t>
      </w:r>
      <w:hyperlink r:id="rId16" w:history="1">
        <w:r w:rsidRPr="00EA4429">
          <w:rPr>
            <w:rStyle w:val="Hyperlink"/>
            <w:bCs/>
            <w:color w:val="000000" w:themeColor="text1"/>
          </w:rPr>
          <w:t>http://www.starfieldsummit.com/starfield3</w:t>
        </w:r>
      </w:hyperlink>
      <w:r w:rsidRPr="00EA4429">
        <w:rPr>
          <w:bCs/>
          <w:color w:val="000000" w:themeColor="text1"/>
        </w:rPr>
        <w:t>) in which we engaged a diverse range of 70 national leaders in primary care quality and measurement, including patients and patient advocates.</w:t>
      </w:r>
      <w:r>
        <w:rPr>
          <w:bCs/>
          <w:color w:val="000000" w:themeColor="text1"/>
          <w:vertAlign w:val="superscript"/>
        </w:rPr>
        <w:t>2</w:t>
      </w:r>
      <w:r>
        <w:rPr>
          <w:bCs/>
          <w:color w:val="000000" w:themeColor="text1"/>
        </w:rPr>
        <w:t xml:space="preserve"> </w:t>
      </w:r>
      <w:r w:rsidRPr="00EA4429">
        <w:rPr>
          <w:bCs/>
          <w:color w:val="000000" w:themeColor="text1"/>
        </w:rPr>
        <w:t>Qualitative analyses of conference data, combined with previously conducted literature reviews, resulted in a reduction of quality areas from 18 to 11. A single item was created to reflect each quality area as identified.</w:t>
      </w:r>
      <w:r>
        <w:rPr>
          <w:bCs/>
          <w:color w:val="000000" w:themeColor="text1"/>
        </w:rPr>
        <w:t xml:space="preserve"> </w:t>
      </w:r>
      <w:r w:rsidRPr="00EA4429">
        <w:rPr>
          <w:bCs/>
          <w:color w:val="000000" w:themeColor="text1"/>
        </w:rPr>
        <w:t>These 11 items resulted in the first draft of the PCPCM PRO.</w:t>
      </w:r>
    </w:p>
    <w:p w14:paraId="274CB420" w14:textId="77777777" w:rsidR="00E61055" w:rsidRPr="000E7AF5" w:rsidRDefault="00E61055" w:rsidP="00E61055">
      <w:pPr>
        <w:autoSpaceDE w:val="0"/>
        <w:autoSpaceDN w:val="0"/>
        <w:adjustRightInd w:val="0"/>
        <w:rPr>
          <w:bCs/>
          <w:color w:val="000000" w:themeColor="text1"/>
        </w:rPr>
      </w:pPr>
    </w:p>
    <w:p w14:paraId="44A6FE13" w14:textId="77777777" w:rsidR="00E61055" w:rsidRPr="000E7AF5" w:rsidRDefault="00E61055" w:rsidP="00E61055">
      <w:pPr>
        <w:pStyle w:val="ListParagraph"/>
        <w:numPr>
          <w:ilvl w:val="0"/>
          <w:numId w:val="12"/>
        </w:numPr>
        <w:tabs>
          <w:tab w:val="left" w:pos="360"/>
        </w:tabs>
        <w:spacing w:after="0" w:line="240" w:lineRule="auto"/>
        <w:textAlignment w:val="baseline"/>
        <w:rPr>
          <w:rFonts w:ascii="Times New Roman" w:hAnsi="Times New Roman" w:cs="Times New Roman"/>
          <w:bCs/>
          <w:color w:val="000000" w:themeColor="text1"/>
          <w:sz w:val="24"/>
          <w:szCs w:val="24"/>
        </w:rPr>
      </w:pPr>
      <w:r w:rsidRPr="000E7AF5">
        <w:rPr>
          <w:rFonts w:ascii="Times New Roman" w:hAnsi="Times New Roman" w:cs="Times New Roman"/>
          <w:bCs/>
          <w:color w:val="000000" w:themeColor="text1"/>
          <w:sz w:val="24"/>
          <w:szCs w:val="24"/>
        </w:rPr>
        <w:t>Etz RS, Gonzalez MM, Brooks EM, Stange KC. Less AND more are needed to assess primary care. J Am Board Fam Med. 2017; </w:t>
      </w:r>
      <w:r w:rsidRPr="000E7AF5">
        <w:rPr>
          <w:rFonts w:ascii="Times New Roman" w:hAnsi="Times New Roman" w:cs="Times New Roman"/>
          <w:color w:val="000000" w:themeColor="text1"/>
          <w:sz w:val="24"/>
          <w:szCs w:val="24"/>
        </w:rPr>
        <w:t>30</w:t>
      </w:r>
      <w:r w:rsidRPr="000E7AF5">
        <w:rPr>
          <w:rFonts w:ascii="Times New Roman" w:hAnsi="Times New Roman" w:cs="Times New Roman"/>
          <w:bCs/>
          <w:color w:val="000000" w:themeColor="text1"/>
          <w:sz w:val="24"/>
          <w:szCs w:val="24"/>
        </w:rPr>
        <w:t>(1): 13–15.</w:t>
      </w:r>
    </w:p>
    <w:p w14:paraId="556DFF8F" w14:textId="77777777" w:rsidR="00E61055" w:rsidRPr="000E7AF5" w:rsidRDefault="00E61055" w:rsidP="00E61055">
      <w:pPr>
        <w:pStyle w:val="ListParagraph"/>
        <w:numPr>
          <w:ilvl w:val="0"/>
          <w:numId w:val="12"/>
        </w:numPr>
        <w:tabs>
          <w:tab w:val="left" w:pos="360"/>
        </w:tabs>
        <w:spacing w:after="0" w:line="240" w:lineRule="auto"/>
        <w:textAlignment w:val="baseline"/>
        <w:rPr>
          <w:rFonts w:ascii="Times New Roman" w:hAnsi="Times New Roman" w:cs="Times New Roman"/>
          <w:bCs/>
          <w:color w:val="000000" w:themeColor="text1"/>
          <w:sz w:val="24"/>
          <w:szCs w:val="24"/>
        </w:rPr>
      </w:pPr>
      <w:r w:rsidRPr="000E7AF5">
        <w:rPr>
          <w:rFonts w:ascii="Times New Roman" w:hAnsi="Times New Roman" w:cs="Times New Roman"/>
          <w:bCs/>
          <w:color w:val="000000" w:themeColor="text1"/>
          <w:sz w:val="24"/>
          <w:szCs w:val="24"/>
        </w:rPr>
        <w:t>Etz, RS and the </w:t>
      </w:r>
      <w:hyperlink r:id="rId17" w:history="1">
        <w:r w:rsidRPr="000E7AF5">
          <w:rPr>
            <w:rFonts w:ascii="Times New Roman" w:hAnsi="Times New Roman" w:cs="Times New Roman"/>
            <w:bCs/>
            <w:color w:val="000000" w:themeColor="text1"/>
            <w:sz w:val="24"/>
            <w:szCs w:val="24"/>
          </w:rPr>
          <w:t>Starfield Writing Team</w:t>
        </w:r>
      </w:hyperlink>
      <w:r w:rsidRPr="000E7AF5">
        <w:rPr>
          <w:rFonts w:ascii="Times New Roman" w:hAnsi="Times New Roman" w:cs="Times New Roman"/>
          <w:bCs/>
          <w:color w:val="000000" w:themeColor="text1"/>
          <w:sz w:val="24"/>
          <w:szCs w:val="24"/>
        </w:rPr>
        <w:t xml:space="preserve">. Conference Brief: Framework of PC Measure Domains and Key Elements. 2017. Starfield Summit III: Washington, DC. Accessed January 6, 2020, </w:t>
      </w:r>
      <w:hyperlink r:id="rId18" w:history="1">
        <w:r w:rsidRPr="000E7AF5">
          <w:rPr>
            <w:rStyle w:val="Hyperlink"/>
            <w:rFonts w:ascii="Times New Roman" w:hAnsi="Times New Roman" w:cs="Times New Roman"/>
            <w:bCs/>
            <w:color w:val="000000" w:themeColor="text1"/>
            <w:sz w:val="24"/>
            <w:szCs w:val="24"/>
          </w:rPr>
          <w:t>http://www.starfieldsummit.com/resources3</w:t>
        </w:r>
      </w:hyperlink>
      <w:r w:rsidRPr="000E7AF5">
        <w:rPr>
          <w:rFonts w:ascii="Times New Roman" w:hAnsi="Times New Roman" w:cs="Times New Roman"/>
          <w:bCs/>
          <w:color w:val="000000" w:themeColor="text1"/>
          <w:sz w:val="24"/>
          <w:szCs w:val="24"/>
        </w:rPr>
        <w:t xml:space="preserve"> </w:t>
      </w:r>
    </w:p>
    <w:p w14:paraId="08ECB19B" w14:textId="77777777" w:rsidR="000E7AF5" w:rsidRDefault="000E7AF5" w:rsidP="00E61055">
      <w:pPr>
        <w:autoSpaceDE w:val="0"/>
        <w:autoSpaceDN w:val="0"/>
        <w:adjustRightInd w:val="0"/>
        <w:rPr>
          <w:bCs/>
          <w:color w:val="000000" w:themeColor="text1"/>
        </w:rPr>
      </w:pPr>
    </w:p>
    <w:p w14:paraId="189AC41B" w14:textId="1C58777D" w:rsidR="00E61055" w:rsidRPr="00EA4429" w:rsidRDefault="00E61055" w:rsidP="00E61055">
      <w:pPr>
        <w:autoSpaceDE w:val="0"/>
        <w:autoSpaceDN w:val="0"/>
        <w:adjustRightInd w:val="0"/>
        <w:rPr>
          <w:bCs/>
          <w:color w:val="000000" w:themeColor="text1"/>
        </w:rPr>
      </w:pPr>
      <w:r w:rsidRPr="000E7AF5">
        <w:rPr>
          <w:bCs/>
          <w:color w:val="000000" w:themeColor="text1"/>
        </w:rPr>
        <w:t>We used three different analyses to te</w:t>
      </w:r>
      <w:r>
        <w:rPr>
          <w:bCs/>
          <w:color w:val="000000" w:themeColor="text1"/>
        </w:rPr>
        <w:t xml:space="preserve">st the validity and meaningfulness of our critical data elements. </w:t>
      </w:r>
    </w:p>
    <w:p w14:paraId="046209C4" w14:textId="77777777" w:rsidR="00E61055" w:rsidRDefault="00E61055" w:rsidP="00E61055">
      <w:pPr>
        <w:autoSpaceDE w:val="0"/>
        <w:autoSpaceDN w:val="0"/>
        <w:adjustRightInd w:val="0"/>
        <w:rPr>
          <w:bCs/>
          <w:color w:val="000000" w:themeColor="text1"/>
        </w:rPr>
      </w:pPr>
    </w:p>
    <w:p w14:paraId="401D6265" w14:textId="0F62C00E" w:rsidR="00E61055" w:rsidRPr="00B125EB" w:rsidRDefault="00E61055" w:rsidP="00E61055">
      <w:pPr>
        <w:textAlignment w:val="baseline"/>
        <w:rPr>
          <w:bCs/>
          <w:color w:val="000000" w:themeColor="text1"/>
          <w:u w:val="single"/>
        </w:rPr>
      </w:pPr>
      <w:r>
        <w:rPr>
          <w:bCs/>
          <w:color w:val="000000" w:themeColor="text1"/>
          <w:u w:val="single"/>
        </w:rPr>
        <w:t>Cognitive interviews among patients</w:t>
      </w:r>
    </w:p>
    <w:p w14:paraId="42548D64" w14:textId="77777777" w:rsidR="00E61055" w:rsidRDefault="00E61055" w:rsidP="00E61055">
      <w:pPr>
        <w:autoSpaceDE w:val="0"/>
        <w:autoSpaceDN w:val="0"/>
        <w:adjustRightInd w:val="0"/>
        <w:rPr>
          <w:bCs/>
          <w:color w:val="000000" w:themeColor="text1"/>
        </w:rPr>
      </w:pPr>
    </w:p>
    <w:p w14:paraId="40C100DB" w14:textId="69B1D106" w:rsidR="00E61055" w:rsidRDefault="00E61055" w:rsidP="00E61055">
      <w:pPr>
        <w:autoSpaceDE w:val="0"/>
        <w:autoSpaceDN w:val="0"/>
        <w:adjustRightInd w:val="0"/>
        <w:ind w:left="720"/>
        <w:rPr>
          <w:bCs/>
          <w:color w:val="000000" w:themeColor="text1"/>
        </w:rPr>
      </w:pPr>
      <w:r>
        <w:rPr>
          <w:bCs/>
          <w:color w:val="000000" w:themeColor="text1"/>
        </w:rPr>
        <w:t xml:space="preserve">We conducted cognitive interviews among 10 patients regarding the 11 items of the PCPCM PRO. For these interviews, we asked participants to read each item aloud and then to explain in their own words what the item is asking. We then asked participants to pick one of the four response options for each item, followed by asking them to share in their own words why they chose that answer. This process allowed us to understand if the </w:t>
      </w:r>
      <w:r>
        <w:rPr>
          <w:bCs/>
          <w:color w:val="000000" w:themeColor="text1"/>
        </w:rPr>
        <w:lastRenderedPageBreak/>
        <w:t>items were likely to be interpreted as intended by participants, and whether the answers they chose were providing the type of information we expected.</w:t>
      </w:r>
    </w:p>
    <w:p w14:paraId="65ACC24C" w14:textId="2FA6C5C3" w:rsidR="00E61055" w:rsidRDefault="00E61055" w:rsidP="00E61055">
      <w:pPr>
        <w:autoSpaceDE w:val="0"/>
        <w:autoSpaceDN w:val="0"/>
        <w:adjustRightInd w:val="0"/>
        <w:ind w:left="720"/>
        <w:rPr>
          <w:bCs/>
          <w:color w:val="000000" w:themeColor="text1"/>
        </w:rPr>
      </w:pPr>
    </w:p>
    <w:p w14:paraId="11797F94" w14:textId="77777777" w:rsidR="00E61055" w:rsidRPr="00EF51E0" w:rsidRDefault="00E61055" w:rsidP="00E61055">
      <w:pPr>
        <w:autoSpaceDE w:val="0"/>
        <w:autoSpaceDN w:val="0"/>
        <w:adjustRightInd w:val="0"/>
        <w:ind w:left="720"/>
        <w:rPr>
          <w:bCs/>
          <w:color w:val="000000" w:themeColor="text1"/>
        </w:rPr>
      </w:pPr>
      <w:r>
        <w:rPr>
          <w:bCs/>
          <w:color w:val="000000" w:themeColor="text1"/>
        </w:rPr>
        <w:t>Responses from patients during the cognitive interviews were compared with the previously written detailed descriptions of each PCPCM PRO item. Nine of 10 patients successfully identified the intended quality indicator area for each item. The language patients used in their description of indicator areas resulted in minor revisions to the language of 3 items. Patient descriptions of their intention when selecting response options for each item were consistent with the development team’s intentions regarding the established scale.</w:t>
      </w:r>
    </w:p>
    <w:p w14:paraId="474AAEFE" w14:textId="77777777" w:rsidR="00E61055" w:rsidRDefault="00E61055" w:rsidP="00E61055">
      <w:pPr>
        <w:autoSpaceDE w:val="0"/>
        <w:autoSpaceDN w:val="0"/>
        <w:adjustRightInd w:val="0"/>
        <w:rPr>
          <w:bCs/>
          <w:color w:val="000000" w:themeColor="text1"/>
        </w:rPr>
      </w:pPr>
    </w:p>
    <w:p w14:paraId="17283386" w14:textId="5A6E9B06" w:rsidR="00E61055" w:rsidRPr="002F1214" w:rsidRDefault="00E61055" w:rsidP="00E61055">
      <w:pPr>
        <w:textAlignment w:val="baseline"/>
        <w:rPr>
          <w:bCs/>
          <w:color w:val="000000" w:themeColor="text1"/>
          <w:u w:val="single"/>
        </w:rPr>
      </w:pPr>
      <w:r>
        <w:rPr>
          <w:bCs/>
          <w:color w:val="000000" w:themeColor="text1"/>
          <w:u w:val="single"/>
        </w:rPr>
        <w:t>Pilot testing of the PCPCM PRO</w:t>
      </w:r>
    </w:p>
    <w:p w14:paraId="7C4D48B5" w14:textId="77777777" w:rsidR="00E61055" w:rsidRDefault="00E61055" w:rsidP="00E61055">
      <w:pPr>
        <w:autoSpaceDE w:val="0"/>
        <w:autoSpaceDN w:val="0"/>
        <w:adjustRightInd w:val="0"/>
        <w:rPr>
          <w:bCs/>
          <w:color w:val="000000" w:themeColor="text1"/>
        </w:rPr>
      </w:pPr>
    </w:p>
    <w:p w14:paraId="3BEB4E53" w14:textId="603E0906" w:rsidR="00E61055" w:rsidRPr="000E7AF5" w:rsidRDefault="00E61055" w:rsidP="00E61055">
      <w:pPr>
        <w:autoSpaceDE w:val="0"/>
        <w:autoSpaceDN w:val="0"/>
        <w:adjustRightInd w:val="0"/>
        <w:ind w:left="720"/>
        <w:rPr>
          <w:bCs/>
          <w:color w:val="000000" w:themeColor="text1"/>
        </w:rPr>
      </w:pPr>
      <w:r>
        <w:rPr>
          <w:bCs/>
          <w:color w:val="000000" w:themeColor="text1"/>
        </w:rPr>
        <w:t xml:space="preserve">We fielded the PCPCM PRO to a pilot set of online participants. The invitation to respond to the PCPCM PRO was given to an existing set of patient respondents that had participated in previous ACORN studies. We accepted all responses, stopping data collection at </w:t>
      </w:r>
      <w:r w:rsidRPr="000E7AF5">
        <w:rPr>
          <w:bCs/>
          <w:color w:val="000000" w:themeColor="text1"/>
        </w:rPr>
        <w:t>30. This online pilot fielding included each of the 11 items, as well as questions following each of the 11 items that asked whether the question was hard to understand, whether the question was hard to answer, and whether the question seemed relevant to their primary care experience.</w:t>
      </w:r>
    </w:p>
    <w:p w14:paraId="46ED0ED6" w14:textId="0F5EF18D" w:rsidR="00E61055" w:rsidRPr="000E7AF5" w:rsidRDefault="00E61055" w:rsidP="00E61055">
      <w:pPr>
        <w:autoSpaceDE w:val="0"/>
        <w:autoSpaceDN w:val="0"/>
        <w:adjustRightInd w:val="0"/>
        <w:ind w:left="720"/>
        <w:rPr>
          <w:bCs/>
          <w:color w:val="000000" w:themeColor="text1"/>
        </w:rPr>
      </w:pPr>
    </w:p>
    <w:p w14:paraId="4049A9B6" w14:textId="77777777" w:rsidR="00E61055" w:rsidRPr="000E7AF5" w:rsidRDefault="00E61055" w:rsidP="00E61055">
      <w:pPr>
        <w:autoSpaceDE w:val="0"/>
        <w:autoSpaceDN w:val="0"/>
        <w:adjustRightInd w:val="0"/>
        <w:ind w:left="720"/>
        <w:rPr>
          <w:bCs/>
          <w:color w:val="000000" w:themeColor="text1"/>
        </w:rPr>
      </w:pPr>
      <w:r w:rsidRPr="000E7AF5">
        <w:rPr>
          <w:bCs/>
          <w:color w:val="000000" w:themeColor="text1"/>
        </w:rPr>
        <w:t>Among the 30 patient respondents, responses to the two questions fielded with the piloting of the PCPCM PRO:</w:t>
      </w:r>
    </w:p>
    <w:p w14:paraId="65007286" w14:textId="77777777" w:rsidR="00E61055" w:rsidRPr="000E7AF5" w:rsidRDefault="00E61055" w:rsidP="00E61055">
      <w:pPr>
        <w:pStyle w:val="ListParagraph"/>
        <w:numPr>
          <w:ilvl w:val="0"/>
          <w:numId w:val="13"/>
        </w:numPr>
        <w:autoSpaceDE w:val="0"/>
        <w:autoSpaceDN w:val="0"/>
        <w:adjustRightInd w:val="0"/>
        <w:spacing w:after="0" w:line="240" w:lineRule="auto"/>
        <w:rPr>
          <w:rFonts w:ascii="Times New Roman" w:hAnsi="Times New Roman" w:cs="Times New Roman"/>
          <w:bCs/>
          <w:color w:val="000000" w:themeColor="text1"/>
          <w:sz w:val="24"/>
          <w:szCs w:val="24"/>
        </w:rPr>
      </w:pPr>
      <w:r w:rsidRPr="000E7AF5">
        <w:rPr>
          <w:rFonts w:ascii="Times New Roman" w:hAnsi="Times New Roman" w:cs="Times New Roman"/>
          <w:bCs/>
          <w:color w:val="000000" w:themeColor="text1"/>
          <w:sz w:val="24"/>
          <w:szCs w:val="24"/>
        </w:rPr>
        <w:t>Was this item hard to answer: 27 said no.</w:t>
      </w:r>
    </w:p>
    <w:p w14:paraId="5D365C7D" w14:textId="77777777" w:rsidR="00E61055" w:rsidRPr="000E7AF5" w:rsidRDefault="00E61055" w:rsidP="00E61055">
      <w:pPr>
        <w:pStyle w:val="ListParagraph"/>
        <w:numPr>
          <w:ilvl w:val="0"/>
          <w:numId w:val="13"/>
        </w:numPr>
        <w:autoSpaceDE w:val="0"/>
        <w:autoSpaceDN w:val="0"/>
        <w:adjustRightInd w:val="0"/>
        <w:spacing w:after="0" w:line="240" w:lineRule="auto"/>
        <w:rPr>
          <w:rFonts w:ascii="Times New Roman" w:hAnsi="Times New Roman" w:cs="Times New Roman"/>
          <w:bCs/>
          <w:color w:val="000000" w:themeColor="text1"/>
          <w:sz w:val="24"/>
          <w:szCs w:val="24"/>
        </w:rPr>
      </w:pPr>
      <w:r w:rsidRPr="000E7AF5">
        <w:rPr>
          <w:rFonts w:ascii="Times New Roman" w:hAnsi="Times New Roman" w:cs="Times New Roman"/>
          <w:bCs/>
          <w:color w:val="000000" w:themeColor="text1"/>
          <w:sz w:val="24"/>
          <w:szCs w:val="24"/>
        </w:rPr>
        <w:t>Was this item relevant to their primary care experience: 24 said yes.</w:t>
      </w:r>
    </w:p>
    <w:p w14:paraId="4D28A8AF" w14:textId="77777777" w:rsidR="00E61055" w:rsidRPr="000E7AF5" w:rsidRDefault="00E61055" w:rsidP="00E61055">
      <w:pPr>
        <w:autoSpaceDE w:val="0"/>
        <w:autoSpaceDN w:val="0"/>
        <w:adjustRightInd w:val="0"/>
        <w:rPr>
          <w:bCs/>
          <w:color w:val="000000" w:themeColor="text1"/>
        </w:rPr>
      </w:pPr>
    </w:p>
    <w:p w14:paraId="2BDC15F2" w14:textId="7DD078F1" w:rsidR="00E61055" w:rsidRPr="000E7AF5" w:rsidRDefault="00E61055" w:rsidP="00E61055">
      <w:pPr>
        <w:textAlignment w:val="baseline"/>
        <w:rPr>
          <w:bCs/>
          <w:color w:val="000000" w:themeColor="text1"/>
          <w:u w:val="single"/>
        </w:rPr>
      </w:pPr>
      <w:r w:rsidRPr="000E7AF5">
        <w:rPr>
          <w:bCs/>
          <w:color w:val="000000" w:themeColor="text1"/>
          <w:u w:val="single"/>
        </w:rPr>
        <w:t xml:space="preserve">Survey for meaningfulness </w:t>
      </w:r>
    </w:p>
    <w:p w14:paraId="3542AC9F" w14:textId="77777777" w:rsidR="00E61055" w:rsidRPr="000E7AF5" w:rsidRDefault="00E61055" w:rsidP="00E61055">
      <w:pPr>
        <w:autoSpaceDE w:val="0"/>
        <w:autoSpaceDN w:val="0"/>
        <w:adjustRightInd w:val="0"/>
        <w:rPr>
          <w:bCs/>
          <w:color w:val="000000" w:themeColor="text1"/>
        </w:rPr>
      </w:pPr>
    </w:p>
    <w:p w14:paraId="59E52315" w14:textId="77777777" w:rsidR="00E61055" w:rsidRPr="000E7AF5" w:rsidRDefault="00E61055" w:rsidP="00E61055">
      <w:pPr>
        <w:autoSpaceDE w:val="0"/>
        <w:autoSpaceDN w:val="0"/>
        <w:adjustRightInd w:val="0"/>
        <w:ind w:left="720"/>
        <w:rPr>
          <w:bCs/>
          <w:color w:val="000000" w:themeColor="text1"/>
        </w:rPr>
      </w:pPr>
      <w:r w:rsidRPr="000E7AF5">
        <w:rPr>
          <w:bCs/>
          <w:color w:val="000000" w:themeColor="text1"/>
        </w:rPr>
        <w:t xml:space="preserve">Two groups were surveyed to determine if the 11 items of the PCPCM PRO were meaningful to participants: clinicians and patients. </w:t>
      </w:r>
    </w:p>
    <w:p w14:paraId="467FB5DE" w14:textId="77777777" w:rsidR="00E61055" w:rsidRPr="000E7AF5" w:rsidRDefault="00E61055" w:rsidP="00E61055">
      <w:pPr>
        <w:autoSpaceDE w:val="0"/>
        <w:autoSpaceDN w:val="0"/>
        <w:adjustRightInd w:val="0"/>
        <w:ind w:left="720"/>
        <w:rPr>
          <w:bCs/>
          <w:color w:val="000000" w:themeColor="text1"/>
        </w:rPr>
      </w:pPr>
    </w:p>
    <w:p w14:paraId="2C70EC4D" w14:textId="41BCACD6" w:rsidR="00E61055" w:rsidRPr="000E7AF5" w:rsidRDefault="00E61055" w:rsidP="00E61055">
      <w:pPr>
        <w:autoSpaceDE w:val="0"/>
        <w:autoSpaceDN w:val="0"/>
        <w:adjustRightInd w:val="0"/>
        <w:ind w:left="720"/>
        <w:rPr>
          <w:bCs/>
          <w:color w:val="000000" w:themeColor="text1"/>
        </w:rPr>
      </w:pPr>
      <w:r w:rsidRPr="000E7AF5">
        <w:rPr>
          <w:bCs/>
          <w:color w:val="000000" w:themeColor="text1"/>
        </w:rPr>
        <w:t>Drawing on a database of clinicians that have participated in previous ACORN studies, we sent an invitation to participate in a quick validation survey of the PCPCM PRO. We accepted all responses within a one-week time period. We received 285 responses. The clinician validation survey presented the 11 items to clinicians and then asked 1) if the item appeared meaningful to them, 2) if they currently collected that information in their practice, and 3) if they would find it meaningful to receive patient responses to these items.</w:t>
      </w:r>
    </w:p>
    <w:p w14:paraId="7E3F6E2C" w14:textId="6272856B" w:rsidR="00E61055" w:rsidRPr="000E7AF5" w:rsidRDefault="00E61055" w:rsidP="00E61055">
      <w:pPr>
        <w:autoSpaceDE w:val="0"/>
        <w:autoSpaceDN w:val="0"/>
        <w:adjustRightInd w:val="0"/>
        <w:ind w:left="720"/>
        <w:rPr>
          <w:bCs/>
          <w:color w:val="000000" w:themeColor="text1"/>
        </w:rPr>
      </w:pPr>
    </w:p>
    <w:p w14:paraId="4BCA9EC0" w14:textId="77777777" w:rsidR="00E61055" w:rsidRPr="000E7AF5" w:rsidRDefault="00E61055" w:rsidP="00E61055">
      <w:pPr>
        <w:autoSpaceDE w:val="0"/>
        <w:autoSpaceDN w:val="0"/>
        <w:adjustRightInd w:val="0"/>
        <w:ind w:left="720"/>
        <w:rPr>
          <w:bCs/>
          <w:color w:val="000000" w:themeColor="text1"/>
        </w:rPr>
      </w:pPr>
      <w:r w:rsidRPr="000E7AF5">
        <w:rPr>
          <w:bCs/>
          <w:color w:val="000000" w:themeColor="text1"/>
        </w:rPr>
        <w:t>Among the 285 clinicians surveyed, responses to the three questions asked after sharing the 11 PCPCM PRO items:</w:t>
      </w:r>
    </w:p>
    <w:p w14:paraId="3738FF98" w14:textId="77777777" w:rsidR="00E61055" w:rsidRPr="000E7AF5" w:rsidRDefault="00E61055" w:rsidP="00E61055">
      <w:pPr>
        <w:pStyle w:val="ListParagraph"/>
        <w:numPr>
          <w:ilvl w:val="0"/>
          <w:numId w:val="14"/>
        </w:numPr>
        <w:autoSpaceDE w:val="0"/>
        <w:autoSpaceDN w:val="0"/>
        <w:adjustRightInd w:val="0"/>
        <w:spacing w:after="0" w:line="240" w:lineRule="auto"/>
        <w:rPr>
          <w:rFonts w:ascii="Times New Roman" w:hAnsi="Times New Roman" w:cs="Times New Roman"/>
          <w:bCs/>
          <w:color w:val="000000" w:themeColor="text1"/>
          <w:sz w:val="24"/>
          <w:szCs w:val="24"/>
        </w:rPr>
      </w:pPr>
      <w:r w:rsidRPr="000E7AF5">
        <w:rPr>
          <w:rFonts w:ascii="Times New Roman" w:hAnsi="Times New Roman" w:cs="Times New Roman"/>
          <w:bCs/>
          <w:color w:val="000000" w:themeColor="text1"/>
          <w:sz w:val="24"/>
          <w:szCs w:val="24"/>
        </w:rPr>
        <w:t>Is this item important to your practice: 225 (79%) said yes</w:t>
      </w:r>
    </w:p>
    <w:p w14:paraId="20B24DE0" w14:textId="77777777" w:rsidR="00E61055" w:rsidRPr="000E7AF5" w:rsidRDefault="00E61055" w:rsidP="00E61055">
      <w:pPr>
        <w:pStyle w:val="ListParagraph"/>
        <w:numPr>
          <w:ilvl w:val="0"/>
          <w:numId w:val="14"/>
        </w:numPr>
        <w:autoSpaceDE w:val="0"/>
        <w:autoSpaceDN w:val="0"/>
        <w:adjustRightInd w:val="0"/>
        <w:spacing w:after="0" w:line="240" w:lineRule="auto"/>
        <w:rPr>
          <w:rFonts w:ascii="Times New Roman" w:hAnsi="Times New Roman" w:cs="Times New Roman"/>
          <w:bCs/>
          <w:color w:val="000000" w:themeColor="text1"/>
          <w:sz w:val="24"/>
          <w:szCs w:val="24"/>
        </w:rPr>
      </w:pPr>
      <w:r w:rsidRPr="000E7AF5">
        <w:rPr>
          <w:rFonts w:ascii="Times New Roman" w:hAnsi="Times New Roman" w:cs="Times New Roman"/>
          <w:bCs/>
          <w:color w:val="000000" w:themeColor="text1"/>
          <w:sz w:val="24"/>
          <w:szCs w:val="24"/>
        </w:rPr>
        <w:t>Is this item personally important to you: 242 (85%) said yes</w:t>
      </w:r>
    </w:p>
    <w:p w14:paraId="7362542D" w14:textId="77777777" w:rsidR="00E61055" w:rsidRPr="000E7AF5" w:rsidRDefault="00E61055" w:rsidP="00E61055">
      <w:pPr>
        <w:pStyle w:val="ListParagraph"/>
        <w:numPr>
          <w:ilvl w:val="0"/>
          <w:numId w:val="14"/>
        </w:numPr>
        <w:autoSpaceDE w:val="0"/>
        <w:autoSpaceDN w:val="0"/>
        <w:adjustRightInd w:val="0"/>
        <w:spacing w:after="0" w:line="240" w:lineRule="auto"/>
        <w:rPr>
          <w:rFonts w:ascii="Times New Roman" w:hAnsi="Times New Roman" w:cs="Times New Roman"/>
          <w:bCs/>
          <w:color w:val="000000" w:themeColor="text1"/>
          <w:sz w:val="24"/>
          <w:szCs w:val="24"/>
        </w:rPr>
      </w:pPr>
      <w:r w:rsidRPr="000E7AF5">
        <w:rPr>
          <w:rFonts w:ascii="Times New Roman" w:hAnsi="Times New Roman" w:cs="Times New Roman"/>
          <w:bCs/>
          <w:color w:val="000000" w:themeColor="text1"/>
          <w:sz w:val="24"/>
          <w:szCs w:val="24"/>
        </w:rPr>
        <w:t>Would it be meaningful to you to receive your patients’ responses to these items: 239 (84%) said yes</w:t>
      </w:r>
    </w:p>
    <w:p w14:paraId="032619F9" w14:textId="77777777" w:rsidR="00E61055" w:rsidRPr="000E7AF5" w:rsidRDefault="00E61055" w:rsidP="00E61055">
      <w:pPr>
        <w:autoSpaceDE w:val="0"/>
        <w:autoSpaceDN w:val="0"/>
        <w:adjustRightInd w:val="0"/>
        <w:ind w:left="720"/>
        <w:rPr>
          <w:bCs/>
          <w:color w:val="000000" w:themeColor="text1"/>
        </w:rPr>
      </w:pPr>
    </w:p>
    <w:p w14:paraId="7D100916" w14:textId="2AECA2C7" w:rsidR="00AA7CB9" w:rsidRPr="000E7AF5" w:rsidRDefault="00E61055" w:rsidP="00E61055">
      <w:pPr>
        <w:autoSpaceDE w:val="0"/>
        <w:autoSpaceDN w:val="0"/>
        <w:adjustRightInd w:val="0"/>
        <w:ind w:left="720"/>
        <w:rPr>
          <w:bCs/>
          <w:color w:val="000000" w:themeColor="text1"/>
        </w:rPr>
      </w:pPr>
      <w:r w:rsidRPr="000E7AF5">
        <w:rPr>
          <w:bCs/>
          <w:color w:val="000000" w:themeColor="text1"/>
        </w:rPr>
        <w:lastRenderedPageBreak/>
        <w:t>Additionally, we fielded the PCPCM PRO among</w:t>
      </w:r>
      <w:r w:rsidR="00AA7CB9" w:rsidRPr="000E7AF5">
        <w:rPr>
          <w:bCs/>
          <w:color w:val="000000" w:themeColor="text1"/>
        </w:rPr>
        <w:t xml:space="preserve"> </w:t>
      </w:r>
      <w:r w:rsidR="00762BD7" w:rsidRPr="000E7AF5">
        <w:rPr>
          <w:bCs/>
          <w:color w:val="000000" w:themeColor="text1"/>
        </w:rPr>
        <w:t>two</w:t>
      </w:r>
      <w:r w:rsidR="00AA7CB9" w:rsidRPr="000E7AF5">
        <w:rPr>
          <w:bCs/>
          <w:color w:val="000000" w:themeColor="text1"/>
        </w:rPr>
        <w:t xml:space="preserve"> patient populations. </w:t>
      </w:r>
    </w:p>
    <w:p w14:paraId="1B5E7316" w14:textId="77777777" w:rsidR="00AA7CB9" w:rsidRPr="000E7AF5" w:rsidRDefault="00AA7CB9" w:rsidP="00E61055">
      <w:pPr>
        <w:autoSpaceDE w:val="0"/>
        <w:autoSpaceDN w:val="0"/>
        <w:adjustRightInd w:val="0"/>
        <w:ind w:left="720"/>
        <w:rPr>
          <w:bCs/>
          <w:color w:val="000000" w:themeColor="text1"/>
        </w:rPr>
      </w:pPr>
    </w:p>
    <w:p w14:paraId="67BF0A52" w14:textId="1BDF9D25" w:rsidR="00E61055" w:rsidRPr="000E7AF5" w:rsidRDefault="00AA7CB9" w:rsidP="00E61055">
      <w:pPr>
        <w:autoSpaceDE w:val="0"/>
        <w:autoSpaceDN w:val="0"/>
        <w:adjustRightInd w:val="0"/>
        <w:ind w:left="720"/>
        <w:rPr>
          <w:bCs/>
          <w:color w:val="000000" w:themeColor="text1"/>
        </w:rPr>
      </w:pPr>
      <w:r w:rsidRPr="000E7AF5">
        <w:rPr>
          <w:bCs/>
          <w:color w:val="000000" w:themeColor="text1"/>
        </w:rPr>
        <w:t xml:space="preserve">The first was a patient population of 1,140 </w:t>
      </w:r>
      <w:r w:rsidR="00762BD7" w:rsidRPr="000E7AF5">
        <w:rPr>
          <w:bCs/>
          <w:color w:val="000000" w:themeColor="text1"/>
        </w:rPr>
        <w:t>among whom</w:t>
      </w:r>
      <w:r w:rsidRPr="000E7AF5">
        <w:rPr>
          <w:bCs/>
          <w:color w:val="000000" w:themeColor="text1"/>
        </w:rPr>
        <w:t xml:space="preserve"> we also asked</w:t>
      </w:r>
      <w:r w:rsidR="00762BD7" w:rsidRPr="000E7AF5">
        <w:rPr>
          <w:bCs/>
          <w:color w:val="000000" w:themeColor="text1"/>
        </w:rPr>
        <w:t xml:space="preserve"> two questions</w:t>
      </w:r>
      <w:r w:rsidRPr="000E7AF5">
        <w:rPr>
          <w:bCs/>
          <w:color w:val="000000" w:themeColor="text1"/>
        </w:rPr>
        <w:t>:</w:t>
      </w:r>
      <w:r w:rsidR="00E61055" w:rsidRPr="000E7AF5">
        <w:rPr>
          <w:bCs/>
          <w:color w:val="000000" w:themeColor="text1"/>
        </w:rPr>
        <w:t xml:space="preserve"> </w:t>
      </w:r>
      <w:r w:rsidR="00762BD7" w:rsidRPr="000E7AF5">
        <w:rPr>
          <w:bCs/>
          <w:color w:val="000000" w:themeColor="text1"/>
        </w:rPr>
        <w:t>Is this measure meaningful to you, and, i</w:t>
      </w:r>
      <w:r w:rsidR="00E61055" w:rsidRPr="000E7AF5">
        <w:rPr>
          <w:bCs/>
          <w:color w:val="000000" w:themeColor="text1"/>
        </w:rPr>
        <w:t>f your doctor had these survey results, would it help your care</w:t>
      </w:r>
      <w:r w:rsidRPr="000E7AF5">
        <w:rPr>
          <w:bCs/>
          <w:color w:val="000000" w:themeColor="text1"/>
        </w:rPr>
        <w:t xml:space="preserve">? </w:t>
      </w:r>
      <w:r w:rsidR="00762BD7" w:rsidRPr="000E7AF5">
        <w:rPr>
          <w:bCs/>
          <w:color w:val="000000" w:themeColor="text1"/>
        </w:rPr>
        <w:t xml:space="preserve">87% of patients said the survey was meaningful and </w:t>
      </w:r>
      <w:r w:rsidRPr="000E7AF5">
        <w:rPr>
          <w:bCs/>
          <w:color w:val="000000" w:themeColor="text1"/>
        </w:rPr>
        <w:t xml:space="preserve">60% of patients </w:t>
      </w:r>
      <w:r w:rsidR="00762BD7" w:rsidRPr="000E7AF5">
        <w:rPr>
          <w:bCs/>
          <w:color w:val="000000" w:themeColor="text1"/>
        </w:rPr>
        <w:t>said receipt of their answers would help with their care</w:t>
      </w:r>
      <w:r w:rsidRPr="000E7AF5">
        <w:rPr>
          <w:bCs/>
          <w:color w:val="000000" w:themeColor="text1"/>
        </w:rPr>
        <w:t>.</w:t>
      </w:r>
    </w:p>
    <w:p w14:paraId="54E33ABF" w14:textId="2C51A0A8" w:rsidR="00AA7CB9" w:rsidRPr="000E7AF5" w:rsidRDefault="00AA7CB9" w:rsidP="00E61055">
      <w:pPr>
        <w:autoSpaceDE w:val="0"/>
        <w:autoSpaceDN w:val="0"/>
        <w:adjustRightInd w:val="0"/>
        <w:ind w:left="720"/>
        <w:rPr>
          <w:bCs/>
          <w:color w:val="000000" w:themeColor="text1"/>
        </w:rPr>
      </w:pPr>
    </w:p>
    <w:p w14:paraId="528D1CC1" w14:textId="7F511CBC" w:rsidR="00AA7CB9" w:rsidRDefault="00AA7CB9" w:rsidP="00E61055">
      <w:pPr>
        <w:autoSpaceDE w:val="0"/>
        <w:autoSpaceDN w:val="0"/>
        <w:adjustRightInd w:val="0"/>
        <w:ind w:left="720"/>
        <w:rPr>
          <w:bCs/>
          <w:color w:val="000000" w:themeColor="text1"/>
        </w:rPr>
      </w:pPr>
      <w:r w:rsidRPr="000E7AF5">
        <w:rPr>
          <w:bCs/>
          <w:color w:val="000000" w:themeColor="text1"/>
        </w:rPr>
        <w:t>The second was a patient population of 1,344 (March 31, 2020) in which we asked three questions after each item in the PCPCM PRO: 1) is this item meaningful to you, 2) would you have answered this question differently before the COVID-19 pandemic, and 3) please briefly explain your answer. Every item in the PCPCM PRO was identified as meaningful by at least 80% of patients responding. Additionally, the majority of patients said their answers were not different as a result of the pandemic. Open text responses typically pointed to the importance</w:t>
      </w:r>
      <w:r>
        <w:rPr>
          <w:bCs/>
          <w:color w:val="000000" w:themeColor="text1"/>
        </w:rPr>
        <w:t xml:space="preserve"> of content area addressed by the item.</w:t>
      </w:r>
    </w:p>
    <w:p w14:paraId="7C3BBDAB" w14:textId="77777777" w:rsidR="00E61055" w:rsidRPr="003F44D6" w:rsidRDefault="00E61055" w:rsidP="002E2177">
      <w:pPr>
        <w:ind w:left="432" w:hanging="432"/>
        <w:rPr>
          <w:bCs/>
          <w:color w:val="000000" w:themeColor="text1"/>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0E7AF5">
        <w:rPr>
          <w:b/>
          <w:color w:val="0000FF"/>
        </w:rPr>
        <w:t>1</w:t>
      </w:r>
      <w:r w:rsidR="00773485" w:rsidRPr="000E7AF5">
        <w:rPr>
          <w:b/>
          <w:color w:val="0000FF"/>
        </w:rPr>
        <w:t>a</w:t>
      </w:r>
      <w:r w:rsidRPr="000E7AF5">
        <w:rPr>
          <w:b/>
          <w:color w:val="0000FF"/>
        </w:rPr>
        <w:t>.2</w:t>
      </w:r>
      <w:r w:rsidR="00E41417" w:rsidRPr="000E7AF5">
        <w:rPr>
          <w:iCs/>
        </w:rPr>
        <w:t xml:space="preserve"> </w:t>
      </w:r>
      <w:r w:rsidR="00C41794" w:rsidRPr="000E7AF5">
        <w:rPr>
          <w:b/>
        </w:rPr>
        <w:t>FOR OUTCOME MEASURES including PATIENT REPORTED OUTCOMES</w:t>
      </w:r>
      <w:r w:rsidR="003D6721" w:rsidRPr="000E7AF5">
        <w:rPr>
          <w:b/>
        </w:rPr>
        <w:t xml:space="preserve"> </w:t>
      </w:r>
      <w:r w:rsidR="00C41794" w:rsidRPr="000E7AF5">
        <w:rPr>
          <w:b/>
        </w:rPr>
        <w:t>-</w:t>
      </w:r>
      <w:r w:rsidR="00C41794" w:rsidRPr="000E7AF5">
        <w:rPr>
          <w:b/>
          <w:iCs/>
        </w:rPr>
        <w:t xml:space="preserve"> </w:t>
      </w:r>
      <w:r w:rsidR="003D6721" w:rsidRPr="000E7AF5">
        <w:rPr>
          <w:b/>
          <w:iCs/>
        </w:rPr>
        <w:t xml:space="preserve">Provide empirical data demonstrating </w:t>
      </w:r>
      <w:r w:rsidR="008B51D9" w:rsidRPr="000E7AF5">
        <w:rPr>
          <w:b/>
          <w:iCs/>
        </w:rPr>
        <w:t xml:space="preserve">the </w:t>
      </w:r>
      <w:r w:rsidR="005D25E9" w:rsidRPr="000E7AF5">
        <w:rPr>
          <w:b/>
          <w:iCs/>
        </w:rPr>
        <w:t xml:space="preserve">relationship </w:t>
      </w:r>
      <w:r w:rsidR="00AC1E53" w:rsidRPr="000E7AF5">
        <w:rPr>
          <w:b/>
          <w:iCs/>
        </w:rPr>
        <w:t>between</w:t>
      </w:r>
      <w:r w:rsidR="005D25E9" w:rsidRPr="000E7AF5">
        <w:rPr>
          <w:b/>
          <w:iCs/>
        </w:rPr>
        <w:t xml:space="preserve"> the </w:t>
      </w:r>
      <w:r w:rsidR="008B51D9" w:rsidRPr="000E7AF5">
        <w:rPr>
          <w:b/>
          <w:iCs/>
        </w:rPr>
        <w:t>outcome</w:t>
      </w:r>
      <w:r w:rsidR="005857F8" w:rsidRPr="000E7AF5">
        <w:rPr>
          <w:b/>
          <w:iCs/>
        </w:rPr>
        <w:t xml:space="preserve"> </w:t>
      </w:r>
      <w:r w:rsidR="00AA5587" w:rsidRPr="000E7AF5">
        <w:rPr>
          <w:b/>
          <w:iCs/>
        </w:rPr>
        <w:t>(</w:t>
      </w:r>
      <w:r w:rsidR="005857F8" w:rsidRPr="000E7AF5">
        <w:rPr>
          <w:b/>
          <w:iCs/>
        </w:rPr>
        <w:t>or PRO</w:t>
      </w:r>
      <w:r w:rsidR="00AA5587" w:rsidRPr="000E7AF5">
        <w:rPr>
          <w:b/>
          <w:iCs/>
        </w:rPr>
        <w:t>)</w:t>
      </w:r>
      <w:r w:rsidR="008B51D9" w:rsidRPr="000E7AF5">
        <w:rPr>
          <w:b/>
          <w:iCs/>
        </w:rPr>
        <w:t xml:space="preserve"> </w:t>
      </w:r>
      <w:r w:rsidR="005D25E9" w:rsidRPr="000E7AF5">
        <w:rPr>
          <w:b/>
          <w:iCs/>
        </w:rPr>
        <w:t>to</w:t>
      </w:r>
      <w:r w:rsidR="00236F87" w:rsidRPr="000E7AF5">
        <w:rPr>
          <w:b/>
          <w:iCs/>
        </w:rPr>
        <w:t xml:space="preserve"> </w:t>
      </w:r>
      <w:r w:rsidR="00496AF8" w:rsidRPr="000E7AF5">
        <w:rPr>
          <w:b/>
          <w:iCs/>
        </w:rPr>
        <w:t>at least one</w:t>
      </w:r>
      <w:r w:rsidR="009B5BEA" w:rsidRPr="000E7AF5">
        <w:rPr>
          <w:b/>
          <w:iCs/>
        </w:rPr>
        <w:t xml:space="preserve"> </w:t>
      </w:r>
      <w:r w:rsidR="003D6721" w:rsidRPr="000E7AF5">
        <w:rPr>
          <w:b/>
          <w:iCs/>
        </w:rPr>
        <w:t xml:space="preserve">healthcare structure, process, </w:t>
      </w:r>
      <w:r w:rsidR="00496AF8" w:rsidRPr="000E7AF5">
        <w:rPr>
          <w:b/>
          <w:iCs/>
        </w:rPr>
        <w:t>intervention, or service</w:t>
      </w:r>
      <w:r w:rsidR="00676BD4" w:rsidRPr="000E7AF5">
        <w:rPr>
          <w:b/>
          <w:iCs/>
        </w:rPr>
        <w:t>.</w:t>
      </w:r>
      <w:r w:rsidR="00AC1E53">
        <w:rPr>
          <w:b/>
          <w:iCs/>
        </w:rPr>
        <w:t xml:space="preserve"> </w:t>
      </w:r>
    </w:p>
    <w:p w14:paraId="55B8DA64" w14:textId="77777777" w:rsidR="00D14F0B" w:rsidRPr="00ED4AF9" w:rsidRDefault="00D14F0B" w:rsidP="002E2177"/>
    <w:p w14:paraId="03173A81" w14:textId="11AD7DFE" w:rsidR="000E7AF5" w:rsidRDefault="000E7AF5" w:rsidP="001B6B85">
      <w:pPr>
        <w:rPr>
          <w:color w:val="000000" w:themeColor="text1"/>
        </w:rPr>
      </w:pPr>
      <w:r>
        <w:rPr>
          <w:color w:val="000000" w:themeColor="text1"/>
        </w:rPr>
        <w:t xml:space="preserve">Each item of the PCPCM is actionable. For example, if a clinician scores poorly on the item “Over time, this practice helps me to meet my goals”, clinicians can use that feedback to make sure discussion of patient goals is part of the clinical encounter. The PCPCM is freely available online, as </w:t>
      </w:r>
      <w:r w:rsidR="005D34FD">
        <w:rPr>
          <w:color w:val="000000" w:themeColor="text1"/>
        </w:rPr>
        <w:t>is some advice regarding</w:t>
      </w:r>
      <w:r>
        <w:rPr>
          <w:color w:val="000000" w:themeColor="text1"/>
        </w:rPr>
        <w:t xml:space="preserve"> </w:t>
      </w:r>
      <w:r w:rsidR="005D34FD">
        <w:rPr>
          <w:color w:val="000000" w:themeColor="text1"/>
        </w:rPr>
        <w:t xml:space="preserve">quality improvement </w:t>
      </w:r>
      <w:r>
        <w:rPr>
          <w:color w:val="000000" w:themeColor="text1"/>
        </w:rPr>
        <w:t xml:space="preserve">activities </w:t>
      </w:r>
      <w:r w:rsidR="005D34FD">
        <w:rPr>
          <w:color w:val="000000" w:themeColor="text1"/>
        </w:rPr>
        <w:t>and action reflection items</w:t>
      </w:r>
      <w:r>
        <w:rPr>
          <w:color w:val="000000" w:themeColor="text1"/>
        </w:rPr>
        <w:t xml:space="preserve"> to assist with quality improvement efforts.</w:t>
      </w:r>
      <w:r>
        <w:rPr>
          <w:color w:val="000000" w:themeColor="text1"/>
          <w:vertAlign w:val="superscript"/>
        </w:rPr>
        <w:t>12</w:t>
      </w:r>
      <w:r>
        <w:rPr>
          <w:color w:val="000000" w:themeColor="text1"/>
        </w:rPr>
        <w:t xml:space="preserve"> </w:t>
      </w:r>
      <w:r w:rsidR="00FF577B">
        <w:rPr>
          <w:color w:val="000000" w:themeColor="text1"/>
        </w:rPr>
        <w:t>Examples related to each of the PCPCM items include:</w:t>
      </w:r>
    </w:p>
    <w:p w14:paraId="47C73704" w14:textId="409661B4" w:rsidR="00FF577B" w:rsidRDefault="00FF577B" w:rsidP="001B6B85">
      <w:pPr>
        <w:rPr>
          <w:color w:val="000000" w:themeColor="text1"/>
        </w:rPr>
      </w:pPr>
    </w:p>
    <w:tbl>
      <w:tblPr>
        <w:tblStyle w:val="PlainTable5"/>
        <w:tblW w:w="0" w:type="auto"/>
        <w:tblLook w:val="04A0" w:firstRow="1" w:lastRow="0" w:firstColumn="1" w:lastColumn="0" w:noHBand="0" w:noVBand="1"/>
      </w:tblPr>
      <w:tblGrid>
        <w:gridCol w:w="2160"/>
        <w:gridCol w:w="7200"/>
      </w:tblGrid>
      <w:tr w:rsidR="00FF577B" w14:paraId="7F79A3C4" w14:textId="77777777" w:rsidTr="00827F9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60" w:type="dxa"/>
          </w:tcPr>
          <w:p w14:paraId="7ED730EF" w14:textId="7A725FD0" w:rsidR="00FF577B" w:rsidRDefault="00FF577B" w:rsidP="001B6B85">
            <w:pPr>
              <w:rPr>
                <w:color w:val="000000" w:themeColor="text1"/>
              </w:rPr>
            </w:pPr>
            <w:r>
              <w:rPr>
                <w:color w:val="000000" w:themeColor="text1"/>
              </w:rPr>
              <w:t>PCPCM Item</w:t>
            </w:r>
          </w:p>
        </w:tc>
        <w:tc>
          <w:tcPr>
            <w:tcW w:w="7200" w:type="dxa"/>
          </w:tcPr>
          <w:p w14:paraId="207D3C29" w14:textId="7DB80C48" w:rsidR="00FF577B" w:rsidRDefault="00FF577B" w:rsidP="001B6B85">
            <w:pPr>
              <w:cnfStyle w:val="100000000000" w:firstRow="1" w:lastRow="0" w:firstColumn="0" w:lastColumn="0" w:oddVBand="0" w:evenVBand="0" w:oddHBand="0" w:evenHBand="0" w:firstRowFirstColumn="0" w:firstRowLastColumn="0" w:lastRowFirstColumn="0" w:lastRowLastColumn="0"/>
              <w:rPr>
                <w:color w:val="000000" w:themeColor="text1"/>
              </w:rPr>
            </w:pPr>
            <w:r>
              <w:rPr>
                <w:color w:val="000000" w:themeColor="text1"/>
              </w:rPr>
              <w:t>Example Actions</w:t>
            </w:r>
          </w:p>
        </w:tc>
      </w:tr>
      <w:tr w:rsidR="00FF577B" w14:paraId="6282F2AC" w14:textId="77777777" w:rsidTr="00827F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4352BE95" w14:textId="6F051AA8" w:rsidR="00FF577B" w:rsidRPr="00827F9D" w:rsidRDefault="00FF577B" w:rsidP="001B6B85">
            <w:pPr>
              <w:rPr>
                <w:color w:val="000000" w:themeColor="text1"/>
                <w:sz w:val="20"/>
                <w:szCs w:val="20"/>
              </w:rPr>
            </w:pPr>
            <w:r w:rsidRPr="00827F9D">
              <w:rPr>
                <w:color w:val="000000" w:themeColor="text1"/>
                <w:sz w:val="20"/>
                <w:szCs w:val="20"/>
              </w:rPr>
              <w:t>The practice makes it easy for me to get care</w:t>
            </w:r>
          </w:p>
        </w:tc>
        <w:tc>
          <w:tcPr>
            <w:tcW w:w="7200" w:type="dxa"/>
          </w:tcPr>
          <w:p w14:paraId="02F3FBCF" w14:textId="77777777" w:rsidR="00FF577B" w:rsidRPr="00827F9D" w:rsidRDefault="00FF577B"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Altering scheduling options, availability, or who does the scheduling</w:t>
            </w:r>
          </w:p>
          <w:p w14:paraId="58662AC0" w14:textId="47E93B36" w:rsidR="00FF577B" w:rsidRPr="00827F9D" w:rsidRDefault="00FF577B"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Providing options for asynchronous communication or telehealth visits</w:t>
            </w:r>
          </w:p>
        </w:tc>
      </w:tr>
      <w:tr w:rsidR="00FF577B" w14:paraId="514ADF6B" w14:textId="77777777" w:rsidTr="00827F9D">
        <w:tc>
          <w:tcPr>
            <w:cnfStyle w:val="001000000000" w:firstRow="0" w:lastRow="0" w:firstColumn="1" w:lastColumn="0" w:oddVBand="0" w:evenVBand="0" w:oddHBand="0" w:evenHBand="0" w:firstRowFirstColumn="0" w:firstRowLastColumn="0" w:lastRowFirstColumn="0" w:lastRowLastColumn="0"/>
            <w:tcW w:w="2160" w:type="dxa"/>
          </w:tcPr>
          <w:p w14:paraId="1677EF9B" w14:textId="62C65876" w:rsidR="00FF577B" w:rsidRPr="00827F9D" w:rsidRDefault="00FF577B" w:rsidP="001B6B85">
            <w:pPr>
              <w:rPr>
                <w:color w:val="000000" w:themeColor="text1"/>
                <w:sz w:val="20"/>
                <w:szCs w:val="20"/>
              </w:rPr>
            </w:pPr>
            <w:r w:rsidRPr="00827F9D">
              <w:rPr>
                <w:color w:val="000000" w:themeColor="text1"/>
                <w:sz w:val="20"/>
                <w:szCs w:val="20"/>
              </w:rPr>
              <w:t>This practice is able to provide most of my care</w:t>
            </w:r>
          </w:p>
        </w:tc>
        <w:tc>
          <w:tcPr>
            <w:tcW w:w="7200" w:type="dxa"/>
          </w:tcPr>
          <w:p w14:paraId="66A39E20" w14:textId="77777777" w:rsidR="00FF577B" w:rsidRPr="00827F9D" w:rsidRDefault="00FF577B" w:rsidP="00FF577B">
            <w:pPr>
              <w:pStyle w:val="ListParagraph"/>
              <w:numPr>
                <w:ilvl w:val="0"/>
                <w:numId w:val="15"/>
              </w:numPr>
              <w:ind w:left="257" w:hanging="193"/>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27F9D">
              <w:rPr>
                <w:color w:val="000000" w:themeColor="text1"/>
                <w:sz w:val="20"/>
                <w:szCs w:val="20"/>
              </w:rPr>
              <w:t>Schedule longer visits for more complicated problems or patients so that you can provide more of the care rather than referring it out</w:t>
            </w:r>
          </w:p>
          <w:p w14:paraId="122FDD56" w14:textId="2356FA55" w:rsidR="00FF577B" w:rsidRPr="00827F9D" w:rsidRDefault="00FF577B" w:rsidP="00FF577B">
            <w:pPr>
              <w:pStyle w:val="ListParagraph"/>
              <w:numPr>
                <w:ilvl w:val="0"/>
                <w:numId w:val="15"/>
              </w:numPr>
              <w:ind w:left="257" w:hanging="193"/>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27F9D">
              <w:rPr>
                <w:color w:val="000000" w:themeColor="text1"/>
                <w:sz w:val="20"/>
                <w:szCs w:val="20"/>
              </w:rPr>
              <w:t>Refer in-house to staff or clinicians with specialized expertise or interests</w:t>
            </w:r>
          </w:p>
        </w:tc>
      </w:tr>
      <w:tr w:rsidR="00FF577B" w14:paraId="6B25B404" w14:textId="77777777" w:rsidTr="00827F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2AFB4047" w14:textId="55F8814F" w:rsidR="00FF577B" w:rsidRPr="00827F9D" w:rsidRDefault="00FF577B" w:rsidP="001B6B85">
            <w:pPr>
              <w:rPr>
                <w:color w:val="000000" w:themeColor="text1"/>
                <w:sz w:val="20"/>
                <w:szCs w:val="20"/>
              </w:rPr>
            </w:pPr>
            <w:r w:rsidRPr="00827F9D">
              <w:rPr>
                <w:color w:val="000000" w:themeColor="text1"/>
                <w:sz w:val="20"/>
                <w:szCs w:val="20"/>
              </w:rPr>
              <w:t>In care for me, my doctor considers all of the factors that affect my health</w:t>
            </w:r>
          </w:p>
        </w:tc>
        <w:tc>
          <w:tcPr>
            <w:tcW w:w="7200" w:type="dxa"/>
          </w:tcPr>
          <w:p w14:paraId="1F6469C3" w14:textId="77777777" w:rsidR="00FF577B" w:rsidRPr="00827F9D" w:rsidRDefault="00FF577B"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Consider starting visits by asking patients what matters to them for this visit</w:t>
            </w:r>
          </w:p>
          <w:p w14:paraId="03DDB2EC" w14:textId="1C4015D9" w:rsidR="00FF577B" w:rsidRPr="00827F9D" w:rsidRDefault="00FF577B"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Ask patients, “What one thing would you like someone taking care of you to know?” and add this to the medical record in a consistent and easy-to-see place</w:t>
            </w:r>
          </w:p>
        </w:tc>
      </w:tr>
      <w:tr w:rsidR="00FF577B" w14:paraId="38B9EAA3" w14:textId="77777777" w:rsidTr="00827F9D">
        <w:tc>
          <w:tcPr>
            <w:cnfStyle w:val="001000000000" w:firstRow="0" w:lastRow="0" w:firstColumn="1" w:lastColumn="0" w:oddVBand="0" w:evenVBand="0" w:oddHBand="0" w:evenHBand="0" w:firstRowFirstColumn="0" w:firstRowLastColumn="0" w:lastRowFirstColumn="0" w:lastRowLastColumn="0"/>
            <w:tcW w:w="2160" w:type="dxa"/>
          </w:tcPr>
          <w:p w14:paraId="34ED92B2" w14:textId="1D2FDE2B" w:rsidR="00FF577B" w:rsidRPr="00827F9D" w:rsidRDefault="00FF577B" w:rsidP="001B6B85">
            <w:pPr>
              <w:rPr>
                <w:color w:val="000000" w:themeColor="text1"/>
                <w:sz w:val="20"/>
                <w:szCs w:val="20"/>
              </w:rPr>
            </w:pPr>
            <w:r w:rsidRPr="00827F9D">
              <w:rPr>
                <w:color w:val="000000" w:themeColor="text1"/>
                <w:sz w:val="20"/>
                <w:szCs w:val="20"/>
              </w:rPr>
              <w:t>My practice coordinates the care I get from multiple places</w:t>
            </w:r>
          </w:p>
        </w:tc>
        <w:tc>
          <w:tcPr>
            <w:tcW w:w="7200" w:type="dxa"/>
          </w:tcPr>
          <w:p w14:paraId="6AC30B6A" w14:textId="77777777" w:rsidR="00FF577B" w:rsidRPr="00827F9D" w:rsidRDefault="00FF577B" w:rsidP="00FF577B">
            <w:pPr>
              <w:pStyle w:val="ListParagraph"/>
              <w:numPr>
                <w:ilvl w:val="0"/>
                <w:numId w:val="15"/>
              </w:numPr>
              <w:ind w:left="257" w:hanging="193"/>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27F9D">
              <w:rPr>
                <w:color w:val="000000" w:themeColor="text1"/>
                <w:sz w:val="20"/>
                <w:szCs w:val="20"/>
              </w:rPr>
              <w:t>The medical assistant asks and documents any care received elsewhere since the last visit</w:t>
            </w:r>
          </w:p>
          <w:p w14:paraId="19219766" w14:textId="1B8F5E58" w:rsidR="00FF577B" w:rsidRPr="00827F9D" w:rsidRDefault="00FF577B" w:rsidP="00FF577B">
            <w:pPr>
              <w:pStyle w:val="ListParagraph"/>
              <w:numPr>
                <w:ilvl w:val="0"/>
                <w:numId w:val="15"/>
              </w:numPr>
              <w:ind w:left="257" w:hanging="193"/>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27F9D">
              <w:rPr>
                <w:color w:val="000000" w:themeColor="text1"/>
                <w:sz w:val="20"/>
                <w:szCs w:val="20"/>
              </w:rPr>
              <w:t>When doing medication reconciliation, ask about care received elsewhere</w:t>
            </w:r>
          </w:p>
        </w:tc>
      </w:tr>
      <w:tr w:rsidR="00FF577B" w14:paraId="7124447A" w14:textId="77777777" w:rsidTr="00827F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5891FC22" w14:textId="7894752D" w:rsidR="00FF577B" w:rsidRPr="00827F9D" w:rsidRDefault="00FF577B" w:rsidP="001B6B85">
            <w:pPr>
              <w:rPr>
                <w:color w:val="000000" w:themeColor="text1"/>
                <w:sz w:val="20"/>
                <w:szCs w:val="20"/>
              </w:rPr>
            </w:pPr>
            <w:r w:rsidRPr="00827F9D">
              <w:rPr>
                <w:color w:val="000000" w:themeColor="text1"/>
                <w:sz w:val="20"/>
                <w:szCs w:val="20"/>
              </w:rPr>
              <w:t>My doctor or practice knows me as a person</w:t>
            </w:r>
          </w:p>
        </w:tc>
        <w:tc>
          <w:tcPr>
            <w:tcW w:w="7200" w:type="dxa"/>
          </w:tcPr>
          <w:p w14:paraId="6A522B22" w14:textId="77777777" w:rsidR="00FF577B" w:rsidRPr="00827F9D" w:rsidRDefault="00FF577B"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Try to talk about at least one non-medical item during each visit</w:t>
            </w:r>
          </w:p>
          <w:p w14:paraId="768E4D99" w14:textId="77777777" w:rsidR="00FF577B" w:rsidRPr="00827F9D" w:rsidRDefault="00FF577B"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Ask the patients what matters to them</w:t>
            </w:r>
          </w:p>
          <w:p w14:paraId="7382848F" w14:textId="5B55ED5C" w:rsidR="00FF577B" w:rsidRPr="00827F9D" w:rsidRDefault="00FF577B"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Link recommended treatments to what gives meaning in the patient’s life</w:t>
            </w:r>
          </w:p>
        </w:tc>
      </w:tr>
      <w:tr w:rsidR="00FF577B" w14:paraId="1CDB79E4" w14:textId="77777777" w:rsidTr="00827F9D">
        <w:tc>
          <w:tcPr>
            <w:cnfStyle w:val="001000000000" w:firstRow="0" w:lastRow="0" w:firstColumn="1" w:lastColumn="0" w:oddVBand="0" w:evenVBand="0" w:oddHBand="0" w:evenHBand="0" w:firstRowFirstColumn="0" w:firstRowLastColumn="0" w:lastRowFirstColumn="0" w:lastRowLastColumn="0"/>
            <w:tcW w:w="2160" w:type="dxa"/>
          </w:tcPr>
          <w:p w14:paraId="222E16B3" w14:textId="7BD6495C" w:rsidR="00FF577B" w:rsidRPr="00827F9D" w:rsidRDefault="00FF577B" w:rsidP="001B6B85">
            <w:pPr>
              <w:rPr>
                <w:color w:val="000000" w:themeColor="text1"/>
                <w:sz w:val="20"/>
                <w:szCs w:val="20"/>
              </w:rPr>
            </w:pPr>
            <w:r w:rsidRPr="00827F9D">
              <w:rPr>
                <w:color w:val="000000" w:themeColor="text1"/>
                <w:sz w:val="20"/>
                <w:szCs w:val="20"/>
              </w:rPr>
              <w:lastRenderedPageBreak/>
              <w:t>My doctor and I have been through a lot together</w:t>
            </w:r>
          </w:p>
        </w:tc>
        <w:tc>
          <w:tcPr>
            <w:tcW w:w="7200" w:type="dxa"/>
          </w:tcPr>
          <w:p w14:paraId="7E9D8EE1" w14:textId="77777777" w:rsidR="00FF577B" w:rsidRPr="00827F9D" w:rsidRDefault="00FF577B" w:rsidP="00FF577B">
            <w:pPr>
              <w:pStyle w:val="ListParagraph"/>
              <w:numPr>
                <w:ilvl w:val="0"/>
                <w:numId w:val="15"/>
              </w:numPr>
              <w:ind w:left="257" w:hanging="193"/>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27F9D">
              <w:rPr>
                <w:color w:val="000000" w:themeColor="text1"/>
                <w:sz w:val="20"/>
                <w:szCs w:val="20"/>
              </w:rPr>
              <w:t>Do phone follow up after hospital discharges</w:t>
            </w:r>
          </w:p>
          <w:p w14:paraId="5D2984E0" w14:textId="7F335261" w:rsidR="00FF577B" w:rsidRPr="00827F9D" w:rsidRDefault="00FF577B" w:rsidP="00FF577B">
            <w:pPr>
              <w:pStyle w:val="ListParagraph"/>
              <w:numPr>
                <w:ilvl w:val="0"/>
                <w:numId w:val="15"/>
              </w:numPr>
              <w:ind w:left="257" w:hanging="193"/>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27F9D">
              <w:rPr>
                <w:color w:val="000000" w:themeColor="text1"/>
                <w:sz w:val="20"/>
                <w:szCs w:val="20"/>
              </w:rPr>
              <w:t>Consider other ways you might connect with patients’ important health and life events</w:t>
            </w:r>
          </w:p>
        </w:tc>
      </w:tr>
      <w:tr w:rsidR="00FF577B" w14:paraId="0A8E3DB0" w14:textId="77777777" w:rsidTr="00827F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7CF3C1A1" w14:textId="339AF9FD" w:rsidR="00FF577B" w:rsidRPr="00827F9D" w:rsidRDefault="00FF577B" w:rsidP="001B6B85">
            <w:pPr>
              <w:rPr>
                <w:color w:val="000000" w:themeColor="text1"/>
                <w:sz w:val="20"/>
                <w:szCs w:val="20"/>
              </w:rPr>
            </w:pPr>
            <w:r w:rsidRPr="00827F9D">
              <w:rPr>
                <w:color w:val="000000" w:themeColor="text1"/>
                <w:sz w:val="20"/>
                <w:szCs w:val="20"/>
              </w:rPr>
              <w:t>My doctor or practice stands up for me</w:t>
            </w:r>
          </w:p>
        </w:tc>
        <w:tc>
          <w:tcPr>
            <w:tcW w:w="7200" w:type="dxa"/>
          </w:tcPr>
          <w:p w14:paraId="55910A09" w14:textId="77777777" w:rsidR="00FF577B" w:rsidRPr="00827F9D" w:rsidRDefault="00FF577B"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Let patients know when you spend time doing prior authorizations</w:t>
            </w:r>
          </w:p>
          <w:p w14:paraId="2E583FA4" w14:textId="59354245" w:rsidR="00FF577B" w:rsidRPr="00827F9D" w:rsidRDefault="00FF577B"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Discuss options regarding medications with patients to show them you are aware of patient costs and taking that into account</w:t>
            </w:r>
          </w:p>
        </w:tc>
      </w:tr>
      <w:tr w:rsidR="00FF577B" w14:paraId="74A09730" w14:textId="77777777" w:rsidTr="00827F9D">
        <w:tc>
          <w:tcPr>
            <w:cnfStyle w:val="001000000000" w:firstRow="0" w:lastRow="0" w:firstColumn="1" w:lastColumn="0" w:oddVBand="0" w:evenVBand="0" w:oddHBand="0" w:evenHBand="0" w:firstRowFirstColumn="0" w:firstRowLastColumn="0" w:lastRowFirstColumn="0" w:lastRowLastColumn="0"/>
            <w:tcW w:w="2160" w:type="dxa"/>
          </w:tcPr>
          <w:p w14:paraId="79D4A152" w14:textId="4B0A1105" w:rsidR="00FF577B" w:rsidRPr="00827F9D" w:rsidRDefault="00FF577B" w:rsidP="001B6B85">
            <w:pPr>
              <w:rPr>
                <w:color w:val="000000" w:themeColor="text1"/>
                <w:sz w:val="20"/>
                <w:szCs w:val="20"/>
              </w:rPr>
            </w:pPr>
            <w:r w:rsidRPr="00827F9D">
              <w:rPr>
                <w:color w:val="000000" w:themeColor="text1"/>
                <w:sz w:val="20"/>
                <w:szCs w:val="20"/>
              </w:rPr>
              <w:t>The care I get takes into account knowledge of my family</w:t>
            </w:r>
          </w:p>
        </w:tc>
        <w:tc>
          <w:tcPr>
            <w:tcW w:w="7200" w:type="dxa"/>
          </w:tcPr>
          <w:p w14:paraId="15FA6D7E" w14:textId="77777777" w:rsidR="00FF577B" w:rsidRPr="00827F9D" w:rsidRDefault="00FF577B" w:rsidP="00FF577B">
            <w:pPr>
              <w:pStyle w:val="ListParagraph"/>
              <w:numPr>
                <w:ilvl w:val="0"/>
                <w:numId w:val="15"/>
              </w:numPr>
              <w:ind w:left="257" w:hanging="193"/>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27F9D">
              <w:rPr>
                <w:color w:val="000000" w:themeColor="text1"/>
                <w:sz w:val="20"/>
                <w:szCs w:val="20"/>
              </w:rPr>
              <w:t>Do a quick and dirty family tree and update it periodically – try to find a consistent place in the EHR to keep this information</w:t>
            </w:r>
          </w:p>
          <w:p w14:paraId="6D3DBDA0" w14:textId="3878E612" w:rsidR="00FF577B" w:rsidRPr="00827F9D" w:rsidRDefault="00827F9D" w:rsidP="00FF577B">
            <w:pPr>
              <w:pStyle w:val="ListParagraph"/>
              <w:numPr>
                <w:ilvl w:val="0"/>
                <w:numId w:val="15"/>
              </w:numPr>
              <w:ind w:left="257" w:hanging="193"/>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27F9D">
              <w:rPr>
                <w:color w:val="000000" w:themeColor="text1"/>
                <w:sz w:val="20"/>
                <w:szCs w:val="20"/>
              </w:rPr>
              <w:t>More routinely ask about the family as a resource or the impact of the patient’s illness on the family</w:t>
            </w:r>
          </w:p>
        </w:tc>
      </w:tr>
      <w:tr w:rsidR="00827F9D" w14:paraId="575884E8" w14:textId="77777777" w:rsidTr="00827F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221D3E54" w14:textId="36F17F16" w:rsidR="00827F9D" w:rsidRPr="00827F9D" w:rsidRDefault="00827F9D" w:rsidP="001B6B85">
            <w:pPr>
              <w:rPr>
                <w:color w:val="000000" w:themeColor="text1"/>
                <w:sz w:val="20"/>
                <w:szCs w:val="20"/>
              </w:rPr>
            </w:pPr>
            <w:r w:rsidRPr="00827F9D">
              <w:rPr>
                <w:color w:val="000000" w:themeColor="text1"/>
                <w:sz w:val="20"/>
                <w:szCs w:val="20"/>
              </w:rPr>
              <w:t>The care I get in this practice is informed by knowledge of my community</w:t>
            </w:r>
          </w:p>
        </w:tc>
        <w:tc>
          <w:tcPr>
            <w:tcW w:w="7200" w:type="dxa"/>
          </w:tcPr>
          <w:p w14:paraId="3BDD073C" w14:textId="77777777" w:rsidR="00827F9D" w:rsidRPr="00827F9D" w:rsidRDefault="00827F9D"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Participate in community events and include that in posters or on the practice website</w:t>
            </w:r>
          </w:p>
          <w:p w14:paraId="56ECD948" w14:textId="5DB19EAB" w:rsidR="00827F9D" w:rsidRPr="00827F9D" w:rsidRDefault="00827F9D"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Ask about the patient’s neighborhood</w:t>
            </w:r>
          </w:p>
        </w:tc>
      </w:tr>
      <w:tr w:rsidR="00827F9D" w14:paraId="6BC3A14D" w14:textId="77777777" w:rsidTr="00827F9D">
        <w:tc>
          <w:tcPr>
            <w:cnfStyle w:val="001000000000" w:firstRow="0" w:lastRow="0" w:firstColumn="1" w:lastColumn="0" w:oddVBand="0" w:evenVBand="0" w:oddHBand="0" w:evenHBand="0" w:firstRowFirstColumn="0" w:firstRowLastColumn="0" w:lastRowFirstColumn="0" w:lastRowLastColumn="0"/>
            <w:tcW w:w="2160" w:type="dxa"/>
          </w:tcPr>
          <w:p w14:paraId="15BB6968" w14:textId="69054993" w:rsidR="00827F9D" w:rsidRPr="00827F9D" w:rsidRDefault="00827F9D" w:rsidP="001B6B85">
            <w:pPr>
              <w:rPr>
                <w:color w:val="000000" w:themeColor="text1"/>
                <w:sz w:val="20"/>
                <w:szCs w:val="20"/>
              </w:rPr>
            </w:pPr>
            <w:r w:rsidRPr="00827F9D">
              <w:rPr>
                <w:color w:val="000000" w:themeColor="text1"/>
                <w:sz w:val="20"/>
                <w:szCs w:val="20"/>
              </w:rPr>
              <w:t>Over time, this practice helps me to meet my goals</w:t>
            </w:r>
          </w:p>
        </w:tc>
        <w:tc>
          <w:tcPr>
            <w:tcW w:w="7200" w:type="dxa"/>
          </w:tcPr>
          <w:p w14:paraId="308CBEC6" w14:textId="77777777" w:rsidR="00827F9D" w:rsidRPr="00827F9D" w:rsidRDefault="00827F9D" w:rsidP="00FF577B">
            <w:pPr>
              <w:pStyle w:val="ListParagraph"/>
              <w:numPr>
                <w:ilvl w:val="0"/>
                <w:numId w:val="15"/>
              </w:numPr>
              <w:ind w:left="257" w:hanging="193"/>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27F9D">
              <w:rPr>
                <w:color w:val="000000" w:themeColor="text1"/>
                <w:sz w:val="20"/>
                <w:szCs w:val="20"/>
              </w:rPr>
              <w:t>Frame care plans around patients’ goals or what matters to them</w:t>
            </w:r>
          </w:p>
          <w:p w14:paraId="51C77440" w14:textId="38D5FD76" w:rsidR="00827F9D" w:rsidRPr="00827F9D" w:rsidRDefault="00827F9D" w:rsidP="00827F9D">
            <w:pPr>
              <w:pStyle w:val="ListParagraph"/>
              <w:numPr>
                <w:ilvl w:val="0"/>
                <w:numId w:val="15"/>
              </w:numPr>
              <w:ind w:left="257" w:hanging="193"/>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27F9D">
              <w:rPr>
                <w:color w:val="000000" w:themeColor="text1"/>
                <w:sz w:val="20"/>
                <w:szCs w:val="20"/>
              </w:rPr>
              <w:t xml:space="preserve">Do HOPE notes: </w:t>
            </w:r>
            <w:hyperlink r:id="rId19" w:history="1">
              <w:r w:rsidRPr="00827F9D">
                <w:rPr>
                  <w:color w:val="000000" w:themeColor="text1"/>
                  <w:sz w:val="20"/>
                  <w:szCs w:val="20"/>
                </w:rPr>
                <w:t>https://drwaynejonas.com/wp-content/uploads/2018/01/HOPENoteQuestions_WEB.pdf</w:t>
              </w:r>
            </w:hyperlink>
          </w:p>
        </w:tc>
      </w:tr>
      <w:tr w:rsidR="00827F9D" w14:paraId="413AE1C8" w14:textId="77777777" w:rsidTr="00827F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Pr>
          <w:p w14:paraId="06C19345" w14:textId="5CBDEC8E" w:rsidR="00827F9D" w:rsidRPr="00827F9D" w:rsidRDefault="00827F9D" w:rsidP="001B6B85">
            <w:pPr>
              <w:rPr>
                <w:color w:val="000000" w:themeColor="text1"/>
                <w:sz w:val="20"/>
                <w:szCs w:val="20"/>
              </w:rPr>
            </w:pPr>
            <w:r w:rsidRPr="00827F9D">
              <w:rPr>
                <w:color w:val="000000" w:themeColor="text1"/>
                <w:sz w:val="20"/>
                <w:szCs w:val="20"/>
              </w:rPr>
              <w:t>Over time, my practice helps me to stay healthy</w:t>
            </w:r>
          </w:p>
        </w:tc>
        <w:tc>
          <w:tcPr>
            <w:tcW w:w="7200" w:type="dxa"/>
          </w:tcPr>
          <w:p w14:paraId="16C81E00" w14:textId="77777777" w:rsidR="00827F9D" w:rsidRPr="00827F9D" w:rsidRDefault="00827F9D"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Look for teachable moments when the patient is open to a health behavior change</w:t>
            </w:r>
          </w:p>
          <w:p w14:paraId="4B3B6913" w14:textId="1F17A1C3" w:rsidR="00827F9D" w:rsidRPr="00827F9D" w:rsidRDefault="00827F9D" w:rsidP="00FF577B">
            <w:pPr>
              <w:pStyle w:val="ListParagraph"/>
              <w:numPr>
                <w:ilvl w:val="0"/>
                <w:numId w:val="15"/>
              </w:numPr>
              <w:ind w:left="257" w:hanging="193"/>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827F9D">
              <w:rPr>
                <w:color w:val="000000" w:themeColor="text1"/>
                <w:sz w:val="20"/>
                <w:szCs w:val="20"/>
              </w:rPr>
              <w:t>Standing orders for immunizations</w:t>
            </w:r>
          </w:p>
        </w:tc>
      </w:tr>
    </w:tbl>
    <w:p w14:paraId="642F1AA5" w14:textId="77777777" w:rsidR="00FF577B" w:rsidRDefault="00FF577B" w:rsidP="001B6B85">
      <w:pPr>
        <w:rPr>
          <w:color w:val="000000" w:themeColor="text1"/>
        </w:rPr>
      </w:pPr>
    </w:p>
    <w:p w14:paraId="11377F0F" w14:textId="27D15099" w:rsidR="000E7AF5" w:rsidRDefault="00827F9D" w:rsidP="001B6B85">
      <w:pPr>
        <w:rPr>
          <w:color w:val="000000" w:themeColor="text1"/>
        </w:rPr>
      </w:pPr>
      <w:r>
        <w:rPr>
          <w:color w:val="000000" w:themeColor="text1"/>
        </w:rPr>
        <w:t>Each clinician or practice can create quality improvement activities best suited to their context.</w:t>
      </w:r>
    </w:p>
    <w:p w14:paraId="07005375" w14:textId="77777777" w:rsidR="00827F9D" w:rsidRDefault="00827F9D" w:rsidP="001B6B85">
      <w:pPr>
        <w:rPr>
          <w:color w:val="000000" w:themeColor="text1"/>
        </w:rPr>
      </w:pPr>
    </w:p>
    <w:p w14:paraId="16E342BF" w14:textId="4213DBA6" w:rsidR="001B6B85" w:rsidRDefault="00827F9D" w:rsidP="001B6B85">
      <w:pPr>
        <w:rPr>
          <w:color w:val="000000" w:themeColor="text1"/>
        </w:rPr>
      </w:pPr>
      <w:r>
        <w:rPr>
          <w:color w:val="000000" w:themeColor="text1"/>
        </w:rPr>
        <w:t>T</w:t>
      </w:r>
      <w:r w:rsidR="004727D5">
        <w:rPr>
          <w:color w:val="000000" w:themeColor="text1"/>
        </w:rPr>
        <w:t xml:space="preserve">here is a clear and large body of evidence that demonstrates the strong connection between patient experience of care and </w:t>
      </w:r>
      <w:r w:rsidR="001B6B85">
        <w:rPr>
          <w:color w:val="000000" w:themeColor="text1"/>
        </w:rPr>
        <w:t>traditional health care outcomes, such as improved intermediate outcomes, greater adherence to recommended treatment, and reduced use of health care services. Two systematic reviews – one in the US and one in the UK – provide clear evidence to that effect.</w:t>
      </w:r>
      <w:r w:rsidR="001B6B85">
        <w:rPr>
          <w:color w:val="000000" w:themeColor="text1"/>
          <w:vertAlign w:val="superscript"/>
        </w:rPr>
        <w:t>1</w:t>
      </w:r>
      <w:r w:rsidR="007D022C">
        <w:rPr>
          <w:color w:val="000000" w:themeColor="text1"/>
          <w:vertAlign w:val="superscript"/>
        </w:rPr>
        <w:t>-3</w:t>
      </w:r>
      <w:r w:rsidR="001B6B85">
        <w:rPr>
          <w:color w:val="000000" w:themeColor="text1"/>
        </w:rPr>
        <w:t xml:space="preserve"> </w:t>
      </w:r>
    </w:p>
    <w:p w14:paraId="1C5FAB1C" w14:textId="77777777" w:rsidR="001B6B85" w:rsidRDefault="001B6B85" w:rsidP="001B6B85">
      <w:pPr>
        <w:rPr>
          <w:color w:val="000000" w:themeColor="text1"/>
        </w:rPr>
      </w:pPr>
    </w:p>
    <w:p w14:paraId="7DD24DD9" w14:textId="7B664DD0" w:rsidR="007D022C" w:rsidRDefault="001B6B85" w:rsidP="001B6B85">
      <w:pPr>
        <w:rPr>
          <w:color w:val="000000" w:themeColor="text1"/>
        </w:rPr>
      </w:pPr>
      <w:r>
        <w:rPr>
          <w:color w:val="000000" w:themeColor="text1"/>
        </w:rPr>
        <w:t xml:space="preserve">The items within the PCPCM PRO instrument used to calculate the PCPCM PRO-PM performance measure are also each individually supported by empirical resource as having a strong effect on </w:t>
      </w:r>
      <w:r w:rsidR="00C078E4">
        <w:rPr>
          <w:color w:val="000000" w:themeColor="text1"/>
        </w:rPr>
        <w:t>desirable</w:t>
      </w:r>
      <w:r>
        <w:rPr>
          <w:color w:val="000000" w:themeColor="text1"/>
        </w:rPr>
        <w:t xml:space="preserve"> health outcomes. For instance</w:t>
      </w:r>
      <w:r w:rsidR="00452B5D">
        <w:rPr>
          <w:color w:val="000000" w:themeColor="text1"/>
        </w:rPr>
        <w:t>,</w:t>
      </w:r>
      <w:r>
        <w:rPr>
          <w:color w:val="000000" w:themeColor="text1"/>
        </w:rPr>
        <w:t xml:space="preserve"> </w:t>
      </w:r>
      <w:r w:rsidR="007D022C">
        <w:rPr>
          <w:color w:val="000000" w:themeColor="text1"/>
        </w:rPr>
        <w:t>continuity of care is associated with improved intermediate outcomes and reductions in cost of care.</w:t>
      </w:r>
      <w:r w:rsidR="007D022C">
        <w:rPr>
          <w:color w:val="000000" w:themeColor="text1"/>
          <w:vertAlign w:val="superscript"/>
        </w:rPr>
        <w:t>4,5</w:t>
      </w:r>
      <w:r w:rsidR="007D022C">
        <w:rPr>
          <w:color w:val="000000" w:themeColor="text1"/>
        </w:rPr>
        <w:t xml:space="preserve"> Comprehensiveness has been shown to be associated with lower hospitalization rates, greater use of preventive services, greater adherence to recommended treatment and reduction of burnout among clinicians.</w:t>
      </w:r>
      <w:r w:rsidR="00452B5D">
        <w:rPr>
          <w:color w:val="000000" w:themeColor="text1"/>
          <w:vertAlign w:val="superscript"/>
        </w:rPr>
        <w:t>3,6-10</w:t>
      </w:r>
      <w:r w:rsidR="007D022C">
        <w:rPr>
          <w:color w:val="000000" w:themeColor="text1"/>
        </w:rPr>
        <w:t xml:space="preserve">  </w:t>
      </w:r>
    </w:p>
    <w:p w14:paraId="3A644701" w14:textId="77777777" w:rsidR="007D022C" w:rsidRDefault="007D022C" w:rsidP="001B6B85">
      <w:pPr>
        <w:rPr>
          <w:color w:val="000000" w:themeColor="text1"/>
        </w:rPr>
      </w:pPr>
    </w:p>
    <w:p w14:paraId="33AFE133" w14:textId="1D95BD1C" w:rsidR="007D022C" w:rsidRDefault="00452B5D" w:rsidP="001B6B85">
      <w:pPr>
        <w:rPr>
          <w:color w:val="000000" w:themeColor="text1"/>
        </w:rPr>
      </w:pPr>
      <w:r>
        <w:rPr>
          <w:color w:val="000000" w:themeColor="text1"/>
        </w:rPr>
        <w:t>The ability to assess those aspects of primary care that uniquely contribute to primary care’s proven ability to improve patient health outcomes and experience while reducing health burden and costs warrants a national measure. A 2014 review of measures used to assess primary care shows many aspects of care remain unassessed by current measures. The PCPCM allows for patient reported assessment of those aspects of primary care identified by patients and clinicians as most important.</w:t>
      </w:r>
      <w:r>
        <w:rPr>
          <w:color w:val="000000" w:themeColor="text1"/>
          <w:vertAlign w:val="superscript"/>
        </w:rPr>
        <w:t>11</w:t>
      </w:r>
      <w:r>
        <w:rPr>
          <w:color w:val="000000" w:themeColor="text1"/>
        </w:rPr>
        <w:t xml:space="preserve"> </w:t>
      </w:r>
    </w:p>
    <w:p w14:paraId="1C123D39" w14:textId="77777777" w:rsidR="007D022C" w:rsidRDefault="007D022C" w:rsidP="001B6B85">
      <w:pPr>
        <w:ind w:left="360" w:hanging="360"/>
        <w:rPr>
          <w:color w:val="000000" w:themeColor="text1"/>
        </w:rPr>
      </w:pPr>
    </w:p>
    <w:p w14:paraId="0F0880E0" w14:textId="5151175A" w:rsidR="001B6B85" w:rsidRPr="005D34FD" w:rsidRDefault="001B6B85" w:rsidP="001B6B85">
      <w:pPr>
        <w:ind w:left="360" w:hanging="360"/>
        <w:rPr>
          <w:color w:val="000000" w:themeColor="text1"/>
        </w:rPr>
      </w:pPr>
      <w:r w:rsidRPr="005D34FD">
        <w:rPr>
          <w:color w:val="000000" w:themeColor="text1"/>
          <w:vertAlign w:val="superscript"/>
        </w:rPr>
        <w:lastRenderedPageBreak/>
        <w:t>1</w:t>
      </w:r>
      <w:r w:rsidRPr="005D34FD">
        <w:rPr>
          <w:color w:val="000000" w:themeColor="text1"/>
        </w:rPr>
        <w:t xml:space="preserve"> </w:t>
      </w:r>
      <w:proofErr w:type="spellStart"/>
      <w:r w:rsidRPr="005D34FD">
        <w:rPr>
          <w:rFonts w:eastAsiaTheme="minorHAnsi"/>
          <w:color w:val="000000" w:themeColor="text1"/>
          <w:sz w:val="22"/>
          <w:szCs w:val="22"/>
        </w:rPr>
        <w:t>Anhang</w:t>
      </w:r>
      <w:proofErr w:type="spellEnd"/>
      <w:r w:rsidRPr="005D34FD">
        <w:rPr>
          <w:rFonts w:eastAsiaTheme="minorHAnsi"/>
          <w:color w:val="000000" w:themeColor="text1"/>
          <w:sz w:val="22"/>
          <w:szCs w:val="22"/>
        </w:rPr>
        <w:t xml:space="preserve"> Price R, Elliott MN, </w:t>
      </w:r>
      <w:proofErr w:type="spellStart"/>
      <w:r w:rsidRPr="005D34FD">
        <w:rPr>
          <w:rFonts w:eastAsiaTheme="minorHAnsi"/>
          <w:color w:val="000000" w:themeColor="text1"/>
          <w:sz w:val="22"/>
          <w:szCs w:val="22"/>
        </w:rPr>
        <w:t>Zaslavsky</w:t>
      </w:r>
      <w:proofErr w:type="spellEnd"/>
      <w:r w:rsidRPr="005D34FD">
        <w:rPr>
          <w:rFonts w:eastAsiaTheme="minorHAnsi"/>
          <w:color w:val="000000" w:themeColor="text1"/>
          <w:sz w:val="22"/>
          <w:szCs w:val="22"/>
        </w:rPr>
        <w:t xml:space="preserve"> AM, Hays RD, Lehrman WG, </w:t>
      </w:r>
      <w:proofErr w:type="spellStart"/>
      <w:r w:rsidRPr="005D34FD">
        <w:rPr>
          <w:rFonts w:eastAsiaTheme="minorHAnsi"/>
          <w:color w:val="000000" w:themeColor="text1"/>
          <w:sz w:val="22"/>
          <w:szCs w:val="22"/>
        </w:rPr>
        <w:t>Rybowski</w:t>
      </w:r>
      <w:proofErr w:type="spellEnd"/>
      <w:r w:rsidRPr="005D34FD">
        <w:rPr>
          <w:rFonts w:eastAsiaTheme="minorHAnsi"/>
          <w:color w:val="000000" w:themeColor="text1"/>
          <w:sz w:val="22"/>
          <w:szCs w:val="22"/>
        </w:rPr>
        <w:t xml:space="preserve"> L, </w:t>
      </w:r>
      <w:proofErr w:type="spellStart"/>
      <w:r w:rsidRPr="005D34FD">
        <w:rPr>
          <w:rFonts w:eastAsiaTheme="minorHAnsi"/>
          <w:color w:val="000000" w:themeColor="text1"/>
          <w:sz w:val="22"/>
          <w:szCs w:val="22"/>
        </w:rPr>
        <w:t>Edgman</w:t>
      </w:r>
      <w:proofErr w:type="spellEnd"/>
      <w:r w:rsidRPr="005D34FD">
        <w:rPr>
          <w:rFonts w:eastAsiaTheme="minorHAnsi"/>
          <w:color w:val="000000" w:themeColor="text1"/>
          <w:sz w:val="22"/>
          <w:szCs w:val="22"/>
        </w:rPr>
        <w:t xml:space="preserve">-Levitan S, Cleary PD. Examining the role of patient experience surveys in measuring health care quality. Med Care Res Rev. 2014 Oct;71(5):522-54. </w:t>
      </w:r>
    </w:p>
    <w:p w14:paraId="1CE4A8A0" w14:textId="02C37AF8" w:rsidR="001B6B85" w:rsidRPr="005D34FD" w:rsidRDefault="001B6B85" w:rsidP="001B6B85">
      <w:pPr>
        <w:rPr>
          <w:color w:val="000000" w:themeColor="text1"/>
        </w:rPr>
      </w:pPr>
      <w:r w:rsidRPr="005D34FD">
        <w:rPr>
          <w:color w:val="000000" w:themeColor="text1"/>
          <w:vertAlign w:val="superscript"/>
        </w:rPr>
        <w:t>2</w:t>
      </w:r>
      <w:r w:rsidRPr="005D34FD">
        <w:rPr>
          <w:color w:val="000000" w:themeColor="text1"/>
        </w:rPr>
        <w:t xml:space="preserve"> </w:t>
      </w:r>
      <w:r w:rsidRPr="005D34FD">
        <w:rPr>
          <w:rFonts w:eastAsiaTheme="minorHAnsi"/>
          <w:color w:val="000000" w:themeColor="text1"/>
          <w:sz w:val="22"/>
          <w:szCs w:val="22"/>
        </w:rPr>
        <w:t>Doyle C, Lennox L, Bell D. A systematic review of evidence on the links between patient experience and clinical safety and effectiveness. BMJ Open. 2013 Jan 3;3(1):e001570.</w:t>
      </w:r>
    </w:p>
    <w:p w14:paraId="0CC487E4" w14:textId="65E21168" w:rsidR="007D022C" w:rsidRPr="005D34FD" w:rsidRDefault="007D022C" w:rsidP="007D022C">
      <w:pPr>
        <w:ind w:left="360" w:hanging="360"/>
        <w:rPr>
          <w:rFonts w:eastAsiaTheme="minorHAnsi"/>
          <w:color w:val="000000" w:themeColor="text1"/>
          <w:sz w:val="22"/>
          <w:szCs w:val="22"/>
        </w:rPr>
      </w:pPr>
      <w:r w:rsidRPr="005D34FD">
        <w:rPr>
          <w:color w:val="000000" w:themeColor="text1"/>
          <w:vertAlign w:val="superscript"/>
        </w:rPr>
        <w:t>3</w:t>
      </w:r>
      <w:r w:rsidRPr="005D34FD">
        <w:rPr>
          <w:color w:val="000000" w:themeColor="text1"/>
        </w:rPr>
        <w:t xml:space="preserve"> </w:t>
      </w:r>
      <w:r w:rsidRPr="005D34FD">
        <w:rPr>
          <w:rFonts w:eastAsiaTheme="minorHAnsi"/>
          <w:color w:val="000000" w:themeColor="text1"/>
          <w:sz w:val="22"/>
          <w:szCs w:val="22"/>
        </w:rPr>
        <w:t xml:space="preserve">Stange KC, Etz RS, Gullett H, Sweeney SA, Miller WL, </w:t>
      </w:r>
      <w:proofErr w:type="spellStart"/>
      <w:r w:rsidRPr="005D34FD">
        <w:rPr>
          <w:rFonts w:eastAsiaTheme="minorHAnsi"/>
          <w:color w:val="000000" w:themeColor="text1"/>
          <w:sz w:val="22"/>
          <w:szCs w:val="22"/>
        </w:rPr>
        <w:t>Jaén</w:t>
      </w:r>
      <w:proofErr w:type="spellEnd"/>
      <w:r w:rsidRPr="005D34FD">
        <w:rPr>
          <w:rFonts w:eastAsiaTheme="minorHAnsi"/>
          <w:color w:val="000000" w:themeColor="text1"/>
          <w:sz w:val="22"/>
          <w:szCs w:val="22"/>
        </w:rPr>
        <w:t xml:space="preserve"> CR, Crabtree BF, Nutting PA, Glasgow RE. Metrics for assessing improvements in primary health care. </w:t>
      </w:r>
      <w:proofErr w:type="spellStart"/>
      <w:r w:rsidRPr="005D34FD">
        <w:rPr>
          <w:rFonts w:eastAsiaTheme="minorHAnsi"/>
          <w:color w:val="000000" w:themeColor="text1"/>
          <w:sz w:val="22"/>
          <w:szCs w:val="22"/>
        </w:rPr>
        <w:t>Annu</w:t>
      </w:r>
      <w:proofErr w:type="spellEnd"/>
      <w:r w:rsidRPr="005D34FD">
        <w:rPr>
          <w:rFonts w:eastAsiaTheme="minorHAnsi"/>
          <w:color w:val="000000" w:themeColor="text1"/>
          <w:sz w:val="22"/>
          <w:szCs w:val="22"/>
        </w:rPr>
        <w:t xml:space="preserve"> Rev Public Health. 2014;35:423-42.</w:t>
      </w:r>
    </w:p>
    <w:p w14:paraId="3BCBCC9D" w14:textId="44B9A67F" w:rsidR="007D022C" w:rsidRPr="005D34FD" w:rsidRDefault="007D022C" w:rsidP="00452B5D">
      <w:pPr>
        <w:ind w:left="360" w:hanging="360"/>
        <w:rPr>
          <w:rFonts w:eastAsiaTheme="minorHAnsi"/>
          <w:color w:val="000000" w:themeColor="text1"/>
          <w:sz w:val="22"/>
          <w:szCs w:val="22"/>
        </w:rPr>
      </w:pPr>
      <w:r w:rsidRPr="005D34FD">
        <w:rPr>
          <w:rFonts w:eastAsiaTheme="minorHAnsi"/>
          <w:color w:val="000000" w:themeColor="text1"/>
          <w:sz w:val="22"/>
          <w:szCs w:val="22"/>
          <w:vertAlign w:val="superscript"/>
        </w:rPr>
        <w:t>4</w:t>
      </w:r>
      <w:r w:rsidRPr="005D34FD">
        <w:rPr>
          <w:rFonts w:eastAsiaTheme="minorHAnsi"/>
          <w:color w:val="000000" w:themeColor="text1"/>
          <w:sz w:val="22"/>
          <w:szCs w:val="22"/>
        </w:rPr>
        <w:t xml:space="preserve"> Starfield B, Shi L, Macinko J. Contribution of primary care to health systems and health. Milbank Q. 2005;3:457-502.</w:t>
      </w:r>
    </w:p>
    <w:p w14:paraId="147588DE" w14:textId="125B8607" w:rsidR="007D022C" w:rsidRPr="005D34FD" w:rsidRDefault="007D022C" w:rsidP="00452B5D">
      <w:pPr>
        <w:ind w:left="360" w:hanging="360"/>
        <w:rPr>
          <w:rFonts w:eastAsiaTheme="minorHAnsi"/>
          <w:color w:val="000000" w:themeColor="text1"/>
          <w:sz w:val="22"/>
          <w:szCs w:val="22"/>
        </w:rPr>
      </w:pPr>
      <w:bookmarkStart w:id="6" w:name="_ENREF_8"/>
      <w:r w:rsidRPr="005D34FD">
        <w:rPr>
          <w:rFonts w:eastAsiaTheme="minorHAnsi"/>
          <w:color w:val="000000" w:themeColor="text1"/>
          <w:sz w:val="22"/>
          <w:szCs w:val="22"/>
          <w:vertAlign w:val="superscript"/>
        </w:rPr>
        <w:t>5</w:t>
      </w:r>
      <w:r w:rsidRPr="005D34FD">
        <w:rPr>
          <w:rFonts w:eastAsiaTheme="minorHAnsi"/>
          <w:color w:val="000000" w:themeColor="text1"/>
          <w:sz w:val="22"/>
          <w:szCs w:val="22"/>
        </w:rPr>
        <w:t xml:space="preserve"> Institute of Medicine (U.S.). Division of Health Care Services. Committee on the Future of Primary Care., Donaldson MS. Primary care : America's health in a new era. Washington, D.C.: National Academy Press; 1996.</w:t>
      </w:r>
      <w:bookmarkEnd w:id="6"/>
    </w:p>
    <w:p w14:paraId="7D5FA82E" w14:textId="50240B22" w:rsidR="007D022C" w:rsidRPr="005D34FD" w:rsidRDefault="00452B5D" w:rsidP="00452B5D">
      <w:pPr>
        <w:ind w:left="360" w:hanging="360"/>
        <w:rPr>
          <w:rFonts w:eastAsiaTheme="minorHAnsi"/>
          <w:color w:val="000000" w:themeColor="text1"/>
          <w:sz w:val="22"/>
          <w:szCs w:val="22"/>
        </w:rPr>
      </w:pPr>
      <w:r w:rsidRPr="005D34FD">
        <w:rPr>
          <w:rFonts w:eastAsiaTheme="minorHAnsi"/>
          <w:color w:val="000000" w:themeColor="text1"/>
          <w:sz w:val="22"/>
          <w:szCs w:val="22"/>
          <w:vertAlign w:val="superscript"/>
        </w:rPr>
        <w:t>6</w:t>
      </w:r>
      <w:r w:rsidR="007D022C" w:rsidRPr="005D34FD">
        <w:rPr>
          <w:rFonts w:eastAsiaTheme="minorHAnsi"/>
          <w:color w:val="000000" w:themeColor="text1"/>
          <w:sz w:val="22"/>
          <w:szCs w:val="22"/>
          <w:vertAlign w:val="superscript"/>
        </w:rPr>
        <w:t xml:space="preserve"> </w:t>
      </w:r>
      <w:proofErr w:type="spellStart"/>
      <w:r w:rsidR="007D022C" w:rsidRPr="005D34FD">
        <w:rPr>
          <w:rFonts w:eastAsiaTheme="minorHAnsi"/>
          <w:color w:val="000000" w:themeColor="text1"/>
          <w:sz w:val="22"/>
          <w:szCs w:val="22"/>
        </w:rPr>
        <w:t>McWhinney</w:t>
      </w:r>
      <w:proofErr w:type="spellEnd"/>
      <w:r w:rsidR="007D022C" w:rsidRPr="005D34FD">
        <w:rPr>
          <w:rFonts w:eastAsiaTheme="minorHAnsi"/>
          <w:color w:val="000000" w:themeColor="text1"/>
          <w:sz w:val="22"/>
          <w:szCs w:val="22"/>
        </w:rPr>
        <w:t xml:space="preserve"> IR, Freeman T. Textbook of family medicine. Oxford ; New York: Oxford University Press; 2009.</w:t>
      </w:r>
    </w:p>
    <w:p w14:paraId="59C3DB61" w14:textId="5AF313D0" w:rsidR="007D022C" w:rsidRPr="005D34FD" w:rsidRDefault="00452B5D" w:rsidP="00452B5D">
      <w:pPr>
        <w:ind w:left="360" w:hanging="360"/>
        <w:rPr>
          <w:rFonts w:eastAsiaTheme="minorHAnsi"/>
          <w:color w:val="000000" w:themeColor="text1"/>
          <w:sz w:val="22"/>
          <w:szCs w:val="22"/>
        </w:rPr>
      </w:pPr>
      <w:bookmarkStart w:id="7" w:name="_ENREF_20"/>
      <w:r w:rsidRPr="005D34FD">
        <w:rPr>
          <w:rFonts w:eastAsiaTheme="minorHAnsi"/>
          <w:color w:val="000000" w:themeColor="text1"/>
          <w:sz w:val="22"/>
          <w:szCs w:val="22"/>
          <w:vertAlign w:val="superscript"/>
        </w:rPr>
        <w:t>7</w:t>
      </w:r>
      <w:r w:rsidR="007D022C" w:rsidRPr="005D34FD">
        <w:rPr>
          <w:rFonts w:eastAsiaTheme="minorHAnsi"/>
          <w:color w:val="000000" w:themeColor="text1"/>
          <w:sz w:val="22"/>
          <w:szCs w:val="22"/>
        </w:rPr>
        <w:t xml:space="preserve"> Institute of Medicine (U.S.). Committee on Core Metrics for Better Health at Lower Cost, Blumenthal D, Malphrus E, et al. Vital signs : core metrics for health and health care progress. Washington D.C.: National Academies Press; 2015.</w:t>
      </w:r>
      <w:bookmarkEnd w:id="7"/>
    </w:p>
    <w:p w14:paraId="49C3FD04" w14:textId="06E292D5" w:rsidR="007D022C" w:rsidRPr="005D34FD" w:rsidRDefault="00452B5D" w:rsidP="00452B5D">
      <w:pPr>
        <w:ind w:left="360" w:hanging="360"/>
        <w:rPr>
          <w:rFonts w:eastAsiaTheme="minorHAnsi"/>
          <w:color w:val="000000" w:themeColor="text1"/>
          <w:sz w:val="22"/>
          <w:szCs w:val="22"/>
        </w:rPr>
      </w:pPr>
      <w:bookmarkStart w:id="8" w:name="_ENREF_25"/>
      <w:r w:rsidRPr="005D34FD">
        <w:rPr>
          <w:rFonts w:eastAsiaTheme="minorHAnsi"/>
          <w:color w:val="000000" w:themeColor="text1"/>
          <w:sz w:val="22"/>
          <w:szCs w:val="22"/>
          <w:vertAlign w:val="superscript"/>
        </w:rPr>
        <w:t>8</w:t>
      </w:r>
      <w:r w:rsidR="007D022C" w:rsidRPr="005D34FD">
        <w:rPr>
          <w:rFonts w:eastAsiaTheme="minorHAnsi"/>
          <w:color w:val="000000" w:themeColor="text1"/>
          <w:sz w:val="22"/>
          <w:szCs w:val="22"/>
        </w:rPr>
        <w:t xml:space="preserve"> Stange KC. The paradox of the parts and the whole in understanding and improving general practice. Int J Qual Health Care. 2002 Aug;4:267-8.</w:t>
      </w:r>
      <w:bookmarkEnd w:id="8"/>
    </w:p>
    <w:p w14:paraId="7ECE680D" w14:textId="69F3FD04" w:rsidR="007D022C" w:rsidRPr="005D34FD" w:rsidRDefault="00452B5D" w:rsidP="00452B5D">
      <w:pPr>
        <w:ind w:left="360" w:hanging="360"/>
        <w:rPr>
          <w:rFonts w:eastAsiaTheme="minorHAnsi"/>
          <w:color w:val="000000" w:themeColor="text1"/>
          <w:sz w:val="22"/>
          <w:szCs w:val="22"/>
        </w:rPr>
      </w:pPr>
      <w:bookmarkStart w:id="9" w:name="_ENREF_26"/>
      <w:r w:rsidRPr="005D34FD">
        <w:rPr>
          <w:rFonts w:eastAsiaTheme="minorHAnsi"/>
          <w:color w:val="000000" w:themeColor="text1"/>
          <w:sz w:val="22"/>
          <w:szCs w:val="22"/>
          <w:vertAlign w:val="superscript"/>
        </w:rPr>
        <w:t>9</w:t>
      </w:r>
      <w:r w:rsidR="007D022C" w:rsidRPr="005D34FD">
        <w:rPr>
          <w:rFonts w:eastAsiaTheme="minorHAnsi"/>
          <w:color w:val="000000" w:themeColor="text1"/>
          <w:sz w:val="22"/>
          <w:szCs w:val="22"/>
        </w:rPr>
        <w:t xml:space="preserve"> Starfield B. Is patient-centered care the same as person-focused care? Perm J. 2011 Spring;2:63-9.</w:t>
      </w:r>
      <w:bookmarkEnd w:id="9"/>
    </w:p>
    <w:p w14:paraId="4F7AC69D" w14:textId="12559752" w:rsidR="007D022C" w:rsidRPr="005D34FD" w:rsidRDefault="00452B5D" w:rsidP="00452B5D">
      <w:pPr>
        <w:ind w:left="360" w:hanging="360"/>
        <w:rPr>
          <w:rFonts w:eastAsiaTheme="minorHAnsi"/>
          <w:color w:val="000000" w:themeColor="text1"/>
          <w:sz w:val="22"/>
          <w:szCs w:val="22"/>
        </w:rPr>
      </w:pPr>
      <w:bookmarkStart w:id="10" w:name="_ENREF_27"/>
      <w:r w:rsidRPr="005D34FD">
        <w:rPr>
          <w:rFonts w:eastAsiaTheme="minorHAnsi"/>
          <w:color w:val="000000" w:themeColor="text1"/>
          <w:sz w:val="22"/>
          <w:szCs w:val="22"/>
          <w:vertAlign w:val="superscript"/>
        </w:rPr>
        <w:t>10</w:t>
      </w:r>
      <w:r w:rsidR="007D022C" w:rsidRPr="005D34FD">
        <w:rPr>
          <w:rFonts w:eastAsiaTheme="minorHAnsi"/>
          <w:color w:val="000000" w:themeColor="text1"/>
          <w:sz w:val="22"/>
          <w:szCs w:val="22"/>
        </w:rPr>
        <w:t xml:space="preserve"> Soler JK, </w:t>
      </w:r>
      <w:proofErr w:type="spellStart"/>
      <w:r w:rsidR="007D022C" w:rsidRPr="005D34FD">
        <w:rPr>
          <w:rFonts w:eastAsiaTheme="minorHAnsi"/>
          <w:color w:val="000000" w:themeColor="text1"/>
          <w:sz w:val="22"/>
          <w:szCs w:val="22"/>
        </w:rPr>
        <w:t>Okkes</w:t>
      </w:r>
      <w:proofErr w:type="spellEnd"/>
      <w:r w:rsidR="007D022C" w:rsidRPr="005D34FD">
        <w:rPr>
          <w:rFonts w:eastAsiaTheme="minorHAnsi"/>
          <w:color w:val="000000" w:themeColor="text1"/>
          <w:sz w:val="22"/>
          <w:szCs w:val="22"/>
        </w:rPr>
        <w:t xml:space="preserve"> I, Wood M, et al. The coming of age of ICPC: celebrating the 21st birthday of the International Classification of Primary Care. Fam Pract. 2008 Aug;4:312-7.</w:t>
      </w:r>
      <w:bookmarkEnd w:id="10"/>
    </w:p>
    <w:p w14:paraId="66A427CF" w14:textId="5562E2BD" w:rsidR="00452B5D" w:rsidRPr="005D34FD" w:rsidRDefault="00452B5D" w:rsidP="00452B5D">
      <w:pPr>
        <w:ind w:left="360" w:hanging="360"/>
        <w:rPr>
          <w:rFonts w:eastAsiaTheme="minorHAnsi"/>
          <w:color w:val="000000" w:themeColor="text1"/>
          <w:sz w:val="22"/>
          <w:szCs w:val="22"/>
        </w:rPr>
      </w:pPr>
      <w:r w:rsidRPr="005D34FD">
        <w:rPr>
          <w:rFonts w:eastAsiaTheme="minorHAnsi"/>
          <w:color w:val="000000" w:themeColor="text1"/>
          <w:sz w:val="22"/>
          <w:szCs w:val="22"/>
          <w:vertAlign w:val="superscript"/>
        </w:rPr>
        <w:t>11</w:t>
      </w:r>
      <w:r w:rsidRPr="005D34FD">
        <w:rPr>
          <w:rFonts w:eastAsiaTheme="minorHAnsi"/>
          <w:color w:val="000000" w:themeColor="text1"/>
          <w:sz w:val="22"/>
          <w:szCs w:val="22"/>
        </w:rPr>
        <w:t xml:space="preserve"> Etz RS, Zyzanski SJ, Gonzalez MM, Reves SR, O'Neal JP, Stange KC. A New Comprehensive Measure of High-Value Aspects of Primary Care. Ann Fam Med. 2019 May;17(3):221-230. </w:t>
      </w:r>
    </w:p>
    <w:p w14:paraId="44EDF404" w14:textId="74D92CBB" w:rsidR="001B6B85" w:rsidRPr="005D34FD" w:rsidRDefault="00842FBC" w:rsidP="001B6B85">
      <w:pPr>
        <w:ind w:left="360" w:hanging="360"/>
        <w:rPr>
          <w:rFonts w:eastAsiaTheme="minorHAnsi"/>
          <w:color w:val="000000" w:themeColor="text1"/>
          <w:sz w:val="22"/>
          <w:szCs w:val="22"/>
        </w:rPr>
      </w:pPr>
      <w:r w:rsidRPr="005D34FD">
        <w:rPr>
          <w:rFonts w:eastAsiaTheme="minorHAnsi"/>
          <w:color w:val="000000" w:themeColor="text1"/>
          <w:sz w:val="22"/>
          <w:szCs w:val="22"/>
          <w:vertAlign w:val="superscript"/>
        </w:rPr>
        <w:t>12</w:t>
      </w:r>
      <w:r w:rsidRPr="005D34FD">
        <w:rPr>
          <w:rFonts w:eastAsiaTheme="minorHAnsi"/>
          <w:color w:val="000000" w:themeColor="text1"/>
          <w:sz w:val="22"/>
          <w:szCs w:val="22"/>
        </w:rPr>
        <w:t xml:space="preserve"> </w:t>
      </w:r>
      <w:hyperlink r:id="rId20" w:history="1">
        <w:r w:rsidRPr="005D34FD">
          <w:rPr>
            <w:rStyle w:val="Hyperlink"/>
            <w:rFonts w:eastAsiaTheme="minorHAnsi"/>
            <w:sz w:val="22"/>
            <w:szCs w:val="22"/>
          </w:rPr>
          <w:t>www.green-center.org/pcpcm</w:t>
        </w:r>
      </w:hyperlink>
      <w:r w:rsidRPr="005D34FD">
        <w:rPr>
          <w:rFonts w:eastAsiaTheme="minorHAnsi"/>
          <w:color w:val="000000" w:themeColor="text1"/>
          <w:sz w:val="22"/>
          <w:szCs w:val="22"/>
        </w:rPr>
        <w:t xml:space="preserve"> </w:t>
      </w:r>
    </w:p>
    <w:p w14:paraId="639E875D" w14:textId="77777777" w:rsidR="004727D5" w:rsidRPr="004727D5" w:rsidRDefault="004727D5" w:rsidP="002E2177">
      <w:pPr>
        <w:rPr>
          <w:color w:val="000000" w:themeColor="text1"/>
        </w:rPr>
      </w:pPr>
    </w:p>
    <w:p w14:paraId="3B875851" w14:textId="77777777" w:rsidR="00ED4AF9" w:rsidRDefault="00ED4AF9" w:rsidP="002E2177">
      <w:pPr>
        <w:rPr>
          <w:i/>
          <w:iCs/>
          <w:highlight w:val="green"/>
          <w:u w:val="single"/>
        </w:rPr>
      </w:pPr>
    </w:p>
    <w:p w14:paraId="55B8DA66" w14:textId="7724D2BC" w:rsidR="00C41794" w:rsidRPr="002D13AB" w:rsidRDefault="002B06BD" w:rsidP="00C41794">
      <w:pPr>
        <w:rPr>
          <w:b/>
          <w:iCs/>
          <w:color w:val="C00000"/>
        </w:rPr>
      </w:pPr>
      <w:bookmarkStart w:id="11" w:name="Section1a3"/>
      <w:bookmarkEnd w:id="11"/>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5AB57839" w:rsidR="00496AF8" w:rsidRDefault="00496AF8" w:rsidP="002E2177">
      <w:pPr>
        <w:rPr>
          <w:i/>
          <w:iCs/>
        </w:rPr>
      </w:pPr>
    </w:p>
    <w:p w14:paraId="7ED1FB58" w14:textId="4AF9D62B" w:rsidR="00842FBC" w:rsidRPr="00842FBC" w:rsidRDefault="00842FBC" w:rsidP="002E2177">
      <w:r>
        <w:t>Per instruction from NQF staff, this item is not required for a PRO-PM. We have therefore skipped responding item 1a.3 and all sub-items of 1a.3.</w:t>
      </w:r>
    </w:p>
    <w:p w14:paraId="343494B2" w14:textId="77777777" w:rsidR="00842FBC" w:rsidRDefault="00842FBC" w:rsidP="002E2177">
      <w:pPr>
        <w:rPr>
          <w:i/>
          <w:iCs/>
        </w:rPr>
      </w:pPr>
    </w:p>
    <w:p w14:paraId="55B8DA68" w14:textId="77777777" w:rsidR="00A9011D" w:rsidRPr="00A9011D" w:rsidRDefault="00A9011D" w:rsidP="00A9011D">
      <w:pPr>
        <w:rPr>
          <w:rFonts w:ascii="Calibri" w:eastAsia="Calibri" w:hAnsi="Calibri"/>
          <w:b/>
        </w:rPr>
      </w:pPr>
      <w:r w:rsidRPr="00A9011D">
        <w:rPr>
          <w:rFonts w:ascii="Calibri" w:eastAsia="Calibri" w:hAnsi="Calibri"/>
          <w:b/>
        </w:rPr>
        <w:t xml:space="preserve">What is the source of the </w:t>
      </w:r>
      <w:r w:rsidRPr="00A9011D">
        <w:rPr>
          <w:rFonts w:ascii="Calibri" w:eastAsia="Calibri" w:hAnsi="Calibri"/>
          <w:b/>
          <w:u w:val="single"/>
        </w:rPr>
        <w:t>systematic review of the body of evidence</w:t>
      </w:r>
      <w:r w:rsidRPr="00A9011D">
        <w:rPr>
          <w:rFonts w:ascii="Calibri" w:eastAsia="Calibri" w:hAnsi="Calibri"/>
          <w:b/>
        </w:rPr>
        <w:t xml:space="preserve"> that supports the performance measure?</w:t>
      </w:r>
      <w:r>
        <w:rPr>
          <w:rFonts w:ascii="Calibri" w:eastAsia="Calibri" w:hAnsi="Calibri"/>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rPr>
          <w:rFonts w:ascii="Calibri" w:eastAsia="Calibri" w:hAnsi="Calibri"/>
        </w:rPr>
      </w:pPr>
      <w:r w:rsidRPr="00A9011D">
        <w:rPr>
          <w:rFonts w:eastAsia="Arial Unicode MS" w:cs="Mangal" w:hint="eastAsia"/>
          <w:color w:val="0000FF"/>
          <w:kern w:val="1"/>
          <w:lang w:eastAsia="hi-IN" w:bidi="hi-IN"/>
        </w:rPr>
        <w:t>☐</w:t>
      </w:r>
      <w:r>
        <w:rPr>
          <w:rFonts w:eastAsia="Arial Unicode MS" w:cs="Mangal"/>
          <w:color w:val="0000FF"/>
          <w:kern w:val="1"/>
          <w:lang w:eastAsia="hi-IN" w:bidi="hi-IN"/>
        </w:rPr>
        <w:t xml:space="preserve"> </w:t>
      </w:r>
      <w:r w:rsidR="00A9011D" w:rsidRPr="00A9011D">
        <w:rPr>
          <w:rFonts w:ascii="Calibri" w:eastAsia="Calibri" w:hAnsi="Calibri"/>
        </w:rPr>
        <w:t xml:space="preserve">Clinical Practice Guideline recommendation </w:t>
      </w:r>
      <w:r>
        <w:rPr>
          <w:rFonts w:ascii="Calibri" w:eastAsia="Calibri" w:hAnsi="Calibri"/>
        </w:rPr>
        <w:t xml:space="preserve"> (with evidence review)</w:t>
      </w:r>
    </w:p>
    <w:p w14:paraId="55B8DA6A" w14:textId="77777777" w:rsidR="00A9011D" w:rsidRPr="00A9011D" w:rsidRDefault="00A9011D" w:rsidP="00A9011D">
      <w:pPr>
        <w:rPr>
          <w:rFonts w:ascii="Calibri" w:eastAsia="Calibri" w:hAnsi="Calibri"/>
          <w:b/>
          <w:i/>
        </w:rPr>
      </w:pPr>
      <w:r w:rsidRPr="00A9011D">
        <w:rPr>
          <w:rFonts w:eastAsia="Arial Unicode MS" w:cs="Mangal" w:hint="eastAsia"/>
          <w:color w:val="0000FF"/>
          <w:kern w:val="1"/>
          <w:lang w:eastAsia="hi-IN" w:bidi="hi-IN"/>
        </w:rPr>
        <w:t>☐</w:t>
      </w:r>
      <w:r w:rsidRPr="00A9011D">
        <w:rPr>
          <w:rFonts w:ascii="Calibri" w:eastAsia="Calibri" w:hAnsi="Calibri"/>
        </w:rPr>
        <w:t xml:space="preserve"> US Preventive Services Task Force Recommendation</w:t>
      </w:r>
    </w:p>
    <w:p w14:paraId="55B8DA6B" w14:textId="77777777" w:rsidR="00A9011D" w:rsidRPr="00A9011D" w:rsidRDefault="00A9011D" w:rsidP="00A9011D">
      <w:pPr>
        <w:rPr>
          <w:rFonts w:ascii="Calibri" w:eastAsia="Calibri" w:hAnsi="Calibri"/>
        </w:rPr>
      </w:pPr>
      <w:r w:rsidRPr="00A9011D">
        <w:rPr>
          <w:rFonts w:eastAsia="Arial Unicode MS" w:cs="Mangal" w:hint="eastAsia"/>
          <w:color w:val="0000FF"/>
          <w:kern w:val="1"/>
          <w:lang w:eastAsia="hi-IN" w:bidi="hi-IN"/>
        </w:rPr>
        <w:t>☐</w:t>
      </w:r>
      <w:r w:rsidRPr="00A9011D">
        <w:rPr>
          <w:rFonts w:ascii="Calibri" w:eastAsia="Calibri" w:hAnsi="Calibri"/>
        </w:rPr>
        <w:t xml:space="preserve"> Other systematic review and grading of the body of evidence (</w:t>
      </w:r>
      <w:r w:rsidRPr="00A9011D">
        <w:rPr>
          <w:rFonts w:ascii="Calibri" w:eastAsia="Calibri" w:hAnsi="Calibri"/>
          <w:i/>
        </w:rPr>
        <w:t>e.g., Cochrane Collaboration, AHRQ Evidence Practice Center</w:t>
      </w:r>
      <w:r w:rsidRPr="00A9011D">
        <w:rPr>
          <w:rFonts w:ascii="Calibri" w:eastAsia="Calibri" w:hAnsi="Calibri"/>
        </w:rPr>
        <w:t xml:space="preserve">) </w:t>
      </w:r>
    </w:p>
    <w:p w14:paraId="55B8DA6C" w14:textId="77777777" w:rsidR="00A9011D" w:rsidRPr="000F4A7F" w:rsidRDefault="00A9011D" w:rsidP="002E2177">
      <w:pPr>
        <w:rPr>
          <w:rFonts w:ascii="Calibri" w:eastAsia="Calibri" w:hAnsi="Calibri"/>
        </w:rPr>
      </w:pPr>
      <w:r w:rsidRPr="00A9011D">
        <w:rPr>
          <w:rFonts w:eastAsia="Arial Unicode MS" w:cs="Mangal" w:hint="eastAsia"/>
          <w:color w:val="0000FF"/>
          <w:kern w:val="1"/>
          <w:lang w:eastAsia="hi-IN" w:bidi="hi-IN"/>
        </w:rPr>
        <w:t>☐</w:t>
      </w:r>
      <w:r w:rsidRPr="00A9011D">
        <w:rPr>
          <w:rFonts w:ascii="Calibri" w:eastAsia="Calibri" w:hAnsi="Calibri"/>
        </w:rPr>
        <w:t xml:space="preserve"> Other </w:t>
      </w:r>
    </w:p>
    <w:p w14:paraId="55B8DA6D" w14:textId="77777777" w:rsidR="00A9011D" w:rsidRDefault="00A9011D" w:rsidP="002E2177">
      <w:pPr>
        <w:rPr>
          <w:i/>
          <w:iCs/>
        </w:rPr>
      </w:pPr>
    </w:p>
    <w:p w14:paraId="55B8DA6E" w14:textId="77777777" w:rsidR="004E7215" w:rsidRPr="003B1CC5" w:rsidRDefault="004E7215" w:rsidP="002E2177">
      <w:pPr>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rPr>
                <w:b/>
              </w:rPr>
            </w:pPr>
          </w:p>
        </w:tc>
      </w:tr>
      <w:tr w:rsidR="00AB4ECE" w14:paraId="55B8DA79" w14:textId="77777777" w:rsidTr="00F90F82">
        <w:tc>
          <w:tcPr>
            <w:tcW w:w="4068" w:type="dxa"/>
          </w:tcPr>
          <w:p w14:paraId="55B8DA77" w14:textId="77777777" w:rsidR="00AB4ECE" w:rsidRDefault="00AB4ECE" w:rsidP="002E2177">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tc>
      </w:tr>
      <w:tr w:rsidR="00AB4ECE" w14:paraId="55B8DA7C" w14:textId="77777777" w:rsidTr="00F90F82">
        <w:tc>
          <w:tcPr>
            <w:tcW w:w="4068" w:type="dxa"/>
          </w:tcPr>
          <w:p w14:paraId="55B8DA7A" w14:textId="77777777" w:rsidR="00AB4ECE" w:rsidRDefault="00AB4ECE" w:rsidP="00E42FAA">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tc>
      </w:tr>
      <w:tr w:rsidR="00AB4ECE" w14:paraId="55B8DA7F" w14:textId="77777777" w:rsidTr="00F90F82">
        <w:tc>
          <w:tcPr>
            <w:tcW w:w="4068" w:type="dxa"/>
          </w:tcPr>
          <w:p w14:paraId="55B8DA7D" w14:textId="77777777" w:rsidR="00AB4ECE" w:rsidRDefault="00AB4ECE" w:rsidP="00E42FAA">
            <w:r>
              <w:t>Provide all other grades and definitions from the evidence grading system</w:t>
            </w:r>
          </w:p>
        </w:tc>
        <w:tc>
          <w:tcPr>
            <w:tcW w:w="5130" w:type="dxa"/>
          </w:tcPr>
          <w:p w14:paraId="55B8DA7E" w14:textId="77777777" w:rsidR="00AB4ECE" w:rsidRDefault="00AB4ECE" w:rsidP="002E2177"/>
        </w:tc>
      </w:tr>
      <w:tr w:rsidR="00AB4ECE" w14:paraId="55B8DA82" w14:textId="77777777" w:rsidTr="00F90F82">
        <w:tc>
          <w:tcPr>
            <w:tcW w:w="4068" w:type="dxa"/>
          </w:tcPr>
          <w:p w14:paraId="55B8DA80" w14:textId="77777777" w:rsidR="00AB4ECE" w:rsidRDefault="00AB4ECE" w:rsidP="00E42FAA">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tc>
      </w:tr>
      <w:tr w:rsidR="00AB4ECE" w14:paraId="55B8DA85" w14:textId="77777777" w:rsidTr="00F90F82">
        <w:tc>
          <w:tcPr>
            <w:tcW w:w="4068" w:type="dxa"/>
          </w:tcPr>
          <w:p w14:paraId="55B8DA83" w14:textId="77777777" w:rsidR="00AB4ECE" w:rsidRDefault="00AB4ECE" w:rsidP="00E42FAA">
            <w:r>
              <w:t>Provide all other grades and definitions from the recommendation grading system</w:t>
            </w:r>
          </w:p>
        </w:tc>
        <w:tc>
          <w:tcPr>
            <w:tcW w:w="5130" w:type="dxa"/>
          </w:tcPr>
          <w:p w14:paraId="55B8DA84" w14:textId="77777777" w:rsidR="00AB4ECE" w:rsidRDefault="00AB4ECE" w:rsidP="002E2177"/>
        </w:tc>
      </w:tr>
      <w:tr w:rsidR="00AB4ECE" w14:paraId="55B8DA8A" w14:textId="77777777" w:rsidTr="00F90F82">
        <w:tc>
          <w:tcPr>
            <w:tcW w:w="4068" w:type="dxa"/>
          </w:tcPr>
          <w:p w14:paraId="55B8DA86" w14:textId="77777777" w:rsidR="00AB4ECE" w:rsidRDefault="000E5C93" w:rsidP="002E2177">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tc>
      </w:tr>
      <w:tr w:rsidR="00AB4ECE" w14:paraId="55B8DA8D" w14:textId="77777777" w:rsidTr="00F90F82">
        <w:tc>
          <w:tcPr>
            <w:tcW w:w="4068" w:type="dxa"/>
          </w:tcPr>
          <w:p w14:paraId="55B8DA8B" w14:textId="77777777" w:rsidR="00AB4ECE" w:rsidRDefault="000E5C93" w:rsidP="002E2177">
            <w:r>
              <w:t xml:space="preserve">Estimates of benefit and consistency across studies </w:t>
            </w:r>
          </w:p>
        </w:tc>
        <w:tc>
          <w:tcPr>
            <w:tcW w:w="5130" w:type="dxa"/>
          </w:tcPr>
          <w:p w14:paraId="55B8DA8C" w14:textId="77777777" w:rsidR="00AB4ECE" w:rsidRDefault="00AB4ECE" w:rsidP="002E2177"/>
        </w:tc>
      </w:tr>
      <w:tr w:rsidR="000E5C93" w14:paraId="55B8DA90" w14:textId="77777777" w:rsidTr="00F90F82">
        <w:tc>
          <w:tcPr>
            <w:tcW w:w="4068" w:type="dxa"/>
          </w:tcPr>
          <w:p w14:paraId="55B8DA8E" w14:textId="77777777" w:rsidR="000E5C93" w:rsidRDefault="000E5C93" w:rsidP="002E2177">
            <w:r>
              <w:t>What harms were identified?</w:t>
            </w:r>
          </w:p>
        </w:tc>
        <w:tc>
          <w:tcPr>
            <w:tcW w:w="5130" w:type="dxa"/>
          </w:tcPr>
          <w:p w14:paraId="55B8DA8F" w14:textId="77777777" w:rsidR="000E5C93" w:rsidRDefault="000E5C93" w:rsidP="002E2177"/>
        </w:tc>
      </w:tr>
      <w:tr w:rsidR="000E5C93" w14:paraId="55B8DA93" w14:textId="77777777" w:rsidTr="00F90F82">
        <w:tc>
          <w:tcPr>
            <w:tcW w:w="4068" w:type="dxa"/>
          </w:tcPr>
          <w:p w14:paraId="55B8DA91" w14:textId="77777777" w:rsidR="000E5C93" w:rsidRDefault="000E5C93" w:rsidP="000E5C93">
            <w:r>
              <w:t>Identify any new studies conducted since the SR. Do the new studies change the conclusions from the SR?</w:t>
            </w:r>
          </w:p>
        </w:tc>
        <w:tc>
          <w:tcPr>
            <w:tcW w:w="5130" w:type="dxa"/>
          </w:tcPr>
          <w:p w14:paraId="55B8DA92" w14:textId="77777777" w:rsidR="000E5C93" w:rsidRDefault="000E5C93" w:rsidP="002E2177"/>
        </w:tc>
      </w:tr>
    </w:tbl>
    <w:p w14:paraId="55B8DA94" w14:textId="77777777" w:rsidR="007C1887" w:rsidRPr="003B1CC5" w:rsidRDefault="007C1887" w:rsidP="002E2177"/>
    <w:p w14:paraId="55B8DA95" w14:textId="77777777" w:rsidR="0094689F" w:rsidRPr="003B1CC5" w:rsidRDefault="00925F11" w:rsidP="002E2177">
      <w:pPr>
        <w:rPr>
          <w:b/>
          <w:color w:val="0070C0"/>
        </w:rPr>
      </w:pPr>
      <w:r w:rsidRPr="003B1CC5">
        <w:rPr>
          <w:b/>
          <w:iCs/>
          <w:caps/>
        </w:rPr>
        <w:t>________________________</w:t>
      </w:r>
    </w:p>
    <w:p w14:paraId="55B8DA96" w14:textId="77777777" w:rsidR="00837121" w:rsidRPr="003B1CC5" w:rsidRDefault="000E5C93" w:rsidP="002E2177">
      <w:pPr>
        <w:rPr>
          <w:b/>
        </w:rPr>
      </w:pPr>
      <w:bookmarkStart w:id="12" w:name="Section1a8"/>
      <w:bookmarkEnd w:id="12"/>
      <w:r>
        <w:rPr>
          <w:b/>
          <w:color w:val="0000FF"/>
        </w:rPr>
        <w:t>1a.4</w:t>
      </w:r>
      <w:r w:rsidR="00837121" w:rsidRPr="003B1CC5">
        <w:rPr>
          <w:b/>
          <w:color w:val="0000FF"/>
        </w:rPr>
        <w:t xml:space="preserve"> </w:t>
      </w:r>
      <w:r w:rsidR="00837121" w:rsidRPr="003B1CC5">
        <w:rPr>
          <w:b/>
        </w:rPr>
        <w:t>OTHER SOURCE OF EVIDENCE</w:t>
      </w:r>
    </w:p>
    <w:p w14:paraId="55B8DA97" w14:textId="3E48ECF8" w:rsidR="00837121" w:rsidRDefault="00837121" w:rsidP="002E2177">
      <w:pPr>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r w:rsidR="002D13AB">
        <w:rPr>
          <w:i/>
        </w:rPr>
        <w:t xml:space="preserve"> </w:t>
      </w:r>
    </w:p>
    <w:p w14:paraId="0EB7B778" w14:textId="77777777" w:rsidR="00842FBC" w:rsidRDefault="00842FBC" w:rsidP="002E2177">
      <w:pPr>
        <w:rPr>
          <w:i/>
          <w:color w:val="C00000"/>
        </w:rPr>
      </w:pPr>
    </w:p>
    <w:p w14:paraId="6F32CFCE" w14:textId="02F21920" w:rsidR="00842FBC" w:rsidRPr="00842FBC" w:rsidRDefault="00842FBC" w:rsidP="00842FBC">
      <w:r>
        <w:t>Per instruction from NQF staff, this item is not required for a PRO-PM. We have therefore skipped responding item 1a.4 and all sub-items of 1a.4.</w:t>
      </w:r>
    </w:p>
    <w:p w14:paraId="2F371524" w14:textId="77777777" w:rsidR="00842FBC" w:rsidRPr="002D13AB" w:rsidRDefault="00842FBC" w:rsidP="002E2177">
      <w:pPr>
        <w:rPr>
          <w:i/>
          <w:color w:val="C00000"/>
        </w:rPr>
      </w:pPr>
    </w:p>
    <w:p w14:paraId="55B8DA98" w14:textId="77777777" w:rsidR="00837121" w:rsidRPr="003B1CC5" w:rsidRDefault="00837121" w:rsidP="002E2177"/>
    <w:p w14:paraId="55B8DA99" w14:textId="77777777" w:rsidR="000E5C93" w:rsidRPr="000E5C93" w:rsidRDefault="000E5C93" w:rsidP="002E2177">
      <w:pPr>
        <w:rPr>
          <w:color w:val="0070C0"/>
        </w:rPr>
      </w:pPr>
      <w:r>
        <w:rPr>
          <w:b/>
          <w:color w:val="0000FF"/>
        </w:rPr>
        <w:lastRenderedPageBreak/>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rPr>
          <w:b/>
        </w:rPr>
      </w:pPr>
    </w:p>
    <w:p w14:paraId="55B8DA9B" w14:textId="77777777" w:rsidR="00837121" w:rsidRPr="003B1CC5" w:rsidRDefault="000E5C93" w:rsidP="002E2177">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 w14:paraId="55B8DA9D" w14:textId="77777777" w:rsidR="00837121" w:rsidRPr="001B772D" w:rsidRDefault="000E5C93" w:rsidP="002E2177">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F6B19" w14:textId="77777777" w:rsidR="00DF1B87" w:rsidRDefault="00DF1B87" w:rsidP="007E37A5">
      <w:r>
        <w:separator/>
      </w:r>
    </w:p>
  </w:endnote>
  <w:endnote w:type="continuationSeparator" w:id="0">
    <w:p w14:paraId="3531B520" w14:textId="77777777" w:rsidR="00DF1B87" w:rsidRDefault="00DF1B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78EF352"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C9209" w14:textId="77777777" w:rsidR="00DF1B87" w:rsidRDefault="00DF1B87" w:rsidP="007E37A5">
      <w:r>
        <w:separator/>
      </w:r>
    </w:p>
  </w:footnote>
  <w:footnote w:type="continuationSeparator" w:id="0">
    <w:p w14:paraId="7F44585A" w14:textId="77777777" w:rsidR="00DF1B87" w:rsidRDefault="00DF1B87"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7385D"/>
    <w:multiLevelType w:val="hybridMultilevel"/>
    <w:tmpl w:val="ED56AF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885878"/>
    <w:multiLevelType w:val="hybridMultilevel"/>
    <w:tmpl w:val="937430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7F10E8"/>
    <w:multiLevelType w:val="hybridMultilevel"/>
    <w:tmpl w:val="7D44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44595C"/>
    <w:multiLevelType w:val="hybridMultilevel"/>
    <w:tmpl w:val="AA424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7762ED"/>
    <w:multiLevelType w:val="hybridMultilevel"/>
    <w:tmpl w:val="67C09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2"/>
  </w:num>
  <w:num w:numId="4">
    <w:abstractNumId w:val="3"/>
  </w:num>
  <w:num w:numId="5">
    <w:abstractNumId w:val="5"/>
  </w:num>
  <w:num w:numId="6">
    <w:abstractNumId w:val="4"/>
  </w:num>
  <w:num w:numId="7">
    <w:abstractNumId w:val="13"/>
  </w:num>
  <w:num w:numId="8">
    <w:abstractNumId w:val="12"/>
  </w:num>
  <w:num w:numId="9">
    <w:abstractNumId w:val="14"/>
  </w:num>
  <w:num w:numId="10">
    <w:abstractNumId w:val="1"/>
  </w:num>
  <w:num w:numId="11">
    <w:abstractNumId w:val="9"/>
  </w:num>
  <w:num w:numId="12">
    <w:abstractNumId w:val="15"/>
  </w:num>
  <w:num w:numId="13">
    <w:abstractNumId w:val="0"/>
  </w:num>
  <w:num w:numId="14">
    <w:abstractNumId w:val="6"/>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0052"/>
    <w:rsid w:val="000E5C93"/>
    <w:rsid w:val="000E7AF5"/>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6B85"/>
    <w:rsid w:val="001B772D"/>
    <w:rsid w:val="001D5B5D"/>
    <w:rsid w:val="001E6153"/>
    <w:rsid w:val="00201FF9"/>
    <w:rsid w:val="00205857"/>
    <w:rsid w:val="00215027"/>
    <w:rsid w:val="00222AD6"/>
    <w:rsid w:val="00235ADC"/>
    <w:rsid w:val="00236F87"/>
    <w:rsid w:val="00265702"/>
    <w:rsid w:val="002662B2"/>
    <w:rsid w:val="0026796D"/>
    <w:rsid w:val="002717C7"/>
    <w:rsid w:val="002875E9"/>
    <w:rsid w:val="00287EB3"/>
    <w:rsid w:val="002A47BA"/>
    <w:rsid w:val="002A6777"/>
    <w:rsid w:val="002B06BD"/>
    <w:rsid w:val="002C092A"/>
    <w:rsid w:val="002C0E48"/>
    <w:rsid w:val="002C6F04"/>
    <w:rsid w:val="002D13AB"/>
    <w:rsid w:val="002E2177"/>
    <w:rsid w:val="002E2E41"/>
    <w:rsid w:val="002E78CD"/>
    <w:rsid w:val="002F20A7"/>
    <w:rsid w:val="003008F4"/>
    <w:rsid w:val="00302B1D"/>
    <w:rsid w:val="00307FA5"/>
    <w:rsid w:val="00324D64"/>
    <w:rsid w:val="0032545A"/>
    <w:rsid w:val="0034058C"/>
    <w:rsid w:val="00352B52"/>
    <w:rsid w:val="0035760D"/>
    <w:rsid w:val="00363ECC"/>
    <w:rsid w:val="0039020B"/>
    <w:rsid w:val="00395263"/>
    <w:rsid w:val="003956E0"/>
    <w:rsid w:val="0039609A"/>
    <w:rsid w:val="00397500"/>
    <w:rsid w:val="003B1CC5"/>
    <w:rsid w:val="003B65CE"/>
    <w:rsid w:val="003D6721"/>
    <w:rsid w:val="003E039E"/>
    <w:rsid w:val="003F44D6"/>
    <w:rsid w:val="0040230E"/>
    <w:rsid w:val="00410739"/>
    <w:rsid w:val="0041662F"/>
    <w:rsid w:val="00422917"/>
    <w:rsid w:val="00440687"/>
    <w:rsid w:val="0044131D"/>
    <w:rsid w:val="00441ADA"/>
    <w:rsid w:val="00452B5D"/>
    <w:rsid w:val="00457E46"/>
    <w:rsid w:val="004727D5"/>
    <w:rsid w:val="004922E4"/>
    <w:rsid w:val="00496AF8"/>
    <w:rsid w:val="004A575D"/>
    <w:rsid w:val="004B5D1D"/>
    <w:rsid w:val="004B65C6"/>
    <w:rsid w:val="004D1DC7"/>
    <w:rsid w:val="004E7215"/>
    <w:rsid w:val="004F005E"/>
    <w:rsid w:val="004F7D7E"/>
    <w:rsid w:val="00500B0C"/>
    <w:rsid w:val="00537150"/>
    <w:rsid w:val="00540984"/>
    <w:rsid w:val="00543851"/>
    <w:rsid w:val="0055559D"/>
    <w:rsid w:val="005569AE"/>
    <w:rsid w:val="005857F8"/>
    <w:rsid w:val="005B0D18"/>
    <w:rsid w:val="005B12C3"/>
    <w:rsid w:val="005B409D"/>
    <w:rsid w:val="005D0FDB"/>
    <w:rsid w:val="005D25E9"/>
    <w:rsid w:val="005D34FD"/>
    <w:rsid w:val="005D6D59"/>
    <w:rsid w:val="0061327A"/>
    <w:rsid w:val="00617390"/>
    <w:rsid w:val="00623420"/>
    <w:rsid w:val="00634768"/>
    <w:rsid w:val="0063596F"/>
    <w:rsid w:val="00640DA5"/>
    <w:rsid w:val="00651930"/>
    <w:rsid w:val="006709EB"/>
    <w:rsid w:val="00672824"/>
    <w:rsid w:val="00676BD4"/>
    <w:rsid w:val="0068184A"/>
    <w:rsid w:val="006A0249"/>
    <w:rsid w:val="006B5C51"/>
    <w:rsid w:val="006C7F30"/>
    <w:rsid w:val="006D43FF"/>
    <w:rsid w:val="006D55F3"/>
    <w:rsid w:val="006E6FDD"/>
    <w:rsid w:val="006F2727"/>
    <w:rsid w:val="006F4B7F"/>
    <w:rsid w:val="006F760B"/>
    <w:rsid w:val="00701CC3"/>
    <w:rsid w:val="00724801"/>
    <w:rsid w:val="00734949"/>
    <w:rsid w:val="00736AEC"/>
    <w:rsid w:val="00736E0F"/>
    <w:rsid w:val="00741137"/>
    <w:rsid w:val="007434FA"/>
    <w:rsid w:val="007573F0"/>
    <w:rsid w:val="00762BD7"/>
    <w:rsid w:val="00765156"/>
    <w:rsid w:val="00767669"/>
    <w:rsid w:val="00773485"/>
    <w:rsid w:val="0077357F"/>
    <w:rsid w:val="00776E8F"/>
    <w:rsid w:val="00776F6D"/>
    <w:rsid w:val="0078412D"/>
    <w:rsid w:val="007C0297"/>
    <w:rsid w:val="007C1887"/>
    <w:rsid w:val="007C1AF5"/>
    <w:rsid w:val="007D022C"/>
    <w:rsid w:val="007D4775"/>
    <w:rsid w:val="007D5DC6"/>
    <w:rsid w:val="007E37A5"/>
    <w:rsid w:val="007F49D8"/>
    <w:rsid w:val="00805940"/>
    <w:rsid w:val="0081599C"/>
    <w:rsid w:val="00827F9D"/>
    <w:rsid w:val="00831177"/>
    <w:rsid w:val="00837121"/>
    <w:rsid w:val="00842FBC"/>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3EED"/>
    <w:rsid w:val="00AA5587"/>
    <w:rsid w:val="00AA7CB9"/>
    <w:rsid w:val="00AB4ECE"/>
    <w:rsid w:val="00AC1E53"/>
    <w:rsid w:val="00AD79C8"/>
    <w:rsid w:val="00AE6CE0"/>
    <w:rsid w:val="00B058A6"/>
    <w:rsid w:val="00B117D0"/>
    <w:rsid w:val="00B13998"/>
    <w:rsid w:val="00B17257"/>
    <w:rsid w:val="00B35C5F"/>
    <w:rsid w:val="00B439DD"/>
    <w:rsid w:val="00B52E0F"/>
    <w:rsid w:val="00B74629"/>
    <w:rsid w:val="00B91F58"/>
    <w:rsid w:val="00BA579E"/>
    <w:rsid w:val="00BD46F2"/>
    <w:rsid w:val="00BE2295"/>
    <w:rsid w:val="00BE6373"/>
    <w:rsid w:val="00BF533A"/>
    <w:rsid w:val="00C078E4"/>
    <w:rsid w:val="00C12679"/>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D4B27"/>
    <w:rsid w:val="00DE1F5D"/>
    <w:rsid w:val="00DE50D8"/>
    <w:rsid w:val="00DF1B87"/>
    <w:rsid w:val="00DF278A"/>
    <w:rsid w:val="00E1664B"/>
    <w:rsid w:val="00E30D12"/>
    <w:rsid w:val="00E3394E"/>
    <w:rsid w:val="00E35241"/>
    <w:rsid w:val="00E41417"/>
    <w:rsid w:val="00E42FAA"/>
    <w:rsid w:val="00E536D3"/>
    <w:rsid w:val="00E57BE2"/>
    <w:rsid w:val="00E61055"/>
    <w:rsid w:val="00E62A95"/>
    <w:rsid w:val="00E746A2"/>
    <w:rsid w:val="00E90D06"/>
    <w:rsid w:val="00E97E59"/>
    <w:rsid w:val="00EA79C9"/>
    <w:rsid w:val="00EB66AC"/>
    <w:rsid w:val="00EC1225"/>
    <w:rsid w:val="00EC2247"/>
    <w:rsid w:val="00ED4AF9"/>
    <w:rsid w:val="00EE1F87"/>
    <w:rsid w:val="00EE3931"/>
    <w:rsid w:val="00EE5AF6"/>
    <w:rsid w:val="00EF2CEF"/>
    <w:rsid w:val="00F1092D"/>
    <w:rsid w:val="00F13B0D"/>
    <w:rsid w:val="00F32A4F"/>
    <w:rsid w:val="00F42C20"/>
    <w:rsid w:val="00F431D8"/>
    <w:rsid w:val="00F63E8D"/>
    <w:rsid w:val="00F67706"/>
    <w:rsid w:val="00F81FE3"/>
    <w:rsid w:val="00F90F82"/>
    <w:rsid w:val="00F92D75"/>
    <w:rsid w:val="00F97327"/>
    <w:rsid w:val="00FA296F"/>
    <w:rsid w:val="00FA7323"/>
    <w:rsid w:val="00FB1299"/>
    <w:rsid w:val="00FC32D3"/>
    <w:rsid w:val="00FC5194"/>
    <w:rsid w:val="00FD4D82"/>
    <w:rsid w:val="00FE57AE"/>
    <w:rsid w:val="00FF57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B5D"/>
    <w:pPr>
      <w:ind w:left="0" w:firstLine="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8659ED"/>
    <w:pPr>
      <w:keepNext/>
      <w:keepLines/>
      <w:spacing w:before="200"/>
      <w:ind w:left="360" w:hanging="36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hanging="360"/>
      <w:contextualSpacing/>
    </w:pPr>
    <w:rPr>
      <w:rFonts w:asciiTheme="minorHAnsi" w:eastAsiaTheme="minorEastAsia" w:hAnsiTheme="minorHAnsi" w:cstheme="minorBidi"/>
      <w:sz w:val="22"/>
      <w:szCs w:val="22"/>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ind w:left="360" w:hanging="360"/>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ind w:left="360" w:hanging="360"/>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pPr>
      <w:ind w:left="360" w:hanging="3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pPr>
      <w:ind w:left="360" w:hanging="36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rPr>
      <w:rFonts w:eastAsia="Calibri"/>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customStyle="1" w:styleId="EndNoteBibliography">
    <w:name w:val="EndNote Bibliography"/>
    <w:basedOn w:val="Normal"/>
    <w:link w:val="EndNoteBibliographyChar"/>
    <w:rsid w:val="007D022C"/>
    <w:rPr>
      <w:noProof/>
      <w:sz w:val="22"/>
    </w:rPr>
  </w:style>
  <w:style w:type="character" w:customStyle="1" w:styleId="EndNoteBibliographyChar">
    <w:name w:val="EndNote Bibliography Char"/>
    <w:basedOn w:val="DefaultParagraphFont"/>
    <w:link w:val="EndNoteBibliography"/>
    <w:rsid w:val="007D022C"/>
    <w:rPr>
      <w:rFonts w:ascii="Times New Roman" w:eastAsia="Times New Roman" w:hAnsi="Times New Roman" w:cs="Times New Roman"/>
      <w:noProof/>
      <w:szCs w:val="24"/>
    </w:rPr>
  </w:style>
  <w:style w:type="character" w:customStyle="1" w:styleId="apple-converted-space">
    <w:name w:val="apple-converted-space"/>
    <w:basedOn w:val="DefaultParagraphFont"/>
    <w:rsid w:val="00452B5D"/>
  </w:style>
  <w:style w:type="character" w:styleId="UnresolvedMention">
    <w:name w:val="Unresolved Mention"/>
    <w:basedOn w:val="DefaultParagraphFont"/>
    <w:uiPriority w:val="99"/>
    <w:semiHidden/>
    <w:unhideWhenUsed/>
    <w:rsid w:val="00842FBC"/>
    <w:rPr>
      <w:color w:val="605E5C"/>
      <w:shd w:val="clear" w:color="auto" w:fill="E1DFDD"/>
    </w:rPr>
  </w:style>
  <w:style w:type="table" w:styleId="PlainTable5">
    <w:name w:val="Plain Table 5"/>
    <w:basedOn w:val="TableNormal"/>
    <w:uiPriority w:val="45"/>
    <w:rsid w:val="00FF577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358237">
      <w:bodyDiv w:val="1"/>
      <w:marLeft w:val="0"/>
      <w:marRight w:val="0"/>
      <w:marTop w:val="0"/>
      <w:marBottom w:val="0"/>
      <w:divBdr>
        <w:top w:val="none" w:sz="0" w:space="0" w:color="auto"/>
        <w:left w:val="none" w:sz="0" w:space="0" w:color="auto"/>
        <w:bottom w:val="none" w:sz="0" w:space="0" w:color="auto"/>
        <w:right w:val="none" w:sz="0" w:space="0" w:color="auto"/>
      </w:divBdr>
    </w:div>
    <w:div w:id="1057973473">
      <w:bodyDiv w:val="1"/>
      <w:marLeft w:val="0"/>
      <w:marRight w:val="0"/>
      <w:marTop w:val="0"/>
      <w:marBottom w:val="0"/>
      <w:divBdr>
        <w:top w:val="none" w:sz="0" w:space="0" w:color="auto"/>
        <w:left w:val="none" w:sz="0" w:space="0" w:color="auto"/>
        <w:bottom w:val="none" w:sz="0" w:space="0" w:color="auto"/>
        <w:right w:val="none" w:sz="0" w:space="0" w:color="auto"/>
      </w:divBdr>
    </w:div>
    <w:div w:id="1760325793">
      <w:bodyDiv w:val="1"/>
      <w:marLeft w:val="0"/>
      <w:marRight w:val="0"/>
      <w:marTop w:val="0"/>
      <w:marBottom w:val="0"/>
      <w:divBdr>
        <w:top w:val="none" w:sz="0" w:space="0" w:color="auto"/>
        <w:left w:val="none" w:sz="0" w:space="0" w:color="auto"/>
        <w:bottom w:val="none" w:sz="0" w:space="0" w:color="auto"/>
        <w:right w:val="none" w:sz="0" w:space="0" w:color="auto"/>
      </w:divBdr>
    </w:div>
    <w:div w:id="1881673550">
      <w:bodyDiv w:val="1"/>
      <w:marLeft w:val="0"/>
      <w:marRight w:val="0"/>
      <w:marTop w:val="0"/>
      <w:marBottom w:val="0"/>
      <w:divBdr>
        <w:top w:val="none" w:sz="0" w:space="0" w:color="auto"/>
        <w:left w:val="none" w:sz="0" w:space="0" w:color="auto"/>
        <w:bottom w:val="none" w:sz="0" w:space="0" w:color="auto"/>
        <w:right w:val="none" w:sz="0" w:space="0" w:color="auto"/>
      </w:divBdr>
    </w:div>
    <w:div w:id="202651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yperlink" Target="http://www.starfieldsummit.com/resources3"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hyperlink" Target="http://www.starfieldsummit.com/acknowledgment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starfieldsummit.com/starfield3" TargetMode="External"/><Relationship Id="rId20" Type="http://schemas.openxmlformats.org/officeDocument/2006/relationships/hyperlink" Target="http://www.green-center.org/pcpc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rwaynejonas.com/wp-content/uploads/2018/01/HOPENoteQuestions_WEB.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0633B"/>
    <w:rsid w:val="00160241"/>
    <w:rsid w:val="001F47A0"/>
    <w:rsid w:val="002A3682"/>
    <w:rsid w:val="002B5F47"/>
    <w:rsid w:val="003A1E4B"/>
    <w:rsid w:val="00455EB5"/>
    <w:rsid w:val="00461C1C"/>
    <w:rsid w:val="004C01EE"/>
    <w:rsid w:val="004E2027"/>
    <w:rsid w:val="00560161"/>
    <w:rsid w:val="005F21F3"/>
    <w:rsid w:val="006A21AC"/>
    <w:rsid w:val="008216C5"/>
    <w:rsid w:val="008F6A9B"/>
    <w:rsid w:val="00A77685"/>
    <w:rsid w:val="00A77B15"/>
    <w:rsid w:val="00BE0F2D"/>
    <w:rsid w:val="00C03643"/>
    <w:rsid w:val="00C2797F"/>
    <w:rsid w:val="00C80225"/>
    <w:rsid w:val="00D228C9"/>
    <w:rsid w:val="00D2552B"/>
    <w:rsid w:val="00D75B64"/>
    <w:rsid w:val="00DB5324"/>
    <w:rsid w:val="00E97654"/>
    <w:rsid w:val="00EA555A"/>
    <w:rsid w:val="00F87EB9"/>
    <w:rsid w:val="00FC30A1"/>
    <w:rsid w:val="00FD0F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FBBDEC5CE7874883B202F9C789393C" ma:contentTypeVersion="9" ma:contentTypeDescription="Create a new document." ma:contentTypeScope="" ma:versionID="544282954f64f51cdcab30d48f8c6623">
  <xsd:schema xmlns:xsd="http://www.w3.org/2001/XMLSchema" xmlns:xs="http://www.w3.org/2001/XMLSchema" xmlns:p="http://schemas.microsoft.com/office/2006/metadata/properties" xmlns:ns1="http://schemas.microsoft.com/sharepoint/v3" xmlns:ns2="40fa6e41-48e3-4413-bc90-4d0aa4031e23" xmlns:ns3="820fdbb7-e2eb-4e4c-a0e3-f2618eb0f160" targetNamespace="http://schemas.microsoft.com/office/2006/metadata/properties" ma:root="true" ma:fieldsID="e553c499706f8355a68e6d055bfe05ce" ns1:_="" ns2:_="" ns3:_="">
    <xsd:import namespace="http://schemas.microsoft.com/sharepoint/v3"/>
    <xsd:import namespace="40fa6e41-48e3-4413-bc90-4d0aa4031e23"/>
    <xsd:import namespace="820fdbb7-e2eb-4e4c-a0e3-f2618eb0f1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ocumentTyp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fa6e41-48e3-4413-bc90-4d0aa4031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ocumentType" ma:index="14" nillable="true" ma:displayName="Document Type" ma:format="Dropdown" ma:internalName="DocumentTyp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0fdbb7-e2eb-4e4c-a0e3-f2618eb0f16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Type xmlns="40fa6e41-48e3-4413-bc90-4d0aa4031e23"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0B0AE-2E8B-4192-8B08-5B78AFCE9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0fa6e41-48e3-4413-bc90-4d0aa4031e23"/>
    <ds:schemaRef ds:uri="820fdbb7-e2eb-4e4c-a0e3-f2618eb0f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40fa6e41-48e3-4413-bc90-4d0aa4031e23"/>
    <ds:schemaRef ds:uri="http://schemas.microsoft.com/sharepoint/v3"/>
  </ds:schemaRefs>
</ds:datastoreItem>
</file>

<file path=customXml/itemProps4.xml><?xml version="1.0" encoding="utf-8"?>
<ds:datastoreItem xmlns:ds="http://schemas.openxmlformats.org/officeDocument/2006/customXml" ds:itemID="{6CC89A67-D585-4E47-8EDA-D08C3B034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3403</Words>
  <Characters>19399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Denise M. Pavletic</cp:lastModifiedBy>
  <cp:revision>6</cp:revision>
  <dcterms:created xsi:type="dcterms:W3CDTF">2020-11-18T12:27:00Z</dcterms:created>
  <dcterms:modified xsi:type="dcterms:W3CDTF">2020-11-18T12:53:00Z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0x01010089FBBDEC5CE7874883B202F9C789393C</vt:lpwstr>
  </property>
</Properties>
</file>